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2.xml" ContentType="application/vnd.openxmlformats-officedocument.wordprocessingml.header+xml"/>
  <Override PartName="/word/header13.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Override PartName="/word/header20.xml" ContentType="application/vnd.openxmlformats-officedocument.wordprocessingml.head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777"/>
      </w:tblGrid>
      <w:tr w:rsidR="003C2267" w:rsidRPr="00BD319C" w14:paraId="58FEEA6A" w14:textId="77777777" w:rsidTr="00713B0D">
        <w:trPr>
          <w:trHeight w:val="6940"/>
          <w:jc w:val="center"/>
        </w:trPr>
        <w:tc>
          <w:tcPr>
            <w:tcW w:w="8777" w:type="dxa"/>
            <w:vAlign w:val="center"/>
          </w:tcPr>
          <w:p w14:paraId="1C14E911" w14:textId="6124BD1E" w:rsidR="00905F34" w:rsidRPr="00BD319C" w:rsidRDefault="00BD319C" w:rsidP="0021716B">
            <w:pPr>
              <w:pStyle w:val="Title"/>
              <w:spacing w:before="480" w:after="600"/>
              <w:rPr>
                <w:sz w:val="40"/>
                <w:szCs w:val="40"/>
                <w:lang w:val="en-US"/>
              </w:rPr>
            </w:pPr>
            <w:bookmarkStart w:id="0" w:name="_Hlk93398836"/>
            <w:r w:rsidRPr="00BD319C">
              <w:rPr>
                <w:sz w:val="40"/>
                <w:szCs w:val="40"/>
                <w:lang w:val="en-US"/>
              </w:rPr>
              <w:t xml:space="preserve">Phase Change Materials for Sustainable Thermal Energy Storage: From Characterization to Applications in Buildings, Photovoltaics, Electronics, </w:t>
            </w:r>
            <w:r>
              <w:rPr>
                <w:sz w:val="40"/>
                <w:szCs w:val="40"/>
                <w:lang w:val="en-US"/>
              </w:rPr>
              <w:t>Textile</w:t>
            </w:r>
            <w:r w:rsidR="00284F60">
              <w:rPr>
                <w:sz w:val="40"/>
                <w:szCs w:val="40"/>
                <w:lang w:val="en-US"/>
              </w:rPr>
              <w:t>s</w:t>
            </w:r>
            <w:r>
              <w:rPr>
                <w:sz w:val="40"/>
                <w:szCs w:val="40"/>
                <w:lang w:val="en-US"/>
              </w:rPr>
              <w:t xml:space="preserve"> </w:t>
            </w:r>
            <w:r w:rsidRPr="00BD319C">
              <w:rPr>
                <w:sz w:val="40"/>
                <w:szCs w:val="40"/>
                <w:lang w:val="en-US"/>
              </w:rPr>
              <w:t>and Cold Chain Systems</w:t>
            </w:r>
            <w:r w:rsidR="004E6FCC" w:rsidRPr="00BD319C">
              <w:rPr>
                <w:sz w:val="40"/>
                <w:szCs w:val="40"/>
                <w:lang w:val="en-US"/>
              </w:rPr>
              <w:t xml:space="preserve"> </w:t>
            </w:r>
          </w:p>
          <w:p w14:paraId="6A510BFE" w14:textId="77777777" w:rsidR="003C2267" w:rsidRPr="00C72DAA" w:rsidRDefault="003C2267" w:rsidP="0021716B">
            <w:pPr>
              <w:pStyle w:val="Subtitle"/>
            </w:pPr>
            <w:r w:rsidRPr="00C72DAA">
              <w:t xml:space="preserve">TESI DI LAUREA MAGISTRALE IN </w:t>
            </w:r>
          </w:p>
          <w:p w14:paraId="4245F301" w14:textId="5016C2D6" w:rsidR="003C2267" w:rsidRPr="00784D2D" w:rsidRDefault="00BD319C" w:rsidP="0021716B">
            <w:pPr>
              <w:pStyle w:val="Subtitle"/>
            </w:pPr>
            <w:r w:rsidRPr="00784D2D">
              <w:t>ENERGY</w:t>
            </w:r>
            <w:r w:rsidR="003C2267" w:rsidRPr="00784D2D">
              <w:t xml:space="preserve"> ENGINEERING</w:t>
            </w:r>
          </w:p>
          <w:p w14:paraId="10883E24" w14:textId="4E73CF53" w:rsidR="003C2267" w:rsidRPr="00BD319C" w:rsidRDefault="003C2267" w:rsidP="0021716B">
            <w:pPr>
              <w:pStyle w:val="Subtitle"/>
              <w:spacing w:afterLines="250" w:after="600"/>
            </w:pPr>
            <w:r w:rsidRPr="00BD319C">
              <w:t xml:space="preserve">INGEGNERIA </w:t>
            </w:r>
            <w:r w:rsidR="00BD319C" w:rsidRPr="00BD319C">
              <w:t>ENERGETICA</w:t>
            </w:r>
          </w:p>
          <w:p w14:paraId="2C411CE9" w14:textId="74BF2073" w:rsidR="003C2267" w:rsidRPr="00BD319C" w:rsidRDefault="003C2267" w:rsidP="00590624">
            <w:pPr>
              <w:spacing w:before="0" w:after="0" w:line="0" w:lineRule="atLeast"/>
              <w:ind w:right="346"/>
              <w:jc w:val="left"/>
              <w:rPr>
                <w:szCs w:val="24"/>
              </w:rPr>
            </w:pPr>
            <w:r w:rsidRPr="00BD319C">
              <w:rPr>
                <w:sz w:val="32"/>
                <w:szCs w:val="32"/>
              </w:rPr>
              <w:t xml:space="preserve">Author: </w:t>
            </w:r>
            <w:r w:rsidR="00BD319C">
              <w:rPr>
                <w:sz w:val="32"/>
                <w:szCs w:val="32"/>
              </w:rPr>
              <w:t>Matteo Comaschi</w:t>
            </w:r>
          </w:p>
        </w:tc>
      </w:tr>
      <w:tr w:rsidR="00082EA8" w:rsidRPr="00BD319C" w14:paraId="331E9A4B" w14:textId="77777777" w:rsidTr="00713B0D">
        <w:trPr>
          <w:trHeight w:val="1124"/>
          <w:jc w:val="center"/>
        </w:trPr>
        <w:tc>
          <w:tcPr>
            <w:tcW w:w="8777" w:type="dxa"/>
            <w:vAlign w:val="center"/>
          </w:tcPr>
          <w:p w14:paraId="443B5452" w14:textId="77777777" w:rsidR="00082EA8" w:rsidRPr="00BD319C" w:rsidRDefault="00082EA8" w:rsidP="00CE57E0">
            <w:pPr>
              <w:spacing w:before="0" w:after="0" w:line="0" w:lineRule="atLeast"/>
              <w:jc w:val="left"/>
              <w:rPr>
                <w:b/>
                <w:bCs/>
                <w:sz w:val="32"/>
                <w:szCs w:val="32"/>
              </w:rPr>
            </w:pPr>
          </w:p>
        </w:tc>
      </w:tr>
      <w:tr w:rsidR="00082EA8" w:rsidRPr="00BD319C" w14:paraId="07C55E0F" w14:textId="77777777" w:rsidTr="00713B0D">
        <w:trPr>
          <w:trHeight w:val="987"/>
          <w:jc w:val="center"/>
        </w:trPr>
        <w:tc>
          <w:tcPr>
            <w:tcW w:w="8777" w:type="dxa"/>
            <w:vAlign w:val="center"/>
          </w:tcPr>
          <w:p w14:paraId="637D46CB" w14:textId="664F7756" w:rsidR="00082EA8" w:rsidRPr="00784D2D" w:rsidRDefault="00082EA8" w:rsidP="00CE159E">
            <w:pPr>
              <w:pStyle w:val="Text"/>
              <w:spacing w:before="0" w:after="0"/>
              <w:rPr>
                <w:lang w:val="it-IT"/>
              </w:rPr>
            </w:pPr>
            <w:r w:rsidRPr="00784D2D">
              <w:rPr>
                <w:lang w:val="it-IT"/>
              </w:rPr>
              <w:t xml:space="preserve">Student ID: </w:t>
            </w:r>
            <w:r w:rsidR="00BD319C" w:rsidRPr="00784D2D">
              <w:rPr>
                <w:lang w:val="it-IT"/>
              </w:rPr>
              <w:t>10625420</w:t>
            </w:r>
          </w:p>
          <w:p w14:paraId="162D9FD1" w14:textId="64FBB4F4" w:rsidR="00082EA8" w:rsidRPr="00BD319C" w:rsidRDefault="00082EA8" w:rsidP="00CE159E">
            <w:pPr>
              <w:pStyle w:val="Text"/>
              <w:spacing w:before="0" w:after="0"/>
              <w:rPr>
                <w:lang w:val="it-IT"/>
              </w:rPr>
            </w:pPr>
            <w:r w:rsidRPr="00BD319C">
              <w:rPr>
                <w:lang w:val="it-IT"/>
              </w:rPr>
              <w:t xml:space="preserve">Advisor: </w:t>
            </w:r>
            <w:r w:rsidR="00BD319C" w:rsidRPr="00BD319C">
              <w:rPr>
                <w:lang w:val="it-IT"/>
              </w:rPr>
              <w:t>Domenico Mazzeo</w:t>
            </w:r>
          </w:p>
          <w:p w14:paraId="55FE6247" w14:textId="7FD604BB" w:rsidR="00082EA8" w:rsidRPr="00BD319C" w:rsidRDefault="00082EA8" w:rsidP="00CE159E">
            <w:pPr>
              <w:pStyle w:val="Text"/>
              <w:spacing w:before="0" w:after="0"/>
              <w:rPr>
                <w:lang w:val="it-IT"/>
              </w:rPr>
            </w:pPr>
            <w:r w:rsidRPr="00BD319C">
              <w:rPr>
                <w:lang w:val="it-IT"/>
              </w:rPr>
              <w:t xml:space="preserve">Co-advisor: </w:t>
            </w:r>
            <w:r w:rsidR="00BD319C" w:rsidRPr="00BD319C">
              <w:rPr>
                <w:lang w:val="it-IT"/>
              </w:rPr>
              <w:t>Emanuele Giovanni Ca</w:t>
            </w:r>
            <w:r w:rsidR="00BD319C">
              <w:rPr>
                <w:lang w:val="it-IT"/>
              </w:rPr>
              <w:t>rlo Ogliari</w:t>
            </w:r>
          </w:p>
          <w:p w14:paraId="4126C7A2" w14:textId="7AB3EA7E" w:rsidR="00082EA8" w:rsidRPr="00544E92" w:rsidRDefault="00082EA8" w:rsidP="00CE159E">
            <w:pPr>
              <w:pStyle w:val="Text"/>
              <w:spacing w:before="0" w:after="0"/>
              <w:rPr>
                <w:lang w:val="en-GB"/>
              </w:rPr>
            </w:pPr>
            <w:r w:rsidRPr="00544E92">
              <w:rPr>
                <w:lang w:val="en-GB"/>
              </w:rPr>
              <w:t>Academic Year: 20</w:t>
            </w:r>
            <w:r w:rsidR="00BD319C">
              <w:rPr>
                <w:lang w:val="en-GB"/>
              </w:rPr>
              <w:t>25</w:t>
            </w:r>
            <w:r w:rsidRPr="00544E92">
              <w:rPr>
                <w:lang w:val="en-GB"/>
              </w:rPr>
              <w:t>-</w:t>
            </w:r>
            <w:r w:rsidR="00BD319C">
              <w:rPr>
                <w:lang w:val="en-GB"/>
              </w:rPr>
              <w:t>26</w:t>
            </w:r>
          </w:p>
        </w:tc>
      </w:tr>
      <w:bookmarkEnd w:id="0"/>
    </w:tbl>
    <w:p w14:paraId="31D486F0" w14:textId="7CA29BFC" w:rsidR="00831326" w:rsidRPr="00544E92" w:rsidRDefault="00831326">
      <w:pPr>
        <w:rPr>
          <w:lang w:val="en-GB"/>
        </w:rPr>
      </w:pPr>
    </w:p>
    <w:p w14:paraId="3AC92AA8" w14:textId="67BC19B7" w:rsidR="00831326" w:rsidRPr="00544E92" w:rsidRDefault="00831326">
      <w:pPr>
        <w:rPr>
          <w:lang w:val="en-GB"/>
        </w:rPr>
      </w:pPr>
    </w:p>
    <w:p w14:paraId="36336908" w14:textId="6D5132CB" w:rsidR="008D76B5" w:rsidRPr="00544E92" w:rsidRDefault="008D76B5">
      <w:pPr>
        <w:rPr>
          <w:lang w:val="en-GB"/>
        </w:rPr>
      </w:pPr>
    </w:p>
    <w:p w14:paraId="1DDC4FF0" w14:textId="27F36A7A" w:rsidR="00831326" w:rsidRPr="00544E92" w:rsidRDefault="00831326">
      <w:pPr>
        <w:rPr>
          <w:lang w:val="en-GB"/>
        </w:rPr>
      </w:pPr>
    </w:p>
    <w:p w14:paraId="33E0AD1E" w14:textId="77777777" w:rsidR="005C5AC3" w:rsidRPr="00544E92" w:rsidRDefault="005C5AC3">
      <w:pPr>
        <w:rPr>
          <w:lang w:val="en-GB"/>
        </w:rPr>
        <w:sectPr w:rsidR="005C5AC3" w:rsidRPr="00544E92" w:rsidSect="00070452">
          <w:headerReference w:type="default" r:id="rId8"/>
          <w:footerReference w:type="even" r:id="rId9"/>
          <w:headerReference w:type="first" r:id="rId10"/>
          <w:type w:val="oddPage"/>
          <w:pgSz w:w="11906" w:h="16838" w:code="9"/>
          <w:pgMar w:top="5670" w:right="1418" w:bottom="1418" w:left="1418" w:header="851" w:footer="851" w:gutter="0"/>
          <w:cols w:space="708"/>
          <w:titlePg/>
          <w:docGrid w:linePitch="360"/>
        </w:sectPr>
      </w:pPr>
    </w:p>
    <w:p w14:paraId="399A09CE" w14:textId="6F65207B" w:rsidR="00A50897" w:rsidRPr="00544E92" w:rsidRDefault="00A50897" w:rsidP="00BF2714">
      <w:pPr>
        <w:pStyle w:val="Heading1"/>
        <w:numPr>
          <w:ilvl w:val="0"/>
          <w:numId w:val="0"/>
        </w:numPr>
        <w:rPr>
          <w:lang w:val="en-GB"/>
        </w:rPr>
      </w:pPr>
      <w:bookmarkStart w:id="1" w:name="_Toc214356263"/>
      <w:r w:rsidRPr="00544E92">
        <w:rPr>
          <w:lang w:val="en-GB"/>
        </w:rPr>
        <w:lastRenderedPageBreak/>
        <w:t>Abstract</w:t>
      </w:r>
      <w:bookmarkEnd w:id="1"/>
    </w:p>
    <w:p w14:paraId="246C16A4" w14:textId="77777777" w:rsidR="00D43E41" w:rsidRDefault="00D43E41" w:rsidP="00D43E41">
      <w:pPr>
        <w:pStyle w:val="Text"/>
      </w:pPr>
      <w:r>
        <w:t>The thesis presents an organic review of phase change materials (PCM) for latent-heat thermal storage, including classification (solid–liquid, solid–solid, eutectics), thermo-physical/chemical properties, and stabilization strategies (micro/macro-encapsulation, nano-conductive additives, flame retardants, compatibility, and container corrosion). The main characterization methods (DSC, T-history, and other more recent techniques to derive conductivity, specific heat, and latent heat) are compared, highlighting advantages, experimental limitations, and criteria for use to obtain reliable data for design purposes. The analysis of the leading companies in the global PCM market is also reported.</w:t>
      </w:r>
    </w:p>
    <w:p w14:paraId="562BA684" w14:textId="77777777" w:rsidR="00264288" w:rsidRPr="00264288" w:rsidRDefault="00D43E41" w:rsidP="00264288">
      <w:pPr>
        <w:pStyle w:val="Text"/>
      </w:pPr>
      <w:r>
        <w:t>An application analysis based on the relevant scientific literature illustrates the integration of PCMs in electronics, with a focus on applications in batteries, data centers, and distribution networks, in photovoltaic modules, in buildings, in cold-chain logistics (with a biomedical focus), and in cooling garments, discussing for each application field the benefits, critical issues, and safety aspects, as well as economic and environmental impacts.</w:t>
      </w:r>
      <w:r w:rsidR="00264288">
        <w:t xml:space="preserve"> </w:t>
      </w:r>
      <w:r w:rsidR="00264288" w:rsidRPr="00264288">
        <w:t>A dedicated section analyses a selection of recent patents on PCMs in the energy sector, in order to highlight the most relevant technological innovations and application fields.</w:t>
      </w:r>
    </w:p>
    <w:p w14:paraId="53B9E828" w14:textId="77777777" w:rsidR="00D43E41" w:rsidRDefault="00D43E41" w:rsidP="00D43E41">
      <w:pPr>
        <w:pStyle w:val="Text"/>
      </w:pPr>
      <w:r>
        <w:t>The modeling section analyzes the Stefan problem, solved through the Neumann method. The solution through the enthalpy model, the effective specific heat, and the apparent specific heat is also examined.</w:t>
      </w:r>
    </w:p>
    <w:p w14:paraId="2208E857" w14:textId="1E0C253E" w:rsidR="00D128F3" w:rsidRPr="00BE0646" w:rsidRDefault="00D43E41" w:rsidP="00D43E41">
      <w:pPr>
        <w:pStyle w:val="Text"/>
      </w:pPr>
      <w:r>
        <w:t>Overall, the work provides an operational framework linking characterization, modeling, and application requirements to support a reliable, safe, and sustainable deployment of PCMs in the energy sector.</w:t>
      </w:r>
    </w:p>
    <w:p w14:paraId="55569BFD" w14:textId="437F3B52" w:rsidR="00AB6F3E" w:rsidRPr="00BE0646" w:rsidRDefault="00D128F3" w:rsidP="00CE159E">
      <w:pPr>
        <w:pStyle w:val="Text"/>
      </w:pPr>
      <w:r w:rsidRPr="00544E92">
        <w:rPr>
          <w:b/>
          <w:bCs/>
          <w:lang w:val="en-GB"/>
        </w:rPr>
        <w:t>Key-words:</w:t>
      </w:r>
      <w:r w:rsidRPr="00544E92">
        <w:rPr>
          <w:lang w:val="en-GB"/>
        </w:rPr>
        <w:t xml:space="preserve"> </w:t>
      </w:r>
      <w:r w:rsidR="00BE0646" w:rsidRPr="00BE0646">
        <w:rPr>
          <w:lang w:val="en-GB"/>
        </w:rPr>
        <w:t>Phase Change Materials; Latent Heat Thermal Energy Storage; DSC; T-history; Transient characterization; Encapsulation; Thermal conductivity; Electronics cooling (batteries, data centers, grids); Photovoltaics; Buildings; Cold chain; Cooling garments;</w:t>
      </w:r>
      <w:r w:rsidR="00AB35B8">
        <w:rPr>
          <w:lang w:val="en-GB"/>
        </w:rPr>
        <w:t xml:space="preserve"> A</w:t>
      </w:r>
      <w:r w:rsidR="00AB35B8" w:rsidRPr="00BE0646">
        <w:t>nalysis of economic and environmental impact</w:t>
      </w:r>
      <w:r w:rsidR="00AB35B8">
        <w:t xml:space="preserve">; </w:t>
      </w:r>
      <w:r w:rsidR="00264288">
        <w:t xml:space="preserve">Patents; </w:t>
      </w:r>
      <w:r w:rsidR="00BE0646" w:rsidRPr="00BE0646">
        <w:rPr>
          <w:lang w:val="en-GB"/>
        </w:rPr>
        <w:t>Stefan problem; Neumann method; Enthalpy method</w:t>
      </w:r>
      <w:r w:rsidR="00AB35B8">
        <w:rPr>
          <w:lang w:val="en-GB"/>
        </w:rPr>
        <w:t>.</w:t>
      </w:r>
    </w:p>
    <w:p w14:paraId="6F067146" w14:textId="77777777" w:rsidR="00AB6F3E" w:rsidRPr="00AB35B8" w:rsidRDefault="00AB6F3E">
      <w:pPr>
        <w:spacing w:before="0" w:after="160" w:line="259" w:lineRule="auto"/>
        <w:jc w:val="left"/>
        <w:rPr>
          <w:lang w:val="en-US"/>
        </w:rPr>
      </w:pPr>
    </w:p>
    <w:p w14:paraId="09331F56" w14:textId="629B28E4" w:rsidR="00AB6F3E" w:rsidRDefault="00AB6F3E">
      <w:pPr>
        <w:spacing w:before="0" w:after="160" w:line="259" w:lineRule="auto"/>
        <w:jc w:val="left"/>
        <w:rPr>
          <w:lang w:val="en-GB"/>
        </w:rPr>
      </w:pPr>
    </w:p>
    <w:p w14:paraId="265D4236" w14:textId="31755585" w:rsidR="00F2086E" w:rsidRDefault="00F2086E">
      <w:pPr>
        <w:spacing w:before="0" w:after="160" w:line="259" w:lineRule="auto"/>
        <w:jc w:val="left"/>
        <w:rPr>
          <w:lang w:val="en-GB"/>
        </w:rPr>
      </w:pPr>
    </w:p>
    <w:p w14:paraId="7D5E91B3" w14:textId="77777777" w:rsidR="00F2086E" w:rsidRPr="00544E92" w:rsidRDefault="00F2086E">
      <w:pPr>
        <w:spacing w:before="0" w:after="160" w:line="259" w:lineRule="auto"/>
        <w:jc w:val="left"/>
        <w:rPr>
          <w:lang w:val="en-GB"/>
        </w:rPr>
      </w:pPr>
    </w:p>
    <w:p w14:paraId="0ED2A496" w14:textId="77777777" w:rsidR="00AB6F3E" w:rsidRPr="00544E92" w:rsidRDefault="00AB6F3E">
      <w:pPr>
        <w:spacing w:before="0" w:after="160" w:line="259" w:lineRule="auto"/>
        <w:jc w:val="left"/>
        <w:rPr>
          <w:lang w:val="en-GB"/>
        </w:rPr>
      </w:pPr>
    </w:p>
    <w:p w14:paraId="0B9A242E" w14:textId="77777777" w:rsidR="00AB6F3E" w:rsidRPr="00544E92" w:rsidRDefault="00AB6F3E">
      <w:pPr>
        <w:spacing w:before="0" w:after="160" w:line="259" w:lineRule="auto"/>
        <w:jc w:val="left"/>
        <w:rPr>
          <w:lang w:val="en-GB"/>
        </w:rPr>
      </w:pPr>
    </w:p>
    <w:p w14:paraId="092FC4FA" w14:textId="476F158A" w:rsidR="00AB6F3E" w:rsidRPr="00544E92" w:rsidRDefault="00AB6F3E">
      <w:pPr>
        <w:spacing w:before="0" w:after="160" w:line="259" w:lineRule="auto"/>
        <w:jc w:val="left"/>
        <w:rPr>
          <w:lang w:val="en-GB"/>
        </w:rPr>
        <w:sectPr w:rsidR="00AB6F3E" w:rsidRPr="00544E92" w:rsidSect="00070452">
          <w:headerReference w:type="even" r:id="rId11"/>
          <w:footerReference w:type="even" r:id="rId12"/>
          <w:footerReference w:type="default" r:id="rId13"/>
          <w:headerReference w:type="first" r:id="rId14"/>
          <w:footerReference w:type="first" r:id="rId15"/>
          <w:pgSz w:w="11906" w:h="16838" w:code="9"/>
          <w:pgMar w:top="1701" w:right="1418" w:bottom="1418" w:left="1418" w:header="851" w:footer="851" w:gutter="0"/>
          <w:pgNumType w:fmt="lowerRoman" w:start="1"/>
          <w:cols w:space="708"/>
          <w:titlePg/>
          <w:docGrid w:linePitch="360"/>
        </w:sectPr>
      </w:pPr>
    </w:p>
    <w:p w14:paraId="5D057553" w14:textId="6786FFBF" w:rsidR="00A50897" w:rsidRPr="00433ABD" w:rsidRDefault="00A50897" w:rsidP="00BF2714">
      <w:pPr>
        <w:pStyle w:val="Heading1"/>
        <w:numPr>
          <w:ilvl w:val="0"/>
          <w:numId w:val="0"/>
        </w:numPr>
      </w:pPr>
      <w:bookmarkStart w:id="2" w:name="_Toc214356264"/>
      <w:r w:rsidRPr="00433ABD">
        <w:lastRenderedPageBreak/>
        <w:t>Abstract</w:t>
      </w:r>
      <w:r w:rsidR="00D128F3" w:rsidRPr="00433ABD">
        <w:t xml:space="preserve"> in italiano</w:t>
      </w:r>
      <w:bookmarkEnd w:id="2"/>
    </w:p>
    <w:p w14:paraId="44FD155A" w14:textId="77777777" w:rsidR="00D43E41" w:rsidRDefault="00B40622" w:rsidP="00D128F3">
      <w:r w:rsidRPr="00B40622">
        <w:t xml:space="preserve">La tesi presenta una rassegna organica dei phase change materials (PCM) per l’accumulo di energia termica latente, includendo classificazione (solid–liquid, solid–solid, eutettici), proprietà termo-fisiche/chimiche e strategie di stabilizzazione (micro/macro-incapsulamento, additivi nano-conduttivi, ritardanti di fiamma, compatibilità e corrosione dei contenitori). </w:t>
      </w:r>
    </w:p>
    <w:p w14:paraId="4DF5DB41" w14:textId="77777777" w:rsidR="00D43E41" w:rsidRDefault="00B40622" w:rsidP="00D128F3">
      <w:r w:rsidRPr="00B40622">
        <w:t xml:space="preserve">Vengono confrontati i principali metodi di caratterizzazione (DSC, T-history e altre più recenti per ricavare conducibilità, calore specifico e calore latente) evidenziando vantaggi, limiti sperimentali e criteri d’impiego per dati affidabili ai fini di progetto. Viene riportata l'analisi delle aziende leader del mercato globale dei PCM. </w:t>
      </w:r>
    </w:p>
    <w:p w14:paraId="54BFD7F7" w14:textId="2134244B" w:rsidR="00D43E41" w:rsidRDefault="00B40622" w:rsidP="00D128F3">
      <w:r w:rsidRPr="00B40622">
        <w:t xml:space="preserve">Un’analisi applicativa sulla letteratura scientifica di riferimento illustra l’integrazione dei PCM in elettronica, con focus sull'applicazione nelle batterie, nei data center e nelle reti di distribuzione, in moduli fotovoltaici, negli edifici, nella logistica del freddo (con focus biomedico) e negli indumenti refrigeranti, discutendo per ciascun campo applicativo benefici, criticità, sicurezza oltre all'analisi dell'impatto economico e ambientale. </w:t>
      </w:r>
      <w:r w:rsidR="00264288" w:rsidRPr="00264288">
        <w:t>Una sezione dedicata analizza una selezione di brevetti recenti sui PCM nel settore energetico, al fine di evidenziare le innovazioni tecnologiche più rilevanti e i relativi campi di applicazione.</w:t>
      </w:r>
    </w:p>
    <w:p w14:paraId="7EB4AFE1" w14:textId="77777777" w:rsidR="00D43E41" w:rsidRDefault="00B40622" w:rsidP="00D128F3">
      <w:r w:rsidRPr="00B40622">
        <w:t xml:space="preserve">La sezione dei modelli analizza il problema di Stefan, risolto tramite metodo di Neumann. Viene anche analizzata la risoluzione attraverso l'applicazione del modello entalpico, del calore specifico effettivo e del calore specifico apparente. </w:t>
      </w:r>
    </w:p>
    <w:p w14:paraId="604C969C" w14:textId="0D3328E6" w:rsidR="00F2086E" w:rsidRPr="00BE0646" w:rsidRDefault="00B40622" w:rsidP="00D128F3">
      <w:r w:rsidRPr="00B40622">
        <w:t>Nel complesso, il lavoro fornisce un percorso operativo che collega caratterizzazione, modellazione e requisiti applicativi per favorire un impiego affidabile, sicuro e sostenibile dei PCM nel settore energetico.</w:t>
      </w:r>
    </w:p>
    <w:p w14:paraId="0D87BCB1" w14:textId="2C7CBF8C" w:rsidR="00F2086E" w:rsidRDefault="00F2086E" w:rsidP="00D128F3"/>
    <w:p w14:paraId="18CBF673" w14:textId="3A1BFFE7" w:rsidR="00BE0646" w:rsidRPr="00BE0646" w:rsidRDefault="00BE0646" w:rsidP="00D128F3">
      <w:r w:rsidRPr="00BE0646">
        <w:rPr>
          <w:b/>
          <w:bCs/>
        </w:rPr>
        <w:t>Parole chiave</w:t>
      </w:r>
      <w:r>
        <w:t xml:space="preserve">: </w:t>
      </w:r>
      <w:r w:rsidRPr="00BE0646">
        <w:t>Materiali a cambiamento di fase; Accumulo termico a calore latente; DSC; T-history; Caratterizzazione transitoria; Incapsulamento; Conduttività termica; Raffreddamento dell’elettronica (batterie, data center, reti elettriche); Fotovoltaico; Edifici; Catena del freddo; Indumenti refrigeranti;</w:t>
      </w:r>
      <w:r w:rsidR="00AB35B8">
        <w:t xml:space="preserve"> A</w:t>
      </w:r>
      <w:r w:rsidR="00AB35B8" w:rsidRPr="00BE0646">
        <w:t>nalisi dell'impatto economico e ambientale</w:t>
      </w:r>
      <w:r w:rsidR="00AB35B8">
        <w:t>;</w:t>
      </w:r>
      <w:r w:rsidRPr="00BE0646">
        <w:t xml:space="preserve"> </w:t>
      </w:r>
      <w:r w:rsidR="00264288">
        <w:t xml:space="preserve">Brevetti; </w:t>
      </w:r>
      <w:r w:rsidRPr="00BE0646">
        <w:t>Problema di Stefan; Metodo di Neumann; Metodo entalpico</w:t>
      </w:r>
      <w:r w:rsidR="00AB35B8">
        <w:t>.</w:t>
      </w:r>
    </w:p>
    <w:p w14:paraId="48CD3839" w14:textId="77777777" w:rsidR="00F2086E" w:rsidRPr="00BE0646" w:rsidRDefault="00F2086E" w:rsidP="00D128F3"/>
    <w:p w14:paraId="47BFA29C" w14:textId="77777777" w:rsidR="00056F88" w:rsidRPr="00BE0646" w:rsidRDefault="00056F88" w:rsidP="00D128F3"/>
    <w:p w14:paraId="3592F41B" w14:textId="28A4FEBD" w:rsidR="007B03DB" w:rsidRPr="00BE0646" w:rsidRDefault="007B03DB" w:rsidP="00D128F3"/>
    <w:p w14:paraId="6E4ACE63" w14:textId="77777777" w:rsidR="007B03DB" w:rsidRPr="00BE0646" w:rsidRDefault="007B03DB" w:rsidP="00D128F3">
      <w:pPr>
        <w:sectPr w:rsidR="007B03DB" w:rsidRPr="00BE0646" w:rsidSect="00070452">
          <w:type w:val="oddPage"/>
          <w:pgSz w:w="11906" w:h="16838" w:code="9"/>
          <w:pgMar w:top="1701" w:right="1418" w:bottom="1418" w:left="1418" w:header="851" w:footer="851" w:gutter="0"/>
          <w:pgNumType w:fmt="lowerRoman"/>
          <w:cols w:space="708"/>
          <w:titlePg/>
          <w:docGrid w:linePitch="360"/>
        </w:sectPr>
      </w:pPr>
    </w:p>
    <w:p w14:paraId="064BCB7E" w14:textId="671CE564" w:rsidR="00D128F3" w:rsidRPr="00BE0646" w:rsidRDefault="00D128F3" w:rsidP="00D128F3"/>
    <w:p w14:paraId="5A990E22" w14:textId="3CC02244" w:rsidR="00A42E62" w:rsidRPr="00BE0646" w:rsidRDefault="00A42E62" w:rsidP="00D128F3"/>
    <w:p w14:paraId="1473B31F" w14:textId="3A459761" w:rsidR="00A42E62" w:rsidRPr="00BE0646" w:rsidRDefault="00A42E62" w:rsidP="00D128F3"/>
    <w:p w14:paraId="233B3DD1" w14:textId="32BF506C" w:rsidR="00356473" w:rsidRPr="00BE0646" w:rsidRDefault="00356473" w:rsidP="00D128F3"/>
    <w:p w14:paraId="1C64D7BF" w14:textId="77777777" w:rsidR="00356473" w:rsidRPr="00BE0646" w:rsidRDefault="00356473" w:rsidP="00D128F3">
      <w:pPr>
        <w:sectPr w:rsidR="00356473" w:rsidRPr="00BE0646" w:rsidSect="002E61C1">
          <w:headerReference w:type="first" r:id="rId16"/>
          <w:footerReference w:type="first" r:id="rId17"/>
          <w:type w:val="evenPage"/>
          <w:pgSz w:w="11906" w:h="16838" w:code="9"/>
          <w:pgMar w:top="2268" w:right="1418" w:bottom="1418" w:left="1701" w:header="851" w:footer="851" w:gutter="0"/>
          <w:cols w:space="708"/>
          <w:titlePg/>
          <w:docGrid w:linePitch="360"/>
        </w:sectPr>
      </w:pPr>
    </w:p>
    <w:bookmarkStart w:id="3" w:name="_Toc214356265" w:displacedByCustomXml="next"/>
    <w:sdt>
      <w:sdtPr>
        <w:rPr>
          <w:rFonts w:eastAsiaTheme="minorEastAsia" w:cstheme="minorBidi"/>
          <w:color w:val="auto"/>
          <w:sz w:val="24"/>
          <w:szCs w:val="24"/>
          <w:lang w:val="en-GB"/>
        </w:rPr>
        <w:id w:val="-1463420644"/>
        <w:docPartObj>
          <w:docPartGallery w:val="Table of Contents"/>
          <w:docPartUnique/>
        </w:docPartObj>
      </w:sdtPr>
      <w:sdtEndPr>
        <w:rPr>
          <w:b/>
          <w:bCs/>
          <w:noProof/>
        </w:rPr>
      </w:sdtEndPr>
      <w:sdtContent>
        <w:p w14:paraId="0A338FD5" w14:textId="16E11805" w:rsidR="00356473" w:rsidRPr="00544E92" w:rsidRDefault="00356473" w:rsidP="00C72DAA">
          <w:pPr>
            <w:pStyle w:val="Heading1"/>
            <w:numPr>
              <w:ilvl w:val="0"/>
              <w:numId w:val="0"/>
            </w:numPr>
            <w:ind w:left="-567"/>
            <w:rPr>
              <w:rStyle w:val="Heading1Char"/>
              <w:lang w:val="en-GB"/>
            </w:rPr>
          </w:pPr>
          <w:r w:rsidRPr="00544E92">
            <w:rPr>
              <w:rStyle w:val="Heading1Char"/>
              <w:lang w:val="en-GB"/>
            </w:rPr>
            <w:t>Contents</w:t>
          </w:r>
          <w:bookmarkEnd w:id="3"/>
        </w:p>
        <w:p w14:paraId="33623ADB" w14:textId="50790504" w:rsidR="004D6860" w:rsidRDefault="006D4C1A">
          <w:pPr>
            <w:pStyle w:val="TOC1"/>
            <w:tabs>
              <w:tab w:val="right" w:leader="dot" w:pos="8209"/>
            </w:tabs>
            <w:rPr>
              <w:rFonts w:asciiTheme="minorHAnsi" w:eastAsiaTheme="minorEastAsia" w:hAnsiTheme="minorHAnsi"/>
              <w:b w:val="0"/>
              <w:noProof/>
              <w:kern w:val="2"/>
              <w:szCs w:val="24"/>
              <w:lang w:eastAsia="ja-JP"/>
              <w14:ligatures w14:val="standardContextual"/>
            </w:rPr>
          </w:pPr>
          <w:r>
            <w:rPr>
              <w:b w:val="0"/>
              <w:lang w:val="en-GB"/>
            </w:rPr>
            <w:fldChar w:fldCharType="begin"/>
          </w:r>
          <w:r>
            <w:rPr>
              <w:b w:val="0"/>
              <w:lang w:val="en-GB"/>
            </w:rPr>
            <w:instrText xml:space="preserve"> TOC \o "1-3" \h \z \u </w:instrText>
          </w:r>
          <w:r>
            <w:rPr>
              <w:b w:val="0"/>
              <w:lang w:val="en-GB"/>
            </w:rPr>
            <w:fldChar w:fldCharType="separate"/>
          </w:r>
          <w:hyperlink w:anchor="_Toc214356263" w:history="1">
            <w:r w:rsidR="004D6860" w:rsidRPr="00B07923">
              <w:rPr>
                <w:rStyle w:val="Hyperlink"/>
                <w:noProof/>
                <w:lang w:val="en-GB"/>
              </w:rPr>
              <w:t>Abstract</w:t>
            </w:r>
            <w:r w:rsidR="004D6860">
              <w:rPr>
                <w:noProof/>
                <w:webHidden/>
              </w:rPr>
              <w:tab/>
            </w:r>
            <w:r w:rsidR="004D6860">
              <w:rPr>
                <w:noProof/>
                <w:webHidden/>
              </w:rPr>
              <w:fldChar w:fldCharType="begin"/>
            </w:r>
            <w:r w:rsidR="004D6860">
              <w:rPr>
                <w:noProof/>
                <w:webHidden/>
              </w:rPr>
              <w:instrText xml:space="preserve"> PAGEREF _Toc214356263 \h </w:instrText>
            </w:r>
            <w:r w:rsidR="004D6860">
              <w:rPr>
                <w:noProof/>
                <w:webHidden/>
              </w:rPr>
            </w:r>
            <w:r w:rsidR="004D6860">
              <w:rPr>
                <w:noProof/>
                <w:webHidden/>
              </w:rPr>
              <w:fldChar w:fldCharType="separate"/>
            </w:r>
            <w:r w:rsidR="000412CE">
              <w:rPr>
                <w:noProof/>
                <w:webHidden/>
              </w:rPr>
              <w:t>i</w:t>
            </w:r>
            <w:r w:rsidR="004D6860">
              <w:rPr>
                <w:noProof/>
                <w:webHidden/>
              </w:rPr>
              <w:fldChar w:fldCharType="end"/>
            </w:r>
          </w:hyperlink>
        </w:p>
        <w:p w14:paraId="5A78A545" w14:textId="2FF3CC3B" w:rsidR="004D6860" w:rsidRDefault="004D6860">
          <w:pPr>
            <w:pStyle w:val="TOC1"/>
            <w:tabs>
              <w:tab w:val="right" w:leader="dot" w:pos="8209"/>
            </w:tabs>
            <w:rPr>
              <w:rFonts w:asciiTheme="minorHAnsi" w:eastAsiaTheme="minorEastAsia" w:hAnsiTheme="minorHAnsi"/>
              <w:b w:val="0"/>
              <w:noProof/>
              <w:kern w:val="2"/>
              <w:szCs w:val="24"/>
              <w:lang w:eastAsia="ja-JP"/>
              <w14:ligatures w14:val="standardContextual"/>
            </w:rPr>
          </w:pPr>
          <w:hyperlink w:anchor="_Toc214356264" w:history="1">
            <w:r w:rsidRPr="00B07923">
              <w:rPr>
                <w:rStyle w:val="Hyperlink"/>
                <w:noProof/>
              </w:rPr>
              <w:t>Abstract in italiano</w:t>
            </w:r>
            <w:r>
              <w:rPr>
                <w:noProof/>
                <w:webHidden/>
              </w:rPr>
              <w:tab/>
            </w:r>
            <w:r>
              <w:rPr>
                <w:noProof/>
                <w:webHidden/>
              </w:rPr>
              <w:fldChar w:fldCharType="begin"/>
            </w:r>
            <w:r>
              <w:rPr>
                <w:noProof/>
                <w:webHidden/>
              </w:rPr>
              <w:instrText xml:space="preserve"> PAGEREF _Toc214356264 \h </w:instrText>
            </w:r>
            <w:r>
              <w:rPr>
                <w:noProof/>
                <w:webHidden/>
              </w:rPr>
            </w:r>
            <w:r>
              <w:rPr>
                <w:noProof/>
                <w:webHidden/>
              </w:rPr>
              <w:fldChar w:fldCharType="separate"/>
            </w:r>
            <w:r w:rsidR="000412CE">
              <w:rPr>
                <w:noProof/>
                <w:webHidden/>
              </w:rPr>
              <w:t>iii</w:t>
            </w:r>
            <w:r>
              <w:rPr>
                <w:noProof/>
                <w:webHidden/>
              </w:rPr>
              <w:fldChar w:fldCharType="end"/>
            </w:r>
          </w:hyperlink>
        </w:p>
        <w:p w14:paraId="61692D5E" w14:textId="00AD9A78" w:rsidR="004D6860" w:rsidRDefault="004D6860">
          <w:pPr>
            <w:pStyle w:val="TOC1"/>
            <w:tabs>
              <w:tab w:val="right" w:leader="dot" w:pos="8209"/>
            </w:tabs>
            <w:rPr>
              <w:rFonts w:asciiTheme="minorHAnsi" w:eastAsiaTheme="minorEastAsia" w:hAnsiTheme="minorHAnsi"/>
              <w:b w:val="0"/>
              <w:noProof/>
              <w:kern w:val="2"/>
              <w:szCs w:val="24"/>
              <w:lang w:eastAsia="ja-JP"/>
              <w14:ligatures w14:val="standardContextual"/>
            </w:rPr>
          </w:pPr>
          <w:hyperlink w:anchor="_Toc214356265" w:history="1">
            <w:r w:rsidRPr="00B07923">
              <w:rPr>
                <w:rStyle w:val="Hyperlink"/>
                <w:noProof/>
                <w:lang w:val="en-GB"/>
              </w:rPr>
              <w:t>Contents</w:t>
            </w:r>
            <w:r>
              <w:rPr>
                <w:noProof/>
                <w:webHidden/>
              </w:rPr>
              <w:tab/>
            </w:r>
            <w:r>
              <w:rPr>
                <w:noProof/>
                <w:webHidden/>
              </w:rPr>
              <w:fldChar w:fldCharType="begin"/>
            </w:r>
            <w:r>
              <w:rPr>
                <w:noProof/>
                <w:webHidden/>
              </w:rPr>
              <w:instrText xml:space="preserve"> PAGEREF _Toc214356265 \h </w:instrText>
            </w:r>
            <w:r>
              <w:rPr>
                <w:noProof/>
                <w:webHidden/>
              </w:rPr>
            </w:r>
            <w:r>
              <w:rPr>
                <w:noProof/>
                <w:webHidden/>
              </w:rPr>
              <w:fldChar w:fldCharType="separate"/>
            </w:r>
            <w:r w:rsidR="000412CE">
              <w:rPr>
                <w:noProof/>
                <w:webHidden/>
              </w:rPr>
              <w:t>v</w:t>
            </w:r>
            <w:r>
              <w:rPr>
                <w:noProof/>
                <w:webHidden/>
              </w:rPr>
              <w:fldChar w:fldCharType="end"/>
            </w:r>
          </w:hyperlink>
        </w:p>
        <w:p w14:paraId="1AFE5F2B" w14:textId="1D93712E" w:rsidR="004D6860" w:rsidRDefault="004D6860">
          <w:pPr>
            <w:pStyle w:val="TOC1"/>
            <w:tabs>
              <w:tab w:val="right" w:leader="dot" w:pos="8209"/>
            </w:tabs>
            <w:rPr>
              <w:rFonts w:asciiTheme="minorHAnsi" w:eastAsiaTheme="minorEastAsia" w:hAnsiTheme="minorHAnsi"/>
              <w:b w:val="0"/>
              <w:noProof/>
              <w:kern w:val="2"/>
              <w:szCs w:val="24"/>
              <w:lang w:eastAsia="ja-JP"/>
              <w14:ligatures w14:val="standardContextual"/>
            </w:rPr>
          </w:pPr>
          <w:hyperlink w:anchor="_Toc214356266" w:history="1">
            <w:r w:rsidRPr="00B07923">
              <w:rPr>
                <w:rStyle w:val="Hyperlink"/>
                <w:noProof/>
                <w:lang w:val="en-GB"/>
              </w:rPr>
              <w:t>Introduction</w:t>
            </w:r>
            <w:r>
              <w:rPr>
                <w:noProof/>
                <w:webHidden/>
              </w:rPr>
              <w:tab/>
            </w:r>
            <w:r>
              <w:rPr>
                <w:noProof/>
                <w:webHidden/>
              </w:rPr>
              <w:fldChar w:fldCharType="begin"/>
            </w:r>
            <w:r>
              <w:rPr>
                <w:noProof/>
                <w:webHidden/>
              </w:rPr>
              <w:instrText xml:space="preserve"> PAGEREF _Toc214356266 \h </w:instrText>
            </w:r>
            <w:r>
              <w:rPr>
                <w:noProof/>
                <w:webHidden/>
              </w:rPr>
            </w:r>
            <w:r>
              <w:rPr>
                <w:noProof/>
                <w:webHidden/>
              </w:rPr>
              <w:fldChar w:fldCharType="separate"/>
            </w:r>
            <w:r w:rsidR="000412CE">
              <w:rPr>
                <w:noProof/>
                <w:webHidden/>
              </w:rPr>
              <w:t>1</w:t>
            </w:r>
            <w:r>
              <w:rPr>
                <w:noProof/>
                <w:webHidden/>
              </w:rPr>
              <w:fldChar w:fldCharType="end"/>
            </w:r>
          </w:hyperlink>
        </w:p>
        <w:p w14:paraId="2B95BD4E" w14:textId="3BC3863E" w:rsidR="004D6860" w:rsidRDefault="004D6860">
          <w:pPr>
            <w:pStyle w:val="TOC1"/>
            <w:tabs>
              <w:tab w:val="right" w:leader="dot" w:pos="8209"/>
            </w:tabs>
            <w:rPr>
              <w:rFonts w:asciiTheme="minorHAnsi" w:eastAsiaTheme="minorEastAsia" w:hAnsiTheme="minorHAnsi"/>
              <w:b w:val="0"/>
              <w:noProof/>
              <w:kern w:val="2"/>
              <w:szCs w:val="24"/>
              <w:lang w:eastAsia="ja-JP"/>
              <w14:ligatures w14:val="standardContextual"/>
            </w:rPr>
          </w:pPr>
          <w:hyperlink w:anchor="_Toc214356267" w:history="1">
            <w:r w:rsidRPr="00B07923">
              <w:rPr>
                <w:rStyle w:val="Hyperlink"/>
                <w:noProof/>
                <w:lang w:val="en-GB"/>
              </w:rPr>
              <w:t>1</w:t>
            </w:r>
            <w:r>
              <w:rPr>
                <w:rFonts w:asciiTheme="minorHAnsi" w:eastAsiaTheme="minorEastAsia" w:hAnsiTheme="minorHAnsi"/>
                <w:b w:val="0"/>
                <w:noProof/>
                <w:kern w:val="2"/>
                <w:szCs w:val="24"/>
                <w:lang w:eastAsia="ja-JP"/>
                <w14:ligatures w14:val="standardContextual"/>
              </w:rPr>
              <w:tab/>
            </w:r>
            <w:r w:rsidRPr="00B07923">
              <w:rPr>
                <w:rStyle w:val="Hyperlink"/>
                <w:noProof/>
                <w:lang w:val="en-US"/>
              </w:rPr>
              <w:t>PCMs: Classification, Properties, Characterization Methods, and Commercial Products</w:t>
            </w:r>
            <w:r>
              <w:rPr>
                <w:noProof/>
                <w:webHidden/>
              </w:rPr>
              <w:tab/>
            </w:r>
            <w:r>
              <w:rPr>
                <w:noProof/>
                <w:webHidden/>
              </w:rPr>
              <w:fldChar w:fldCharType="begin"/>
            </w:r>
            <w:r>
              <w:rPr>
                <w:noProof/>
                <w:webHidden/>
              </w:rPr>
              <w:instrText xml:space="preserve"> PAGEREF _Toc214356267 \h </w:instrText>
            </w:r>
            <w:r>
              <w:rPr>
                <w:noProof/>
                <w:webHidden/>
              </w:rPr>
            </w:r>
            <w:r>
              <w:rPr>
                <w:noProof/>
                <w:webHidden/>
              </w:rPr>
              <w:fldChar w:fldCharType="separate"/>
            </w:r>
            <w:r w:rsidR="000412CE">
              <w:rPr>
                <w:noProof/>
                <w:webHidden/>
              </w:rPr>
              <w:t>4</w:t>
            </w:r>
            <w:r>
              <w:rPr>
                <w:noProof/>
                <w:webHidden/>
              </w:rPr>
              <w:fldChar w:fldCharType="end"/>
            </w:r>
          </w:hyperlink>
        </w:p>
        <w:p w14:paraId="2A8C1428" w14:textId="7D6E5A41" w:rsidR="004D6860" w:rsidRDefault="004D6860">
          <w:pPr>
            <w:pStyle w:val="TOC2"/>
            <w:tabs>
              <w:tab w:val="left" w:pos="720"/>
            </w:tabs>
            <w:rPr>
              <w:rFonts w:asciiTheme="minorHAnsi" w:eastAsiaTheme="minorEastAsia" w:hAnsiTheme="minorHAnsi"/>
              <w:noProof/>
              <w:kern w:val="2"/>
              <w:szCs w:val="24"/>
              <w:lang w:eastAsia="ja-JP"/>
              <w14:ligatures w14:val="standardContextual"/>
            </w:rPr>
          </w:pPr>
          <w:hyperlink w:anchor="_Toc214356268" w:history="1">
            <w:r w:rsidRPr="00B07923">
              <w:rPr>
                <w:rStyle w:val="Hyperlink"/>
                <w:bCs/>
                <w:noProof/>
                <w:lang w:val="en-GB"/>
              </w:rPr>
              <w:t>1.1.</w:t>
            </w:r>
            <w:r>
              <w:rPr>
                <w:rFonts w:asciiTheme="minorHAnsi" w:eastAsiaTheme="minorEastAsia" w:hAnsiTheme="minorHAnsi"/>
                <w:noProof/>
                <w:kern w:val="2"/>
                <w:szCs w:val="24"/>
                <w:lang w:eastAsia="ja-JP"/>
                <w14:ligatures w14:val="standardContextual"/>
              </w:rPr>
              <w:tab/>
            </w:r>
            <w:r w:rsidRPr="00B07923">
              <w:rPr>
                <w:rStyle w:val="Hyperlink"/>
                <w:bCs/>
                <w:noProof/>
                <w:lang w:val="en-GB"/>
              </w:rPr>
              <w:t>Classification of PCMs</w:t>
            </w:r>
            <w:r>
              <w:rPr>
                <w:noProof/>
                <w:webHidden/>
              </w:rPr>
              <w:tab/>
            </w:r>
            <w:r>
              <w:rPr>
                <w:noProof/>
                <w:webHidden/>
              </w:rPr>
              <w:fldChar w:fldCharType="begin"/>
            </w:r>
            <w:r>
              <w:rPr>
                <w:noProof/>
                <w:webHidden/>
              </w:rPr>
              <w:instrText xml:space="preserve"> PAGEREF _Toc214356268 \h </w:instrText>
            </w:r>
            <w:r>
              <w:rPr>
                <w:noProof/>
                <w:webHidden/>
              </w:rPr>
            </w:r>
            <w:r>
              <w:rPr>
                <w:noProof/>
                <w:webHidden/>
              </w:rPr>
              <w:fldChar w:fldCharType="separate"/>
            </w:r>
            <w:r w:rsidR="000412CE">
              <w:rPr>
                <w:noProof/>
                <w:webHidden/>
              </w:rPr>
              <w:t>4</w:t>
            </w:r>
            <w:r>
              <w:rPr>
                <w:noProof/>
                <w:webHidden/>
              </w:rPr>
              <w:fldChar w:fldCharType="end"/>
            </w:r>
          </w:hyperlink>
        </w:p>
        <w:p w14:paraId="5AEE0C8F" w14:textId="6ADBAA88"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269" w:history="1">
            <w:r w:rsidRPr="00B07923">
              <w:rPr>
                <w:rStyle w:val="Hyperlink"/>
                <w:noProof/>
                <w:lang w:val="en-US"/>
              </w:rPr>
              <w:t>1.1.1.</w:t>
            </w:r>
            <w:r>
              <w:rPr>
                <w:rFonts w:asciiTheme="minorHAnsi" w:eastAsiaTheme="minorEastAsia" w:hAnsiTheme="minorHAnsi"/>
                <w:noProof/>
                <w:kern w:val="2"/>
                <w:szCs w:val="24"/>
                <w:lang w:eastAsia="ja-JP"/>
                <w14:ligatures w14:val="standardContextual"/>
              </w:rPr>
              <w:tab/>
            </w:r>
            <w:r w:rsidRPr="00B07923">
              <w:rPr>
                <w:rStyle w:val="Hyperlink"/>
                <w:noProof/>
                <w:lang w:val="en-US"/>
              </w:rPr>
              <w:t>Solid-Liquid PCMs</w:t>
            </w:r>
            <w:r>
              <w:rPr>
                <w:noProof/>
                <w:webHidden/>
              </w:rPr>
              <w:tab/>
            </w:r>
            <w:r>
              <w:rPr>
                <w:noProof/>
                <w:webHidden/>
              </w:rPr>
              <w:fldChar w:fldCharType="begin"/>
            </w:r>
            <w:r>
              <w:rPr>
                <w:noProof/>
                <w:webHidden/>
              </w:rPr>
              <w:instrText xml:space="preserve"> PAGEREF _Toc214356269 \h </w:instrText>
            </w:r>
            <w:r>
              <w:rPr>
                <w:noProof/>
                <w:webHidden/>
              </w:rPr>
            </w:r>
            <w:r>
              <w:rPr>
                <w:noProof/>
                <w:webHidden/>
              </w:rPr>
              <w:fldChar w:fldCharType="separate"/>
            </w:r>
            <w:r w:rsidR="000412CE">
              <w:rPr>
                <w:noProof/>
                <w:webHidden/>
              </w:rPr>
              <w:t>5</w:t>
            </w:r>
            <w:r>
              <w:rPr>
                <w:noProof/>
                <w:webHidden/>
              </w:rPr>
              <w:fldChar w:fldCharType="end"/>
            </w:r>
          </w:hyperlink>
        </w:p>
        <w:p w14:paraId="7964B578" w14:textId="526B9797"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270" w:history="1">
            <w:r w:rsidRPr="00B07923">
              <w:rPr>
                <w:rStyle w:val="Hyperlink"/>
                <w:noProof/>
                <w:lang w:val="en-US"/>
              </w:rPr>
              <w:t>1.1.2.</w:t>
            </w:r>
            <w:r>
              <w:rPr>
                <w:rFonts w:asciiTheme="minorHAnsi" w:eastAsiaTheme="minorEastAsia" w:hAnsiTheme="minorHAnsi"/>
                <w:noProof/>
                <w:kern w:val="2"/>
                <w:szCs w:val="24"/>
                <w:lang w:eastAsia="ja-JP"/>
                <w14:ligatures w14:val="standardContextual"/>
              </w:rPr>
              <w:tab/>
            </w:r>
            <w:r w:rsidRPr="00B07923">
              <w:rPr>
                <w:rStyle w:val="Hyperlink"/>
                <w:noProof/>
                <w:lang w:val="en-US"/>
              </w:rPr>
              <w:t>Solid-Solid PCMs</w:t>
            </w:r>
            <w:r>
              <w:rPr>
                <w:noProof/>
                <w:webHidden/>
              </w:rPr>
              <w:tab/>
            </w:r>
            <w:r>
              <w:rPr>
                <w:noProof/>
                <w:webHidden/>
              </w:rPr>
              <w:fldChar w:fldCharType="begin"/>
            </w:r>
            <w:r>
              <w:rPr>
                <w:noProof/>
                <w:webHidden/>
              </w:rPr>
              <w:instrText xml:space="preserve"> PAGEREF _Toc214356270 \h </w:instrText>
            </w:r>
            <w:r>
              <w:rPr>
                <w:noProof/>
                <w:webHidden/>
              </w:rPr>
            </w:r>
            <w:r>
              <w:rPr>
                <w:noProof/>
                <w:webHidden/>
              </w:rPr>
              <w:fldChar w:fldCharType="separate"/>
            </w:r>
            <w:r w:rsidR="000412CE">
              <w:rPr>
                <w:noProof/>
                <w:webHidden/>
              </w:rPr>
              <w:t>10</w:t>
            </w:r>
            <w:r>
              <w:rPr>
                <w:noProof/>
                <w:webHidden/>
              </w:rPr>
              <w:fldChar w:fldCharType="end"/>
            </w:r>
          </w:hyperlink>
        </w:p>
        <w:p w14:paraId="2792AF89" w14:textId="09747B55" w:rsidR="004D6860" w:rsidRDefault="004D6860">
          <w:pPr>
            <w:pStyle w:val="TOC2"/>
            <w:tabs>
              <w:tab w:val="left" w:pos="720"/>
            </w:tabs>
            <w:rPr>
              <w:rFonts w:asciiTheme="minorHAnsi" w:eastAsiaTheme="minorEastAsia" w:hAnsiTheme="minorHAnsi"/>
              <w:noProof/>
              <w:kern w:val="2"/>
              <w:szCs w:val="24"/>
              <w:lang w:eastAsia="ja-JP"/>
              <w14:ligatures w14:val="standardContextual"/>
            </w:rPr>
          </w:pPr>
          <w:hyperlink w:anchor="_Toc214356271" w:history="1">
            <w:r w:rsidRPr="00B07923">
              <w:rPr>
                <w:rStyle w:val="Hyperlink"/>
                <w:bCs/>
                <w:noProof/>
                <w:lang w:val="en-US"/>
              </w:rPr>
              <w:t>1.2.</w:t>
            </w:r>
            <w:r>
              <w:rPr>
                <w:rFonts w:asciiTheme="minorHAnsi" w:eastAsiaTheme="minorEastAsia" w:hAnsiTheme="minorHAnsi"/>
                <w:noProof/>
                <w:kern w:val="2"/>
                <w:szCs w:val="24"/>
                <w:lang w:eastAsia="ja-JP"/>
                <w14:ligatures w14:val="standardContextual"/>
              </w:rPr>
              <w:tab/>
            </w:r>
            <w:r w:rsidRPr="00B07923">
              <w:rPr>
                <w:rStyle w:val="Hyperlink"/>
                <w:noProof/>
                <w:lang w:val="en-US"/>
              </w:rPr>
              <w:t>Thermal, Chemical and Stability Properties of PCMs</w:t>
            </w:r>
            <w:r>
              <w:rPr>
                <w:noProof/>
                <w:webHidden/>
              </w:rPr>
              <w:tab/>
            </w:r>
            <w:r>
              <w:rPr>
                <w:noProof/>
                <w:webHidden/>
              </w:rPr>
              <w:fldChar w:fldCharType="begin"/>
            </w:r>
            <w:r>
              <w:rPr>
                <w:noProof/>
                <w:webHidden/>
              </w:rPr>
              <w:instrText xml:space="preserve"> PAGEREF _Toc214356271 \h </w:instrText>
            </w:r>
            <w:r>
              <w:rPr>
                <w:noProof/>
                <w:webHidden/>
              </w:rPr>
            </w:r>
            <w:r>
              <w:rPr>
                <w:noProof/>
                <w:webHidden/>
              </w:rPr>
              <w:fldChar w:fldCharType="separate"/>
            </w:r>
            <w:r w:rsidR="000412CE">
              <w:rPr>
                <w:noProof/>
                <w:webHidden/>
              </w:rPr>
              <w:t>14</w:t>
            </w:r>
            <w:r>
              <w:rPr>
                <w:noProof/>
                <w:webHidden/>
              </w:rPr>
              <w:fldChar w:fldCharType="end"/>
            </w:r>
          </w:hyperlink>
        </w:p>
        <w:p w14:paraId="4164E6D2" w14:textId="6844AE5C"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272" w:history="1">
            <w:r w:rsidRPr="00B07923">
              <w:rPr>
                <w:rStyle w:val="Hyperlink"/>
                <w:noProof/>
                <w:lang w:val="en-US"/>
              </w:rPr>
              <w:t>1.2.1.</w:t>
            </w:r>
            <w:r>
              <w:rPr>
                <w:rFonts w:asciiTheme="minorHAnsi" w:eastAsiaTheme="minorEastAsia" w:hAnsiTheme="minorHAnsi"/>
                <w:noProof/>
                <w:kern w:val="2"/>
                <w:szCs w:val="24"/>
                <w:lang w:eastAsia="ja-JP"/>
                <w14:ligatures w14:val="standardContextual"/>
              </w:rPr>
              <w:tab/>
            </w:r>
            <w:r w:rsidRPr="00B07923">
              <w:rPr>
                <w:rStyle w:val="Hyperlink"/>
                <w:noProof/>
                <w:lang w:val="en-US"/>
              </w:rPr>
              <w:t>Thermal conductivity</w:t>
            </w:r>
            <w:r>
              <w:rPr>
                <w:noProof/>
                <w:webHidden/>
              </w:rPr>
              <w:tab/>
            </w:r>
            <w:r>
              <w:rPr>
                <w:noProof/>
                <w:webHidden/>
              </w:rPr>
              <w:fldChar w:fldCharType="begin"/>
            </w:r>
            <w:r>
              <w:rPr>
                <w:noProof/>
                <w:webHidden/>
              </w:rPr>
              <w:instrText xml:space="preserve"> PAGEREF _Toc214356272 \h </w:instrText>
            </w:r>
            <w:r>
              <w:rPr>
                <w:noProof/>
                <w:webHidden/>
              </w:rPr>
            </w:r>
            <w:r>
              <w:rPr>
                <w:noProof/>
                <w:webHidden/>
              </w:rPr>
              <w:fldChar w:fldCharType="separate"/>
            </w:r>
            <w:r w:rsidR="000412CE">
              <w:rPr>
                <w:noProof/>
                <w:webHidden/>
              </w:rPr>
              <w:t>15</w:t>
            </w:r>
            <w:r>
              <w:rPr>
                <w:noProof/>
                <w:webHidden/>
              </w:rPr>
              <w:fldChar w:fldCharType="end"/>
            </w:r>
          </w:hyperlink>
        </w:p>
        <w:p w14:paraId="56F7EE23" w14:textId="50DF1CE5"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273" w:history="1">
            <w:r w:rsidRPr="00B07923">
              <w:rPr>
                <w:rStyle w:val="Hyperlink"/>
                <w:noProof/>
                <w:lang w:val="en-US"/>
              </w:rPr>
              <w:t>1.2.2.</w:t>
            </w:r>
            <w:r>
              <w:rPr>
                <w:rFonts w:asciiTheme="minorHAnsi" w:eastAsiaTheme="minorEastAsia" w:hAnsiTheme="minorHAnsi"/>
                <w:noProof/>
                <w:kern w:val="2"/>
                <w:szCs w:val="24"/>
                <w:lang w:eastAsia="ja-JP"/>
                <w14:ligatures w14:val="standardContextual"/>
              </w:rPr>
              <w:tab/>
            </w:r>
            <w:r w:rsidRPr="00B07923">
              <w:rPr>
                <w:rStyle w:val="Hyperlink"/>
                <w:noProof/>
                <w:lang w:val="en-US"/>
              </w:rPr>
              <w:t>Heat storage capacity and latent heat of fusion</w:t>
            </w:r>
            <w:r>
              <w:rPr>
                <w:noProof/>
                <w:webHidden/>
              </w:rPr>
              <w:tab/>
            </w:r>
            <w:r>
              <w:rPr>
                <w:noProof/>
                <w:webHidden/>
              </w:rPr>
              <w:fldChar w:fldCharType="begin"/>
            </w:r>
            <w:r>
              <w:rPr>
                <w:noProof/>
                <w:webHidden/>
              </w:rPr>
              <w:instrText xml:space="preserve"> PAGEREF _Toc214356273 \h </w:instrText>
            </w:r>
            <w:r>
              <w:rPr>
                <w:noProof/>
                <w:webHidden/>
              </w:rPr>
            </w:r>
            <w:r>
              <w:rPr>
                <w:noProof/>
                <w:webHidden/>
              </w:rPr>
              <w:fldChar w:fldCharType="separate"/>
            </w:r>
            <w:r w:rsidR="000412CE">
              <w:rPr>
                <w:noProof/>
                <w:webHidden/>
              </w:rPr>
              <w:t>17</w:t>
            </w:r>
            <w:r>
              <w:rPr>
                <w:noProof/>
                <w:webHidden/>
              </w:rPr>
              <w:fldChar w:fldCharType="end"/>
            </w:r>
          </w:hyperlink>
        </w:p>
        <w:p w14:paraId="0077AB7B" w14:textId="14AE13A0"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274" w:history="1">
            <w:r w:rsidRPr="00B07923">
              <w:rPr>
                <w:rStyle w:val="Hyperlink"/>
                <w:noProof/>
                <w:lang w:val="en-US"/>
              </w:rPr>
              <w:t>1.2.3.</w:t>
            </w:r>
            <w:r>
              <w:rPr>
                <w:rFonts w:asciiTheme="minorHAnsi" w:eastAsiaTheme="minorEastAsia" w:hAnsiTheme="minorHAnsi"/>
                <w:noProof/>
                <w:kern w:val="2"/>
                <w:szCs w:val="24"/>
                <w:lang w:eastAsia="ja-JP"/>
                <w14:ligatures w14:val="standardContextual"/>
              </w:rPr>
              <w:tab/>
            </w:r>
            <w:r w:rsidRPr="00B07923">
              <w:rPr>
                <w:rStyle w:val="Hyperlink"/>
                <w:noProof/>
                <w:lang w:val="en-US"/>
              </w:rPr>
              <w:t>Specific heat capacity</w:t>
            </w:r>
            <w:r>
              <w:rPr>
                <w:noProof/>
                <w:webHidden/>
              </w:rPr>
              <w:tab/>
            </w:r>
            <w:r>
              <w:rPr>
                <w:noProof/>
                <w:webHidden/>
              </w:rPr>
              <w:fldChar w:fldCharType="begin"/>
            </w:r>
            <w:r>
              <w:rPr>
                <w:noProof/>
                <w:webHidden/>
              </w:rPr>
              <w:instrText xml:space="preserve"> PAGEREF _Toc214356274 \h </w:instrText>
            </w:r>
            <w:r>
              <w:rPr>
                <w:noProof/>
                <w:webHidden/>
              </w:rPr>
            </w:r>
            <w:r>
              <w:rPr>
                <w:noProof/>
                <w:webHidden/>
              </w:rPr>
              <w:fldChar w:fldCharType="separate"/>
            </w:r>
            <w:r w:rsidR="000412CE">
              <w:rPr>
                <w:noProof/>
                <w:webHidden/>
              </w:rPr>
              <w:t>17</w:t>
            </w:r>
            <w:r>
              <w:rPr>
                <w:noProof/>
                <w:webHidden/>
              </w:rPr>
              <w:fldChar w:fldCharType="end"/>
            </w:r>
          </w:hyperlink>
        </w:p>
        <w:p w14:paraId="09FA3D57" w14:textId="5A849F54"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275" w:history="1">
            <w:r w:rsidRPr="00B07923">
              <w:rPr>
                <w:rStyle w:val="Hyperlink"/>
                <w:noProof/>
                <w:lang w:val="en-US"/>
              </w:rPr>
              <w:t>1.2.4.</w:t>
            </w:r>
            <w:r>
              <w:rPr>
                <w:rFonts w:asciiTheme="minorHAnsi" w:eastAsiaTheme="minorEastAsia" w:hAnsiTheme="minorHAnsi"/>
                <w:noProof/>
                <w:kern w:val="2"/>
                <w:szCs w:val="24"/>
                <w:lang w:eastAsia="ja-JP"/>
                <w14:ligatures w14:val="standardContextual"/>
              </w:rPr>
              <w:tab/>
            </w:r>
            <w:r w:rsidRPr="00B07923">
              <w:rPr>
                <w:rStyle w:val="Hyperlink"/>
                <w:noProof/>
                <w:lang w:val="en-US"/>
              </w:rPr>
              <w:t>Chemical properties</w:t>
            </w:r>
            <w:r>
              <w:rPr>
                <w:noProof/>
                <w:webHidden/>
              </w:rPr>
              <w:tab/>
            </w:r>
            <w:r>
              <w:rPr>
                <w:noProof/>
                <w:webHidden/>
              </w:rPr>
              <w:fldChar w:fldCharType="begin"/>
            </w:r>
            <w:r>
              <w:rPr>
                <w:noProof/>
                <w:webHidden/>
              </w:rPr>
              <w:instrText xml:space="preserve"> PAGEREF _Toc214356275 \h </w:instrText>
            </w:r>
            <w:r>
              <w:rPr>
                <w:noProof/>
                <w:webHidden/>
              </w:rPr>
            </w:r>
            <w:r>
              <w:rPr>
                <w:noProof/>
                <w:webHidden/>
              </w:rPr>
              <w:fldChar w:fldCharType="separate"/>
            </w:r>
            <w:r w:rsidR="000412CE">
              <w:rPr>
                <w:noProof/>
                <w:webHidden/>
              </w:rPr>
              <w:t>17</w:t>
            </w:r>
            <w:r>
              <w:rPr>
                <w:noProof/>
                <w:webHidden/>
              </w:rPr>
              <w:fldChar w:fldCharType="end"/>
            </w:r>
          </w:hyperlink>
        </w:p>
        <w:p w14:paraId="600FFA29" w14:textId="55B2C4C8"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276" w:history="1">
            <w:r w:rsidRPr="00B07923">
              <w:rPr>
                <w:rStyle w:val="Hyperlink"/>
                <w:noProof/>
                <w:lang w:val="en-US"/>
              </w:rPr>
              <w:t>1.2.5.</w:t>
            </w:r>
            <w:r>
              <w:rPr>
                <w:rFonts w:asciiTheme="minorHAnsi" w:eastAsiaTheme="minorEastAsia" w:hAnsiTheme="minorHAnsi"/>
                <w:noProof/>
                <w:kern w:val="2"/>
                <w:szCs w:val="24"/>
                <w:lang w:eastAsia="ja-JP"/>
                <w14:ligatures w14:val="standardContextual"/>
              </w:rPr>
              <w:tab/>
            </w:r>
            <w:r w:rsidRPr="00B07923">
              <w:rPr>
                <w:rStyle w:val="Hyperlink"/>
                <w:noProof/>
                <w:lang w:val="en-US"/>
              </w:rPr>
              <w:t>Supercooling</w:t>
            </w:r>
            <w:r>
              <w:rPr>
                <w:noProof/>
                <w:webHidden/>
              </w:rPr>
              <w:tab/>
            </w:r>
            <w:r>
              <w:rPr>
                <w:noProof/>
                <w:webHidden/>
              </w:rPr>
              <w:fldChar w:fldCharType="begin"/>
            </w:r>
            <w:r>
              <w:rPr>
                <w:noProof/>
                <w:webHidden/>
              </w:rPr>
              <w:instrText xml:space="preserve"> PAGEREF _Toc214356276 \h </w:instrText>
            </w:r>
            <w:r>
              <w:rPr>
                <w:noProof/>
                <w:webHidden/>
              </w:rPr>
            </w:r>
            <w:r>
              <w:rPr>
                <w:noProof/>
                <w:webHidden/>
              </w:rPr>
              <w:fldChar w:fldCharType="separate"/>
            </w:r>
            <w:r w:rsidR="000412CE">
              <w:rPr>
                <w:noProof/>
                <w:webHidden/>
              </w:rPr>
              <w:t>22</w:t>
            </w:r>
            <w:r>
              <w:rPr>
                <w:noProof/>
                <w:webHidden/>
              </w:rPr>
              <w:fldChar w:fldCharType="end"/>
            </w:r>
          </w:hyperlink>
        </w:p>
        <w:p w14:paraId="5FFCEE24" w14:textId="57D5662F"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277" w:history="1">
            <w:r w:rsidRPr="00B07923">
              <w:rPr>
                <w:rStyle w:val="Hyperlink"/>
                <w:noProof/>
                <w:lang w:val="en-US"/>
              </w:rPr>
              <w:t>1.2.6.</w:t>
            </w:r>
            <w:r>
              <w:rPr>
                <w:rFonts w:asciiTheme="minorHAnsi" w:eastAsiaTheme="minorEastAsia" w:hAnsiTheme="minorHAnsi"/>
                <w:noProof/>
                <w:kern w:val="2"/>
                <w:szCs w:val="24"/>
                <w:lang w:eastAsia="ja-JP"/>
                <w14:ligatures w14:val="standardContextual"/>
              </w:rPr>
              <w:tab/>
            </w:r>
            <w:r w:rsidRPr="00B07923">
              <w:rPr>
                <w:rStyle w:val="Hyperlink"/>
                <w:noProof/>
                <w:lang w:val="en-US"/>
              </w:rPr>
              <w:t>Hysteresis</w:t>
            </w:r>
            <w:r>
              <w:rPr>
                <w:noProof/>
                <w:webHidden/>
              </w:rPr>
              <w:tab/>
            </w:r>
            <w:r>
              <w:rPr>
                <w:noProof/>
                <w:webHidden/>
              </w:rPr>
              <w:fldChar w:fldCharType="begin"/>
            </w:r>
            <w:r>
              <w:rPr>
                <w:noProof/>
                <w:webHidden/>
              </w:rPr>
              <w:instrText xml:space="preserve"> PAGEREF _Toc214356277 \h </w:instrText>
            </w:r>
            <w:r>
              <w:rPr>
                <w:noProof/>
                <w:webHidden/>
              </w:rPr>
            </w:r>
            <w:r>
              <w:rPr>
                <w:noProof/>
                <w:webHidden/>
              </w:rPr>
              <w:fldChar w:fldCharType="separate"/>
            </w:r>
            <w:r w:rsidR="000412CE">
              <w:rPr>
                <w:noProof/>
                <w:webHidden/>
              </w:rPr>
              <w:t>25</w:t>
            </w:r>
            <w:r>
              <w:rPr>
                <w:noProof/>
                <w:webHidden/>
              </w:rPr>
              <w:fldChar w:fldCharType="end"/>
            </w:r>
          </w:hyperlink>
        </w:p>
        <w:p w14:paraId="0548CB2D" w14:textId="027308CE" w:rsidR="004D6860" w:rsidRDefault="004D6860">
          <w:pPr>
            <w:pStyle w:val="TOC2"/>
            <w:tabs>
              <w:tab w:val="left" w:pos="720"/>
            </w:tabs>
            <w:rPr>
              <w:rFonts w:asciiTheme="minorHAnsi" w:eastAsiaTheme="minorEastAsia" w:hAnsiTheme="minorHAnsi"/>
              <w:noProof/>
              <w:kern w:val="2"/>
              <w:szCs w:val="24"/>
              <w:lang w:eastAsia="ja-JP"/>
              <w14:ligatures w14:val="standardContextual"/>
            </w:rPr>
          </w:pPr>
          <w:hyperlink w:anchor="_Toc214356278" w:history="1">
            <w:r w:rsidRPr="00B07923">
              <w:rPr>
                <w:rStyle w:val="Hyperlink"/>
                <w:bCs/>
                <w:noProof/>
                <w:lang w:val="en-US"/>
              </w:rPr>
              <w:t>1.3.</w:t>
            </w:r>
            <w:r>
              <w:rPr>
                <w:rFonts w:asciiTheme="minorHAnsi" w:eastAsiaTheme="minorEastAsia" w:hAnsiTheme="minorHAnsi"/>
                <w:noProof/>
                <w:kern w:val="2"/>
                <w:szCs w:val="24"/>
                <w:lang w:eastAsia="ja-JP"/>
                <w14:ligatures w14:val="standardContextual"/>
              </w:rPr>
              <w:tab/>
            </w:r>
            <w:r w:rsidRPr="00B07923">
              <w:rPr>
                <w:rStyle w:val="Hyperlink"/>
                <w:noProof/>
                <w:lang w:val="en-US"/>
              </w:rPr>
              <w:t>Methods for the determination of thermophysical properties.</w:t>
            </w:r>
            <w:r>
              <w:rPr>
                <w:noProof/>
                <w:webHidden/>
              </w:rPr>
              <w:tab/>
            </w:r>
            <w:r>
              <w:rPr>
                <w:noProof/>
                <w:webHidden/>
              </w:rPr>
              <w:fldChar w:fldCharType="begin"/>
            </w:r>
            <w:r>
              <w:rPr>
                <w:noProof/>
                <w:webHidden/>
              </w:rPr>
              <w:instrText xml:space="preserve"> PAGEREF _Toc214356278 \h </w:instrText>
            </w:r>
            <w:r>
              <w:rPr>
                <w:noProof/>
                <w:webHidden/>
              </w:rPr>
            </w:r>
            <w:r>
              <w:rPr>
                <w:noProof/>
                <w:webHidden/>
              </w:rPr>
              <w:fldChar w:fldCharType="separate"/>
            </w:r>
            <w:r w:rsidR="000412CE">
              <w:rPr>
                <w:noProof/>
                <w:webHidden/>
              </w:rPr>
              <w:t>27</w:t>
            </w:r>
            <w:r>
              <w:rPr>
                <w:noProof/>
                <w:webHidden/>
              </w:rPr>
              <w:fldChar w:fldCharType="end"/>
            </w:r>
          </w:hyperlink>
        </w:p>
        <w:p w14:paraId="54A726A2" w14:textId="41793042"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279" w:history="1">
            <w:r w:rsidRPr="00B07923">
              <w:rPr>
                <w:rStyle w:val="Hyperlink"/>
                <w:noProof/>
                <w:lang w:val="en-US"/>
              </w:rPr>
              <w:t>1.3.1.</w:t>
            </w:r>
            <w:r>
              <w:rPr>
                <w:rFonts w:asciiTheme="minorHAnsi" w:eastAsiaTheme="minorEastAsia" w:hAnsiTheme="minorHAnsi"/>
                <w:noProof/>
                <w:kern w:val="2"/>
                <w:szCs w:val="24"/>
                <w:lang w:eastAsia="ja-JP"/>
                <w14:ligatures w14:val="standardContextual"/>
              </w:rPr>
              <w:tab/>
            </w:r>
            <w:r w:rsidRPr="00B07923">
              <w:rPr>
                <w:rStyle w:val="Hyperlink"/>
                <w:noProof/>
                <w:lang w:val="en-US"/>
              </w:rPr>
              <w:t>DSC</w:t>
            </w:r>
            <w:r>
              <w:rPr>
                <w:noProof/>
                <w:webHidden/>
              </w:rPr>
              <w:tab/>
            </w:r>
            <w:r>
              <w:rPr>
                <w:noProof/>
                <w:webHidden/>
              </w:rPr>
              <w:fldChar w:fldCharType="begin"/>
            </w:r>
            <w:r>
              <w:rPr>
                <w:noProof/>
                <w:webHidden/>
              </w:rPr>
              <w:instrText xml:space="preserve"> PAGEREF _Toc214356279 \h </w:instrText>
            </w:r>
            <w:r>
              <w:rPr>
                <w:noProof/>
                <w:webHidden/>
              </w:rPr>
            </w:r>
            <w:r>
              <w:rPr>
                <w:noProof/>
                <w:webHidden/>
              </w:rPr>
              <w:fldChar w:fldCharType="separate"/>
            </w:r>
            <w:r w:rsidR="000412CE">
              <w:rPr>
                <w:noProof/>
                <w:webHidden/>
              </w:rPr>
              <w:t>28</w:t>
            </w:r>
            <w:r>
              <w:rPr>
                <w:noProof/>
                <w:webHidden/>
              </w:rPr>
              <w:fldChar w:fldCharType="end"/>
            </w:r>
          </w:hyperlink>
        </w:p>
        <w:p w14:paraId="2B81F1EA" w14:textId="0013FF22"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280" w:history="1">
            <w:r w:rsidRPr="00B07923">
              <w:rPr>
                <w:rStyle w:val="Hyperlink"/>
                <w:noProof/>
                <w:lang w:val="en-US"/>
              </w:rPr>
              <w:t>1.3.2.</w:t>
            </w:r>
            <w:r>
              <w:rPr>
                <w:rFonts w:asciiTheme="minorHAnsi" w:eastAsiaTheme="minorEastAsia" w:hAnsiTheme="minorHAnsi"/>
                <w:noProof/>
                <w:kern w:val="2"/>
                <w:szCs w:val="24"/>
                <w:lang w:eastAsia="ja-JP"/>
                <w14:ligatures w14:val="standardContextual"/>
              </w:rPr>
              <w:tab/>
            </w:r>
            <w:r w:rsidRPr="00B07923">
              <w:rPr>
                <w:rStyle w:val="Hyperlink"/>
                <w:noProof/>
                <w:lang w:val="en-US"/>
              </w:rPr>
              <w:t>T-History method</w:t>
            </w:r>
            <w:r>
              <w:rPr>
                <w:noProof/>
                <w:webHidden/>
              </w:rPr>
              <w:tab/>
            </w:r>
            <w:r>
              <w:rPr>
                <w:noProof/>
                <w:webHidden/>
              </w:rPr>
              <w:fldChar w:fldCharType="begin"/>
            </w:r>
            <w:r>
              <w:rPr>
                <w:noProof/>
                <w:webHidden/>
              </w:rPr>
              <w:instrText xml:space="preserve"> PAGEREF _Toc214356280 \h </w:instrText>
            </w:r>
            <w:r>
              <w:rPr>
                <w:noProof/>
                <w:webHidden/>
              </w:rPr>
            </w:r>
            <w:r>
              <w:rPr>
                <w:noProof/>
                <w:webHidden/>
              </w:rPr>
              <w:fldChar w:fldCharType="separate"/>
            </w:r>
            <w:r w:rsidR="000412CE">
              <w:rPr>
                <w:noProof/>
                <w:webHidden/>
              </w:rPr>
              <w:t>30</w:t>
            </w:r>
            <w:r>
              <w:rPr>
                <w:noProof/>
                <w:webHidden/>
              </w:rPr>
              <w:fldChar w:fldCharType="end"/>
            </w:r>
          </w:hyperlink>
        </w:p>
        <w:p w14:paraId="332A686A" w14:textId="26D5C28C"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281" w:history="1">
            <w:r w:rsidRPr="00B07923">
              <w:rPr>
                <w:rStyle w:val="Hyperlink"/>
                <w:noProof/>
                <w:lang w:val="en-US"/>
              </w:rPr>
              <w:t>1.3.3.</w:t>
            </w:r>
            <w:r>
              <w:rPr>
                <w:rFonts w:asciiTheme="minorHAnsi" w:eastAsiaTheme="minorEastAsia" w:hAnsiTheme="minorHAnsi"/>
                <w:noProof/>
                <w:kern w:val="2"/>
                <w:szCs w:val="24"/>
                <w:lang w:eastAsia="ja-JP"/>
                <w14:ligatures w14:val="standardContextual"/>
              </w:rPr>
              <w:tab/>
            </w:r>
            <w:r w:rsidRPr="00B07923">
              <w:rPr>
                <w:rStyle w:val="Hyperlink"/>
                <w:noProof/>
                <w:lang w:val="en-US"/>
              </w:rPr>
              <w:t>New procedure</w:t>
            </w:r>
            <w:r>
              <w:rPr>
                <w:noProof/>
                <w:webHidden/>
              </w:rPr>
              <w:tab/>
            </w:r>
            <w:r>
              <w:rPr>
                <w:noProof/>
                <w:webHidden/>
              </w:rPr>
              <w:fldChar w:fldCharType="begin"/>
            </w:r>
            <w:r>
              <w:rPr>
                <w:noProof/>
                <w:webHidden/>
              </w:rPr>
              <w:instrText xml:space="preserve"> PAGEREF _Toc214356281 \h </w:instrText>
            </w:r>
            <w:r>
              <w:rPr>
                <w:noProof/>
                <w:webHidden/>
              </w:rPr>
            </w:r>
            <w:r>
              <w:rPr>
                <w:noProof/>
                <w:webHidden/>
              </w:rPr>
              <w:fldChar w:fldCharType="separate"/>
            </w:r>
            <w:r w:rsidR="000412CE">
              <w:rPr>
                <w:noProof/>
                <w:webHidden/>
              </w:rPr>
              <w:t>33</w:t>
            </w:r>
            <w:r>
              <w:rPr>
                <w:noProof/>
                <w:webHidden/>
              </w:rPr>
              <w:fldChar w:fldCharType="end"/>
            </w:r>
          </w:hyperlink>
        </w:p>
        <w:p w14:paraId="7CF46C24" w14:textId="0516F3E4" w:rsidR="004D6860" w:rsidRDefault="004D6860">
          <w:pPr>
            <w:pStyle w:val="TOC2"/>
            <w:tabs>
              <w:tab w:val="left" w:pos="720"/>
            </w:tabs>
            <w:rPr>
              <w:rFonts w:asciiTheme="minorHAnsi" w:eastAsiaTheme="minorEastAsia" w:hAnsiTheme="minorHAnsi"/>
              <w:noProof/>
              <w:kern w:val="2"/>
              <w:szCs w:val="24"/>
              <w:lang w:eastAsia="ja-JP"/>
              <w14:ligatures w14:val="standardContextual"/>
            </w:rPr>
          </w:pPr>
          <w:hyperlink w:anchor="_Toc214356282" w:history="1">
            <w:r w:rsidRPr="00B07923">
              <w:rPr>
                <w:rStyle w:val="Hyperlink"/>
                <w:bCs/>
                <w:noProof/>
              </w:rPr>
              <w:t>1.4.</w:t>
            </w:r>
            <w:r>
              <w:rPr>
                <w:rFonts w:asciiTheme="minorHAnsi" w:eastAsiaTheme="minorEastAsia" w:hAnsiTheme="minorHAnsi"/>
                <w:noProof/>
                <w:kern w:val="2"/>
                <w:szCs w:val="24"/>
                <w:lang w:eastAsia="ja-JP"/>
                <w14:ligatures w14:val="standardContextual"/>
              </w:rPr>
              <w:tab/>
            </w:r>
            <w:r w:rsidRPr="00B07923">
              <w:rPr>
                <w:rStyle w:val="Hyperlink"/>
                <w:noProof/>
              </w:rPr>
              <w:t>Commercial PCMs</w:t>
            </w:r>
            <w:r>
              <w:rPr>
                <w:noProof/>
                <w:webHidden/>
              </w:rPr>
              <w:tab/>
            </w:r>
            <w:r>
              <w:rPr>
                <w:noProof/>
                <w:webHidden/>
              </w:rPr>
              <w:fldChar w:fldCharType="begin"/>
            </w:r>
            <w:r>
              <w:rPr>
                <w:noProof/>
                <w:webHidden/>
              </w:rPr>
              <w:instrText xml:space="preserve"> PAGEREF _Toc214356282 \h </w:instrText>
            </w:r>
            <w:r>
              <w:rPr>
                <w:noProof/>
                <w:webHidden/>
              </w:rPr>
            </w:r>
            <w:r>
              <w:rPr>
                <w:noProof/>
                <w:webHidden/>
              </w:rPr>
              <w:fldChar w:fldCharType="separate"/>
            </w:r>
            <w:r w:rsidR="000412CE">
              <w:rPr>
                <w:noProof/>
                <w:webHidden/>
              </w:rPr>
              <w:t>35</w:t>
            </w:r>
            <w:r>
              <w:rPr>
                <w:noProof/>
                <w:webHidden/>
              </w:rPr>
              <w:fldChar w:fldCharType="end"/>
            </w:r>
          </w:hyperlink>
        </w:p>
        <w:p w14:paraId="47E5A5C7" w14:textId="2AC19291" w:rsidR="004D6860" w:rsidRDefault="004D6860">
          <w:pPr>
            <w:pStyle w:val="TOC1"/>
            <w:tabs>
              <w:tab w:val="right" w:leader="dot" w:pos="8209"/>
            </w:tabs>
            <w:rPr>
              <w:rFonts w:asciiTheme="minorHAnsi" w:eastAsiaTheme="minorEastAsia" w:hAnsiTheme="minorHAnsi"/>
              <w:b w:val="0"/>
              <w:noProof/>
              <w:kern w:val="2"/>
              <w:szCs w:val="24"/>
              <w:lang w:eastAsia="ja-JP"/>
              <w14:ligatures w14:val="standardContextual"/>
            </w:rPr>
          </w:pPr>
          <w:hyperlink w:anchor="_Toc214356283" w:history="1">
            <w:r w:rsidRPr="00B07923">
              <w:rPr>
                <w:rStyle w:val="Hyperlink"/>
                <w:noProof/>
                <w:lang w:val="en-US"/>
              </w:rPr>
              <w:t>2</w:t>
            </w:r>
            <w:r>
              <w:rPr>
                <w:rFonts w:asciiTheme="minorHAnsi" w:eastAsiaTheme="minorEastAsia" w:hAnsiTheme="minorHAnsi"/>
                <w:b w:val="0"/>
                <w:noProof/>
                <w:kern w:val="2"/>
                <w:szCs w:val="24"/>
                <w:lang w:eastAsia="ja-JP"/>
                <w14:ligatures w14:val="standardContextual"/>
              </w:rPr>
              <w:tab/>
            </w:r>
            <w:r w:rsidRPr="00B07923">
              <w:rPr>
                <w:rStyle w:val="Hyperlink"/>
                <w:noProof/>
                <w:lang w:val="en-US"/>
              </w:rPr>
              <w:t>Literature review and patents in different energy applications</w:t>
            </w:r>
            <w:r>
              <w:rPr>
                <w:noProof/>
                <w:webHidden/>
              </w:rPr>
              <w:tab/>
            </w:r>
            <w:r>
              <w:rPr>
                <w:noProof/>
                <w:webHidden/>
              </w:rPr>
              <w:fldChar w:fldCharType="begin"/>
            </w:r>
            <w:r>
              <w:rPr>
                <w:noProof/>
                <w:webHidden/>
              </w:rPr>
              <w:instrText xml:space="preserve"> PAGEREF _Toc214356283 \h </w:instrText>
            </w:r>
            <w:r>
              <w:rPr>
                <w:noProof/>
                <w:webHidden/>
              </w:rPr>
            </w:r>
            <w:r>
              <w:rPr>
                <w:noProof/>
                <w:webHidden/>
              </w:rPr>
              <w:fldChar w:fldCharType="separate"/>
            </w:r>
            <w:r w:rsidR="000412CE">
              <w:rPr>
                <w:noProof/>
                <w:webHidden/>
              </w:rPr>
              <w:t>51</w:t>
            </w:r>
            <w:r>
              <w:rPr>
                <w:noProof/>
                <w:webHidden/>
              </w:rPr>
              <w:fldChar w:fldCharType="end"/>
            </w:r>
          </w:hyperlink>
        </w:p>
        <w:p w14:paraId="50159125" w14:textId="7CD374A5" w:rsidR="004D6860" w:rsidRDefault="004D6860">
          <w:pPr>
            <w:pStyle w:val="TOC2"/>
            <w:tabs>
              <w:tab w:val="left" w:pos="720"/>
            </w:tabs>
            <w:rPr>
              <w:rFonts w:asciiTheme="minorHAnsi" w:eastAsiaTheme="minorEastAsia" w:hAnsiTheme="minorHAnsi"/>
              <w:noProof/>
              <w:kern w:val="2"/>
              <w:szCs w:val="24"/>
              <w:lang w:eastAsia="ja-JP"/>
              <w14:ligatures w14:val="standardContextual"/>
            </w:rPr>
          </w:pPr>
          <w:hyperlink w:anchor="_Toc214356284" w:history="1">
            <w:r w:rsidRPr="00B07923">
              <w:rPr>
                <w:rStyle w:val="Hyperlink"/>
                <w:bCs/>
                <w:noProof/>
                <w:lang w:val="en-US"/>
              </w:rPr>
              <w:t>2.1.</w:t>
            </w:r>
            <w:r>
              <w:rPr>
                <w:rFonts w:asciiTheme="minorHAnsi" w:eastAsiaTheme="minorEastAsia" w:hAnsiTheme="minorHAnsi"/>
                <w:noProof/>
                <w:kern w:val="2"/>
                <w:szCs w:val="24"/>
                <w:lang w:eastAsia="ja-JP"/>
                <w14:ligatures w14:val="standardContextual"/>
              </w:rPr>
              <w:tab/>
            </w:r>
            <w:r w:rsidRPr="00B07923">
              <w:rPr>
                <w:rStyle w:val="Hyperlink"/>
                <w:noProof/>
                <w:lang w:val="en-US"/>
              </w:rPr>
              <w:t>Introduction</w:t>
            </w:r>
            <w:r>
              <w:rPr>
                <w:noProof/>
                <w:webHidden/>
              </w:rPr>
              <w:tab/>
            </w:r>
            <w:r>
              <w:rPr>
                <w:noProof/>
                <w:webHidden/>
              </w:rPr>
              <w:fldChar w:fldCharType="begin"/>
            </w:r>
            <w:r>
              <w:rPr>
                <w:noProof/>
                <w:webHidden/>
              </w:rPr>
              <w:instrText xml:space="preserve"> PAGEREF _Toc214356284 \h </w:instrText>
            </w:r>
            <w:r>
              <w:rPr>
                <w:noProof/>
                <w:webHidden/>
              </w:rPr>
            </w:r>
            <w:r>
              <w:rPr>
                <w:noProof/>
                <w:webHidden/>
              </w:rPr>
              <w:fldChar w:fldCharType="separate"/>
            </w:r>
            <w:r w:rsidR="000412CE">
              <w:rPr>
                <w:noProof/>
                <w:webHidden/>
              </w:rPr>
              <w:t>51</w:t>
            </w:r>
            <w:r>
              <w:rPr>
                <w:noProof/>
                <w:webHidden/>
              </w:rPr>
              <w:fldChar w:fldCharType="end"/>
            </w:r>
          </w:hyperlink>
        </w:p>
        <w:p w14:paraId="666E07B7" w14:textId="3C3B011F" w:rsidR="004D6860" w:rsidRDefault="004D6860">
          <w:pPr>
            <w:pStyle w:val="TOC2"/>
            <w:tabs>
              <w:tab w:val="left" w:pos="720"/>
            </w:tabs>
            <w:rPr>
              <w:rFonts w:asciiTheme="minorHAnsi" w:eastAsiaTheme="minorEastAsia" w:hAnsiTheme="minorHAnsi"/>
              <w:noProof/>
              <w:kern w:val="2"/>
              <w:szCs w:val="24"/>
              <w:lang w:eastAsia="ja-JP"/>
              <w14:ligatures w14:val="standardContextual"/>
            </w:rPr>
          </w:pPr>
          <w:hyperlink w:anchor="_Toc214356285" w:history="1">
            <w:r w:rsidRPr="00B07923">
              <w:rPr>
                <w:rStyle w:val="Hyperlink"/>
                <w:bCs/>
                <w:noProof/>
                <w:lang w:val="en-US"/>
              </w:rPr>
              <w:t>2.2.</w:t>
            </w:r>
            <w:r>
              <w:rPr>
                <w:rFonts w:asciiTheme="minorHAnsi" w:eastAsiaTheme="minorEastAsia" w:hAnsiTheme="minorHAnsi"/>
                <w:noProof/>
                <w:kern w:val="2"/>
                <w:szCs w:val="24"/>
                <w:lang w:eastAsia="ja-JP"/>
                <w14:ligatures w14:val="standardContextual"/>
              </w:rPr>
              <w:tab/>
            </w:r>
            <w:r w:rsidRPr="00B07923">
              <w:rPr>
                <w:rStyle w:val="Hyperlink"/>
                <w:noProof/>
                <w:lang w:val="en-US"/>
              </w:rPr>
              <w:t>Electronic devices</w:t>
            </w:r>
            <w:r>
              <w:rPr>
                <w:noProof/>
                <w:webHidden/>
              </w:rPr>
              <w:tab/>
            </w:r>
            <w:r>
              <w:rPr>
                <w:noProof/>
                <w:webHidden/>
              </w:rPr>
              <w:fldChar w:fldCharType="begin"/>
            </w:r>
            <w:r>
              <w:rPr>
                <w:noProof/>
                <w:webHidden/>
              </w:rPr>
              <w:instrText xml:space="preserve"> PAGEREF _Toc214356285 \h </w:instrText>
            </w:r>
            <w:r>
              <w:rPr>
                <w:noProof/>
                <w:webHidden/>
              </w:rPr>
            </w:r>
            <w:r>
              <w:rPr>
                <w:noProof/>
                <w:webHidden/>
              </w:rPr>
              <w:fldChar w:fldCharType="separate"/>
            </w:r>
            <w:r w:rsidR="000412CE">
              <w:rPr>
                <w:noProof/>
                <w:webHidden/>
              </w:rPr>
              <w:t>51</w:t>
            </w:r>
            <w:r>
              <w:rPr>
                <w:noProof/>
                <w:webHidden/>
              </w:rPr>
              <w:fldChar w:fldCharType="end"/>
            </w:r>
          </w:hyperlink>
        </w:p>
        <w:p w14:paraId="262AD811" w14:textId="1F2EE776"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286" w:history="1">
            <w:r w:rsidRPr="00B07923">
              <w:rPr>
                <w:rStyle w:val="Hyperlink"/>
                <w:noProof/>
                <w:lang w:val="en-US"/>
              </w:rPr>
              <w:t>2.2.1.</w:t>
            </w:r>
            <w:r>
              <w:rPr>
                <w:rFonts w:asciiTheme="minorHAnsi" w:eastAsiaTheme="minorEastAsia" w:hAnsiTheme="minorHAnsi"/>
                <w:noProof/>
                <w:kern w:val="2"/>
                <w:szCs w:val="24"/>
                <w:lang w:eastAsia="ja-JP"/>
                <w14:ligatures w14:val="standardContextual"/>
              </w:rPr>
              <w:tab/>
            </w:r>
            <w:r w:rsidRPr="00B07923">
              <w:rPr>
                <w:rStyle w:val="Hyperlink"/>
                <w:noProof/>
                <w:lang w:val="en-US"/>
              </w:rPr>
              <w:t>PCMs for thermal management of electronic components</w:t>
            </w:r>
            <w:r>
              <w:rPr>
                <w:noProof/>
                <w:webHidden/>
              </w:rPr>
              <w:tab/>
            </w:r>
            <w:r>
              <w:rPr>
                <w:noProof/>
                <w:webHidden/>
              </w:rPr>
              <w:fldChar w:fldCharType="begin"/>
            </w:r>
            <w:r>
              <w:rPr>
                <w:noProof/>
                <w:webHidden/>
              </w:rPr>
              <w:instrText xml:space="preserve"> PAGEREF _Toc214356286 \h </w:instrText>
            </w:r>
            <w:r>
              <w:rPr>
                <w:noProof/>
                <w:webHidden/>
              </w:rPr>
            </w:r>
            <w:r>
              <w:rPr>
                <w:noProof/>
                <w:webHidden/>
              </w:rPr>
              <w:fldChar w:fldCharType="separate"/>
            </w:r>
            <w:r w:rsidR="000412CE">
              <w:rPr>
                <w:noProof/>
                <w:webHidden/>
              </w:rPr>
              <w:t>58</w:t>
            </w:r>
            <w:r>
              <w:rPr>
                <w:noProof/>
                <w:webHidden/>
              </w:rPr>
              <w:fldChar w:fldCharType="end"/>
            </w:r>
          </w:hyperlink>
        </w:p>
        <w:p w14:paraId="54AFBCD2" w14:textId="6E0DCF21"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287" w:history="1">
            <w:r w:rsidRPr="00B07923">
              <w:rPr>
                <w:rStyle w:val="Hyperlink"/>
                <w:noProof/>
                <w:lang w:val="en-US"/>
              </w:rPr>
              <w:t>2.2.2.</w:t>
            </w:r>
            <w:r>
              <w:rPr>
                <w:rFonts w:asciiTheme="minorHAnsi" w:eastAsiaTheme="minorEastAsia" w:hAnsiTheme="minorHAnsi"/>
                <w:noProof/>
                <w:kern w:val="2"/>
                <w:szCs w:val="24"/>
                <w:lang w:eastAsia="ja-JP"/>
                <w14:ligatures w14:val="standardContextual"/>
              </w:rPr>
              <w:tab/>
            </w:r>
            <w:r w:rsidRPr="00B07923">
              <w:rPr>
                <w:rStyle w:val="Hyperlink"/>
                <w:noProof/>
                <w:lang w:val="en-US"/>
              </w:rPr>
              <w:t>Application of PCMs in the cooling of data centers</w:t>
            </w:r>
            <w:r>
              <w:rPr>
                <w:noProof/>
                <w:webHidden/>
              </w:rPr>
              <w:tab/>
            </w:r>
            <w:r>
              <w:rPr>
                <w:noProof/>
                <w:webHidden/>
              </w:rPr>
              <w:fldChar w:fldCharType="begin"/>
            </w:r>
            <w:r>
              <w:rPr>
                <w:noProof/>
                <w:webHidden/>
              </w:rPr>
              <w:instrText xml:space="preserve"> PAGEREF _Toc214356287 \h </w:instrText>
            </w:r>
            <w:r>
              <w:rPr>
                <w:noProof/>
                <w:webHidden/>
              </w:rPr>
            </w:r>
            <w:r>
              <w:rPr>
                <w:noProof/>
                <w:webHidden/>
              </w:rPr>
              <w:fldChar w:fldCharType="separate"/>
            </w:r>
            <w:r w:rsidR="000412CE">
              <w:rPr>
                <w:noProof/>
                <w:webHidden/>
              </w:rPr>
              <w:t>65</w:t>
            </w:r>
            <w:r>
              <w:rPr>
                <w:noProof/>
                <w:webHidden/>
              </w:rPr>
              <w:fldChar w:fldCharType="end"/>
            </w:r>
          </w:hyperlink>
        </w:p>
        <w:p w14:paraId="74EBAA6A" w14:textId="22E56084"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288" w:history="1">
            <w:r w:rsidRPr="00B07923">
              <w:rPr>
                <w:rStyle w:val="Hyperlink"/>
                <w:noProof/>
                <w:lang w:val="en-US"/>
              </w:rPr>
              <w:t>2.2.3.</w:t>
            </w:r>
            <w:r>
              <w:rPr>
                <w:rFonts w:asciiTheme="minorHAnsi" w:eastAsiaTheme="minorEastAsia" w:hAnsiTheme="minorHAnsi"/>
                <w:noProof/>
                <w:kern w:val="2"/>
                <w:szCs w:val="24"/>
                <w:lang w:eastAsia="ja-JP"/>
                <w14:ligatures w14:val="standardContextual"/>
              </w:rPr>
              <w:tab/>
            </w:r>
            <w:r w:rsidRPr="00B07923">
              <w:rPr>
                <w:rStyle w:val="Hyperlink"/>
                <w:noProof/>
                <w:lang w:val="en-US"/>
              </w:rPr>
              <w:t>Application of PCMs in Electric Distribution Networks</w:t>
            </w:r>
            <w:r>
              <w:rPr>
                <w:noProof/>
                <w:webHidden/>
              </w:rPr>
              <w:tab/>
            </w:r>
            <w:r>
              <w:rPr>
                <w:noProof/>
                <w:webHidden/>
              </w:rPr>
              <w:fldChar w:fldCharType="begin"/>
            </w:r>
            <w:r>
              <w:rPr>
                <w:noProof/>
                <w:webHidden/>
              </w:rPr>
              <w:instrText xml:space="preserve"> PAGEREF _Toc214356288 \h </w:instrText>
            </w:r>
            <w:r>
              <w:rPr>
                <w:noProof/>
                <w:webHidden/>
              </w:rPr>
            </w:r>
            <w:r>
              <w:rPr>
                <w:noProof/>
                <w:webHidden/>
              </w:rPr>
              <w:fldChar w:fldCharType="separate"/>
            </w:r>
            <w:r w:rsidR="000412CE">
              <w:rPr>
                <w:noProof/>
                <w:webHidden/>
              </w:rPr>
              <w:t>65</w:t>
            </w:r>
            <w:r>
              <w:rPr>
                <w:noProof/>
                <w:webHidden/>
              </w:rPr>
              <w:fldChar w:fldCharType="end"/>
            </w:r>
          </w:hyperlink>
        </w:p>
        <w:p w14:paraId="0FF59474" w14:textId="2AE445EE" w:rsidR="004D6860" w:rsidRDefault="004D6860">
          <w:pPr>
            <w:pStyle w:val="TOC2"/>
            <w:tabs>
              <w:tab w:val="left" w:pos="720"/>
            </w:tabs>
            <w:rPr>
              <w:rFonts w:asciiTheme="minorHAnsi" w:eastAsiaTheme="minorEastAsia" w:hAnsiTheme="minorHAnsi"/>
              <w:noProof/>
              <w:kern w:val="2"/>
              <w:szCs w:val="24"/>
              <w:lang w:eastAsia="ja-JP"/>
              <w14:ligatures w14:val="standardContextual"/>
            </w:rPr>
          </w:pPr>
          <w:hyperlink w:anchor="_Toc214356289" w:history="1">
            <w:r w:rsidRPr="00B07923">
              <w:rPr>
                <w:rStyle w:val="Hyperlink"/>
                <w:bCs/>
                <w:noProof/>
                <w:lang w:val="en-US"/>
              </w:rPr>
              <w:t>2.3.</w:t>
            </w:r>
            <w:r>
              <w:rPr>
                <w:rFonts w:asciiTheme="minorHAnsi" w:eastAsiaTheme="minorEastAsia" w:hAnsiTheme="minorHAnsi"/>
                <w:noProof/>
                <w:kern w:val="2"/>
                <w:szCs w:val="24"/>
                <w:lang w:eastAsia="ja-JP"/>
                <w14:ligatures w14:val="standardContextual"/>
              </w:rPr>
              <w:tab/>
            </w:r>
            <w:r w:rsidRPr="00B07923">
              <w:rPr>
                <w:rStyle w:val="Hyperlink"/>
                <w:noProof/>
                <w:lang w:val="en-US"/>
              </w:rPr>
              <w:t>PCMs in PV systems</w:t>
            </w:r>
            <w:r>
              <w:rPr>
                <w:noProof/>
                <w:webHidden/>
              </w:rPr>
              <w:tab/>
            </w:r>
            <w:r>
              <w:rPr>
                <w:noProof/>
                <w:webHidden/>
              </w:rPr>
              <w:fldChar w:fldCharType="begin"/>
            </w:r>
            <w:r>
              <w:rPr>
                <w:noProof/>
                <w:webHidden/>
              </w:rPr>
              <w:instrText xml:space="preserve"> PAGEREF _Toc214356289 \h </w:instrText>
            </w:r>
            <w:r>
              <w:rPr>
                <w:noProof/>
                <w:webHidden/>
              </w:rPr>
            </w:r>
            <w:r>
              <w:rPr>
                <w:noProof/>
                <w:webHidden/>
              </w:rPr>
              <w:fldChar w:fldCharType="separate"/>
            </w:r>
            <w:r w:rsidR="000412CE">
              <w:rPr>
                <w:noProof/>
                <w:webHidden/>
              </w:rPr>
              <w:t>67</w:t>
            </w:r>
            <w:r>
              <w:rPr>
                <w:noProof/>
                <w:webHidden/>
              </w:rPr>
              <w:fldChar w:fldCharType="end"/>
            </w:r>
          </w:hyperlink>
        </w:p>
        <w:p w14:paraId="5B4CE800" w14:textId="5BE37A84"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290" w:history="1">
            <w:r w:rsidRPr="00B07923">
              <w:rPr>
                <w:rStyle w:val="Hyperlink"/>
                <w:noProof/>
                <w:lang w:val="en-US"/>
              </w:rPr>
              <w:t>2.3.1.</w:t>
            </w:r>
            <w:r>
              <w:rPr>
                <w:rFonts w:asciiTheme="minorHAnsi" w:eastAsiaTheme="minorEastAsia" w:hAnsiTheme="minorHAnsi"/>
                <w:noProof/>
                <w:kern w:val="2"/>
                <w:szCs w:val="24"/>
                <w:lang w:eastAsia="ja-JP"/>
                <w14:ligatures w14:val="standardContextual"/>
              </w:rPr>
              <w:tab/>
            </w:r>
            <w:r w:rsidRPr="00B07923">
              <w:rPr>
                <w:rStyle w:val="Hyperlink"/>
                <w:noProof/>
                <w:lang w:val="en-US"/>
              </w:rPr>
              <w:t>PCMs for thermal regulation in PV systems</w:t>
            </w:r>
            <w:r>
              <w:rPr>
                <w:noProof/>
                <w:webHidden/>
              </w:rPr>
              <w:tab/>
            </w:r>
            <w:r>
              <w:rPr>
                <w:noProof/>
                <w:webHidden/>
              </w:rPr>
              <w:fldChar w:fldCharType="begin"/>
            </w:r>
            <w:r>
              <w:rPr>
                <w:noProof/>
                <w:webHidden/>
              </w:rPr>
              <w:instrText xml:space="preserve"> PAGEREF _Toc214356290 \h </w:instrText>
            </w:r>
            <w:r>
              <w:rPr>
                <w:noProof/>
                <w:webHidden/>
              </w:rPr>
            </w:r>
            <w:r>
              <w:rPr>
                <w:noProof/>
                <w:webHidden/>
              </w:rPr>
              <w:fldChar w:fldCharType="separate"/>
            </w:r>
            <w:r w:rsidR="000412CE">
              <w:rPr>
                <w:noProof/>
                <w:webHidden/>
              </w:rPr>
              <w:t>74</w:t>
            </w:r>
            <w:r>
              <w:rPr>
                <w:noProof/>
                <w:webHidden/>
              </w:rPr>
              <w:fldChar w:fldCharType="end"/>
            </w:r>
          </w:hyperlink>
        </w:p>
        <w:p w14:paraId="306D3B3E" w14:textId="6F35EF43"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291" w:history="1">
            <w:r w:rsidRPr="00B07923">
              <w:rPr>
                <w:rStyle w:val="Hyperlink"/>
                <w:noProof/>
                <w:lang w:val="en-US"/>
              </w:rPr>
              <w:t>2.3.2.</w:t>
            </w:r>
            <w:r>
              <w:rPr>
                <w:rFonts w:asciiTheme="minorHAnsi" w:eastAsiaTheme="minorEastAsia" w:hAnsiTheme="minorHAnsi"/>
                <w:noProof/>
                <w:kern w:val="2"/>
                <w:szCs w:val="24"/>
                <w:lang w:eastAsia="ja-JP"/>
                <w14:ligatures w14:val="standardContextual"/>
              </w:rPr>
              <w:tab/>
            </w:r>
            <w:r w:rsidRPr="00B07923">
              <w:rPr>
                <w:rStyle w:val="Hyperlink"/>
                <w:noProof/>
                <w:lang w:val="en-US"/>
              </w:rPr>
              <w:t>The effect of temperature on a PV module</w:t>
            </w:r>
            <w:r>
              <w:rPr>
                <w:noProof/>
                <w:webHidden/>
              </w:rPr>
              <w:tab/>
            </w:r>
            <w:r>
              <w:rPr>
                <w:noProof/>
                <w:webHidden/>
              </w:rPr>
              <w:fldChar w:fldCharType="begin"/>
            </w:r>
            <w:r>
              <w:rPr>
                <w:noProof/>
                <w:webHidden/>
              </w:rPr>
              <w:instrText xml:space="preserve"> PAGEREF _Toc214356291 \h </w:instrText>
            </w:r>
            <w:r>
              <w:rPr>
                <w:noProof/>
                <w:webHidden/>
              </w:rPr>
            </w:r>
            <w:r>
              <w:rPr>
                <w:noProof/>
                <w:webHidden/>
              </w:rPr>
              <w:fldChar w:fldCharType="separate"/>
            </w:r>
            <w:r w:rsidR="000412CE">
              <w:rPr>
                <w:noProof/>
                <w:webHidden/>
              </w:rPr>
              <w:t>74</w:t>
            </w:r>
            <w:r>
              <w:rPr>
                <w:noProof/>
                <w:webHidden/>
              </w:rPr>
              <w:fldChar w:fldCharType="end"/>
            </w:r>
          </w:hyperlink>
        </w:p>
        <w:p w14:paraId="69867AEF" w14:textId="50D959E7"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292" w:history="1">
            <w:r w:rsidRPr="00B07923">
              <w:rPr>
                <w:rStyle w:val="Hyperlink"/>
                <w:noProof/>
                <w:lang w:val="nb-NO"/>
              </w:rPr>
              <w:t>2.3.3.</w:t>
            </w:r>
            <w:r>
              <w:rPr>
                <w:rFonts w:asciiTheme="minorHAnsi" w:eastAsiaTheme="minorEastAsia" w:hAnsiTheme="minorHAnsi"/>
                <w:noProof/>
                <w:kern w:val="2"/>
                <w:szCs w:val="24"/>
                <w:lang w:eastAsia="ja-JP"/>
                <w14:ligatures w14:val="standardContextual"/>
              </w:rPr>
              <w:tab/>
            </w:r>
            <w:r w:rsidRPr="00B07923">
              <w:rPr>
                <w:rStyle w:val="Hyperlink"/>
                <w:noProof/>
                <w:lang w:val="nb-NO"/>
              </w:rPr>
              <w:t>PV-PCM models</w:t>
            </w:r>
            <w:r>
              <w:rPr>
                <w:noProof/>
                <w:webHidden/>
              </w:rPr>
              <w:tab/>
            </w:r>
            <w:r>
              <w:rPr>
                <w:noProof/>
                <w:webHidden/>
              </w:rPr>
              <w:fldChar w:fldCharType="begin"/>
            </w:r>
            <w:r>
              <w:rPr>
                <w:noProof/>
                <w:webHidden/>
              </w:rPr>
              <w:instrText xml:space="preserve"> PAGEREF _Toc214356292 \h </w:instrText>
            </w:r>
            <w:r>
              <w:rPr>
                <w:noProof/>
                <w:webHidden/>
              </w:rPr>
            </w:r>
            <w:r>
              <w:rPr>
                <w:noProof/>
                <w:webHidden/>
              </w:rPr>
              <w:fldChar w:fldCharType="separate"/>
            </w:r>
            <w:r w:rsidR="000412CE">
              <w:rPr>
                <w:noProof/>
                <w:webHidden/>
              </w:rPr>
              <w:t>75</w:t>
            </w:r>
            <w:r>
              <w:rPr>
                <w:noProof/>
                <w:webHidden/>
              </w:rPr>
              <w:fldChar w:fldCharType="end"/>
            </w:r>
          </w:hyperlink>
        </w:p>
        <w:p w14:paraId="6727129D" w14:textId="5EE13D7D"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293" w:history="1">
            <w:r w:rsidRPr="00B07923">
              <w:rPr>
                <w:rStyle w:val="Hyperlink"/>
                <w:noProof/>
                <w:lang w:val="en-US"/>
              </w:rPr>
              <w:t>2.3.4.</w:t>
            </w:r>
            <w:r>
              <w:rPr>
                <w:rFonts w:asciiTheme="minorHAnsi" w:eastAsiaTheme="minorEastAsia" w:hAnsiTheme="minorHAnsi"/>
                <w:noProof/>
                <w:kern w:val="2"/>
                <w:szCs w:val="24"/>
                <w:lang w:eastAsia="ja-JP"/>
                <w14:ligatures w14:val="standardContextual"/>
              </w:rPr>
              <w:tab/>
            </w:r>
            <w:r w:rsidRPr="00B07923">
              <w:rPr>
                <w:rStyle w:val="Hyperlink"/>
                <w:noProof/>
                <w:lang w:val="en-US"/>
              </w:rPr>
              <w:t>PV-PCM systems</w:t>
            </w:r>
            <w:r>
              <w:rPr>
                <w:noProof/>
                <w:webHidden/>
              </w:rPr>
              <w:tab/>
            </w:r>
            <w:r>
              <w:rPr>
                <w:noProof/>
                <w:webHidden/>
              </w:rPr>
              <w:fldChar w:fldCharType="begin"/>
            </w:r>
            <w:r>
              <w:rPr>
                <w:noProof/>
                <w:webHidden/>
              </w:rPr>
              <w:instrText xml:space="preserve"> PAGEREF _Toc214356293 \h </w:instrText>
            </w:r>
            <w:r>
              <w:rPr>
                <w:noProof/>
                <w:webHidden/>
              </w:rPr>
            </w:r>
            <w:r>
              <w:rPr>
                <w:noProof/>
                <w:webHidden/>
              </w:rPr>
              <w:fldChar w:fldCharType="separate"/>
            </w:r>
            <w:r w:rsidR="000412CE">
              <w:rPr>
                <w:noProof/>
                <w:webHidden/>
              </w:rPr>
              <w:t>77</w:t>
            </w:r>
            <w:r>
              <w:rPr>
                <w:noProof/>
                <w:webHidden/>
              </w:rPr>
              <w:fldChar w:fldCharType="end"/>
            </w:r>
          </w:hyperlink>
        </w:p>
        <w:p w14:paraId="61021189" w14:textId="71A66DE2"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294" w:history="1">
            <w:r w:rsidRPr="00B07923">
              <w:rPr>
                <w:rStyle w:val="Hyperlink"/>
                <w:noProof/>
                <w:lang w:val="en-US"/>
              </w:rPr>
              <w:t>2.3.5.</w:t>
            </w:r>
            <w:r>
              <w:rPr>
                <w:rFonts w:asciiTheme="minorHAnsi" w:eastAsiaTheme="minorEastAsia" w:hAnsiTheme="minorHAnsi"/>
                <w:noProof/>
                <w:kern w:val="2"/>
                <w:szCs w:val="24"/>
                <w:lang w:eastAsia="ja-JP"/>
                <w14:ligatures w14:val="standardContextual"/>
              </w:rPr>
              <w:tab/>
            </w:r>
            <w:r w:rsidRPr="00B07923">
              <w:rPr>
                <w:rStyle w:val="Hyperlink"/>
                <w:noProof/>
                <w:lang w:val="en-US"/>
              </w:rPr>
              <w:t>Economic and environmental considerations of PV-PCM and PV/T-PCM systems</w:t>
            </w:r>
            <w:r>
              <w:rPr>
                <w:noProof/>
                <w:webHidden/>
              </w:rPr>
              <w:tab/>
            </w:r>
            <w:r>
              <w:rPr>
                <w:noProof/>
                <w:webHidden/>
              </w:rPr>
              <w:fldChar w:fldCharType="begin"/>
            </w:r>
            <w:r>
              <w:rPr>
                <w:noProof/>
                <w:webHidden/>
              </w:rPr>
              <w:instrText xml:space="preserve"> PAGEREF _Toc214356294 \h </w:instrText>
            </w:r>
            <w:r>
              <w:rPr>
                <w:noProof/>
                <w:webHidden/>
              </w:rPr>
            </w:r>
            <w:r>
              <w:rPr>
                <w:noProof/>
                <w:webHidden/>
              </w:rPr>
              <w:fldChar w:fldCharType="separate"/>
            </w:r>
            <w:r w:rsidR="000412CE">
              <w:rPr>
                <w:noProof/>
                <w:webHidden/>
              </w:rPr>
              <w:t>79</w:t>
            </w:r>
            <w:r>
              <w:rPr>
                <w:noProof/>
                <w:webHidden/>
              </w:rPr>
              <w:fldChar w:fldCharType="end"/>
            </w:r>
          </w:hyperlink>
        </w:p>
        <w:p w14:paraId="2767A251" w14:textId="5DF58B79" w:rsidR="004D6860" w:rsidRDefault="004D6860">
          <w:pPr>
            <w:pStyle w:val="TOC2"/>
            <w:tabs>
              <w:tab w:val="left" w:pos="720"/>
            </w:tabs>
            <w:rPr>
              <w:rFonts w:asciiTheme="minorHAnsi" w:eastAsiaTheme="minorEastAsia" w:hAnsiTheme="minorHAnsi"/>
              <w:noProof/>
              <w:kern w:val="2"/>
              <w:szCs w:val="24"/>
              <w:lang w:eastAsia="ja-JP"/>
              <w14:ligatures w14:val="standardContextual"/>
            </w:rPr>
          </w:pPr>
          <w:hyperlink w:anchor="_Toc214356295" w:history="1">
            <w:r w:rsidRPr="00B07923">
              <w:rPr>
                <w:rStyle w:val="Hyperlink"/>
                <w:bCs/>
                <w:noProof/>
                <w:lang w:val="en-US"/>
              </w:rPr>
              <w:t>2.4.</w:t>
            </w:r>
            <w:r>
              <w:rPr>
                <w:rFonts w:asciiTheme="minorHAnsi" w:eastAsiaTheme="minorEastAsia" w:hAnsiTheme="minorHAnsi"/>
                <w:noProof/>
                <w:kern w:val="2"/>
                <w:szCs w:val="24"/>
                <w:lang w:eastAsia="ja-JP"/>
                <w14:ligatures w14:val="standardContextual"/>
              </w:rPr>
              <w:tab/>
            </w:r>
            <w:r w:rsidRPr="00B07923">
              <w:rPr>
                <w:rStyle w:val="Hyperlink"/>
                <w:noProof/>
              </w:rPr>
              <w:t>PCMs</w:t>
            </w:r>
            <w:r w:rsidRPr="00B07923">
              <w:rPr>
                <w:rStyle w:val="Hyperlink"/>
                <w:noProof/>
                <w:lang w:val="en-US"/>
              </w:rPr>
              <w:t xml:space="preserve"> in buildings</w:t>
            </w:r>
            <w:r>
              <w:rPr>
                <w:noProof/>
                <w:webHidden/>
              </w:rPr>
              <w:tab/>
            </w:r>
            <w:r>
              <w:rPr>
                <w:noProof/>
                <w:webHidden/>
              </w:rPr>
              <w:fldChar w:fldCharType="begin"/>
            </w:r>
            <w:r>
              <w:rPr>
                <w:noProof/>
                <w:webHidden/>
              </w:rPr>
              <w:instrText xml:space="preserve"> PAGEREF _Toc214356295 \h </w:instrText>
            </w:r>
            <w:r>
              <w:rPr>
                <w:noProof/>
                <w:webHidden/>
              </w:rPr>
            </w:r>
            <w:r>
              <w:rPr>
                <w:noProof/>
                <w:webHidden/>
              </w:rPr>
              <w:fldChar w:fldCharType="separate"/>
            </w:r>
            <w:r w:rsidR="000412CE">
              <w:rPr>
                <w:noProof/>
                <w:webHidden/>
              </w:rPr>
              <w:t>81</w:t>
            </w:r>
            <w:r>
              <w:rPr>
                <w:noProof/>
                <w:webHidden/>
              </w:rPr>
              <w:fldChar w:fldCharType="end"/>
            </w:r>
          </w:hyperlink>
        </w:p>
        <w:p w14:paraId="4DCAC655" w14:textId="54E629F0"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296" w:history="1">
            <w:r w:rsidRPr="00B07923">
              <w:rPr>
                <w:rStyle w:val="Hyperlink"/>
                <w:noProof/>
                <w:lang w:val="en-US"/>
              </w:rPr>
              <w:t>2.4.1.</w:t>
            </w:r>
            <w:r>
              <w:rPr>
                <w:rFonts w:asciiTheme="minorHAnsi" w:eastAsiaTheme="minorEastAsia" w:hAnsiTheme="minorHAnsi"/>
                <w:noProof/>
                <w:kern w:val="2"/>
                <w:szCs w:val="24"/>
                <w:lang w:eastAsia="ja-JP"/>
                <w14:ligatures w14:val="standardContextual"/>
              </w:rPr>
              <w:tab/>
            </w:r>
            <w:r w:rsidRPr="00B07923">
              <w:rPr>
                <w:rStyle w:val="Hyperlink"/>
                <w:noProof/>
                <w:lang w:val="en-US"/>
              </w:rPr>
              <w:t>Incorporation of PCMs into buildings for thermal comfort and energy optimization</w:t>
            </w:r>
            <w:r>
              <w:rPr>
                <w:noProof/>
                <w:webHidden/>
              </w:rPr>
              <w:tab/>
            </w:r>
            <w:r>
              <w:rPr>
                <w:noProof/>
                <w:webHidden/>
              </w:rPr>
              <w:fldChar w:fldCharType="begin"/>
            </w:r>
            <w:r>
              <w:rPr>
                <w:noProof/>
                <w:webHidden/>
              </w:rPr>
              <w:instrText xml:space="preserve"> PAGEREF _Toc214356296 \h </w:instrText>
            </w:r>
            <w:r>
              <w:rPr>
                <w:noProof/>
                <w:webHidden/>
              </w:rPr>
            </w:r>
            <w:r>
              <w:rPr>
                <w:noProof/>
                <w:webHidden/>
              </w:rPr>
              <w:fldChar w:fldCharType="separate"/>
            </w:r>
            <w:r w:rsidR="000412CE">
              <w:rPr>
                <w:noProof/>
                <w:webHidden/>
              </w:rPr>
              <w:t>86</w:t>
            </w:r>
            <w:r>
              <w:rPr>
                <w:noProof/>
                <w:webHidden/>
              </w:rPr>
              <w:fldChar w:fldCharType="end"/>
            </w:r>
          </w:hyperlink>
        </w:p>
        <w:p w14:paraId="77277A99" w14:textId="6A153652"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297" w:history="1">
            <w:r w:rsidRPr="00B07923">
              <w:rPr>
                <w:rStyle w:val="Hyperlink"/>
                <w:noProof/>
                <w:lang w:val="en-US"/>
              </w:rPr>
              <w:t>2.4.2.</w:t>
            </w:r>
            <w:r>
              <w:rPr>
                <w:rFonts w:asciiTheme="minorHAnsi" w:eastAsiaTheme="minorEastAsia" w:hAnsiTheme="minorHAnsi"/>
                <w:noProof/>
                <w:kern w:val="2"/>
                <w:szCs w:val="24"/>
                <w:lang w:eastAsia="ja-JP"/>
                <w14:ligatures w14:val="standardContextual"/>
              </w:rPr>
              <w:tab/>
            </w:r>
            <w:r w:rsidRPr="00B07923">
              <w:rPr>
                <w:rStyle w:val="Hyperlink"/>
                <w:noProof/>
                <w:lang w:val="en-US"/>
              </w:rPr>
              <w:t>Application of PCMs in building materials</w:t>
            </w:r>
            <w:r>
              <w:rPr>
                <w:noProof/>
                <w:webHidden/>
              </w:rPr>
              <w:tab/>
            </w:r>
            <w:r>
              <w:rPr>
                <w:noProof/>
                <w:webHidden/>
              </w:rPr>
              <w:fldChar w:fldCharType="begin"/>
            </w:r>
            <w:r>
              <w:rPr>
                <w:noProof/>
                <w:webHidden/>
              </w:rPr>
              <w:instrText xml:space="preserve"> PAGEREF _Toc214356297 \h </w:instrText>
            </w:r>
            <w:r>
              <w:rPr>
                <w:noProof/>
                <w:webHidden/>
              </w:rPr>
            </w:r>
            <w:r>
              <w:rPr>
                <w:noProof/>
                <w:webHidden/>
              </w:rPr>
              <w:fldChar w:fldCharType="separate"/>
            </w:r>
            <w:r w:rsidR="000412CE">
              <w:rPr>
                <w:noProof/>
                <w:webHidden/>
              </w:rPr>
              <w:t>87</w:t>
            </w:r>
            <w:r>
              <w:rPr>
                <w:noProof/>
                <w:webHidden/>
              </w:rPr>
              <w:fldChar w:fldCharType="end"/>
            </w:r>
          </w:hyperlink>
        </w:p>
        <w:p w14:paraId="409749FA" w14:textId="6EF20D25"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298" w:history="1">
            <w:r w:rsidRPr="00B07923">
              <w:rPr>
                <w:rStyle w:val="Hyperlink"/>
                <w:noProof/>
                <w:lang w:val="en-US"/>
              </w:rPr>
              <w:t>2.4.3.</w:t>
            </w:r>
            <w:r>
              <w:rPr>
                <w:rFonts w:asciiTheme="minorHAnsi" w:eastAsiaTheme="minorEastAsia" w:hAnsiTheme="minorHAnsi"/>
                <w:noProof/>
                <w:kern w:val="2"/>
                <w:szCs w:val="24"/>
                <w:lang w:eastAsia="ja-JP"/>
                <w14:ligatures w14:val="standardContextual"/>
              </w:rPr>
              <w:tab/>
            </w:r>
            <w:r w:rsidRPr="00B07923">
              <w:rPr>
                <w:rStyle w:val="Hyperlink"/>
                <w:noProof/>
                <w:lang w:val="en-US"/>
              </w:rPr>
              <w:t>Application of PCMs in building envelopes</w:t>
            </w:r>
            <w:r>
              <w:rPr>
                <w:noProof/>
                <w:webHidden/>
              </w:rPr>
              <w:tab/>
            </w:r>
            <w:r>
              <w:rPr>
                <w:noProof/>
                <w:webHidden/>
              </w:rPr>
              <w:fldChar w:fldCharType="begin"/>
            </w:r>
            <w:r>
              <w:rPr>
                <w:noProof/>
                <w:webHidden/>
              </w:rPr>
              <w:instrText xml:space="preserve"> PAGEREF _Toc214356298 \h </w:instrText>
            </w:r>
            <w:r>
              <w:rPr>
                <w:noProof/>
                <w:webHidden/>
              </w:rPr>
            </w:r>
            <w:r>
              <w:rPr>
                <w:noProof/>
                <w:webHidden/>
              </w:rPr>
              <w:fldChar w:fldCharType="separate"/>
            </w:r>
            <w:r w:rsidR="000412CE">
              <w:rPr>
                <w:noProof/>
                <w:webHidden/>
              </w:rPr>
              <w:t>92</w:t>
            </w:r>
            <w:r>
              <w:rPr>
                <w:noProof/>
                <w:webHidden/>
              </w:rPr>
              <w:fldChar w:fldCharType="end"/>
            </w:r>
          </w:hyperlink>
        </w:p>
        <w:p w14:paraId="06FDC22F" w14:textId="32A53113"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299" w:history="1">
            <w:r w:rsidRPr="00B07923">
              <w:rPr>
                <w:rStyle w:val="Hyperlink"/>
                <w:noProof/>
                <w:lang w:val="en-US"/>
              </w:rPr>
              <w:t>2.4.4.</w:t>
            </w:r>
            <w:r>
              <w:rPr>
                <w:rFonts w:asciiTheme="minorHAnsi" w:eastAsiaTheme="minorEastAsia" w:hAnsiTheme="minorHAnsi"/>
                <w:noProof/>
                <w:kern w:val="2"/>
                <w:szCs w:val="24"/>
                <w:lang w:eastAsia="ja-JP"/>
                <w14:ligatures w14:val="standardContextual"/>
              </w:rPr>
              <w:tab/>
            </w:r>
            <w:r w:rsidRPr="00B07923">
              <w:rPr>
                <w:rStyle w:val="Hyperlink"/>
                <w:noProof/>
                <w:lang w:val="en-US"/>
              </w:rPr>
              <w:t>Energy saving, economic, and environmental analysis impact</w:t>
            </w:r>
            <w:r>
              <w:rPr>
                <w:noProof/>
                <w:webHidden/>
              </w:rPr>
              <w:tab/>
            </w:r>
            <w:r>
              <w:rPr>
                <w:noProof/>
                <w:webHidden/>
              </w:rPr>
              <w:fldChar w:fldCharType="begin"/>
            </w:r>
            <w:r>
              <w:rPr>
                <w:noProof/>
                <w:webHidden/>
              </w:rPr>
              <w:instrText xml:space="preserve"> PAGEREF _Toc214356299 \h </w:instrText>
            </w:r>
            <w:r>
              <w:rPr>
                <w:noProof/>
                <w:webHidden/>
              </w:rPr>
            </w:r>
            <w:r>
              <w:rPr>
                <w:noProof/>
                <w:webHidden/>
              </w:rPr>
              <w:fldChar w:fldCharType="separate"/>
            </w:r>
            <w:r w:rsidR="000412CE">
              <w:rPr>
                <w:noProof/>
                <w:webHidden/>
              </w:rPr>
              <w:t>96</w:t>
            </w:r>
            <w:r>
              <w:rPr>
                <w:noProof/>
                <w:webHidden/>
              </w:rPr>
              <w:fldChar w:fldCharType="end"/>
            </w:r>
          </w:hyperlink>
        </w:p>
        <w:p w14:paraId="500F27B1" w14:textId="093B2F74"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300" w:history="1">
            <w:r w:rsidRPr="00B07923">
              <w:rPr>
                <w:rStyle w:val="Hyperlink"/>
                <w:noProof/>
                <w:lang w:val="en-US"/>
              </w:rPr>
              <w:t>2.4.5.</w:t>
            </w:r>
            <w:r>
              <w:rPr>
                <w:rFonts w:asciiTheme="minorHAnsi" w:eastAsiaTheme="minorEastAsia" w:hAnsiTheme="minorHAnsi"/>
                <w:noProof/>
                <w:kern w:val="2"/>
                <w:szCs w:val="24"/>
                <w:lang w:eastAsia="ja-JP"/>
                <w14:ligatures w14:val="standardContextual"/>
              </w:rPr>
              <w:tab/>
            </w:r>
            <w:r w:rsidRPr="00B07923">
              <w:rPr>
                <w:rStyle w:val="Hyperlink"/>
                <w:noProof/>
                <w:lang w:val="en-US"/>
              </w:rPr>
              <w:t>Future research directions</w:t>
            </w:r>
            <w:r>
              <w:rPr>
                <w:noProof/>
                <w:webHidden/>
              </w:rPr>
              <w:tab/>
            </w:r>
            <w:r>
              <w:rPr>
                <w:noProof/>
                <w:webHidden/>
              </w:rPr>
              <w:fldChar w:fldCharType="begin"/>
            </w:r>
            <w:r>
              <w:rPr>
                <w:noProof/>
                <w:webHidden/>
              </w:rPr>
              <w:instrText xml:space="preserve"> PAGEREF _Toc214356300 \h </w:instrText>
            </w:r>
            <w:r>
              <w:rPr>
                <w:noProof/>
                <w:webHidden/>
              </w:rPr>
            </w:r>
            <w:r>
              <w:rPr>
                <w:noProof/>
                <w:webHidden/>
              </w:rPr>
              <w:fldChar w:fldCharType="separate"/>
            </w:r>
            <w:r w:rsidR="000412CE">
              <w:rPr>
                <w:noProof/>
                <w:webHidden/>
              </w:rPr>
              <w:t>98</w:t>
            </w:r>
            <w:r>
              <w:rPr>
                <w:noProof/>
                <w:webHidden/>
              </w:rPr>
              <w:fldChar w:fldCharType="end"/>
            </w:r>
          </w:hyperlink>
        </w:p>
        <w:p w14:paraId="707287FD" w14:textId="6E806563" w:rsidR="004D6860" w:rsidRDefault="004D6860">
          <w:pPr>
            <w:pStyle w:val="TOC2"/>
            <w:tabs>
              <w:tab w:val="left" w:pos="720"/>
            </w:tabs>
            <w:rPr>
              <w:rFonts w:asciiTheme="minorHAnsi" w:eastAsiaTheme="minorEastAsia" w:hAnsiTheme="minorHAnsi"/>
              <w:noProof/>
              <w:kern w:val="2"/>
              <w:szCs w:val="24"/>
              <w:lang w:eastAsia="ja-JP"/>
              <w14:ligatures w14:val="standardContextual"/>
            </w:rPr>
          </w:pPr>
          <w:hyperlink w:anchor="_Toc214356301" w:history="1">
            <w:r w:rsidRPr="00B07923">
              <w:rPr>
                <w:rStyle w:val="Hyperlink"/>
                <w:bCs/>
                <w:noProof/>
                <w:lang w:val="en-US"/>
              </w:rPr>
              <w:t>2.5.</w:t>
            </w:r>
            <w:r>
              <w:rPr>
                <w:rFonts w:asciiTheme="minorHAnsi" w:eastAsiaTheme="minorEastAsia" w:hAnsiTheme="minorHAnsi"/>
                <w:noProof/>
                <w:kern w:val="2"/>
                <w:szCs w:val="24"/>
                <w:lang w:eastAsia="ja-JP"/>
                <w14:ligatures w14:val="standardContextual"/>
              </w:rPr>
              <w:tab/>
            </w:r>
            <w:r w:rsidRPr="00B07923">
              <w:rPr>
                <w:rStyle w:val="Hyperlink"/>
                <w:noProof/>
                <w:lang w:val="en-US"/>
              </w:rPr>
              <w:t>PCMs in cold chain application</w:t>
            </w:r>
            <w:r>
              <w:rPr>
                <w:noProof/>
                <w:webHidden/>
              </w:rPr>
              <w:tab/>
            </w:r>
            <w:r>
              <w:rPr>
                <w:noProof/>
                <w:webHidden/>
              </w:rPr>
              <w:fldChar w:fldCharType="begin"/>
            </w:r>
            <w:r>
              <w:rPr>
                <w:noProof/>
                <w:webHidden/>
              </w:rPr>
              <w:instrText xml:space="preserve"> PAGEREF _Toc214356301 \h </w:instrText>
            </w:r>
            <w:r>
              <w:rPr>
                <w:noProof/>
                <w:webHidden/>
              </w:rPr>
            </w:r>
            <w:r>
              <w:rPr>
                <w:noProof/>
                <w:webHidden/>
              </w:rPr>
              <w:fldChar w:fldCharType="separate"/>
            </w:r>
            <w:r w:rsidR="000412CE">
              <w:rPr>
                <w:noProof/>
                <w:webHidden/>
              </w:rPr>
              <w:t>99</w:t>
            </w:r>
            <w:r>
              <w:rPr>
                <w:noProof/>
                <w:webHidden/>
              </w:rPr>
              <w:fldChar w:fldCharType="end"/>
            </w:r>
          </w:hyperlink>
        </w:p>
        <w:p w14:paraId="74D7FB2E" w14:textId="7BFB8978"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302" w:history="1">
            <w:r w:rsidRPr="00B07923">
              <w:rPr>
                <w:rStyle w:val="Hyperlink"/>
                <w:noProof/>
                <w:lang w:val="en-US"/>
              </w:rPr>
              <w:t>2.5.1.</w:t>
            </w:r>
            <w:r>
              <w:rPr>
                <w:rFonts w:asciiTheme="minorHAnsi" w:eastAsiaTheme="minorEastAsia" w:hAnsiTheme="minorHAnsi"/>
                <w:noProof/>
                <w:kern w:val="2"/>
                <w:szCs w:val="24"/>
                <w:lang w:eastAsia="ja-JP"/>
                <w14:ligatures w14:val="standardContextual"/>
              </w:rPr>
              <w:tab/>
            </w:r>
            <w:r w:rsidRPr="00B07923">
              <w:rPr>
                <w:rStyle w:val="Hyperlink"/>
                <w:noProof/>
                <w:lang w:val="en-US"/>
              </w:rPr>
              <w:t>Cold Chain Logistics and the Use of PCMs for Passive Cooling</w:t>
            </w:r>
            <w:r>
              <w:rPr>
                <w:noProof/>
                <w:webHidden/>
              </w:rPr>
              <w:tab/>
            </w:r>
            <w:r>
              <w:rPr>
                <w:noProof/>
                <w:webHidden/>
              </w:rPr>
              <w:fldChar w:fldCharType="begin"/>
            </w:r>
            <w:r>
              <w:rPr>
                <w:noProof/>
                <w:webHidden/>
              </w:rPr>
              <w:instrText xml:space="preserve"> PAGEREF _Toc214356302 \h </w:instrText>
            </w:r>
            <w:r>
              <w:rPr>
                <w:noProof/>
                <w:webHidden/>
              </w:rPr>
            </w:r>
            <w:r>
              <w:rPr>
                <w:noProof/>
                <w:webHidden/>
              </w:rPr>
              <w:fldChar w:fldCharType="separate"/>
            </w:r>
            <w:r w:rsidR="000412CE">
              <w:rPr>
                <w:noProof/>
                <w:webHidden/>
              </w:rPr>
              <w:t>105</w:t>
            </w:r>
            <w:r>
              <w:rPr>
                <w:noProof/>
                <w:webHidden/>
              </w:rPr>
              <w:fldChar w:fldCharType="end"/>
            </w:r>
          </w:hyperlink>
        </w:p>
        <w:p w14:paraId="1CCC00BC" w14:textId="512FD0FE"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303" w:history="1">
            <w:r w:rsidRPr="00B07923">
              <w:rPr>
                <w:rStyle w:val="Hyperlink"/>
                <w:noProof/>
                <w:lang w:val="en-US"/>
              </w:rPr>
              <w:t>2.5.2.</w:t>
            </w:r>
            <w:r>
              <w:rPr>
                <w:rFonts w:asciiTheme="minorHAnsi" w:eastAsiaTheme="minorEastAsia" w:hAnsiTheme="minorHAnsi"/>
                <w:noProof/>
                <w:kern w:val="2"/>
                <w:szCs w:val="24"/>
                <w:lang w:eastAsia="ja-JP"/>
                <w14:ligatures w14:val="standardContextual"/>
              </w:rPr>
              <w:tab/>
            </w:r>
            <w:r w:rsidRPr="00B07923">
              <w:rPr>
                <w:rStyle w:val="Hyperlink"/>
                <w:noProof/>
                <w:lang w:val="en-US"/>
              </w:rPr>
              <w:t>Analysis of Cold Chain Logistics and the Application of PCMs</w:t>
            </w:r>
            <w:r>
              <w:rPr>
                <w:noProof/>
                <w:webHidden/>
              </w:rPr>
              <w:tab/>
            </w:r>
            <w:r>
              <w:rPr>
                <w:noProof/>
                <w:webHidden/>
              </w:rPr>
              <w:fldChar w:fldCharType="begin"/>
            </w:r>
            <w:r>
              <w:rPr>
                <w:noProof/>
                <w:webHidden/>
              </w:rPr>
              <w:instrText xml:space="preserve"> PAGEREF _Toc214356303 \h </w:instrText>
            </w:r>
            <w:r>
              <w:rPr>
                <w:noProof/>
                <w:webHidden/>
              </w:rPr>
            </w:r>
            <w:r>
              <w:rPr>
                <w:noProof/>
                <w:webHidden/>
              </w:rPr>
              <w:fldChar w:fldCharType="separate"/>
            </w:r>
            <w:r w:rsidR="000412CE">
              <w:rPr>
                <w:noProof/>
                <w:webHidden/>
              </w:rPr>
              <w:t>107</w:t>
            </w:r>
            <w:r>
              <w:rPr>
                <w:noProof/>
                <w:webHidden/>
              </w:rPr>
              <w:fldChar w:fldCharType="end"/>
            </w:r>
          </w:hyperlink>
        </w:p>
        <w:p w14:paraId="5944EADC" w14:textId="47916EC2"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304" w:history="1">
            <w:r w:rsidRPr="00B07923">
              <w:rPr>
                <w:rStyle w:val="Hyperlink"/>
                <w:noProof/>
                <w:lang w:val="en-US"/>
              </w:rPr>
              <w:t>2.5.3.</w:t>
            </w:r>
            <w:r>
              <w:rPr>
                <w:rFonts w:asciiTheme="minorHAnsi" w:eastAsiaTheme="minorEastAsia" w:hAnsiTheme="minorHAnsi"/>
                <w:noProof/>
                <w:kern w:val="2"/>
                <w:szCs w:val="24"/>
                <w:lang w:eastAsia="ja-JP"/>
                <w14:ligatures w14:val="standardContextual"/>
              </w:rPr>
              <w:tab/>
            </w:r>
            <w:r w:rsidRPr="00B07923">
              <w:rPr>
                <w:rStyle w:val="Hyperlink"/>
                <w:noProof/>
                <w:lang w:val="en-US"/>
              </w:rPr>
              <w:t>Phase change properties of commercial PCMs for cold chain logistics</w:t>
            </w:r>
            <w:r>
              <w:rPr>
                <w:noProof/>
                <w:webHidden/>
              </w:rPr>
              <w:tab/>
            </w:r>
            <w:r>
              <w:rPr>
                <w:noProof/>
                <w:webHidden/>
              </w:rPr>
              <w:fldChar w:fldCharType="begin"/>
            </w:r>
            <w:r>
              <w:rPr>
                <w:noProof/>
                <w:webHidden/>
              </w:rPr>
              <w:instrText xml:space="preserve"> PAGEREF _Toc214356304 \h </w:instrText>
            </w:r>
            <w:r>
              <w:rPr>
                <w:noProof/>
                <w:webHidden/>
              </w:rPr>
            </w:r>
            <w:r>
              <w:rPr>
                <w:noProof/>
                <w:webHidden/>
              </w:rPr>
              <w:fldChar w:fldCharType="separate"/>
            </w:r>
            <w:r w:rsidR="000412CE">
              <w:rPr>
                <w:noProof/>
                <w:webHidden/>
              </w:rPr>
              <w:t>109</w:t>
            </w:r>
            <w:r>
              <w:rPr>
                <w:noProof/>
                <w:webHidden/>
              </w:rPr>
              <w:fldChar w:fldCharType="end"/>
            </w:r>
          </w:hyperlink>
        </w:p>
        <w:p w14:paraId="43F2ED76" w14:textId="52B2DB41"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305" w:history="1">
            <w:r w:rsidRPr="00B07923">
              <w:rPr>
                <w:rStyle w:val="Hyperlink"/>
                <w:noProof/>
                <w:lang w:val="en-US"/>
              </w:rPr>
              <w:t>2.5.4.</w:t>
            </w:r>
            <w:r>
              <w:rPr>
                <w:rFonts w:asciiTheme="minorHAnsi" w:eastAsiaTheme="minorEastAsia" w:hAnsiTheme="minorHAnsi"/>
                <w:noProof/>
                <w:kern w:val="2"/>
                <w:szCs w:val="24"/>
                <w:lang w:eastAsia="ja-JP"/>
                <w14:ligatures w14:val="standardContextual"/>
              </w:rPr>
              <w:tab/>
            </w:r>
            <w:r w:rsidRPr="00B07923">
              <w:rPr>
                <w:rStyle w:val="Hyperlink"/>
                <w:noProof/>
                <w:lang w:val="en-US"/>
              </w:rPr>
              <w:t>Focus on the application of PCMs in the biomedical field</w:t>
            </w:r>
            <w:r>
              <w:rPr>
                <w:noProof/>
                <w:webHidden/>
              </w:rPr>
              <w:tab/>
            </w:r>
            <w:r>
              <w:rPr>
                <w:noProof/>
                <w:webHidden/>
              </w:rPr>
              <w:fldChar w:fldCharType="begin"/>
            </w:r>
            <w:r>
              <w:rPr>
                <w:noProof/>
                <w:webHidden/>
              </w:rPr>
              <w:instrText xml:space="preserve"> PAGEREF _Toc214356305 \h </w:instrText>
            </w:r>
            <w:r>
              <w:rPr>
                <w:noProof/>
                <w:webHidden/>
              </w:rPr>
            </w:r>
            <w:r>
              <w:rPr>
                <w:noProof/>
                <w:webHidden/>
              </w:rPr>
              <w:fldChar w:fldCharType="separate"/>
            </w:r>
            <w:r w:rsidR="000412CE">
              <w:rPr>
                <w:noProof/>
                <w:webHidden/>
              </w:rPr>
              <w:t>111</w:t>
            </w:r>
            <w:r>
              <w:rPr>
                <w:noProof/>
                <w:webHidden/>
              </w:rPr>
              <w:fldChar w:fldCharType="end"/>
            </w:r>
          </w:hyperlink>
        </w:p>
        <w:p w14:paraId="598CA527" w14:textId="2C587C20"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306" w:history="1">
            <w:r w:rsidRPr="00B07923">
              <w:rPr>
                <w:rStyle w:val="Hyperlink"/>
                <w:noProof/>
                <w:lang w:val="en-US"/>
              </w:rPr>
              <w:t>2.5.5.</w:t>
            </w:r>
            <w:r>
              <w:rPr>
                <w:rFonts w:asciiTheme="minorHAnsi" w:eastAsiaTheme="minorEastAsia" w:hAnsiTheme="minorHAnsi"/>
                <w:noProof/>
                <w:kern w:val="2"/>
                <w:szCs w:val="24"/>
                <w:lang w:eastAsia="ja-JP"/>
                <w14:ligatures w14:val="standardContextual"/>
              </w:rPr>
              <w:tab/>
            </w:r>
            <w:r w:rsidRPr="00B07923">
              <w:rPr>
                <w:rStyle w:val="Hyperlink"/>
                <w:noProof/>
                <w:lang w:val="en-US"/>
              </w:rPr>
              <w:t>Environmental analysis impact</w:t>
            </w:r>
            <w:r>
              <w:rPr>
                <w:noProof/>
                <w:webHidden/>
              </w:rPr>
              <w:tab/>
            </w:r>
            <w:r>
              <w:rPr>
                <w:noProof/>
                <w:webHidden/>
              </w:rPr>
              <w:fldChar w:fldCharType="begin"/>
            </w:r>
            <w:r>
              <w:rPr>
                <w:noProof/>
                <w:webHidden/>
              </w:rPr>
              <w:instrText xml:space="preserve"> PAGEREF _Toc214356306 \h </w:instrText>
            </w:r>
            <w:r>
              <w:rPr>
                <w:noProof/>
                <w:webHidden/>
              </w:rPr>
            </w:r>
            <w:r>
              <w:rPr>
                <w:noProof/>
                <w:webHidden/>
              </w:rPr>
              <w:fldChar w:fldCharType="separate"/>
            </w:r>
            <w:r w:rsidR="000412CE">
              <w:rPr>
                <w:noProof/>
                <w:webHidden/>
              </w:rPr>
              <w:t>112</w:t>
            </w:r>
            <w:r>
              <w:rPr>
                <w:noProof/>
                <w:webHidden/>
              </w:rPr>
              <w:fldChar w:fldCharType="end"/>
            </w:r>
          </w:hyperlink>
        </w:p>
        <w:p w14:paraId="03A8A87B" w14:textId="33CC64CA"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307" w:history="1">
            <w:r w:rsidRPr="00B07923">
              <w:rPr>
                <w:rStyle w:val="Hyperlink"/>
                <w:noProof/>
                <w:lang w:val="en-US"/>
              </w:rPr>
              <w:t>2.5.6.</w:t>
            </w:r>
            <w:r>
              <w:rPr>
                <w:rFonts w:asciiTheme="minorHAnsi" w:eastAsiaTheme="minorEastAsia" w:hAnsiTheme="minorHAnsi"/>
                <w:noProof/>
                <w:kern w:val="2"/>
                <w:szCs w:val="24"/>
                <w:lang w:eastAsia="ja-JP"/>
                <w14:ligatures w14:val="standardContextual"/>
              </w:rPr>
              <w:tab/>
            </w:r>
            <w:r w:rsidRPr="00B07923">
              <w:rPr>
                <w:rStyle w:val="Hyperlink"/>
                <w:noProof/>
                <w:lang w:val="en-US"/>
              </w:rPr>
              <w:t>Future reasearch directions on PCMs in biomedical applications and cold chain logistics</w:t>
            </w:r>
            <w:r>
              <w:rPr>
                <w:noProof/>
                <w:webHidden/>
              </w:rPr>
              <w:tab/>
            </w:r>
            <w:r>
              <w:rPr>
                <w:noProof/>
                <w:webHidden/>
              </w:rPr>
              <w:fldChar w:fldCharType="begin"/>
            </w:r>
            <w:r>
              <w:rPr>
                <w:noProof/>
                <w:webHidden/>
              </w:rPr>
              <w:instrText xml:space="preserve"> PAGEREF _Toc214356307 \h </w:instrText>
            </w:r>
            <w:r>
              <w:rPr>
                <w:noProof/>
                <w:webHidden/>
              </w:rPr>
            </w:r>
            <w:r>
              <w:rPr>
                <w:noProof/>
                <w:webHidden/>
              </w:rPr>
              <w:fldChar w:fldCharType="separate"/>
            </w:r>
            <w:r w:rsidR="000412CE">
              <w:rPr>
                <w:noProof/>
                <w:webHidden/>
              </w:rPr>
              <w:t>113</w:t>
            </w:r>
            <w:r>
              <w:rPr>
                <w:noProof/>
                <w:webHidden/>
              </w:rPr>
              <w:fldChar w:fldCharType="end"/>
            </w:r>
          </w:hyperlink>
        </w:p>
        <w:p w14:paraId="78542BF4" w14:textId="0B523E48" w:rsidR="004D6860" w:rsidRDefault="004D6860">
          <w:pPr>
            <w:pStyle w:val="TOC2"/>
            <w:tabs>
              <w:tab w:val="left" w:pos="720"/>
            </w:tabs>
            <w:rPr>
              <w:rFonts w:asciiTheme="minorHAnsi" w:eastAsiaTheme="minorEastAsia" w:hAnsiTheme="minorHAnsi"/>
              <w:noProof/>
              <w:kern w:val="2"/>
              <w:szCs w:val="24"/>
              <w:lang w:eastAsia="ja-JP"/>
              <w14:ligatures w14:val="standardContextual"/>
            </w:rPr>
          </w:pPr>
          <w:hyperlink w:anchor="_Toc214356308" w:history="1">
            <w:r w:rsidRPr="00B07923">
              <w:rPr>
                <w:rStyle w:val="Hyperlink"/>
                <w:bCs/>
                <w:noProof/>
                <w:lang w:val="en-US"/>
              </w:rPr>
              <w:t>2.6.</w:t>
            </w:r>
            <w:r>
              <w:rPr>
                <w:rFonts w:asciiTheme="minorHAnsi" w:eastAsiaTheme="minorEastAsia" w:hAnsiTheme="minorHAnsi"/>
                <w:noProof/>
                <w:kern w:val="2"/>
                <w:szCs w:val="24"/>
                <w:lang w:eastAsia="ja-JP"/>
                <w14:ligatures w14:val="standardContextual"/>
              </w:rPr>
              <w:tab/>
            </w:r>
            <w:r w:rsidRPr="00B07923">
              <w:rPr>
                <w:rStyle w:val="Hyperlink"/>
                <w:noProof/>
                <w:lang w:val="en-US"/>
              </w:rPr>
              <w:t>PCMs in textile and cooling garments applications</w:t>
            </w:r>
            <w:r>
              <w:rPr>
                <w:noProof/>
                <w:webHidden/>
              </w:rPr>
              <w:tab/>
            </w:r>
            <w:r>
              <w:rPr>
                <w:noProof/>
                <w:webHidden/>
              </w:rPr>
              <w:fldChar w:fldCharType="begin"/>
            </w:r>
            <w:r>
              <w:rPr>
                <w:noProof/>
                <w:webHidden/>
              </w:rPr>
              <w:instrText xml:space="preserve"> PAGEREF _Toc214356308 \h </w:instrText>
            </w:r>
            <w:r>
              <w:rPr>
                <w:noProof/>
                <w:webHidden/>
              </w:rPr>
            </w:r>
            <w:r>
              <w:rPr>
                <w:noProof/>
                <w:webHidden/>
              </w:rPr>
              <w:fldChar w:fldCharType="separate"/>
            </w:r>
            <w:r w:rsidR="000412CE">
              <w:rPr>
                <w:noProof/>
                <w:webHidden/>
              </w:rPr>
              <w:t>114</w:t>
            </w:r>
            <w:r>
              <w:rPr>
                <w:noProof/>
                <w:webHidden/>
              </w:rPr>
              <w:fldChar w:fldCharType="end"/>
            </w:r>
          </w:hyperlink>
        </w:p>
        <w:p w14:paraId="50273576" w14:textId="4E7CD98A"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309" w:history="1">
            <w:r w:rsidRPr="00B07923">
              <w:rPr>
                <w:rStyle w:val="Hyperlink"/>
                <w:noProof/>
                <w:lang w:val="en-US"/>
              </w:rPr>
              <w:t>2.6.1.</w:t>
            </w:r>
            <w:r>
              <w:rPr>
                <w:rFonts w:asciiTheme="minorHAnsi" w:eastAsiaTheme="minorEastAsia" w:hAnsiTheme="minorHAnsi"/>
                <w:noProof/>
                <w:kern w:val="2"/>
                <w:szCs w:val="24"/>
                <w:lang w:eastAsia="ja-JP"/>
                <w14:ligatures w14:val="standardContextual"/>
              </w:rPr>
              <w:tab/>
            </w:r>
            <w:r w:rsidRPr="00B07923">
              <w:rPr>
                <w:rStyle w:val="Hyperlink"/>
                <w:noProof/>
                <w:lang w:val="en-US"/>
              </w:rPr>
              <w:t xml:space="preserve">Clothing </w:t>
            </w:r>
            <w:r w:rsidRPr="00B07923">
              <w:rPr>
                <w:rStyle w:val="Hyperlink"/>
                <w:noProof/>
              </w:rPr>
              <w:t>comfort</w:t>
            </w:r>
            <w:r w:rsidRPr="00B07923">
              <w:rPr>
                <w:rStyle w:val="Hyperlink"/>
                <w:noProof/>
                <w:lang w:val="en-US"/>
              </w:rPr>
              <w:t xml:space="preserve"> using PCMs</w:t>
            </w:r>
            <w:r>
              <w:rPr>
                <w:noProof/>
                <w:webHidden/>
              </w:rPr>
              <w:tab/>
            </w:r>
            <w:r>
              <w:rPr>
                <w:noProof/>
                <w:webHidden/>
              </w:rPr>
              <w:fldChar w:fldCharType="begin"/>
            </w:r>
            <w:r>
              <w:rPr>
                <w:noProof/>
                <w:webHidden/>
              </w:rPr>
              <w:instrText xml:space="preserve"> PAGEREF _Toc214356309 \h </w:instrText>
            </w:r>
            <w:r>
              <w:rPr>
                <w:noProof/>
                <w:webHidden/>
              </w:rPr>
            </w:r>
            <w:r>
              <w:rPr>
                <w:noProof/>
                <w:webHidden/>
              </w:rPr>
              <w:fldChar w:fldCharType="separate"/>
            </w:r>
            <w:r w:rsidR="000412CE">
              <w:rPr>
                <w:noProof/>
                <w:webHidden/>
              </w:rPr>
              <w:t>119</w:t>
            </w:r>
            <w:r>
              <w:rPr>
                <w:noProof/>
                <w:webHidden/>
              </w:rPr>
              <w:fldChar w:fldCharType="end"/>
            </w:r>
          </w:hyperlink>
        </w:p>
        <w:p w14:paraId="0B3AD998" w14:textId="2213203D"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310" w:history="1">
            <w:r w:rsidRPr="00B07923">
              <w:rPr>
                <w:rStyle w:val="Hyperlink"/>
                <w:noProof/>
                <w:lang w:val="en-US"/>
              </w:rPr>
              <w:t>2.6.2.</w:t>
            </w:r>
            <w:r>
              <w:rPr>
                <w:rFonts w:asciiTheme="minorHAnsi" w:eastAsiaTheme="minorEastAsia" w:hAnsiTheme="minorHAnsi"/>
                <w:noProof/>
                <w:kern w:val="2"/>
                <w:szCs w:val="24"/>
                <w:lang w:eastAsia="ja-JP"/>
                <w14:ligatures w14:val="standardContextual"/>
              </w:rPr>
              <w:tab/>
            </w:r>
            <w:r w:rsidRPr="00B07923">
              <w:rPr>
                <w:rStyle w:val="Hyperlink"/>
                <w:noProof/>
                <w:lang w:val="en-US"/>
              </w:rPr>
              <w:t>Working Principle of PCMs in Textiles</w:t>
            </w:r>
            <w:r>
              <w:rPr>
                <w:noProof/>
                <w:webHidden/>
              </w:rPr>
              <w:tab/>
            </w:r>
            <w:r>
              <w:rPr>
                <w:noProof/>
                <w:webHidden/>
              </w:rPr>
              <w:fldChar w:fldCharType="begin"/>
            </w:r>
            <w:r>
              <w:rPr>
                <w:noProof/>
                <w:webHidden/>
              </w:rPr>
              <w:instrText xml:space="preserve"> PAGEREF _Toc214356310 \h </w:instrText>
            </w:r>
            <w:r>
              <w:rPr>
                <w:noProof/>
                <w:webHidden/>
              </w:rPr>
            </w:r>
            <w:r>
              <w:rPr>
                <w:noProof/>
                <w:webHidden/>
              </w:rPr>
              <w:fldChar w:fldCharType="separate"/>
            </w:r>
            <w:r w:rsidR="000412CE">
              <w:rPr>
                <w:noProof/>
                <w:webHidden/>
              </w:rPr>
              <w:t>120</w:t>
            </w:r>
            <w:r>
              <w:rPr>
                <w:noProof/>
                <w:webHidden/>
              </w:rPr>
              <w:fldChar w:fldCharType="end"/>
            </w:r>
          </w:hyperlink>
        </w:p>
        <w:p w14:paraId="6BBA5B02" w14:textId="6FCAB813"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311" w:history="1">
            <w:r w:rsidRPr="00B07923">
              <w:rPr>
                <w:rStyle w:val="Hyperlink"/>
                <w:noProof/>
                <w:lang w:val="en-US"/>
              </w:rPr>
              <w:t>2.6.3.</w:t>
            </w:r>
            <w:r>
              <w:rPr>
                <w:rFonts w:asciiTheme="minorHAnsi" w:eastAsiaTheme="minorEastAsia" w:hAnsiTheme="minorHAnsi"/>
                <w:noProof/>
                <w:kern w:val="2"/>
                <w:szCs w:val="24"/>
                <w:lang w:eastAsia="ja-JP"/>
                <w14:ligatures w14:val="standardContextual"/>
              </w:rPr>
              <w:tab/>
            </w:r>
            <w:r w:rsidRPr="00B07923">
              <w:rPr>
                <w:rStyle w:val="Hyperlink"/>
                <w:noProof/>
                <w:lang w:val="en-US"/>
              </w:rPr>
              <w:t>Performance evaluation of PCMs cooling garments</w:t>
            </w:r>
            <w:r>
              <w:rPr>
                <w:noProof/>
                <w:webHidden/>
              </w:rPr>
              <w:tab/>
            </w:r>
            <w:r>
              <w:rPr>
                <w:noProof/>
                <w:webHidden/>
              </w:rPr>
              <w:fldChar w:fldCharType="begin"/>
            </w:r>
            <w:r>
              <w:rPr>
                <w:noProof/>
                <w:webHidden/>
              </w:rPr>
              <w:instrText xml:space="preserve"> PAGEREF _Toc214356311 \h </w:instrText>
            </w:r>
            <w:r>
              <w:rPr>
                <w:noProof/>
                <w:webHidden/>
              </w:rPr>
            </w:r>
            <w:r>
              <w:rPr>
                <w:noProof/>
                <w:webHidden/>
              </w:rPr>
              <w:fldChar w:fldCharType="separate"/>
            </w:r>
            <w:r w:rsidR="000412CE">
              <w:rPr>
                <w:noProof/>
                <w:webHidden/>
              </w:rPr>
              <w:t>122</w:t>
            </w:r>
            <w:r>
              <w:rPr>
                <w:noProof/>
                <w:webHidden/>
              </w:rPr>
              <w:fldChar w:fldCharType="end"/>
            </w:r>
          </w:hyperlink>
        </w:p>
        <w:p w14:paraId="67423DCE" w14:textId="7F144CB2"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312" w:history="1">
            <w:r w:rsidRPr="00B07923">
              <w:rPr>
                <w:rStyle w:val="Hyperlink"/>
                <w:noProof/>
                <w:lang w:val="en-US"/>
              </w:rPr>
              <w:t>2.6.4.</w:t>
            </w:r>
            <w:r>
              <w:rPr>
                <w:rFonts w:asciiTheme="minorHAnsi" w:eastAsiaTheme="minorEastAsia" w:hAnsiTheme="minorHAnsi"/>
                <w:noProof/>
                <w:kern w:val="2"/>
                <w:szCs w:val="24"/>
                <w:lang w:eastAsia="ja-JP"/>
                <w14:ligatures w14:val="standardContextual"/>
              </w:rPr>
              <w:tab/>
            </w:r>
            <w:r w:rsidRPr="00B07923">
              <w:rPr>
                <w:rStyle w:val="Hyperlink"/>
                <w:noProof/>
                <w:lang w:val="en-US"/>
              </w:rPr>
              <w:t>Application of PCMs integrated in clothing</w:t>
            </w:r>
            <w:r>
              <w:rPr>
                <w:noProof/>
                <w:webHidden/>
              </w:rPr>
              <w:tab/>
            </w:r>
            <w:r>
              <w:rPr>
                <w:noProof/>
                <w:webHidden/>
              </w:rPr>
              <w:fldChar w:fldCharType="begin"/>
            </w:r>
            <w:r>
              <w:rPr>
                <w:noProof/>
                <w:webHidden/>
              </w:rPr>
              <w:instrText xml:space="preserve"> PAGEREF _Toc214356312 \h </w:instrText>
            </w:r>
            <w:r>
              <w:rPr>
                <w:noProof/>
                <w:webHidden/>
              </w:rPr>
            </w:r>
            <w:r>
              <w:rPr>
                <w:noProof/>
                <w:webHidden/>
              </w:rPr>
              <w:fldChar w:fldCharType="separate"/>
            </w:r>
            <w:r w:rsidR="000412CE">
              <w:rPr>
                <w:noProof/>
                <w:webHidden/>
              </w:rPr>
              <w:t>123</w:t>
            </w:r>
            <w:r>
              <w:rPr>
                <w:noProof/>
                <w:webHidden/>
              </w:rPr>
              <w:fldChar w:fldCharType="end"/>
            </w:r>
          </w:hyperlink>
        </w:p>
        <w:p w14:paraId="7349FF32" w14:textId="50767DA3"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313" w:history="1">
            <w:r w:rsidRPr="00B07923">
              <w:rPr>
                <w:rStyle w:val="Hyperlink"/>
                <w:noProof/>
                <w:lang w:val="en-US"/>
              </w:rPr>
              <w:t>2.6.5.</w:t>
            </w:r>
            <w:r>
              <w:rPr>
                <w:rFonts w:asciiTheme="minorHAnsi" w:eastAsiaTheme="minorEastAsia" w:hAnsiTheme="minorHAnsi"/>
                <w:noProof/>
                <w:kern w:val="2"/>
                <w:szCs w:val="24"/>
                <w:lang w:eastAsia="ja-JP"/>
                <w14:ligatures w14:val="standardContextual"/>
              </w:rPr>
              <w:tab/>
            </w:r>
            <w:r w:rsidRPr="00B07923">
              <w:rPr>
                <w:rStyle w:val="Hyperlink"/>
                <w:noProof/>
                <w:lang w:val="en-US"/>
              </w:rPr>
              <w:t>Environmental impact and safety of PCMs</w:t>
            </w:r>
            <w:r>
              <w:rPr>
                <w:noProof/>
                <w:webHidden/>
              </w:rPr>
              <w:tab/>
            </w:r>
            <w:r>
              <w:rPr>
                <w:noProof/>
                <w:webHidden/>
              </w:rPr>
              <w:fldChar w:fldCharType="begin"/>
            </w:r>
            <w:r>
              <w:rPr>
                <w:noProof/>
                <w:webHidden/>
              </w:rPr>
              <w:instrText xml:space="preserve"> PAGEREF _Toc214356313 \h </w:instrText>
            </w:r>
            <w:r>
              <w:rPr>
                <w:noProof/>
                <w:webHidden/>
              </w:rPr>
            </w:r>
            <w:r>
              <w:rPr>
                <w:noProof/>
                <w:webHidden/>
              </w:rPr>
              <w:fldChar w:fldCharType="separate"/>
            </w:r>
            <w:r w:rsidR="000412CE">
              <w:rPr>
                <w:noProof/>
                <w:webHidden/>
              </w:rPr>
              <w:t>125</w:t>
            </w:r>
            <w:r>
              <w:rPr>
                <w:noProof/>
                <w:webHidden/>
              </w:rPr>
              <w:fldChar w:fldCharType="end"/>
            </w:r>
          </w:hyperlink>
        </w:p>
        <w:p w14:paraId="78D00890" w14:textId="6BD66AD9"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314" w:history="1">
            <w:r w:rsidRPr="00B07923">
              <w:rPr>
                <w:rStyle w:val="Hyperlink"/>
                <w:noProof/>
                <w:lang w:val="en-US"/>
              </w:rPr>
              <w:t>2.6.6.</w:t>
            </w:r>
            <w:r>
              <w:rPr>
                <w:rFonts w:asciiTheme="minorHAnsi" w:eastAsiaTheme="minorEastAsia" w:hAnsiTheme="minorHAnsi"/>
                <w:noProof/>
                <w:kern w:val="2"/>
                <w:szCs w:val="24"/>
                <w:lang w:eastAsia="ja-JP"/>
                <w14:ligatures w14:val="standardContextual"/>
              </w:rPr>
              <w:tab/>
            </w:r>
            <w:r w:rsidRPr="00B07923">
              <w:rPr>
                <w:rStyle w:val="Hyperlink"/>
                <w:noProof/>
                <w:lang w:val="en-US"/>
              </w:rPr>
              <w:t>Future reasearch directions</w:t>
            </w:r>
            <w:r>
              <w:rPr>
                <w:noProof/>
                <w:webHidden/>
              </w:rPr>
              <w:tab/>
            </w:r>
            <w:r>
              <w:rPr>
                <w:noProof/>
                <w:webHidden/>
              </w:rPr>
              <w:fldChar w:fldCharType="begin"/>
            </w:r>
            <w:r>
              <w:rPr>
                <w:noProof/>
                <w:webHidden/>
              </w:rPr>
              <w:instrText xml:space="preserve"> PAGEREF _Toc214356314 \h </w:instrText>
            </w:r>
            <w:r>
              <w:rPr>
                <w:noProof/>
                <w:webHidden/>
              </w:rPr>
            </w:r>
            <w:r>
              <w:rPr>
                <w:noProof/>
                <w:webHidden/>
              </w:rPr>
              <w:fldChar w:fldCharType="separate"/>
            </w:r>
            <w:r w:rsidR="000412CE">
              <w:rPr>
                <w:noProof/>
                <w:webHidden/>
              </w:rPr>
              <w:t>126</w:t>
            </w:r>
            <w:r>
              <w:rPr>
                <w:noProof/>
                <w:webHidden/>
              </w:rPr>
              <w:fldChar w:fldCharType="end"/>
            </w:r>
          </w:hyperlink>
        </w:p>
        <w:p w14:paraId="5FE56FA0" w14:textId="48A904C2" w:rsidR="004D6860" w:rsidRDefault="004D6860">
          <w:pPr>
            <w:pStyle w:val="TOC2"/>
            <w:tabs>
              <w:tab w:val="left" w:pos="720"/>
            </w:tabs>
            <w:rPr>
              <w:rFonts w:asciiTheme="minorHAnsi" w:eastAsiaTheme="minorEastAsia" w:hAnsiTheme="minorHAnsi"/>
              <w:noProof/>
              <w:kern w:val="2"/>
              <w:szCs w:val="24"/>
              <w:lang w:eastAsia="ja-JP"/>
              <w14:ligatures w14:val="standardContextual"/>
            </w:rPr>
          </w:pPr>
          <w:hyperlink w:anchor="_Toc214356315" w:history="1">
            <w:r w:rsidRPr="00B07923">
              <w:rPr>
                <w:rStyle w:val="Hyperlink"/>
                <w:bCs/>
                <w:noProof/>
                <w:lang w:val="en-US"/>
              </w:rPr>
              <w:t>2.7.</w:t>
            </w:r>
            <w:r>
              <w:rPr>
                <w:rFonts w:asciiTheme="minorHAnsi" w:eastAsiaTheme="minorEastAsia" w:hAnsiTheme="minorHAnsi"/>
                <w:noProof/>
                <w:kern w:val="2"/>
                <w:szCs w:val="24"/>
                <w:lang w:eastAsia="ja-JP"/>
                <w14:ligatures w14:val="standardContextual"/>
              </w:rPr>
              <w:tab/>
            </w:r>
            <w:r w:rsidRPr="00B07923">
              <w:rPr>
                <w:rStyle w:val="Hyperlink"/>
                <w:noProof/>
                <w:lang w:val="en-US"/>
              </w:rPr>
              <w:t>Patents review</w:t>
            </w:r>
            <w:r>
              <w:rPr>
                <w:noProof/>
                <w:webHidden/>
              </w:rPr>
              <w:tab/>
            </w:r>
            <w:r>
              <w:rPr>
                <w:noProof/>
                <w:webHidden/>
              </w:rPr>
              <w:fldChar w:fldCharType="begin"/>
            </w:r>
            <w:r>
              <w:rPr>
                <w:noProof/>
                <w:webHidden/>
              </w:rPr>
              <w:instrText xml:space="preserve"> PAGEREF _Toc214356315 \h </w:instrText>
            </w:r>
            <w:r>
              <w:rPr>
                <w:noProof/>
                <w:webHidden/>
              </w:rPr>
            </w:r>
            <w:r>
              <w:rPr>
                <w:noProof/>
                <w:webHidden/>
              </w:rPr>
              <w:fldChar w:fldCharType="separate"/>
            </w:r>
            <w:r w:rsidR="000412CE">
              <w:rPr>
                <w:noProof/>
                <w:webHidden/>
              </w:rPr>
              <w:t>127</w:t>
            </w:r>
            <w:r>
              <w:rPr>
                <w:noProof/>
                <w:webHidden/>
              </w:rPr>
              <w:fldChar w:fldCharType="end"/>
            </w:r>
          </w:hyperlink>
        </w:p>
        <w:p w14:paraId="7FF83BF1" w14:textId="0568198E" w:rsidR="004D6860" w:rsidRDefault="004D6860">
          <w:pPr>
            <w:pStyle w:val="TOC1"/>
            <w:tabs>
              <w:tab w:val="right" w:leader="dot" w:pos="8209"/>
            </w:tabs>
            <w:rPr>
              <w:rFonts w:asciiTheme="minorHAnsi" w:eastAsiaTheme="minorEastAsia" w:hAnsiTheme="minorHAnsi"/>
              <w:b w:val="0"/>
              <w:noProof/>
              <w:kern w:val="2"/>
              <w:szCs w:val="24"/>
              <w:lang w:eastAsia="ja-JP"/>
              <w14:ligatures w14:val="standardContextual"/>
            </w:rPr>
          </w:pPr>
          <w:hyperlink w:anchor="_Toc214356316" w:history="1">
            <w:r w:rsidRPr="00B07923">
              <w:rPr>
                <w:rStyle w:val="Hyperlink"/>
                <w:noProof/>
                <w:lang w:val="en-US"/>
              </w:rPr>
              <w:t>3</w:t>
            </w:r>
            <w:r>
              <w:rPr>
                <w:rFonts w:asciiTheme="minorHAnsi" w:eastAsiaTheme="minorEastAsia" w:hAnsiTheme="minorHAnsi"/>
                <w:b w:val="0"/>
                <w:noProof/>
                <w:kern w:val="2"/>
                <w:szCs w:val="24"/>
                <w:lang w:eastAsia="ja-JP"/>
                <w14:ligatures w14:val="standardContextual"/>
              </w:rPr>
              <w:tab/>
            </w:r>
            <w:r w:rsidRPr="00B07923">
              <w:rPr>
                <w:rStyle w:val="Hyperlink"/>
                <w:noProof/>
                <w:lang w:val="en-US"/>
              </w:rPr>
              <w:t>PCM Models</w:t>
            </w:r>
            <w:r>
              <w:rPr>
                <w:noProof/>
                <w:webHidden/>
              </w:rPr>
              <w:tab/>
            </w:r>
            <w:r>
              <w:rPr>
                <w:noProof/>
                <w:webHidden/>
              </w:rPr>
              <w:fldChar w:fldCharType="begin"/>
            </w:r>
            <w:r>
              <w:rPr>
                <w:noProof/>
                <w:webHidden/>
              </w:rPr>
              <w:instrText xml:space="preserve"> PAGEREF _Toc214356316 \h </w:instrText>
            </w:r>
            <w:r>
              <w:rPr>
                <w:noProof/>
                <w:webHidden/>
              </w:rPr>
            </w:r>
            <w:r>
              <w:rPr>
                <w:noProof/>
                <w:webHidden/>
              </w:rPr>
              <w:fldChar w:fldCharType="separate"/>
            </w:r>
            <w:r w:rsidR="000412CE">
              <w:rPr>
                <w:noProof/>
                <w:webHidden/>
              </w:rPr>
              <w:t>137</w:t>
            </w:r>
            <w:r>
              <w:rPr>
                <w:noProof/>
                <w:webHidden/>
              </w:rPr>
              <w:fldChar w:fldCharType="end"/>
            </w:r>
          </w:hyperlink>
        </w:p>
        <w:p w14:paraId="71207F30" w14:textId="4278205F" w:rsidR="004D6860" w:rsidRDefault="004D6860">
          <w:pPr>
            <w:pStyle w:val="TOC2"/>
            <w:tabs>
              <w:tab w:val="left" w:pos="720"/>
            </w:tabs>
            <w:rPr>
              <w:rFonts w:asciiTheme="minorHAnsi" w:eastAsiaTheme="minorEastAsia" w:hAnsiTheme="minorHAnsi"/>
              <w:noProof/>
              <w:kern w:val="2"/>
              <w:szCs w:val="24"/>
              <w:lang w:eastAsia="ja-JP"/>
              <w14:ligatures w14:val="standardContextual"/>
            </w:rPr>
          </w:pPr>
          <w:hyperlink w:anchor="_Toc214356317" w:history="1">
            <w:r w:rsidRPr="00B07923">
              <w:rPr>
                <w:rStyle w:val="Hyperlink"/>
                <w:bCs/>
                <w:noProof/>
                <w:lang w:val="en-US"/>
              </w:rPr>
              <w:t>3.1.</w:t>
            </w:r>
            <w:r>
              <w:rPr>
                <w:rFonts w:asciiTheme="minorHAnsi" w:eastAsiaTheme="minorEastAsia" w:hAnsiTheme="minorHAnsi"/>
                <w:noProof/>
                <w:kern w:val="2"/>
                <w:szCs w:val="24"/>
                <w:lang w:eastAsia="ja-JP"/>
                <w14:ligatures w14:val="standardContextual"/>
              </w:rPr>
              <w:tab/>
            </w:r>
            <w:r w:rsidRPr="00B07923">
              <w:rPr>
                <w:rStyle w:val="Hyperlink"/>
                <w:noProof/>
                <w:lang w:val="en-US"/>
              </w:rPr>
              <w:t>Introduction to the Stefan problem</w:t>
            </w:r>
            <w:r>
              <w:rPr>
                <w:noProof/>
                <w:webHidden/>
              </w:rPr>
              <w:tab/>
            </w:r>
            <w:r>
              <w:rPr>
                <w:noProof/>
                <w:webHidden/>
              </w:rPr>
              <w:fldChar w:fldCharType="begin"/>
            </w:r>
            <w:r>
              <w:rPr>
                <w:noProof/>
                <w:webHidden/>
              </w:rPr>
              <w:instrText xml:space="preserve"> PAGEREF _Toc214356317 \h </w:instrText>
            </w:r>
            <w:r>
              <w:rPr>
                <w:noProof/>
                <w:webHidden/>
              </w:rPr>
            </w:r>
            <w:r>
              <w:rPr>
                <w:noProof/>
                <w:webHidden/>
              </w:rPr>
              <w:fldChar w:fldCharType="separate"/>
            </w:r>
            <w:r w:rsidR="000412CE">
              <w:rPr>
                <w:noProof/>
                <w:webHidden/>
              </w:rPr>
              <w:t>137</w:t>
            </w:r>
            <w:r>
              <w:rPr>
                <w:noProof/>
                <w:webHidden/>
              </w:rPr>
              <w:fldChar w:fldCharType="end"/>
            </w:r>
          </w:hyperlink>
        </w:p>
        <w:p w14:paraId="06BC5159" w14:textId="399C4711" w:rsidR="004D6860" w:rsidRDefault="004D6860">
          <w:pPr>
            <w:pStyle w:val="TOC2"/>
            <w:tabs>
              <w:tab w:val="left" w:pos="720"/>
            </w:tabs>
            <w:rPr>
              <w:rFonts w:asciiTheme="minorHAnsi" w:eastAsiaTheme="minorEastAsia" w:hAnsiTheme="minorHAnsi"/>
              <w:noProof/>
              <w:kern w:val="2"/>
              <w:szCs w:val="24"/>
              <w:lang w:eastAsia="ja-JP"/>
              <w14:ligatures w14:val="standardContextual"/>
            </w:rPr>
          </w:pPr>
          <w:hyperlink w:anchor="_Toc214356318" w:history="1">
            <w:r w:rsidRPr="00B07923">
              <w:rPr>
                <w:rStyle w:val="Hyperlink"/>
                <w:bCs/>
                <w:noProof/>
              </w:rPr>
              <w:t>3.2.</w:t>
            </w:r>
            <w:r>
              <w:rPr>
                <w:rFonts w:asciiTheme="minorHAnsi" w:eastAsiaTheme="minorEastAsia" w:hAnsiTheme="minorHAnsi"/>
                <w:noProof/>
                <w:kern w:val="2"/>
                <w:szCs w:val="24"/>
                <w:lang w:eastAsia="ja-JP"/>
                <w14:ligatures w14:val="standardContextual"/>
              </w:rPr>
              <w:tab/>
            </w:r>
            <w:r w:rsidRPr="00B07923">
              <w:rPr>
                <w:rStyle w:val="Hyperlink"/>
                <w:noProof/>
              </w:rPr>
              <w:t>Stefan problem</w:t>
            </w:r>
            <w:r>
              <w:rPr>
                <w:noProof/>
                <w:webHidden/>
              </w:rPr>
              <w:tab/>
            </w:r>
            <w:r>
              <w:rPr>
                <w:noProof/>
                <w:webHidden/>
              </w:rPr>
              <w:fldChar w:fldCharType="begin"/>
            </w:r>
            <w:r>
              <w:rPr>
                <w:noProof/>
                <w:webHidden/>
              </w:rPr>
              <w:instrText xml:space="preserve"> PAGEREF _Toc214356318 \h </w:instrText>
            </w:r>
            <w:r>
              <w:rPr>
                <w:noProof/>
                <w:webHidden/>
              </w:rPr>
            </w:r>
            <w:r>
              <w:rPr>
                <w:noProof/>
                <w:webHidden/>
              </w:rPr>
              <w:fldChar w:fldCharType="separate"/>
            </w:r>
            <w:r w:rsidR="000412CE">
              <w:rPr>
                <w:noProof/>
                <w:webHidden/>
              </w:rPr>
              <w:t>138</w:t>
            </w:r>
            <w:r>
              <w:rPr>
                <w:noProof/>
                <w:webHidden/>
              </w:rPr>
              <w:fldChar w:fldCharType="end"/>
            </w:r>
          </w:hyperlink>
        </w:p>
        <w:p w14:paraId="01896F05" w14:textId="4B83F3AC" w:rsidR="004D6860" w:rsidRDefault="004D6860">
          <w:pPr>
            <w:pStyle w:val="TOC2"/>
            <w:tabs>
              <w:tab w:val="left" w:pos="720"/>
            </w:tabs>
            <w:rPr>
              <w:rFonts w:asciiTheme="minorHAnsi" w:eastAsiaTheme="minorEastAsia" w:hAnsiTheme="minorHAnsi"/>
              <w:noProof/>
              <w:kern w:val="2"/>
              <w:szCs w:val="24"/>
              <w:lang w:eastAsia="ja-JP"/>
              <w14:ligatures w14:val="standardContextual"/>
            </w:rPr>
          </w:pPr>
          <w:hyperlink w:anchor="_Toc214356319" w:history="1">
            <w:r w:rsidRPr="00B07923">
              <w:rPr>
                <w:rStyle w:val="Hyperlink"/>
                <w:bCs/>
                <w:noProof/>
                <w:lang w:val="en-US"/>
              </w:rPr>
              <w:t>3.3.</w:t>
            </w:r>
            <w:r>
              <w:rPr>
                <w:rFonts w:asciiTheme="minorHAnsi" w:eastAsiaTheme="minorEastAsia" w:hAnsiTheme="minorHAnsi"/>
                <w:noProof/>
                <w:kern w:val="2"/>
                <w:szCs w:val="24"/>
                <w:lang w:eastAsia="ja-JP"/>
                <w14:ligatures w14:val="standardContextual"/>
              </w:rPr>
              <w:tab/>
            </w:r>
            <w:r w:rsidRPr="00B07923">
              <w:rPr>
                <w:rStyle w:val="Hyperlink"/>
                <w:noProof/>
                <w:lang w:val="en-US"/>
              </w:rPr>
              <w:t>Neumann solution</w:t>
            </w:r>
            <w:r>
              <w:rPr>
                <w:noProof/>
                <w:webHidden/>
              </w:rPr>
              <w:tab/>
            </w:r>
            <w:r>
              <w:rPr>
                <w:noProof/>
                <w:webHidden/>
              </w:rPr>
              <w:fldChar w:fldCharType="begin"/>
            </w:r>
            <w:r>
              <w:rPr>
                <w:noProof/>
                <w:webHidden/>
              </w:rPr>
              <w:instrText xml:space="preserve"> PAGEREF _Toc214356319 \h </w:instrText>
            </w:r>
            <w:r>
              <w:rPr>
                <w:noProof/>
                <w:webHidden/>
              </w:rPr>
            </w:r>
            <w:r>
              <w:rPr>
                <w:noProof/>
                <w:webHidden/>
              </w:rPr>
              <w:fldChar w:fldCharType="separate"/>
            </w:r>
            <w:r w:rsidR="000412CE">
              <w:rPr>
                <w:noProof/>
                <w:webHidden/>
              </w:rPr>
              <w:t>142</w:t>
            </w:r>
            <w:r>
              <w:rPr>
                <w:noProof/>
                <w:webHidden/>
              </w:rPr>
              <w:fldChar w:fldCharType="end"/>
            </w:r>
          </w:hyperlink>
        </w:p>
        <w:p w14:paraId="1074C253" w14:textId="3521957D" w:rsidR="004D6860" w:rsidRDefault="004D6860">
          <w:pPr>
            <w:pStyle w:val="TOC2"/>
            <w:tabs>
              <w:tab w:val="left" w:pos="720"/>
            </w:tabs>
            <w:rPr>
              <w:rFonts w:asciiTheme="minorHAnsi" w:eastAsiaTheme="minorEastAsia" w:hAnsiTheme="minorHAnsi"/>
              <w:noProof/>
              <w:kern w:val="2"/>
              <w:szCs w:val="24"/>
              <w:lang w:eastAsia="ja-JP"/>
              <w14:ligatures w14:val="standardContextual"/>
            </w:rPr>
          </w:pPr>
          <w:hyperlink w:anchor="_Toc214356320" w:history="1">
            <w:r w:rsidRPr="00B07923">
              <w:rPr>
                <w:rStyle w:val="Hyperlink"/>
                <w:bCs/>
                <w:noProof/>
                <w:lang w:val="en-US"/>
              </w:rPr>
              <w:t>3.4.</w:t>
            </w:r>
            <w:r>
              <w:rPr>
                <w:rFonts w:asciiTheme="minorHAnsi" w:eastAsiaTheme="minorEastAsia" w:hAnsiTheme="minorHAnsi"/>
                <w:noProof/>
                <w:kern w:val="2"/>
                <w:szCs w:val="24"/>
                <w:lang w:eastAsia="ja-JP"/>
                <w14:ligatures w14:val="standardContextual"/>
              </w:rPr>
              <w:tab/>
            </w:r>
            <w:r w:rsidRPr="00B07923">
              <w:rPr>
                <w:rStyle w:val="Hyperlink"/>
                <w:noProof/>
                <w:lang w:val="en-US"/>
              </w:rPr>
              <w:t>Numerical models</w:t>
            </w:r>
            <w:r>
              <w:rPr>
                <w:noProof/>
                <w:webHidden/>
              </w:rPr>
              <w:tab/>
            </w:r>
            <w:r>
              <w:rPr>
                <w:noProof/>
                <w:webHidden/>
              </w:rPr>
              <w:fldChar w:fldCharType="begin"/>
            </w:r>
            <w:r>
              <w:rPr>
                <w:noProof/>
                <w:webHidden/>
              </w:rPr>
              <w:instrText xml:space="preserve"> PAGEREF _Toc214356320 \h </w:instrText>
            </w:r>
            <w:r>
              <w:rPr>
                <w:noProof/>
                <w:webHidden/>
              </w:rPr>
            </w:r>
            <w:r>
              <w:rPr>
                <w:noProof/>
                <w:webHidden/>
              </w:rPr>
              <w:fldChar w:fldCharType="separate"/>
            </w:r>
            <w:r w:rsidR="000412CE">
              <w:rPr>
                <w:noProof/>
                <w:webHidden/>
              </w:rPr>
              <w:t>143</w:t>
            </w:r>
            <w:r>
              <w:rPr>
                <w:noProof/>
                <w:webHidden/>
              </w:rPr>
              <w:fldChar w:fldCharType="end"/>
            </w:r>
          </w:hyperlink>
        </w:p>
        <w:p w14:paraId="6A4FA3C5" w14:textId="541D9AA3"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321" w:history="1">
            <w:r w:rsidRPr="00B07923">
              <w:rPr>
                <w:rStyle w:val="Hyperlink"/>
                <w:noProof/>
              </w:rPr>
              <w:t>3.4.1.</w:t>
            </w:r>
            <w:r>
              <w:rPr>
                <w:rFonts w:asciiTheme="minorHAnsi" w:eastAsiaTheme="minorEastAsia" w:hAnsiTheme="minorHAnsi"/>
                <w:noProof/>
                <w:kern w:val="2"/>
                <w:szCs w:val="24"/>
                <w:lang w:eastAsia="ja-JP"/>
                <w14:ligatures w14:val="standardContextual"/>
              </w:rPr>
              <w:tab/>
            </w:r>
            <w:r w:rsidRPr="00B07923">
              <w:rPr>
                <w:rStyle w:val="Hyperlink"/>
                <w:noProof/>
              </w:rPr>
              <w:t>Enthalpy model</w:t>
            </w:r>
            <w:r>
              <w:rPr>
                <w:noProof/>
                <w:webHidden/>
              </w:rPr>
              <w:tab/>
            </w:r>
            <w:r>
              <w:rPr>
                <w:noProof/>
                <w:webHidden/>
              </w:rPr>
              <w:fldChar w:fldCharType="begin"/>
            </w:r>
            <w:r>
              <w:rPr>
                <w:noProof/>
                <w:webHidden/>
              </w:rPr>
              <w:instrText xml:space="preserve"> PAGEREF _Toc214356321 \h </w:instrText>
            </w:r>
            <w:r>
              <w:rPr>
                <w:noProof/>
                <w:webHidden/>
              </w:rPr>
            </w:r>
            <w:r>
              <w:rPr>
                <w:noProof/>
                <w:webHidden/>
              </w:rPr>
              <w:fldChar w:fldCharType="separate"/>
            </w:r>
            <w:r w:rsidR="000412CE">
              <w:rPr>
                <w:noProof/>
                <w:webHidden/>
              </w:rPr>
              <w:t>144</w:t>
            </w:r>
            <w:r>
              <w:rPr>
                <w:noProof/>
                <w:webHidden/>
              </w:rPr>
              <w:fldChar w:fldCharType="end"/>
            </w:r>
          </w:hyperlink>
        </w:p>
        <w:p w14:paraId="0C4ABC0F" w14:textId="4AD48E1D"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322" w:history="1">
            <w:r w:rsidRPr="00B07923">
              <w:rPr>
                <w:rStyle w:val="Hyperlink"/>
                <w:noProof/>
                <w:lang w:val="en-US"/>
              </w:rPr>
              <w:t>3.4.2.</w:t>
            </w:r>
            <w:r>
              <w:rPr>
                <w:rFonts w:asciiTheme="minorHAnsi" w:eastAsiaTheme="minorEastAsia" w:hAnsiTheme="minorHAnsi"/>
                <w:noProof/>
                <w:kern w:val="2"/>
                <w:szCs w:val="24"/>
                <w:lang w:eastAsia="ja-JP"/>
                <w14:ligatures w14:val="standardContextual"/>
              </w:rPr>
              <w:tab/>
            </w:r>
            <w:r w:rsidRPr="00B07923">
              <w:rPr>
                <w:rStyle w:val="Hyperlink"/>
                <w:noProof/>
                <w:lang w:val="en-US"/>
              </w:rPr>
              <w:t>Equivalent specific heat capacity model</w:t>
            </w:r>
            <w:r>
              <w:rPr>
                <w:noProof/>
                <w:webHidden/>
              </w:rPr>
              <w:tab/>
            </w:r>
            <w:r>
              <w:rPr>
                <w:noProof/>
                <w:webHidden/>
              </w:rPr>
              <w:fldChar w:fldCharType="begin"/>
            </w:r>
            <w:r>
              <w:rPr>
                <w:noProof/>
                <w:webHidden/>
              </w:rPr>
              <w:instrText xml:space="preserve"> PAGEREF _Toc214356322 \h </w:instrText>
            </w:r>
            <w:r>
              <w:rPr>
                <w:noProof/>
                <w:webHidden/>
              </w:rPr>
            </w:r>
            <w:r>
              <w:rPr>
                <w:noProof/>
                <w:webHidden/>
              </w:rPr>
              <w:fldChar w:fldCharType="separate"/>
            </w:r>
            <w:r w:rsidR="000412CE">
              <w:rPr>
                <w:noProof/>
                <w:webHidden/>
              </w:rPr>
              <w:t>146</w:t>
            </w:r>
            <w:r>
              <w:rPr>
                <w:noProof/>
                <w:webHidden/>
              </w:rPr>
              <w:fldChar w:fldCharType="end"/>
            </w:r>
          </w:hyperlink>
        </w:p>
        <w:p w14:paraId="2A1D546E" w14:textId="1CFE825E" w:rsidR="004D6860" w:rsidRDefault="004D6860">
          <w:pPr>
            <w:pStyle w:val="TOC3"/>
            <w:tabs>
              <w:tab w:val="left" w:pos="960"/>
              <w:tab w:val="right" w:leader="dot" w:pos="8209"/>
            </w:tabs>
            <w:rPr>
              <w:rFonts w:asciiTheme="minorHAnsi" w:eastAsiaTheme="minorEastAsia" w:hAnsiTheme="minorHAnsi"/>
              <w:noProof/>
              <w:kern w:val="2"/>
              <w:szCs w:val="24"/>
              <w:lang w:eastAsia="ja-JP"/>
              <w14:ligatures w14:val="standardContextual"/>
            </w:rPr>
          </w:pPr>
          <w:hyperlink w:anchor="_Toc214356323" w:history="1">
            <w:r w:rsidRPr="00B07923">
              <w:rPr>
                <w:rStyle w:val="Hyperlink"/>
                <w:noProof/>
                <w:lang w:val="en-US"/>
              </w:rPr>
              <w:t>3.4.3.</w:t>
            </w:r>
            <w:r>
              <w:rPr>
                <w:rFonts w:asciiTheme="minorHAnsi" w:eastAsiaTheme="minorEastAsia" w:hAnsiTheme="minorHAnsi"/>
                <w:noProof/>
                <w:kern w:val="2"/>
                <w:szCs w:val="24"/>
                <w:lang w:eastAsia="ja-JP"/>
                <w14:ligatures w14:val="standardContextual"/>
              </w:rPr>
              <w:tab/>
            </w:r>
            <w:r w:rsidRPr="00B07923">
              <w:rPr>
                <w:rStyle w:val="Hyperlink"/>
                <w:noProof/>
                <w:lang w:val="en-US"/>
              </w:rPr>
              <w:t>Apparent specific heat capacity model</w:t>
            </w:r>
            <w:r>
              <w:rPr>
                <w:noProof/>
                <w:webHidden/>
              </w:rPr>
              <w:tab/>
            </w:r>
            <w:r>
              <w:rPr>
                <w:noProof/>
                <w:webHidden/>
              </w:rPr>
              <w:fldChar w:fldCharType="begin"/>
            </w:r>
            <w:r>
              <w:rPr>
                <w:noProof/>
                <w:webHidden/>
              </w:rPr>
              <w:instrText xml:space="preserve"> PAGEREF _Toc214356323 \h </w:instrText>
            </w:r>
            <w:r>
              <w:rPr>
                <w:noProof/>
                <w:webHidden/>
              </w:rPr>
            </w:r>
            <w:r>
              <w:rPr>
                <w:noProof/>
                <w:webHidden/>
              </w:rPr>
              <w:fldChar w:fldCharType="separate"/>
            </w:r>
            <w:r w:rsidR="000412CE">
              <w:rPr>
                <w:noProof/>
                <w:webHidden/>
              </w:rPr>
              <w:t>148</w:t>
            </w:r>
            <w:r>
              <w:rPr>
                <w:noProof/>
                <w:webHidden/>
              </w:rPr>
              <w:fldChar w:fldCharType="end"/>
            </w:r>
          </w:hyperlink>
        </w:p>
        <w:p w14:paraId="423CD6A7" w14:textId="1A3E0C5A" w:rsidR="004D6860" w:rsidRDefault="004D6860">
          <w:pPr>
            <w:pStyle w:val="TOC2"/>
            <w:tabs>
              <w:tab w:val="left" w:pos="720"/>
            </w:tabs>
            <w:rPr>
              <w:rFonts w:asciiTheme="minorHAnsi" w:eastAsiaTheme="minorEastAsia" w:hAnsiTheme="minorHAnsi"/>
              <w:noProof/>
              <w:kern w:val="2"/>
              <w:szCs w:val="24"/>
              <w:lang w:eastAsia="ja-JP"/>
              <w14:ligatures w14:val="standardContextual"/>
            </w:rPr>
          </w:pPr>
          <w:hyperlink w:anchor="_Toc214356324" w:history="1">
            <w:r w:rsidRPr="00B07923">
              <w:rPr>
                <w:rStyle w:val="Hyperlink"/>
                <w:bCs/>
                <w:noProof/>
                <w:lang w:val="en-US"/>
              </w:rPr>
              <w:t>3.5.</w:t>
            </w:r>
            <w:r>
              <w:rPr>
                <w:rFonts w:asciiTheme="minorHAnsi" w:eastAsiaTheme="minorEastAsia" w:hAnsiTheme="minorHAnsi"/>
                <w:noProof/>
                <w:kern w:val="2"/>
                <w:szCs w:val="24"/>
                <w:lang w:eastAsia="ja-JP"/>
                <w14:ligatures w14:val="standardContextual"/>
              </w:rPr>
              <w:tab/>
            </w:r>
            <w:r w:rsidRPr="00B07923">
              <w:rPr>
                <w:rStyle w:val="Hyperlink"/>
                <w:noProof/>
              </w:rPr>
              <w:t>COMSOL</w:t>
            </w:r>
            <w:r w:rsidRPr="00B07923">
              <w:rPr>
                <w:rStyle w:val="Hyperlink"/>
                <w:noProof/>
                <w:lang w:val="en-US"/>
              </w:rPr>
              <w:t xml:space="preserve"> Multiphysics</w:t>
            </w:r>
            <w:r>
              <w:rPr>
                <w:noProof/>
                <w:webHidden/>
              </w:rPr>
              <w:tab/>
            </w:r>
            <w:r>
              <w:rPr>
                <w:noProof/>
                <w:webHidden/>
              </w:rPr>
              <w:fldChar w:fldCharType="begin"/>
            </w:r>
            <w:r>
              <w:rPr>
                <w:noProof/>
                <w:webHidden/>
              </w:rPr>
              <w:instrText xml:space="preserve"> PAGEREF _Toc214356324 \h </w:instrText>
            </w:r>
            <w:r>
              <w:rPr>
                <w:noProof/>
                <w:webHidden/>
              </w:rPr>
            </w:r>
            <w:r>
              <w:rPr>
                <w:noProof/>
                <w:webHidden/>
              </w:rPr>
              <w:fldChar w:fldCharType="separate"/>
            </w:r>
            <w:r w:rsidR="000412CE">
              <w:rPr>
                <w:noProof/>
                <w:webHidden/>
              </w:rPr>
              <w:t>150</w:t>
            </w:r>
            <w:r>
              <w:rPr>
                <w:noProof/>
                <w:webHidden/>
              </w:rPr>
              <w:fldChar w:fldCharType="end"/>
            </w:r>
          </w:hyperlink>
        </w:p>
        <w:p w14:paraId="3303A494" w14:textId="38B112F6" w:rsidR="004D6860" w:rsidRDefault="004D6860">
          <w:pPr>
            <w:pStyle w:val="TOC1"/>
            <w:tabs>
              <w:tab w:val="right" w:leader="dot" w:pos="8209"/>
            </w:tabs>
            <w:rPr>
              <w:rFonts w:asciiTheme="minorHAnsi" w:eastAsiaTheme="minorEastAsia" w:hAnsiTheme="minorHAnsi"/>
              <w:b w:val="0"/>
              <w:noProof/>
              <w:kern w:val="2"/>
              <w:szCs w:val="24"/>
              <w:lang w:eastAsia="ja-JP"/>
              <w14:ligatures w14:val="standardContextual"/>
            </w:rPr>
          </w:pPr>
          <w:hyperlink w:anchor="_Toc214356325" w:history="1">
            <w:r w:rsidRPr="00B07923">
              <w:rPr>
                <w:rStyle w:val="Hyperlink"/>
                <w:noProof/>
                <w:lang w:val="en-US"/>
              </w:rPr>
              <w:t>Bibliography</w:t>
            </w:r>
            <w:r>
              <w:rPr>
                <w:noProof/>
                <w:webHidden/>
              </w:rPr>
              <w:tab/>
            </w:r>
            <w:r>
              <w:rPr>
                <w:noProof/>
                <w:webHidden/>
              </w:rPr>
              <w:fldChar w:fldCharType="begin"/>
            </w:r>
            <w:r>
              <w:rPr>
                <w:noProof/>
                <w:webHidden/>
              </w:rPr>
              <w:instrText xml:space="preserve"> PAGEREF _Toc214356325 \h </w:instrText>
            </w:r>
            <w:r>
              <w:rPr>
                <w:noProof/>
                <w:webHidden/>
              </w:rPr>
            </w:r>
            <w:r>
              <w:rPr>
                <w:noProof/>
                <w:webHidden/>
              </w:rPr>
              <w:fldChar w:fldCharType="separate"/>
            </w:r>
            <w:r w:rsidR="000412CE">
              <w:rPr>
                <w:noProof/>
                <w:webHidden/>
              </w:rPr>
              <w:t>155</w:t>
            </w:r>
            <w:r>
              <w:rPr>
                <w:noProof/>
                <w:webHidden/>
              </w:rPr>
              <w:fldChar w:fldCharType="end"/>
            </w:r>
          </w:hyperlink>
        </w:p>
        <w:p w14:paraId="2DCD886D" w14:textId="07ED27F3" w:rsidR="004D6860" w:rsidRDefault="004D6860">
          <w:pPr>
            <w:pStyle w:val="TOC1"/>
            <w:tabs>
              <w:tab w:val="right" w:leader="dot" w:pos="8209"/>
            </w:tabs>
            <w:rPr>
              <w:rFonts w:asciiTheme="minorHAnsi" w:eastAsiaTheme="minorEastAsia" w:hAnsiTheme="minorHAnsi"/>
              <w:b w:val="0"/>
              <w:noProof/>
              <w:kern w:val="2"/>
              <w:szCs w:val="24"/>
              <w:lang w:eastAsia="ja-JP"/>
              <w14:ligatures w14:val="standardContextual"/>
            </w:rPr>
          </w:pPr>
          <w:hyperlink w:anchor="_Toc214356326" w:history="1">
            <w:r w:rsidRPr="00B07923">
              <w:rPr>
                <w:rStyle w:val="Hyperlink"/>
                <w:noProof/>
                <w:lang w:val="en-GB"/>
              </w:rPr>
              <w:t>List of Figures</w:t>
            </w:r>
            <w:r>
              <w:rPr>
                <w:noProof/>
                <w:webHidden/>
              </w:rPr>
              <w:tab/>
            </w:r>
            <w:r>
              <w:rPr>
                <w:noProof/>
                <w:webHidden/>
              </w:rPr>
              <w:fldChar w:fldCharType="begin"/>
            </w:r>
            <w:r>
              <w:rPr>
                <w:noProof/>
                <w:webHidden/>
              </w:rPr>
              <w:instrText xml:space="preserve"> PAGEREF _Toc214356326 \h </w:instrText>
            </w:r>
            <w:r>
              <w:rPr>
                <w:noProof/>
                <w:webHidden/>
              </w:rPr>
            </w:r>
            <w:r>
              <w:rPr>
                <w:noProof/>
                <w:webHidden/>
              </w:rPr>
              <w:fldChar w:fldCharType="separate"/>
            </w:r>
            <w:r w:rsidR="000412CE">
              <w:rPr>
                <w:noProof/>
                <w:webHidden/>
              </w:rPr>
              <w:t>177</w:t>
            </w:r>
            <w:r>
              <w:rPr>
                <w:noProof/>
                <w:webHidden/>
              </w:rPr>
              <w:fldChar w:fldCharType="end"/>
            </w:r>
          </w:hyperlink>
        </w:p>
        <w:p w14:paraId="40F77C17" w14:textId="2C487D11" w:rsidR="004D6860" w:rsidRDefault="004D6860">
          <w:pPr>
            <w:pStyle w:val="TOC1"/>
            <w:tabs>
              <w:tab w:val="right" w:leader="dot" w:pos="8209"/>
            </w:tabs>
            <w:rPr>
              <w:rFonts w:asciiTheme="minorHAnsi" w:eastAsiaTheme="minorEastAsia" w:hAnsiTheme="minorHAnsi"/>
              <w:b w:val="0"/>
              <w:noProof/>
              <w:kern w:val="2"/>
              <w:szCs w:val="24"/>
              <w:lang w:eastAsia="ja-JP"/>
              <w14:ligatures w14:val="standardContextual"/>
            </w:rPr>
          </w:pPr>
          <w:hyperlink w:anchor="_Toc214356327" w:history="1">
            <w:r w:rsidRPr="00B07923">
              <w:rPr>
                <w:rStyle w:val="Hyperlink"/>
                <w:noProof/>
                <w:lang w:val="en-GB"/>
              </w:rPr>
              <w:t>List of Tables</w:t>
            </w:r>
            <w:r>
              <w:rPr>
                <w:noProof/>
                <w:webHidden/>
              </w:rPr>
              <w:tab/>
            </w:r>
            <w:r>
              <w:rPr>
                <w:noProof/>
                <w:webHidden/>
              </w:rPr>
              <w:fldChar w:fldCharType="begin"/>
            </w:r>
            <w:r>
              <w:rPr>
                <w:noProof/>
                <w:webHidden/>
              </w:rPr>
              <w:instrText xml:space="preserve"> PAGEREF _Toc214356327 \h </w:instrText>
            </w:r>
            <w:r>
              <w:rPr>
                <w:noProof/>
                <w:webHidden/>
              </w:rPr>
            </w:r>
            <w:r>
              <w:rPr>
                <w:noProof/>
                <w:webHidden/>
              </w:rPr>
              <w:fldChar w:fldCharType="separate"/>
            </w:r>
            <w:r w:rsidR="000412CE">
              <w:rPr>
                <w:noProof/>
                <w:webHidden/>
              </w:rPr>
              <w:t>181</w:t>
            </w:r>
            <w:r>
              <w:rPr>
                <w:noProof/>
                <w:webHidden/>
              </w:rPr>
              <w:fldChar w:fldCharType="end"/>
            </w:r>
          </w:hyperlink>
        </w:p>
        <w:p w14:paraId="7721A51C" w14:textId="71604490" w:rsidR="00356473" w:rsidRPr="00544E92" w:rsidRDefault="006D4C1A" w:rsidP="00C72DAA">
          <w:pPr>
            <w:ind w:left="-567"/>
            <w:rPr>
              <w:lang w:val="en-GB"/>
            </w:rPr>
          </w:pPr>
          <w:r>
            <w:rPr>
              <w:b/>
              <w:lang w:val="en-GB"/>
            </w:rPr>
            <w:fldChar w:fldCharType="end"/>
          </w:r>
        </w:p>
      </w:sdtContent>
    </w:sdt>
    <w:p w14:paraId="79F3DC12" w14:textId="54ABDB5E" w:rsidR="00DD0BDB" w:rsidRPr="00544E92" w:rsidRDefault="00DD0BDB" w:rsidP="00D128F3">
      <w:pPr>
        <w:rPr>
          <w:lang w:val="en-GB"/>
        </w:rPr>
      </w:pPr>
    </w:p>
    <w:p w14:paraId="4D0276E9" w14:textId="77777777" w:rsidR="00DD0BDB" w:rsidRPr="00544E92" w:rsidRDefault="00DD0BDB" w:rsidP="00D128F3">
      <w:pPr>
        <w:rPr>
          <w:lang w:val="en-GB"/>
        </w:rPr>
        <w:sectPr w:rsidR="00DD0BDB" w:rsidRPr="00544E92" w:rsidSect="00070452">
          <w:headerReference w:type="even" r:id="rId18"/>
          <w:headerReference w:type="default" r:id="rId19"/>
          <w:footerReference w:type="even" r:id="rId20"/>
          <w:footerReference w:type="default" r:id="rId21"/>
          <w:headerReference w:type="first" r:id="rId22"/>
          <w:footerReference w:type="first" r:id="rId23"/>
          <w:type w:val="oddPage"/>
          <w:pgSz w:w="11906" w:h="16838" w:code="9"/>
          <w:pgMar w:top="1701" w:right="1418" w:bottom="1418" w:left="1418" w:header="851" w:footer="851" w:gutter="851"/>
          <w:pgNumType w:fmt="lowerRoman"/>
          <w:cols w:space="708"/>
          <w:titlePg/>
          <w:docGrid w:linePitch="360"/>
        </w:sectPr>
      </w:pPr>
    </w:p>
    <w:p w14:paraId="600B93D1" w14:textId="17D9C3A1" w:rsidR="00DD0BDB" w:rsidRPr="00544E92" w:rsidRDefault="00DD0BDB" w:rsidP="00BF2714">
      <w:pPr>
        <w:pStyle w:val="Heading1"/>
        <w:numPr>
          <w:ilvl w:val="0"/>
          <w:numId w:val="0"/>
        </w:numPr>
        <w:rPr>
          <w:lang w:val="en-GB"/>
        </w:rPr>
      </w:pPr>
      <w:bookmarkStart w:id="4" w:name="_Toc214356266"/>
      <w:r w:rsidRPr="00544E92">
        <w:rPr>
          <w:lang w:val="en-GB"/>
        </w:rPr>
        <w:lastRenderedPageBreak/>
        <w:t>Introduction</w:t>
      </w:r>
      <w:bookmarkEnd w:id="4"/>
    </w:p>
    <w:p w14:paraId="0925F3B3" w14:textId="03A9C499" w:rsidR="00443608" w:rsidRPr="00443608" w:rsidRDefault="00443608" w:rsidP="00443608">
      <w:pPr>
        <w:rPr>
          <w:rFonts w:cs="Times New Roman"/>
          <w:lang w:val="en-US"/>
        </w:rPr>
      </w:pPr>
      <w:bookmarkStart w:id="5" w:name="_Hlk213082507"/>
      <w:r w:rsidRPr="00443608">
        <w:rPr>
          <w:rFonts w:cs="Times New Roman"/>
          <w:lang w:val="en-US"/>
        </w:rPr>
        <w:t>Historically, energy demand has been met primarily through non-renewable sources, particularly fossil fuels and nuclear power. However, these resources are limited and do not regenerate on a time scale compatible with human needs. The intensive use of fossil fuels has two major consequences. The first concerns the environment: the combustion of coal, oil, and natural gas releases large amounts of greenhouse gases into the atmosphere, such as CO</w:t>
      </w:r>
      <w:r w:rsidRPr="00443608">
        <w:rPr>
          <w:rFonts w:cs="Times New Roman"/>
          <w:vertAlign w:val="subscript"/>
          <w:lang w:val="en-US"/>
        </w:rPr>
        <w:t>2</w:t>
      </w:r>
      <w:r w:rsidRPr="00443608">
        <w:rPr>
          <w:rFonts w:cs="Times New Roman"/>
          <w:lang w:val="en-US"/>
        </w:rPr>
        <w:t>, CH</w:t>
      </w:r>
      <w:r w:rsidRPr="00443608">
        <w:rPr>
          <w:rFonts w:cs="Times New Roman"/>
          <w:vertAlign w:val="subscript"/>
          <w:lang w:val="en-US"/>
        </w:rPr>
        <w:t>4</w:t>
      </w:r>
      <w:r w:rsidRPr="00443608">
        <w:rPr>
          <w:rFonts w:cs="Times New Roman"/>
          <w:lang w:val="en-US"/>
        </w:rPr>
        <w:t>, and N</w:t>
      </w:r>
      <w:r w:rsidRPr="00443608">
        <w:rPr>
          <w:rFonts w:cs="Times New Roman"/>
          <w:vertAlign w:val="subscript"/>
          <w:lang w:val="en-US"/>
        </w:rPr>
        <w:t>2</w:t>
      </w:r>
      <w:r w:rsidRPr="00443608">
        <w:rPr>
          <w:rFonts w:cs="Times New Roman"/>
          <w:lang w:val="en-US"/>
        </w:rPr>
        <w:t>O, which intensify the natural greenhouse effect and contribute to global warming. Data clearly show an increase in CO</w:t>
      </w:r>
      <w:r w:rsidRPr="00443608">
        <w:rPr>
          <w:rFonts w:cs="Times New Roman"/>
          <w:vertAlign w:val="subscript"/>
          <w:lang w:val="en-US"/>
        </w:rPr>
        <w:t>2</w:t>
      </w:r>
      <w:r w:rsidRPr="00443608">
        <w:rPr>
          <w:rFonts w:cs="Times New Roman"/>
          <w:lang w:val="en-US"/>
        </w:rPr>
        <w:t xml:space="preserve"> concentrations and anomalies in global average temperature. The effects are already tangible: melting glaciers, rising sea levels, more frequent extreme events (floods, heat waves, wildfires), with economic costs estimated in the trillions of dollars by mid-century </w:t>
      </w:r>
      <w:sdt>
        <w:sdtPr>
          <w:rPr>
            <w:rFonts w:cs="Times New Roman"/>
            <w:lang w:val="en-US"/>
          </w:rPr>
          <w:id w:val="-1969345065"/>
          <w:citation/>
        </w:sdtPr>
        <w:sdtContent>
          <w:r w:rsidRPr="00443608">
            <w:rPr>
              <w:rFonts w:cs="Times New Roman"/>
              <w:lang w:val="en-US"/>
            </w:rPr>
            <w:fldChar w:fldCharType="begin"/>
          </w:r>
          <w:r w:rsidRPr="00443608">
            <w:rPr>
              <w:rFonts w:cs="Times New Roman"/>
              <w:lang w:val="en-US"/>
            </w:rPr>
            <w:instrText xml:space="preserve"> CITATION Placeholder7 \l 1040 </w:instrText>
          </w:r>
          <w:r w:rsidRPr="00443608">
            <w:rPr>
              <w:rFonts w:cs="Times New Roman"/>
              <w:lang w:val="en-US"/>
            </w:rPr>
            <w:fldChar w:fldCharType="separate"/>
          </w:r>
          <w:r w:rsidR="00855396" w:rsidRPr="00855396">
            <w:rPr>
              <w:rFonts w:cs="Times New Roman"/>
              <w:noProof/>
              <w:lang w:val="en-US"/>
            </w:rPr>
            <w:t>[1]</w:t>
          </w:r>
          <w:r w:rsidRPr="00443608">
            <w:rPr>
              <w:rFonts w:cs="Times New Roman"/>
              <w:lang w:val="en-US"/>
            </w:rPr>
            <w:fldChar w:fldCharType="end"/>
          </w:r>
        </w:sdtContent>
      </w:sdt>
      <w:r w:rsidRPr="00443608">
        <w:rPr>
          <w:rFonts w:cs="Times New Roman"/>
          <w:lang w:val="en-US"/>
        </w:rPr>
        <w:t>.  The second consequence concerns energy security. Since fossil fuels and uranium are limited resources, their availability is subject to sharp price fluctuations and geopolitical risks. Moreover, the concentration of production in a few countries and the dependence on imports make energy systems vulnerable to political and economic crises. A third aspect concerns access to energy. Even today, in many parts of the world, a portion of the population does not have reliable access to electricity or to clean cooking fuels. Renewable technologies, being decentralized and scalable, can provide off-grid solutions and improve living conditions in remote regions. Naturally available resources regenerate on a human time scale and, if properly integrated with storage systems and smart grids, can ensure clean, safe, and sustainable energy for the future.</w:t>
      </w:r>
    </w:p>
    <w:p w14:paraId="1002BEBF" w14:textId="2A332A32" w:rsidR="00443608" w:rsidRPr="00443608" w:rsidRDefault="00443608" w:rsidP="00443608">
      <w:pPr>
        <w:rPr>
          <w:rFonts w:cs="Times New Roman"/>
          <w:lang w:val="en-US"/>
        </w:rPr>
      </w:pPr>
      <w:r w:rsidRPr="00443608">
        <w:rPr>
          <w:rFonts w:cs="Times New Roman"/>
          <w:lang w:val="en-US"/>
        </w:rPr>
        <w:t xml:space="preserve">However, their integration still presents some significant challenges, particularly related to their intermittency and variability. Production is not constant, but depends on external conditions that can change rapidly and unpredictably. This variability makes it difficult to ensure a continuous match between energy supply and demand, creating issues for grid integration. For this reason, it is essential to develop reliable and economically sustainable energy storage solutions capable of balancing production fluctuations and ensuring system stability. Thermal energy storage can overcome the disadvantages of renewable energy systems by storing the energy generated during off-peak hours of consumption and returning this energy during the period of </w:t>
      </w:r>
      <w:r w:rsidR="00DF5EA2">
        <w:rPr>
          <w:rFonts w:cs="Times New Roman"/>
          <w:lang w:val="en-US"/>
        </w:rPr>
        <w:t>high peak</w:t>
      </w:r>
      <w:r w:rsidRPr="00443608">
        <w:rPr>
          <w:rFonts w:cs="Times New Roman"/>
          <w:lang w:val="en-US"/>
        </w:rPr>
        <w:t xml:space="preserve"> consumption </w:t>
      </w:r>
      <w:sdt>
        <w:sdtPr>
          <w:rPr>
            <w:rFonts w:cs="Times New Roman"/>
            <w:lang w:val="en-US"/>
          </w:rPr>
          <w:id w:val="2112158444"/>
          <w:citation/>
        </w:sdtPr>
        <w:sdtContent>
          <w:r w:rsidRPr="00443608">
            <w:rPr>
              <w:rFonts w:cs="Times New Roman"/>
              <w:lang w:val="en-US"/>
            </w:rPr>
            <w:fldChar w:fldCharType="begin"/>
          </w:r>
          <w:r w:rsidRPr="00443608">
            <w:rPr>
              <w:rFonts w:cs="Times New Roman"/>
              <w:lang w:val="en-US"/>
            </w:rPr>
            <w:instrText xml:space="preserve"> CITATION Placeholder8 \l 1040 </w:instrText>
          </w:r>
          <w:r w:rsidRPr="00443608">
            <w:rPr>
              <w:rFonts w:cs="Times New Roman"/>
              <w:lang w:val="en-US"/>
            </w:rPr>
            <w:fldChar w:fldCharType="separate"/>
          </w:r>
          <w:r w:rsidR="00855396" w:rsidRPr="00855396">
            <w:rPr>
              <w:rFonts w:cs="Times New Roman"/>
              <w:noProof/>
              <w:lang w:val="en-US"/>
            </w:rPr>
            <w:t>[2]</w:t>
          </w:r>
          <w:r w:rsidRPr="00443608">
            <w:rPr>
              <w:rFonts w:cs="Times New Roman"/>
              <w:lang w:val="en-US"/>
            </w:rPr>
            <w:fldChar w:fldCharType="end"/>
          </w:r>
        </w:sdtContent>
      </w:sdt>
      <w:r w:rsidRPr="00443608">
        <w:rPr>
          <w:rFonts w:cs="Times New Roman"/>
          <w:lang w:val="en-US"/>
        </w:rPr>
        <w:t xml:space="preserve">. Thermal energy storage can occur in three ways, represented in Figure 1. The first consists of sensible heat storage, where the added energy is used to increase the temperature of the medium without any phase change </w:t>
      </w:r>
      <w:sdt>
        <w:sdtPr>
          <w:rPr>
            <w:rFonts w:cs="Times New Roman"/>
            <w:lang w:val="en-US"/>
          </w:rPr>
          <w:id w:val="414670923"/>
          <w:citation/>
        </w:sdtPr>
        <w:sdtContent>
          <w:r w:rsidRPr="00443608">
            <w:rPr>
              <w:rFonts w:cs="Times New Roman"/>
              <w:lang w:val="en-US"/>
            </w:rPr>
            <w:fldChar w:fldCharType="begin"/>
          </w:r>
          <w:r w:rsidRPr="00443608">
            <w:rPr>
              <w:rFonts w:cs="Times New Roman"/>
              <w:lang w:val="en-US"/>
            </w:rPr>
            <w:instrText xml:space="preserve"> CITATION Placeholder9 \l 1040 </w:instrText>
          </w:r>
          <w:r w:rsidRPr="00443608">
            <w:rPr>
              <w:rFonts w:cs="Times New Roman"/>
              <w:lang w:val="en-US"/>
            </w:rPr>
            <w:fldChar w:fldCharType="separate"/>
          </w:r>
          <w:r w:rsidR="00855396" w:rsidRPr="00855396">
            <w:rPr>
              <w:rFonts w:cs="Times New Roman"/>
              <w:noProof/>
              <w:lang w:val="en-US"/>
            </w:rPr>
            <w:t>[3]</w:t>
          </w:r>
          <w:r w:rsidRPr="00443608">
            <w:rPr>
              <w:rFonts w:cs="Times New Roman"/>
              <w:lang w:val="en-US"/>
            </w:rPr>
            <w:fldChar w:fldCharType="end"/>
          </w:r>
        </w:sdtContent>
      </w:sdt>
      <w:r w:rsidRPr="00443608">
        <w:rPr>
          <w:rFonts w:cs="Times New Roman"/>
          <w:lang w:val="en-US"/>
        </w:rPr>
        <w:t xml:space="preserve">. The second one consists of Thermochemical storage that works through reversible chemical reactions, where energy is stored when molecular bonds are broken and can </w:t>
      </w:r>
      <w:r w:rsidRPr="00443608">
        <w:rPr>
          <w:rFonts w:cs="Times New Roman"/>
          <w:lang w:val="en-US"/>
        </w:rPr>
        <w:lastRenderedPageBreak/>
        <w:t xml:space="preserve">be recovered when the reaction runs in reverse </w:t>
      </w:r>
      <w:sdt>
        <w:sdtPr>
          <w:rPr>
            <w:rFonts w:cs="Times New Roman"/>
            <w:lang w:val="en-US"/>
          </w:rPr>
          <w:id w:val="1568304410"/>
          <w:citation/>
        </w:sdtPr>
        <w:sdtContent>
          <w:r w:rsidRPr="00443608">
            <w:rPr>
              <w:rFonts w:cs="Times New Roman"/>
              <w:lang w:val="en-US"/>
            </w:rPr>
            <w:fldChar w:fldCharType="begin"/>
          </w:r>
          <w:r w:rsidRPr="00443608">
            <w:rPr>
              <w:rFonts w:cs="Times New Roman"/>
              <w:lang w:val="en-US"/>
            </w:rPr>
            <w:instrText xml:space="preserve"> CITATION Placeholder10 \l 1040 </w:instrText>
          </w:r>
          <w:r w:rsidRPr="00443608">
            <w:rPr>
              <w:rFonts w:cs="Times New Roman"/>
              <w:lang w:val="en-US"/>
            </w:rPr>
            <w:fldChar w:fldCharType="separate"/>
          </w:r>
          <w:r w:rsidR="00855396" w:rsidRPr="00855396">
            <w:rPr>
              <w:rFonts w:cs="Times New Roman"/>
              <w:noProof/>
              <w:lang w:val="en-US"/>
            </w:rPr>
            <w:t>[4]</w:t>
          </w:r>
          <w:r w:rsidRPr="00443608">
            <w:rPr>
              <w:rFonts w:cs="Times New Roman"/>
              <w:lang w:val="en-US"/>
            </w:rPr>
            <w:fldChar w:fldCharType="end"/>
          </w:r>
        </w:sdtContent>
      </w:sdt>
      <w:r w:rsidRPr="00443608">
        <w:rPr>
          <w:rFonts w:cs="Times New Roman"/>
          <w:lang w:val="en-US"/>
        </w:rPr>
        <w:t xml:space="preserve">. In this work, our focus will be particularly on latent heat storage, which allows the accumulation or release of heat as the medium undergoes a phase change. Materials used for latent heat storage are called </w:t>
      </w:r>
      <w:r w:rsidR="006D1740">
        <w:rPr>
          <w:rFonts w:cs="Times New Roman"/>
          <w:lang w:val="en-US"/>
        </w:rPr>
        <w:t>P</w:t>
      </w:r>
      <w:r w:rsidRPr="00443608">
        <w:rPr>
          <w:rFonts w:cs="Times New Roman"/>
          <w:lang w:val="en-US"/>
        </w:rPr>
        <w:t xml:space="preserve">hase </w:t>
      </w:r>
      <w:r w:rsidR="006D1740">
        <w:rPr>
          <w:rFonts w:cs="Times New Roman"/>
          <w:lang w:val="en-US"/>
        </w:rPr>
        <w:t>C</w:t>
      </w:r>
      <w:r w:rsidRPr="00443608">
        <w:rPr>
          <w:rFonts w:cs="Times New Roman"/>
          <w:lang w:val="en-US"/>
        </w:rPr>
        <w:t xml:space="preserve">hange </w:t>
      </w:r>
      <w:r w:rsidR="006D1740">
        <w:rPr>
          <w:rFonts w:cs="Times New Roman"/>
          <w:lang w:val="en-US"/>
        </w:rPr>
        <w:t>M</w:t>
      </w:r>
      <w:r w:rsidRPr="00443608">
        <w:rPr>
          <w:rFonts w:cs="Times New Roman"/>
          <w:lang w:val="en-US"/>
        </w:rPr>
        <w:t>aterials</w:t>
      </w:r>
      <w:r w:rsidR="006D1740">
        <w:rPr>
          <w:rFonts w:cs="Times New Roman"/>
          <w:lang w:val="en-US"/>
        </w:rPr>
        <w:t xml:space="preserve"> (PCM)</w:t>
      </w:r>
      <w:r w:rsidRPr="00443608">
        <w:rPr>
          <w:rFonts w:cs="Times New Roman"/>
          <w:lang w:val="en-US"/>
        </w:rPr>
        <w:t xml:space="preserve">, and in recent decades, they have been the subject of scientific research due to their properties and the significant contributions they can make to thermal storage. When the temperature increases, the material undergoes a phase change (for example, from solid to liquid) and absorbs energy during this process. Conversely, when the temperature decreases, the PCM releases energy. The use of these materials is preferred over other storage systems because PCMs allow large amounts of energy to be stored at high density with limited temperature variations, ensuring greater efficiency and operational stability </w:t>
      </w:r>
      <w:sdt>
        <w:sdtPr>
          <w:rPr>
            <w:rFonts w:cs="Times New Roman"/>
            <w:lang w:val="en-US"/>
          </w:rPr>
          <w:id w:val="278155840"/>
          <w:citation/>
        </w:sdtPr>
        <w:sdtContent>
          <w:r w:rsidRPr="00443608">
            <w:rPr>
              <w:rFonts w:cs="Times New Roman"/>
              <w:lang w:val="en-US"/>
            </w:rPr>
            <w:fldChar w:fldCharType="begin"/>
          </w:r>
          <w:r w:rsidRPr="00443608">
            <w:rPr>
              <w:rFonts w:cs="Times New Roman"/>
              <w:lang w:val="en-US"/>
            </w:rPr>
            <w:instrText xml:space="preserve"> CITATION Placeholder11 \l 1040 </w:instrText>
          </w:r>
          <w:r w:rsidRPr="00443608">
            <w:rPr>
              <w:rFonts w:cs="Times New Roman"/>
              <w:lang w:val="en-US"/>
            </w:rPr>
            <w:fldChar w:fldCharType="separate"/>
          </w:r>
          <w:r w:rsidR="00855396" w:rsidRPr="00855396">
            <w:rPr>
              <w:rFonts w:cs="Times New Roman"/>
              <w:noProof/>
              <w:lang w:val="en-US"/>
            </w:rPr>
            <w:t>[5]</w:t>
          </w:r>
          <w:r w:rsidRPr="00443608">
            <w:rPr>
              <w:rFonts w:cs="Times New Roman"/>
              <w:lang w:val="en-US"/>
            </w:rPr>
            <w:fldChar w:fldCharType="end"/>
          </w:r>
        </w:sdtContent>
      </w:sdt>
      <w:r w:rsidRPr="00443608">
        <w:rPr>
          <w:rFonts w:cs="Times New Roman"/>
          <w:lang w:val="en-US"/>
        </w:rPr>
        <w:t>.</w:t>
      </w:r>
    </w:p>
    <w:p w14:paraId="5665328D" w14:textId="77777777" w:rsidR="00422DA6" w:rsidRDefault="00443608" w:rsidP="00422DA6">
      <w:pPr>
        <w:keepNext/>
        <w:jc w:val="center"/>
      </w:pPr>
      <w:r w:rsidRPr="00443608">
        <w:rPr>
          <w:rFonts w:cs="Times New Roman"/>
          <w:noProof/>
          <w:lang w:val="en-US"/>
        </w:rPr>
        <w:drawing>
          <wp:inline distT="0" distB="0" distL="0" distR="0" wp14:anchorId="67EB5919" wp14:editId="6EB5541D">
            <wp:extent cx="3444240" cy="1183005"/>
            <wp:effectExtent l="0" t="0" r="0" b="0"/>
            <wp:docPr id="665618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444240" cy="1183005"/>
                    </a:xfrm>
                    <a:prstGeom prst="rect">
                      <a:avLst/>
                    </a:prstGeom>
                    <a:noFill/>
                  </pic:spPr>
                </pic:pic>
              </a:graphicData>
            </a:graphic>
          </wp:inline>
        </w:drawing>
      </w:r>
    </w:p>
    <w:p w14:paraId="63D4E490" w14:textId="69BCA854" w:rsidR="00443608" w:rsidRPr="00443608" w:rsidRDefault="00422DA6" w:rsidP="00422DA6">
      <w:pPr>
        <w:pStyle w:val="Caption"/>
      </w:pPr>
      <w:bookmarkStart w:id="6" w:name="_Toc214357709"/>
      <w:r>
        <w:t xml:space="preserve">Figure </w:t>
      </w:r>
      <w:r w:rsidR="00F824A5">
        <w:fldChar w:fldCharType="begin"/>
      </w:r>
      <w:r w:rsidR="00F824A5">
        <w:instrText xml:space="preserve"> STYLEREF 1 \s </w:instrText>
      </w:r>
      <w:r w:rsidR="00F824A5">
        <w:fldChar w:fldCharType="separate"/>
      </w:r>
      <w:r w:rsidR="000412CE">
        <w:rPr>
          <w:noProof/>
        </w:rPr>
        <w:t>0</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1</w:t>
      </w:r>
      <w:r w:rsidR="00F824A5">
        <w:fldChar w:fldCharType="end"/>
      </w:r>
      <w:r w:rsidR="00A165BA">
        <w:t xml:space="preserve">. </w:t>
      </w:r>
      <w:r w:rsidRPr="000E4EAD">
        <w:t>Classification of thermal energy storage (TES) systems: sensible heat storage, latent heat storage, and thermochemical storage; PCMs are a subclass of latent heat storage.</w:t>
      </w:r>
      <w:bookmarkEnd w:id="6"/>
    </w:p>
    <w:p w14:paraId="1693363A" w14:textId="77777777" w:rsidR="00443608" w:rsidRPr="00443608" w:rsidRDefault="00443608" w:rsidP="00443608">
      <w:pPr>
        <w:rPr>
          <w:lang w:val="en-US"/>
        </w:rPr>
      </w:pPr>
    </w:p>
    <w:p w14:paraId="545C5903" w14:textId="64633EC5" w:rsidR="00443608" w:rsidRDefault="00443608" w:rsidP="00443608">
      <w:pPr>
        <w:rPr>
          <w:rFonts w:ascii="Times New Roman" w:hAnsi="Times New Roman" w:cs="Times New Roman"/>
          <w:lang w:val="en-US"/>
        </w:rPr>
      </w:pPr>
    </w:p>
    <w:p w14:paraId="615BA992" w14:textId="77777777" w:rsidR="00443608" w:rsidRPr="009F615D" w:rsidRDefault="00443608" w:rsidP="00443608">
      <w:pPr>
        <w:rPr>
          <w:rFonts w:ascii="Times New Roman" w:hAnsi="Times New Roman" w:cs="Times New Roman"/>
          <w:lang w:val="en-US"/>
        </w:rPr>
      </w:pPr>
    </w:p>
    <w:p w14:paraId="75CFA7B2" w14:textId="37115732" w:rsidR="00443608" w:rsidRPr="009F615D" w:rsidRDefault="00443608" w:rsidP="00443608">
      <w:pPr>
        <w:rPr>
          <w:rFonts w:ascii="Times New Roman" w:hAnsi="Times New Roman" w:cs="Times New Roman"/>
          <w:szCs w:val="24"/>
          <w:lang w:val="en-US"/>
        </w:rPr>
      </w:pPr>
    </w:p>
    <w:p w14:paraId="3A614F2D" w14:textId="49E47EE9" w:rsidR="00443608" w:rsidRPr="009F615D" w:rsidRDefault="00443608" w:rsidP="00443608">
      <w:pPr>
        <w:rPr>
          <w:rFonts w:ascii="Times New Roman" w:hAnsi="Times New Roman" w:cs="Times New Roman"/>
          <w:szCs w:val="24"/>
          <w:lang w:val="en-US"/>
        </w:rPr>
      </w:pPr>
    </w:p>
    <w:p w14:paraId="42274066" w14:textId="77777777" w:rsidR="00443608" w:rsidRPr="009F615D" w:rsidRDefault="00443608" w:rsidP="00443608">
      <w:pPr>
        <w:rPr>
          <w:rFonts w:ascii="Times New Roman" w:hAnsi="Times New Roman" w:cs="Times New Roman"/>
          <w:szCs w:val="24"/>
          <w:lang w:val="en-US"/>
        </w:rPr>
      </w:pPr>
    </w:p>
    <w:p w14:paraId="76DE54BB" w14:textId="18FAB09D" w:rsidR="00443608" w:rsidRPr="009F615D" w:rsidRDefault="00443608" w:rsidP="00443608">
      <w:pPr>
        <w:rPr>
          <w:rFonts w:ascii="Times New Roman" w:hAnsi="Times New Roman" w:cs="Times New Roman"/>
          <w:szCs w:val="24"/>
          <w:lang w:val="en-US"/>
        </w:rPr>
      </w:pPr>
    </w:p>
    <w:bookmarkEnd w:id="5"/>
    <w:p w14:paraId="3D4B680B" w14:textId="698D8C4D" w:rsidR="00D62FE7" w:rsidRDefault="00D62FE7" w:rsidP="004579E0">
      <w:pPr>
        <w:rPr>
          <w:lang w:val="en-GB"/>
        </w:rPr>
      </w:pPr>
    </w:p>
    <w:p w14:paraId="764C4847" w14:textId="6E657C56" w:rsidR="00D62FE7" w:rsidRDefault="00D62FE7" w:rsidP="004579E0">
      <w:pPr>
        <w:rPr>
          <w:lang w:val="en-GB"/>
        </w:rPr>
      </w:pPr>
    </w:p>
    <w:p w14:paraId="465FE0C2" w14:textId="640576EC" w:rsidR="00D62FE7" w:rsidRDefault="00D62FE7" w:rsidP="004579E0">
      <w:pPr>
        <w:rPr>
          <w:lang w:val="en-GB"/>
        </w:rPr>
      </w:pPr>
    </w:p>
    <w:p w14:paraId="40B01D84" w14:textId="1703578D" w:rsidR="00D62FE7" w:rsidRDefault="00D62FE7" w:rsidP="004579E0">
      <w:pPr>
        <w:rPr>
          <w:lang w:val="en-GB"/>
        </w:rPr>
      </w:pPr>
    </w:p>
    <w:p w14:paraId="76428919" w14:textId="3E04DAEA" w:rsidR="00D62FE7" w:rsidRDefault="00D62FE7" w:rsidP="004579E0">
      <w:pPr>
        <w:rPr>
          <w:lang w:val="en-GB"/>
        </w:rPr>
      </w:pPr>
    </w:p>
    <w:p w14:paraId="5B4F229D" w14:textId="7780453A" w:rsidR="00D62FE7" w:rsidRDefault="00D62FE7" w:rsidP="004579E0">
      <w:pPr>
        <w:rPr>
          <w:lang w:val="en-GB"/>
        </w:rPr>
      </w:pPr>
    </w:p>
    <w:p w14:paraId="0EECC38D" w14:textId="3770D36D" w:rsidR="00D62FE7" w:rsidRDefault="00D62FE7" w:rsidP="004579E0">
      <w:pPr>
        <w:rPr>
          <w:lang w:val="en-GB"/>
        </w:rPr>
      </w:pPr>
    </w:p>
    <w:p w14:paraId="7E6BCB0B" w14:textId="0C63D49B" w:rsidR="00D62FE7" w:rsidRDefault="00D62FE7" w:rsidP="004579E0">
      <w:pPr>
        <w:rPr>
          <w:lang w:val="en-GB"/>
        </w:rPr>
      </w:pPr>
    </w:p>
    <w:p w14:paraId="6CDFE68B" w14:textId="50D2030C" w:rsidR="00D62FE7" w:rsidRDefault="00D62FE7" w:rsidP="004579E0">
      <w:pPr>
        <w:rPr>
          <w:lang w:val="en-GB"/>
        </w:rPr>
      </w:pPr>
    </w:p>
    <w:p w14:paraId="23CBCEBC" w14:textId="34565B07" w:rsidR="00D62FE7" w:rsidRDefault="00D62FE7" w:rsidP="004579E0">
      <w:pPr>
        <w:rPr>
          <w:lang w:val="en-GB"/>
        </w:rPr>
      </w:pPr>
    </w:p>
    <w:p w14:paraId="6FEEF4EE" w14:textId="6A70BE9D" w:rsidR="00D62FE7" w:rsidRDefault="00D62FE7" w:rsidP="004579E0">
      <w:pPr>
        <w:rPr>
          <w:lang w:val="en-GB"/>
        </w:rPr>
      </w:pPr>
    </w:p>
    <w:p w14:paraId="024D76D7" w14:textId="632E103E" w:rsidR="00D62FE7" w:rsidRDefault="00D62FE7" w:rsidP="004579E0">
      <w:pPr>
        <w:rPr>
          <w:lang w:val="en-GB"/>
        </w:rPr>
      </w:pPr>
    </w:p>
    <w:p w14:paraId="7931F555" w14:textId="2A999BED" w:rsidR="00D62FE7" w:rsidRDefault="00D62FE7" w:rsidP="004579E0">
      <w:pPr>
        <w:rPr>
          <w:lang w:val="en-GB"/>
        </w:rPr>
      </w:pPr>
    </w:p>
    <w:p w14:paraId="61FF934F" w14:textId="6123F6F1" w:rsidR="00D62FE7" w:rsidRDefault="00D62FE7" w:rsidP="004579E0">
      <w:pPr>
        <w:rPr>
          <w:lang w:val="en-GB"/>
        </w:rPr>
      </w:pPr>
    </w:p>
    <w:p w14:paraId="3BC55697" w14:textId="71EF09CB" w:rsidR="00D62FE7" w:rsidRDefault="00D62FE7" w:rsidP="004579E0">
      <w:pPr>
        <w:rPr>
          <w:lang w:val="en-GB"/>
        </w:rPr>
      </w:pPr>
    </w:p>
    <w:p w14:paraId="7A57B73E" w14:textId="4BE8B5AF" w:rsidR="00D62FE7" w:rsidRDefault="00D62FE7" w:rsidP="004579E0">
      <w:pPr>
        <w:rPr>
          <w:lang w:val="en-GB"/>
        </w:rPr>
      </w:pPr>
    </w:p>
    <w:p w14:paraId="455EFA52" w14:textId="7366803B" w:rsidR="00D62FE7" w:rsidRDefault="00D62FE7" w:rsidP="004579E0">
      <w:pPr>
        <w:rPr>
          <w:lang w:val="en-GB"/>
        </w:rPr>
      </w:pPr>
    </w:p>
    <w:p w14:paraId="1E6E2241" w14:textId="32E3788E" w:rsidR="00D62FE7" w:rsidRDefault="00D62FE7" w:rsidP="004579E0">
      <w:pPr>
        <w:rPr>
          <w:lang w:val="en-GB"/>
        </w:rPr>
      </w:pPr>
    </w:p>
    <w:p w14:paraId="5B94B275" w14:textId="25468219" w:rsidR="00D62FE7" w:rsidRDefault="00D62FE7" w:rsidP="004579E0">
      <w:pPr>
        <w:rPr>
          <w:lang w:val="en-GB"/>
        </w:rPr>
      </w:pPr>
    </w:p>
    <w:p w14:paraId="1CF9B254" w14:textId="77777777" w:rsidR="00D62FE7" w:rsidRPr="00544E92" w:rsidRDefault="00D62FE7" w:rsidP="004579E0">
      <w:pPr>
        <w:rPr>
          <w:lang w:val="en-GB"/>
        </w:rPr>
      </w:pPr>
    </w:p>
    <w:p w14:paraId="6E227BB6" w14:textId="3BF0EC2E" w:rsidR="004579E0" w:rsidRPr="00544E92" w:rsidRDefault="004579E0" w:rsidP="004579E0">
      <w:pPr>
        <w:rPr>
          <w:lang w:val="en-GB"/>
        </w:rPr>
      </w:pPr>
    </w:p>
    <w:p w14:paraId="67682132" w14:textId="77777777" w:rsidR="004579E0" w:rsidRPr="00544E92" w:rsidRDefault="004579E0" w:rsidP="004579E0">
      <w:pPr>
        <w:rPr>
          <w:lang w:val="en-GB"/>
        </w:rPr>
        <w:sectPr w:rsidR="004579E0" w:rsidRPr="00544E92" w:rsidSect="00576E05">
          <w:headerReference w:type="even" r:id="rId25"/>
          <w:headerReference w:type="default" r:id="rId26"/>
          <w:footerReference w:type="even" r:id="rId27"/>
          <w:footerReference w:type="default" r:id="rId28"/>
          <w:headerReference w:type="first" r:id="rId29"/>
          <w:footerReference w:type="first" r:id="rId30"/>
          <w:type w:val="oddPage"/>
          <w:pgSz w:w="11906" w:h="16838" w:code="9"/>
          <w:pgMar w:top="1701" w:right="1418" w:bottom="1418" w:left="1418" w:header="851" w:footer="851" w:gutter="0"/>
          <w:pgNumType w:start="1"/>
          <w:cols w:space="708"/>
          <w:titlePg/>
          <w:docGrid w:linePitch="360"/>
        </w:sectPr>
      </w:pPr>
    </w:p>
    <w:p w14:paraId="21FD7CBD" w14:textId="0F0615B1" w:rsidR="00971925" w:rsidRPr="00443608" w:rsidRDefault="008E54B1" w:rsidP="0051628A">
      <w:pPr>
        <w:pStyle w:val="Heading1"/>
        <w:rPr>
          <w:lang w:val="en-GB"/>
        </w:rPr>
      </w:pPr>
      <w:bookmarkStart w:id="7" w:name="_Toc214356267"/>
      <w:r w:rsidRPr="008E54B1">
        <w:rPr>
          <w:lang w:val="en-US"/>
        </w:rPr>
        <w:lastRenderedPageBreak/>
        <w:t>PCMs: Classification, Properties, Characterization Methods, and Commercial Products</w:t>
      </w:r>
      <w:bookmarkEnd w:id="7"/>
      <w:r w:rsidR="008D2A51" w:rsidRPr="00544E92">
        <w:rPr>
          <w:lang w:val="en-GB"/>
        </w:rPr>
        <w:t xml:space="preserve"> </w:t>
      </w:r>
    </w:p>
    <w:p w14:paraId="14A7106A" w14:textId="5890D16C" w:rsidR="00971925" w:rsidRPr="00443608" w:rsidRDefault="00443608" w:rsidP="00971925">
      <w:pPr>
        <w:pStyle w:val="Heading2"/>
        <w:rPr>
          <w:bCs/>
          <w:lang w:val="en-GB"/>
        </w:rPr>
      </w:pPr>
      <w:bookmarkStart w:id="8" w:name="_Toc214356268"/>
      <w:r w:rsidRPr="00443608">
        <w:rPr>
          <w:bCs/>
          <w:lang w:val="en-GB"/>
        </w:rPr>
        <w:t xml:space="preserve">Classification of </w:t>
      </w:r>
      <w:r w:rsidR="00784D2D">
        <w:rPr>
          <w:bCs/>
          <w:lang w:val="en-GB"/>
        </w:rPr>
        <w:t>PCM</w:t>
      </w:r>
      <w:r w:rsidRPr="00443608">
        <w:rPr>
          <w:bCs/>
          <w:lang w:val="en-GB"/>
        </w:rPr>
        <w:t>s</w:t>
      </w:r>
      <w:bookmarkEnd w:id="8"/>
    </w:p>
    <w:p w14:paraId="758069F6" w14:textId="187C4732" w:rsidR="00443608" w:rsidRDefault="00443608" w:rsidP="00443608">
      <w:pPr>
        <w:rPr>
          <w:lang w:val="en-US"/>
        </w:rPr>
      </w:pPr>
      <w:r w:rsidRPr="00443608">
        <w:rPr>
          <w:lang w:val="en-US"/>
        </w:rPr>
        <w:t xml:space="preserve">In this paragraph, the classification of phase </w:t>
      </w:r>
      <w:r w:rsidR="00784D2D">
        <w:rPr>
          <w:lang w:val="en-US"/>
        </w:rPr>
        <w:t>PCM</w:t>
      </w:r>
      <w:r w:rsidRPr="00443608">
        <w:rPr>
          <w:lang w:val="en-US"/>
        </w:rPr>
        <w:t xml:space="preserve">s encountered in engineering applications will be discussed. First of all, it can be stated that PCMs can be classified into solid–solid, solid–liquid, solid–gas, and liquid–gas materials. Figure </w:t>
      </w:r>
      <w:r w:rsidR="00CE7A4E">
        <w:rPr>
          <w:lang w:val="en-US"/>
        </w:rPr>
        <w:t>1.1</w:t>
      </w:r>
      <w:r w:rsidRPr="00443608">
        <w:rPr>
          <w:lang w:val="en-US"/>
        </w:rPr>
        <w:t xml:space="preserve"> shows the classification of </w:t>
      </w:r>
      <w:r w:rsidR="00784D2D">
        <w:rPr>
          <w:lang w:val="en-US"/>
        </w:rPr>
        <w:t>PCM</w:t>
      </w:r>
      <w:r w:rsidRPr="00443608">
        <w:rPr>
          <w:lang w:val="en-US"/>
        </w:rPr>
        <w:t>s. However, it should be emphasized that their selection depends on many criteria and on thermophysical, kinetic, and chemical properties, in addition to economic considerations. Table 1</w:t>
      </w:r>
      <w:r w:rsidR="00CE7A4E">
        <w:rPr>
          <w:lang w:val="en-US"/>
        </w:rPr>
        <w:t>.1</w:t>
      </w:r>
      <w:r w:rsidRPr="00443608">
        <w:rPr>
          <w:lang w:val="en-US"/>
        </w:rPr>
        <w:t xml:space="preserve"> shows selection criteria for physical properties and economic aspects, while a specific section will be dedicated to them later in this work </w:t>
      </w:r>
      <w:sdt>
        <w:sdtPr>
          <w:rPr>
            <w:lang w:val="en-US"/>
          </w:rPr>
          <w:id w:val="-2096468143"/>
          <w:citation/>
        </w:sdtPr>
        <w:sdtContent>
          <w:r>
            <w:rPr>
              <w:lang w:val="en-US"/>
            </w:rPr>
            <w:fldChar w:fldCharType="begin"/>
          </w:r>
          <w:r w:rsidRPr="00443608">
            <w:rPr>
              <w:lang w:val="en-US"/>
            </w:rPr>
            <w:instrText xml:space="preserve"> CITATION Placeholder12 \l 1040 </w:instrText>
          </w:r>
          <w:r>
            <w:rPr>
              <w:lang w:val="en-US"/>
            </w:rPr>
            <w:fldChar w:fldCharType="separate"/>
          </w:r>
          <w:r w:rsidR="00855396" w:rsidRPr="00855396">
            <w:rPr>
              <w:noProof/>
              <w:lang w:val="en-US"/>
            </w:rPr>
            <w:t>[6]</w:t>
          </w:r>
          <w:r>
            <w:rPr>
              <w:lang w:val="en-US"/>
            </w:rPr>
            <w:fldChar w:fldCharType="end"/>
          </w:r>
        </w:sdtContent>
      </w:sdt>
      <w:r w:rsidRPr="00443608">
        <w:rPr>
          <w:lang w:val="en-US"/>
        </w:rPr>
        <w:t>.</w:t>
      </w:r>
    </w:p>
    <w:tbl>
      <w:tblPr>
        <w:tblStyle w:val="TableGrid"/>
        <w:tblpPr w:leftFromText="141" w:rightFromText="141" w:vertAnchor="text" w:horzAnchor="margin" w:tblpY="7"/>
        <w:tblW w:w="5010" w:type="pct"/>
        <w:tblLook w:val="0600" w:firstRow="0" w:lastRow="0" w:firstColumn="0" w:lastColumn="0" w:noHBand="1" w:noVBand="1"/>
      </w:tblPr>
      <w:tblGrid>
        <w:gridCol w:w="3090"/>
        <w:gridCol w:w="5988"/>
      </w:tblGrid>
      <w:tr w:rsidR="00443608" w:rsidRPr="00CE7A4E" w14:paraId="706B3178" w14:textId="77777777" w:rsidTr="00CE7A4E">
        <w:tc>
          <w:tcPr>
            <w:tcW w:w="1540" w:type="pct"/>
            <w:shd w:val="clear" w:color="auto" w:fill="8EA5B6"/>
            <w:noWrap/>
          </w:tcPr>
          <w:p w14:paraId="0CDDCF3B" w14:textId="77777777" w:rsidR="00443608" w:rsidRPr="00CE7A4E" w:rsidRDefault="00443608" w:rsidP="00CE57E0">
            <w:pPr>
              <w:rPr>
                <w:rFonts w:eastAsiaTheme="minorEastAsia" w:cs="Times New Roman"/>
                <w:szCs w:val="24"/>
              </w:rPr>
            </w:pPr>
            <w:r w:rsidRPr="00CE7A4E">
              <w:rPr>
                <w:rFonts w:eastAsiaTheme="minorEastAsia" w:cs="Times New Roman"/>
                <w:szCs w:val="24"/>
              </w:rPr>
              <w:t xml:space="preserve">Selection criteria </w:t>
            </w:r>
          </w:p>
        </w:tc>
        <w:tc>
          <w:tcPr>
            <w:tcW w:w="3460" w:type="pct"/>
            <w:shd w:val="clear" w:color="auto" w:fill="8EA5B6"/>
          </w:tcPr>
          <w:p w14:paraId="3463B6DE" w14:textId="77777777" w:rsidR="00443608" w:rsidRPr="00CE7A4E" w:rsidRDefault="00443608" w:rsidP="00CE57E0">
            <w:pPr>
              <w:jc w:val="center"/>
              <w:rPr>
                <w:rFonts w:eastAsiaTheme="minorEastAsia" w:cs="Times New Roman"/>
                <w:szCs w:val="24"/>
              </w:rPr>
            </w:pPr>
          </w:p>
        </w:tc>
      </w:tr>
      <w:tr w:rsidR="00443608" w:rsidRPr="00CE7A4E" w14:paraId="1A55A269" w14:textId="77777777" w:rsidTr="006D1740">
        <w:trPr>
          <w:trHeight w:val="3248"/>
        </w:trPr>
        <w:tc>
          <w:tcPr>
            <w:tcW w:w="1540" w:type="pct"/>
            <w:noWrap/>
          </w:tcPr>
          <w:p w14:paraId="5B55CC17" w14:textId="77777777" w:rsidR="00443608" w:rsidRPr="00CE7A4E" w:rsidRDefault="00443608" w:rsidP="00CE57E0">
            <w:pPr>
              <w:rPr>
                <w:rFonts w:eastAsiaTheme="minorEastAsia" w:cs="Times New Roman"/>
                <w:szCs w:val="24"/>
              </w:rPr>
            </w:pPr>
            <w:r w:rsidRPr="00CE7A4E">
              <w:rPr>
                <w:rFonts w:eastAsiaTheme="minorEastAsia" w:cs="Times New Roman"/>
                <w:szCs w:val="24"/>
              </w:rPr>
              <w:t>Thermophysical properties</w:t>
            </w:r>
          </w:p>
          <w:p w14:paraId="0583862B" w14:textId="77777777" w:rsidR="00443608" w:rsidRPr="00CE7A4E" w:rsidRDefault="00443608" w:rsidP="00CE57E0">
            <w:pPr>
              <w:rPr>
                <w:rFonts w:eastAsiaTheme="minorEastAsia" w:cs="Times New Roman"/>
                <w:szCs w:val="24"/>
              </w:rPr>
            </w:pPr>
          </w:p>
          <w:p w14:paraId="21BEE41C" w14:textId="77777777" w:rsidR="00443608" w:rsidRPr="00CE7A4E" w:rsidRDefault="00443608" w:rsidP="00CE57E0">
            <w:pPr>
              <w:rPr>
                <w:rFonts w:eastAsiaTheme="minorEastAsia" w:cs="Times New Roman"/>
                <w:szCs w:val="24"/>
              </w:rPr>
            </w:pPr>
          </w:p>
          <w:p w14:paraId="3341BA66" w14:textId="77777777" w:rsidR="00443608" w:rsidRPr="00CE7A4E" w:rsidRDefault="00443608" w:rsidP="00CE57E0">
            <w:pPr>
              <w:rPr>
                <w:rFonts w:eastAsiaTheme="minorEastAsia" w:cs="Times New Roman"/>
                <w:szCs w:val="24"/>
              </w:rPr>
            </w:pPr>
          </w:p>
          <w:p w14:paraId="7B98A5AE" w14:textId="77777777" w:rsidR="00443608" w:rsidRPr="00CE7A4E" w:rsidRDefault="00443608" w:rsidP="00CE57E0">
            <w:pPr>
              <w:rPr>
                <w:rFonts w:eastAsiaTheme="minorEastAsia" w:cs="Times New Roman"/>
                <w:szCs w:val="24"/>
              </w:rPr>
            </w:pPr>
          </w:p>
          <w:p w14:paraId="2A19011E" w14:textId="77777777" w:rsidR="00443608" w:rsidRPr="00CE7A4E" w:rsidRDefault="00443608" w:rsidP="00CE57E0">
            <w:pPr>
              <w:rPr>
                <w:rFonts w:eastAsiaTheme="minorEastAsia" w:cs="Times New Roman"/>
                <w:szCs w:val="24"/>
              </w:rPr>
            </w:pPr>
          </w:p>
          <w:p w14:paraId="1C4CADF3" w14:textId="77777777" w:rsidR="00443608" w:rsidRPr="00CE7A4E" w:rsidRDefault="00443608" w:rsidP="00CE57E0">
            <w:pPr>
              <w:rPr>
                <w:rFonts w:eastAsiaTheme="minorEastAsia" w:cs="Times New Roman"/>
                <w:szCs w:val="24"/>
              </w:rPr>
            </w:pPr>
          </w:p>
          <w:p w14:paraId="44B9F2C8" w14:textId="77777777" w:rsidR="00443608" w:rsidRPr="00CE7A4E" w:rsidRDefault="00443608" w:rsidP="00CE57E0">
            <w:pPr>
              <w:rPr>
                <w:rFonts w:eastAsiaTheme="minorEastAsia" w:cs="Times New Roman"/>
                <w:szCs w:val="24"/>
              </w:rPr>
            </w:pPr>
          </w:p>
        </w:tc>
        <w:tc>
          <w:tcPr>
            <w:tcW w:w="3460" w:type="pct"/>
          </w:tcPr>
          <w:p w14:paraId="2CA3C2A4" w14:textId="77777777" w:rsidR="00443608" w:rsidRPr="00CE7A4E" w:rsidRDefault="00443608" w:rsidP="00CE57E0">
            <w:pPr>
              <w:rPr>
                <w:rFonts w:eastAsiaTheme="minorEastAsia" w:cs="Times New Roman"/>
                <w:szCs w:val="24"/>
                <w:lang w:val="en-US"/>
              </w:rPr>
            </w:pPr>
            <w:r w:rsidRPr="00CE7A4E">
              <w:rPr>
                <w:rFonts w:eastAsiaTheme="minorEastAsia" w:cs="Times New Roman"/>
                <w:szCs w:val="24"/>
                <w:lang w:val="en-US"/>
              </w:rPr>
              <w:t>Ideal melting point range</w:t>
            </w:r>
          </w:p>
          <w:p w14:paraId="216EDB35" w14:textId="77777777" w:rsidR="00443608" w:rsidRPr="00CE7A4E" w:rsidRDefault="00443608" w:rsidP="00CE57E0">
            <w:pPr>
              <w:rPr>
                <w:rFonts w:eastAsiaTheme="minorEastAsia" w:cs="Times New Roman"/>
                <w:szCs w:val="24"/>
                <w:lang w:val="en-US"/>
              </w:rPr>
            </w:pPr>
            <w:r w:rsidRPr="00CE7A4E">
              <w:rPr>
                <w:rFonts w:eastAsiaTheme="minorEastAsia" w:cs="Times New Roman"/>
                <w:szCs w:val="24"/>
                <w:lang w:val="en-US"/>
              </w:rPr>
              <w:t>High value of the latent heat of phase change</w:t>
            </w:r>
          </w:p>
          <w:p w14:paraId="34DC3AA0" w14:textId="77777777" w:rsidR="00443608" w:rsidRPr="00CE7A4E" w:rsidRDefault="00443608" w:rsidP="00CE57E0">
            <w:pPr>
              <w:rPr>
                <w:rFonts w:eastAsiaTheme="minorEastAsia" w:cs="Times New Roman"/>
                <w:szCs w:val="24"/>
                <w:lang w:val="en-US"/>
              </w:rPr>
            </w:pPr>
            <w:r w:rsidRPr="00CE7A4E">
              <w:rPr>
                <w:rFonts w:eastAsiaTheme="minorEastAsia" w:cs="Times New Roman"/>
                <w:szCs w:val="24"/>
                <w:lang w:val="en-US"/>
              </w:rPr>
              <w:t>Excellent thermal conductivity</w:t>
            </w:r>
          </w:p>
          <w:p w14:paraId="7FC1D2B4" w14:textId="77777777" w:rsidR="00443608" w:rsidRPr="00CE7A4E" w:rsidRDefault="00443608" w:rsidP="00CE57E0">
            <w:pPr>
              <w:rPr>
                <w:rFonts w:eastAsiaTheme="minorEastAsia" w:cs="Times New Roman"/>
                <w:szCs w:val="24"/>
                <w:lang w:val="en-US"/>
              </w:rPr>
            </w:pPr>
            <w:r w:rsidRPr="00CE7A4E">
              <w:rPr>
                <w:rFonts w:eastAsiaTheme="minorEastAsia" w:cs="Times New Roman"/>
                <w:szCs w:val="24"/>
                <w:lang w:val="en-US"/>
              </w:rPr>
              <w:t>Significant specific heat</w:t>
            </w:r>
          </w:p>
          <w:p w14:paraId="49BD47A4" w14:textId="77777777" w:rsidR="00443608" w:rsidRPr="00CE7A4E" w:rsidRDefault="00443608" w:rsidP="00CE57E0">
            <w:pPr>
              <w:rPr>
                <w:rFonts w:eastAsiaTheme="minorEastAsia" w:cs="Times New Roman"/>
                <w:szCs w:val="24"/>
                <w:lang w:val="en-US"/>
              </w:rPr>
            </w:pPr>
            <w:r w:rsidRPr="00CE7A4E">
              <w:rPr>
                <w:rFonts w:eastAsiaTheme="minorEastAsia" w:cs="Times New Roman"/>
                <w:szCs w:val="24"/>
                <w:lang w:val="en-US"/>
              </w:rPr>
              <w:t>Good density</w:t>
            </w:r>
          </w:p>
          <w:p w14:paraId="7D7228FA" w14:textId="77777777" w:rsidR="00443608" w:rsidRPr="00CE7A4E" w:rsidRDefault="00443608" w:rsidP="00CE57E0">
            <w:pPr>
              <w:rPr>
                <w:rFonts w:eastAsiaTheme="minorEastAsia" w:cs="Times New Roman"/>
                <w:szCs w:val="24"/>
                <w:lang w:val="en-US"/>
              </w:rPr>
            </w:pPr>
            <w:r w:rsidRPr="00CE7A4E">
              <w:rPr>
                <w:rFonts w:eastAsiaTheme="minorEastAsia" w:cs="Times New Roman"/>
                <w:szCs w:val="24"/>
                <w:lang w:val="en-US"/>
              </w:rPr>
              <w:t>Minimal volume fluctuations and low vapor pressure</w:t>
            </w:r>
          </w:p>
          <w:p w14:paraId="1F9B0D30" w14:textId="77777777" w:rsidR="00443608" w:rsidRPr="00CE7A4E" w:rsidRDefault="00443608" w:rsidP="00CE57E0">
            <w:pPr>
              <w:rPr>
                <w:rFonts w:eastAsiaTheme="minorEastAsia" w:cs="Times New Roman"/>
                <w:szCs w:val="24"/>
                <w:lang w:val="nb-NO"/>
              </w:rPr>
            </w:pPr>
            <w:r w:rsidRPr="00CE7A4E">
              <w:rPr>
                <w:rFonts w:eastAsiaTheme="minorEastAsia" w:cs="Times New Roman"/>
                <w:szCs w:val="24"/>
              </w:rPr>
              <w:t>Consistent melting</w:t>
            </w:r>
          </w:p>
        </w:tc>
      </w:tr>
      <w:tr w:rsidR="00443608" w:rsidRPr="00736B36" w14:paraId="29EC9D5E" w14:textId="77777777" w:rsidTr="00CE7A4E">
        <w:tc>
          <w:tcPr>
            <w:tcW w:w="1540" w:type="pct"/>
            <w:noWrap/>
          </w:tcPr>
          <w:p w14:paraId="624463EB" w14:textId="77777777" w:rsidR="00443608" w:rsidRPr="00CE7A4E" w:rsidRDefault="00443608" w:rsidP="00CE57E0">
            <w:pPr>
              <w:rPr>
                <w:rFonts w:eastAsiaTheme="minorEastAsia" w:cs="Times New Roman"/>
                <w:szCs w:val="24"/>
                <w:lang w:val="nb-NO"/>
              </w:rPr>
            </w:pPr>
            <w:r w:rsidRPr="00CE7A4E">
              <w:rPr>
                <w:rFonts w:eastAsiaTheme="minorEastAsia" w:cs="Times New Roman"/>
                <w:szCs w:val="24"/>
                <w:lang w:val="nb-NO"/>
              </w:rPr>
              <w:t>Kinetic properties</w:t>
            </w:r>
          </w:p>
        </w:tc>
        <w:tc>
          <w:tcPr>
            <w:tcW w:w="3460" w:type="pct"/>
          </w:tcPr>
          <w:p w14:paraId="74BA1D0A" w14:textId="77777777" w:rsidR="00443608" w:rsidRPr="00CE7A4E" w:rsidRDefault="00443608" w:rsidP="00CE57E0">
            <w:pPr>
              <w:rPr>
                <w:rFonts w:eastAsiaTheme="minorEastAsia" w:cs="Times New Roman"/>
                <w:szCs w:val="24"/>
                <w:lang w:val="en-US"/>
              </w:rPr>
            </w:pPr>
            <w:r w:rsidRPr="00CE7A4E">
              <w:rPr>
                <w:rFonts w:eastAsiaTheme="minorEastAsia" w:cs="Times New Roman"/>
                <w:szCs w:val="24"/>
                <w:lang w:val="en-US"/>
              </w:rPr>
              <w:t>Fast nucleation rate to avoid supercooling</w:t>
            </w:r>
          </w:p>
          <w:p w14:paraId="22F8ED57" w14:textId="77777777" w:rsidR="00443608" w:rsidRPr="00CE7A4E" w:rsidRDefault="00443608" w:rsidP="00CE57E0">
            <w:pPr>
              <w:rPr>
                <w:rFonts w:eastAsiaTheme="minorEastAsia" w:cs="Times New Roman"/>
                <w:szCs w:val="24"/>
                <w:lang w:val="en-US"/>
              </w:rPr>
            </w:pPr>
            <w:r w:rsidRPr="00CE7A4E">
              <w:rPr>
                <w:rFonts w:eastAsiaTheme="minorEastAsia" w:cs="Times New Roman"/>
                <w:szCs w:val="24"/>
                <w:lang w:val="en-US"/>
              </w:rPr>
              <w:t>No sub-cooling</w:t>
            </w:r>
          </w:p>
          <w:p w14:paraId="42B5DAE0" w14:textId="77777777" w:rsidR="00443608" w:rsidRPr="00CE7A4E" w:rsidRDefault="00443608" w:rsidP="00CE57E0">
            <w:pPr>
              <w:rPr>
                <w:rFonts w:eastAsiaTheme="minorEastAsia" w:cs="Times New Roman"/>
                <w:szCs w:val="24"/>
                <w:lang w:val="en-US"/>
              </w:rPr>
            </w:pPr>
            <w:r w:rsidRPr="00CE7A4E">
              <w:rPr>
                <w:rFonts w:eastAsiaTheme="minorEastAsia" w:cs="Times New Roman"/>
                <w:szCs w:val="24"/>
                <w:lang w:val="en-US"/>
              </w:rPr>
              <w:t>Rapid crystallization rate, which leads to optimal heat release</w:t>
            </w:r>
          </w:p>
          <w:p w14:paraId="559AAD06" w14:textId="77777777" w:rsidR="00443608" w:rsidRPr="00CE7A4E" w:rsidRDefault="00443608" w:rsidP="00CE57E0">
            <w:pPr>
              <w:rPr>
                <w:rFonts w:eastAsiaTheme="minorEastAsia" w:cs="Times New Roman"/>
                <w:szCs w:val="24"/>
                <w:lang w:val="en-US"/>
              </w:rPr>
            </w:pPr>
            <w:r w:rsidRPr="00CE7A4E">
              <w:rPr>
                <w:rFonts w:eastAsiaTheme="minorEastAsia" w:cs="Times New Roman"/>
                <w:szCs w:val="24"/>
                <w:lang w:val="en-US"/>
              </w:rPr>
              <w:lastRenderedPageBreak/>
              <w:t>Fast melting rate, which leads to optimal heat storage capacity</w:t>
            </w:r>
          </w:p>
        </w:tc>
      </w:tr>
      <w:tr w:rsidR="00443608" w:rsidRPr="005A414B" w14:paraId="3E97A42B" w14:textId="77777777" w:rsidTr="00CE7A4E">
        <w:tc>
          <w:tcPr>
            <w:tcW w:w="1540" w:type="pct"/>
            <w:noWrap/>
          </w:tcPr>
          <w:p w14:paraId="27A1EA0E" w14:textId="77777777" w:rsidR="00443608" w:rsidRPr="00CE7A4E" w:rsidRDefault="00443608" w:rsidP="00CE57E0">
            <w:pPr>
              <w:rPr>
                <w:rFonts w:eastAsiaTheme="minorEastAsia" w:cs="Times New Roman"/>
                <w:szCs w:val="24"/>
                <w:lang w:val="nb-NO"/>
              </w:rPr>
            </w:pPr>
            <w:r w:rsidRPr="00CE7A4E">
              <w:rPr>
                <w:rFonts w:eastAsiaTheme="minorEastAsia" w:cs="Times New Roman"/>
                <w:szCs w:val="24"/>
                <w:lang w:val="nb-NO"/>
              </w:rPr>
              <w:lastRenderedPageBreak/>
              <w:t>Chemical properties</w:t>
            </w:r>
          </w:p>
        </w:tc>
        <w:tc>
          <w:tcPr>
            <w:tcW w:w="3460" w:type="pct"/>
          </w:tcPr>
          <w:p w14:paraId="099CDD1A" w14:textId="77777777" w:rsidR="00443608" w:rsidRPr="00CE7A4E" w:rsidRDefault="00443608" w:rsidP="00CE57E0">
            <w:pPr>
              <w:rPr>
                <w:rFonts w:eastAsiaTheme="minorEastAsia" w:cs="Times New Roman"/>
                <w:szCs w:val="24"/>
                <w:lang w:val="en-US"/>
              </w:rPr>
            </w:pPr>
            <w:r w:rsidRPr="00CE7A4E">
              <w:rPr>
                <w:rFonts w:eastAsiaTheme="minorEastAsia" w:cs="Times New Roman"/>
                <w:szCs w:val="24"/>
                <w:lang w:val="en-US"/>
              </w:rPr>
              <w:t>Full reversibility of solidification and melting</w:t>
            </w:r>
          </w:p>
          <w:p w14:paraId="61DAE2E5" w14:textId="77777777" w:rsidR="00443608" w:rsidRPr="00CE7A4E" w:rsidRDefault="00443608" w:rsidP="00CE57E0">
            <w:pPr>
              <w:rPr>
                <w:rFonts w:eastAsiaTheme="minorEastAsia" w:cs="Times New Roman"/>
                <w:szCs w:val="24"/>
                <w:lang w:val="en-US"/>
              </w:rPr>
            </w:pPr>
            <w:r w:rsidRPr="00CE7A4E">
              <w:rPr>
                <w:rFonts w:eastAsiaTheme="minorEastAsia" w:cs="Times New Roman"/>
                <w:szCs w:val="24"/>
                <w:lang w:val="en-US"/>
              </w:rPr>
              <w:t>Chemical stability and resilience</w:t>
            </w:r>
          </w:p>
          <w:p w14:paraId="253F4ABA" w14:textId="77777777" w:rsidR="00443608" w:rsidRPr="00CE7A4E" w:rsidRDefault="00443608" w:rsidP="00CE57E0">
            <w:pPr>
              <w:rPr>
                <w:rFonts w:eastAsiaTheme="minorEastAsia" w:cs="Times New Roman"/>
                <w:szCs w:val="24"/>
                <w:lang w:val="en-US"/>
              </w:rPr>
            </w:pPr>
            <w:r w:rsidRPr="00CE7A4E">
              <w:rPr>
                <w:rFonts w:eastAsiaTheme="minorEastAsia" w:cs="Times New Roman"/>
                <w:szCs w:val="24"/>
                <w:lang w:val="en-US"/>
              </w:rPr>
              <w:t>Integrity maintained through numerous solidification/melting cycles</w:t>
            </w:r>
          </w:p>
          <w:p w14:paraId="08228BC1" w14:textId="25C3CE03" w:rsidR="00443608" w:rsidRPr="00CE7A4E" w:rsidRDefault="004F3787" w:rsidP="00CE57E0">
            <w:pPr>
              <w:rPr>
                <w:rFonts w:eastAsiaTheme="minorEastAsia" w:cs="Times New Roman"/>
                <w:szCs w:val="24"/>
                <w:lang w:val="en-US"/>
              </w:rPr>
            </w:pPr>
            <w:r>
              <w:rPr>
                <w:rFonts w:eastAsiaTheme="minorEastAsia" w:cs="Times New Roman"/>
                <w:szCs w:val="24"/>
                <w:lang w:val="en-US"/>
              </w:rPr>
              <w:t>Non-</w:t>
            </w:r>
            <w:r w:rsidR="00443608" w:rsidRPr="00CE7A4E">
              <w:rPr>
                <w:rFonts w:eastAsiaTheme="minorEastAsia" w:cs="Times New Roman"/>
                <w:szCs w:val="24"/>
                <w:lang w:val="en-US"/>
              </w:rPr>
              <w:t>corrosive</w:t>
            </w:r>
          </w:p>
          <w:p w14:paraId="305817D9" w14:textId="09C3214D" w:rsidR="00443608" w:rsidRPr="00CE7A4E" w:rsidRDefault="004F3787" w:rsidP="00CE57E0">
            <w:pPr>
              <w:rPr>
                <w:rFonts w:eastAsiaTheme="minorEastAsia" w:cs="Times New Roman"/>
                <w:szCs w:val="24"/>
                <w:lang w:val="en-US"/>
              </w:rPr>
            </w:pPr>
            <w:r>
              <w:rPr>
                <w:rFonts w:eastAsiaTheme="minorEastAsia" w:cs="Times New Roman"/>
                <w:szCs w:val="24"/>
                <w:lang w:val="en-US"/>
              </w:rPr>
              <w:t>Non-</w:t>
            </w:r>
            <w:r w:rsidR="00443608" w:rsidRPr="00CE7A4E">
              <w:rPr>
                <w:rFonts w:eastAsiaTheme="minorEastAsia" w:cs="Times New Roman"/>
                <w:szCs w:val="24"/>
                <w:lang w:val="en-US"/>
              </w:rPr>
              <w:t xml:space="preserve">toxic, </w:t>
            </w:r>
            <w:r>
              <w:rPr>
                <w:rFonts w:eastAsiaTheme="minorEastAsia" w:cs="Times New Roman"/>
                <w:szCs w:val="24"/>
                <w:lang w:val="en-US"/>
              </w:rPr>
              <w:t>Non-</w:t>
            </w:r>
            <w:r w:rsidR="00443608" w:rsidRPr="00CE7A4E">
              <w:rPr>
                <w:rFonts w:eastAsiaTheme="minorEastAsia" w:cs="Times New Roman"/>
                <w:szCs w:val="24"/>
                <w:lang w:val="en-US"/>
              </w:rPr>
              <w:t xml:space="preserve">flammable, and </w:t>
            </w:r>
            <w:r>
              <w:rPr>
                <w:rFonts w:eastAsiaTheme="minorEastAsia" w:cs="Times New Roman"/>
                <w:szCs w:val="24"/>
                <w:lang w:val="en-US"/>
              </w:rPr>
              <w:t>Non-</w:t>
            </w:r>
            <w:r w:rsidR="00443608" w:rsidRPr="00CE7A4E">
              <w:rPr>
                <w:rFonts w:eastAsiaTheme="minorEastAsia" w:cs="Times New Roman"/>
                <w:szCs w:val="24"/>
                <w:lang w:val="en-US"/>
              </w:rPr>
              <w:t>explosive</w:t>
            </w:r>
          </w:p>
        </w:tc>
      </w:tr>
      <w:tr w:rsidR="00443608" w:rsidRPr="00736B36" w14:paraId="0A1BB6AB" w14:textId="77777777" w:rsidTr="00CE7A4E">
        <w:tc>
          <w:tcPr>
            <w:tcW w:w="1540" w:type="pct"/>
            <w:noWrap/>
          </w:tcPr>
          <w:p w14:paraId="5A81D245" w14:textId="77777777" w:rsidR="00443608" w:rsidRPr="00CE7A4E" w:rsidRDefault="00443608" w:rsidP="00CE57E0">
            <w:pPr>
              <w:rPr>
                <w:rFonts w:eastAsiaTheme="minorEastAsia" w:cs="Times New Roman"/>
                <w:szCs w:val="24"/>
                <w:lang w:val="en-US"/>
              </w:rPr>
            </w:pPr>
          </w:p>
          <w:p w14:paraId="416C9A4D" w14:textId="77777777" w:rsidR="00443608" w:rsidRPr="00CE7A4E" w:rsidRDefault="00443608" w:rsidP="00CE57E0">
            <w:pPr>
              <w:rPr>
                <w:rFonts w:eastAsiaTheme="minorEastAsia" w:cs="Times New Roman"/>
                <w:szCs w:val="24"/>
              </w:rPr>
            </w:pPr>
            <w:r w:rsidRPr="00CE7A4E">
              <w:rPr>
                <w:rFonts w:eastAsiaTheme="minorEastAsia" w:cs="Times New Roman"/>
                <w:szCs w:val="24"/>
              </w:rPr>
              <w:t>Economics</w:t>
            </w:r>
          </w:p>
          <w:p w14:paraId="7E6851C3" w14:textId="77777777" w:rsidR="00443608" w:rsidRPr="00CE7A4E" w:rsidRDefault="00443608" w:rsidP="00CE57E0">
            <w:pPr>
              <w:rPr>
                <w:rFonts w:eastAsiaTheme="minorEastAsia" w:cs="Times New Roman"/>
                <w:szCs w:val="24"/>
              </w:rPr>
            </w:pPr>
          </w:p>
        </w:tc>
        <w:tc>
          <w:tcPr>
            <w:tcW w:w="3460" w:type="pct"/>
          </w:tcPr>
          <w:p w14:paraId="0315A539" w14:textId="77777777" w:rsidR="00443608" w:rsidRPr="00CE7A4E" w:rsidRDefault="00443608" w:rsidP="00CE57E0">
            <w:pPr>
              <w:rPr>
                <w:rFonts w:eastAsiaTheme="minorEastAsia" w:cs="Times New Roman"/>
                <w:szCs w:val="24"/>
                <w:lang w:val="en-US"/>
              </w:rPr>
            </w:pPr>
          </w:p>
          <w:p w14:paraId="70702716" w14:textId="77777777" w:rsidR="00443608" w:rsidRPr="00CE7A4E" w:rsidRDefault="00443608" w:rsidP="00CE57E0">
            <w:pPr>
              <w:rPr>
                <w:rFonts w:eastAsiaTheme="minorEastAsia" w:cs="Times New Roman"/>
                <w:szCs w:val="24"/>
                <w:lang w:val="en-US"/>
              </w:rPr>
            </w:pPr>
            <w:r w:rsidRPr="00CE7A4E">
              <w:rPr>
                <w:rFonts w:eastAsiaTheme="minorEastAsia" w:cs="Times New Roman"/>
                <w:szCs w:val="24"/>
                <w:lang w:val="en-US"/>
              </w:rPr>
              <w:t>Reasonable cost</w:t>
            </w:r>
          </w:p>
          <w:p w14:paraId="19987DB8" w14:textId="77777777" w:rsidR="00443608" w:rsidRPr="00CE7A4E" w:rsidRDefault="00443608" w:rsidP="00CE7A4E">
            <w:pPr>
              <w:keepNext/>
              <w:rPr>
                <w:rFonts w:eastAsiaTheme="minorEastAsia" w:cs="Times New Roman"/>
                <w:szCs w:val="24"/>
                <w:lang w:val="en-US"/>
              </w:rPr>
            </w:pPr>
            <w:r w:rsidRPr="00CE7A4E">
              <w:rPr>
                <w:rFonts w:eastAsiaTheme="minorEastAsia" w:cs="Times New Roman"/>
                <w:szCs w:val="24"/>
                <w:lang w:val="en-US"/>
              </w:rPr>
              <w:t>Immediately accessible and widely available</w:t>
            </w:r>
          </w:p>
        </w:tc>
      </w:tr>
    </w:tbl>
    <w:p w14:paraId="67C15F04" w14:textId="38DFEBE7" w:rsidR="00CE7A4E" w:rsidRDefault="00CE7A4E" w:rsidP="008E54B1">
      <w:pPr>
        <w:pStyle w:val="Caption"/>
        <w:framePr w:hSpace="141" w:wrap="around" w:vAnchor="text" w:hAnchor="page" w:x="1552" w:y="4983"/>
      </w:pPr>
      <w:bookmarkStart w:id="9" w:name="_Toc214362606"/>
      <w:r>
        <w:t xml:space="preserve">Table </w:t>
      </w:r>
      <w:r w:rsidR="00F43E9A">
        <w:fldChar w:fldCharType="begin"/>
      </w:r>
      <w:r w:rsidR="00F43E9A">
        <w:instrText xml:space="preserve"> STYLEREF 1 \s </w:instrText>
      </w:r>
      <w:r w:rsidR="00F43E9A">
        <w:fldChar w:fldCharType="separate"/>
      </w:r>
      <w:r w:rsidR="000412CE">
        <w:rPr>
          <w:noProof/>
        </w:rPr>
        <w:t>1</w:t>
      </w:r>
      <w:r w:rsidR="00F43E9A">
        <w:fldChar w:fldCharType="end"/>
      </w:r>
      <w:r w:rsidR="00F43E9A">
        <w:t>.</w:t>
      </w:r>
      <w:r w:rsidR="00F43E9A">
        <w:fldChar w:fldCharType="begin"/>
      </w:r>
      <w:r w:rsidR="00F43E9A">
        <w:instrText xml:space="preserve"> SEQ Table \* ARABIC \s 1 </w:instrText>
      </w:r>
      <w:r w:rsidR="00F43E9A">
        <w:fldChar w:fldCharType="separate"/>
      </w:r>
      <w:r w:rsidR="000412CE">
        <w:rPr>
          <w:noProof/>
        </w:rPr>
        <w:t>1</w:t>
      </w:r>
      <w:r w:rsidR="00F43E9A">
        <w:fldChar w:fldCharType="end"/>
      </w:r>
      <w:r>
        <w:t xml:space="preserve">. </w:t>
      </w:r>
      <w:r w:rsidRPr="00A42972">
        <w:t xml:space="preserve">Selection criteria for </w:t>
      </w:r>
      <w:r w:rsidR="00784D2D">
        <w:t xml:space="preserve">PCMs </w:t>
      </w:r>
      <w:r w:rsidRPr="00A42972">
        <w:t>grouped by thermophysical, kinetic, chemical, and economic properties</w:t>
      </w:r>
      <w:r w:rsidR="00A165BA">
        <w:t>.</w:t>
      </w:r>
      <w:bookmarkEnd w:id="9"/>
    </w:p>
    <w:p w14:paraId="4F1896D3" w14:textId="77777777" w:rsidR="00CE7A4E" w:rsidRDefault="00CE7A4E" w:rsidP="00CE7A4E">
      <w:pPr>
        <w:keepNext/>
        <w:jc w:val="center"/>
      </w:pPr>
      <w:r>
        <w:rPr>
          <w:noProof/>
          <w:lang w:val="en-US"/>
        </w:rPr>
        <w:drawing>
          <wp:inline distT="0" distB="0" distL="0" distR="0" wp14:anchorId="449D6981" wp14:editId="773CC8C4">
            <wp:extent cx="5535930" cy="1840865"/>
            <wp:effectExtent l="0" t="0" r="7620" b="0"/>
            <wp:docPr id="68366719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535930" cy="1840865"/>
                    </a:xfrm>
                    <a:prstGeom prst="rect">
                      <a:avLst/>
                    </a:prstGeom>
                    <a:noFill/>
                  </pic:spPr>
                </pic:pic>
              </a:graphicData>
            </a:graphic>
          </wp:inline>
        </w:drawing>
      </w:r>
    </w:p>
    <w:p w14:paraId="0FA7BD16" w14:textId="119F365A" w:rsidR="00443608" w:rsidRDefault="00CE7A4E" w:rsidP="00CE7A4E">
      <w:pPr>
        <w:pStyle w:val="Caption"/>
      </w:pPr>
      <w:bookmarkStart w:id="10" w:name="_Toc214357710"/>
      <w:r>
        <w:t xml:space="preserve">Figure </w:t>
      </w:r>
      <w:r w:rsidR="00F824A5">
        <w:fldChar w:fldCharType="begin"/>
      </w:r>
      <w:r w:rsidR="00F824A5">
        <w:instrText xml:space="preserve"> STYLEREF 1 \s </w:instrText>
      </w:r>
      <w:r w:rsidR="00F824A5">
        <w:fldChar w:fldCharType="separate"/>
      </w:r>
      <w:r w:rsidR="000412CE">
        <w:rPr>
          <w:noProof/>
        </w:rPr>
        <w:t>1</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1</w:t>
      </w:r>
      <w:r w:rsidR="00F824A5">
        <w:fldChar w:fldCharType="end"/>
      </w:r>
      <w:r w:rsidR="005A414B">
        <w:t>.</w:t>
      </w:r>
      <w:r>
        <w:t xml:space="preserve"> </w:t>
      </w:r>
      <w:r w:rsidRPr="00962CA3">
        <w:t>Phase-change pathways in PCM: solid–liquid, solid–solid, solid–gas, and liquid–gas</w:t>
      </w:r>
      <w:r w:rsidR="00A165BA">
        <w:t>.</w:t>
      </w:r>
      <w:bookmarkEnd w:id="10"/>
    </w:p>
    <w:p w14:paraId="2C57BD14" w14:textId="085DBA3B" w:rsidR="00443608" w:rsidRDefault="00CE7A4E" w:rsidP="00CE7A4E">
      <w:pPr>
        <w:pStyle w:val="Heading3"/>
        <w:rPr>
          <w:lang w:val="en-US"/>
        </w:rPr>
      </w:pPr>
      <w:bookmarkStart w:id="11" w:name="_Toc214356269"/>
      <w:r w:rsidRPr="00CE7A4E">
        <w:rPr>
          <w:lang w:val="en-US"/>
        </w:rPr>
        <w:t>Solid-Liquid</w:t>
      </w:r>
      <w:r w:rsidR="005A414B">
        <w:rPr>
          <w:lang w:val="en-US"/>
        </w:rPr>
        <w:t xml:space="preserve"> PCM</w:t>
      </w:r>
      <w:r w:rsidRPr="00CE7A4E">
        <w:rPr>
          <w:lang w:val="en-US"/>
        </w:rPr>
        <w:t>s</w:t>
      </w:r>
      <w:bookmarkEnd w:id="11"/>
    </w:p>
    <w:p w14:paraId="3FF12298" w14:textId="48F0D96C" w:rsidR="00CE7A4E" w:rsidRDefault="00CE7A4E" w:rsidP="00CE7A4E">
      <w:pPr>
        <w:rPr>
          <w:lang w:val="en-US"/>
        </w:rPr>
      </w:pPr>
      <w:r w:rsidRPr="00CE7A4E">
        <w:rPr>
          <w:lang w:val="en-US"/>
        </w:rPr>
        <w:t xml:space="preserve">Figure </w:t>
      </w:r>
      <w:r>
        <w:rPr>
          <w:lang w:val="en-US"/>
        </w:rPr>
        <w:t>1.2</w:t>
      </w:r>
      <w:r w:rsidRPr="00CE7A4E">
        <w:rPr>
          <w:lang w:val="en-US"/>
        </w:rPr>
        <w:t xml:space="preserve"> shows the subdivision of solid–liquid PCMs. Solid–liquid </w:t>
      </w:r>
      <w:r w:rsidR="00784D2D">
        <w:rPr>
          <w:lang w:val="en-US"/>
        </w:rPr>
        <w:t>PCM</w:t>
      </w:r>
      <w:r w:rsidRPr="00CE7A4E">
        <w:rPr>
          <w:lang w:val="en-US"/>
        </w:rPr>
        <w:t>s are divided into organic, inorganic, and eutectic types, and are the most suitable for latent heat storage applications because they offer high energy storage density, operate at nearly constant temperatures, and provide a wide variety of materials available for different temperature ranges.</w:t>
      </w:r>
    </w:p>
    <w:p w14:paraId="3C2FF80B" w14:textId="77777777" w:rsidR="00CE7A4E" w:rsidRDefault="00CE7A4E" w:rsidP="00CE7A4E">
      <w:pPr>
        <w:keepNext/>
        <w:jc w:val="center"/>
      </w:pPr>
      <w:r>
        <w:rPr>
          <w:noProof/>
          <w:lang w:val="en-US"/>
        </w:rPr>
        <w:lastRenderedPageBreak/>
        <w:drawing>
          <wp:inline distT="0" distB="0" distL="0" distR="0" wp14:anchorId="7FC1558B" wp14:editId="1F506D4D">
            <wp:extent cx="2407920" cy="878205"/>
            <wp:effectExtent l="0" t="0" r="0" b="0"/>
            <wp:docPr id="84394716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407920" cy="878205"/>
                    </a:xfrm>
                    <a:prstGeom prst="rect">
                      <a:avLst/>
                    </a:prstGeom>
                    <a:noFill/>
                  </pic:spPr>
                </pic:pic>
              </a:graphicData>
            </a:graphic>
          </wp:inline>
        </w:drawing>
      </w:r>
    </w:p>
    <w:p w14:paraId="37BE0EFB" w14:textId="2489C053" w:rsidR="00CE7A4E" w:rsidRDefault="00CE7A4E" w:rsidP="00CE7A4E">
      <w:pPr>
        <w:pStyle w:val="Caption"/>
      </w:pPr>
      <w:bookmarkStart w:id="12" w:name="_Toc214357711"/>
      <w:r>
        <w:t xml:space="preserve">Figure </w:t>
      </w:r>
      <w:r w:rsidR="00F824A5">
        <w:fldChar w:fldCharType="begin"/>
      </w:r>
      <w:r w:rsidR="00F824A5">
        <w:instrText xml:space="preserve"> STYLEREF 1 \s </w:instrText>
      </w:r>
      <w:r w:rsidR="00F824A5">
        <w:fldChar w:fldCharType="separate"/>
      </w:r>
      <w:r w:rsidR="000412CE">
        <w:rPr>
          <w:noProof/>
        </w:rPr>
        <w:t>1</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2</w:t>
      </w:r>
      <w:r w:rsidR="00F824A5">
        <w:fldChar w:fldCharType="end"/>
      </w:r>
      <w:r w:rsidRPr="008E56BD">
        <w:t>. Classification of solid–liquid PCMs into organic, inorganic, and eutectic families</w:t>
      </w:r>
      <w:r w:rsidR="00A165BA">
        <w:t>.</w:t>
      </w:r>
      <w:bookmarkEnd w:id="12"/>
    </w:p>
    <w:p w14:paraId="235CBAF9" w14:textId="5D70537B" w:rsidR="00CE7A4E" w:rsidRDefault="00CE7A4E" w:rsidP="00CE7A4E">
      <w:pPr>
        <w:pStyle w:val="Heading4"/>
        <w:rPr>
          <w:lang w:val="en-US"/>
        </w:rPr>
      </w:pPr>
      <w:r w:rsidRPr="00CE7A4E">
        <w:rPr>
          <w:lang w:val="en-US"/>
        </w:rPr>
        <w:t xml:space="preserve">Organic </w:t>
      </w:r>
      <w:r w:rsidR="00784D2D">
        <w:rPr>
          <w:lang w:val="en-US"/>
        </w:rPr>
        <w:t>PCM</w:t>
      </w:r>
      <w:r w:rsidRPr="00CE7A4E">
        <w:rPr>
          <w:lang w:val="en-US"/>
        </w:rPr>
        <w:t>s</w:t>
      </w:r>
    </w:p>
    <w:p w14:paraId="111A5DE2" w14:textId="04008EA3" w:rsidR="00CE7A4E" w:rsidRPr="00CE7A4E" w:rsidRDefault="00CE7A4E" w:rsidP="00CE7A4E">
      <w:pPr>
        <w:rPr>
          <w:lang w:val="en-US"/>
        </w:rPr>
      </w:pPr>
      <w:r w:rsidRPr="00CE7A4E">
        <w:rPr>
          <w:lang w:val="en-US"/>
        </w:rPr>
        <w:t xml:space="preserve">Organic </w:t>
      </w:r>
      <w:r w:rsidR="00784D2D">
        <w:rPr>
          <w:lang w:val="en-US"/>
        </w:rPr>
        <w:t>PCM</w:t>
      </w:r>
      <w:r w:rsidRPr="00CE7A4E">
        <w:rPr>
          <w:lang w:val="en-US"/>
        </w:rPr>
        <w:t xml:space="preserve">s mainly include paraffins (open-chain saturated alkanes), fatty acids, and vegetable oils. They exhibit a high latent heat storage capacity and are characterized by good chemical stability, being non-reactive. Furthermore, they do not show phase segregation or supercooling during melting and solidification </w:t>
      </w:r>
      <w:r>
        <w:rPr>
          <w:lang w:val="en-US"/>
        </w:rPr>
        <w:t>c</w:t>
      </w:r>
      <w:r w:rsidRPr="00CE7A4E">
        <w:rPr>
          <w:lang w:val="en-US"/>
        </w:rPr>
        <w:t>ycles, while also presenting favorable nucleation properties. Despite these advantages, their main drawbacks are related to their inherently low thermal conductivity and their flammable nature, which limit their use in certain applications</w:t>
      </w:r>
      <w:r>
        <w:rPr>
          <w:lang w:val="en-US"/>
        </w:rPr>
        <w:t xml:space="preserve"> </w:t>
      </w:r>
      <w:sdt>
        <w:sdtPr>
          <w:rPr>
            <w:lang w:val="en-US"/>
          </w:rPr>
          <w:id w:val="-1232232532"/>
          <w:citation/>
        </w:sdtPr>
        <w:sdtContent>
          <w:r>
            <w:rPr>
              <w:lang w:val="en-US"/>
            </w:rPr>
            <w:fldChar w:fldCharType="begin"/>
          </w:r>
          <w:r w:rsidRPr="00CE7A4E">
            <w:rPr>
              <w:lang w:val="en-US"/>
            </w:rPr>
            <w:instrText xml:space="preserve"> CITATION Placeholder13 \l 1040 </w:instrText>
          </w:r>
          <w:r>
            <w:rPr>
              <w:lang w:val="en-US"/>
            </w:rPr>
            <w:fldChar w:fldCharType="separate"/>
          </w:r>
          <w:r w:rsidR="00855396" w:rsidRPr="00855396">
            <w:rPr>
              <w:noProof/>
              <w:lang w:val="en-US"/>
            </w:rPr>
            <w:t>[7]</w:t>
          </w:r>
          <w:r>
            <w:rPr>
              <w:lang w:val="en-US"/>
            </w:rPr>
            <w:fldChar w:fldCharType="end"/>
          </w:r>
        </w:sdtContent>
      </w:sdt>
      <w:r>
        <w:rPr>
          <w:lang w:val="en-US"/>
        </w:rPr>
        <w:t xml:space="preserve">. </w:t>
      </w:r>
    </w:p>
    <w:p w14:paraId="3B906EF5" w14:textId="52DB3C8E" w:rsidR="00CE7A4E" w:rsidRPr="00CE7A4E" w:rsidRDefault="00CE7A4E" w:rsidP="00CE7A4E">
      <w:pPr>
        <w:rPr>
          <w:lang w:val="en-US"/>
        </w:rPr>
      </w:pPr>
      <w:r w:rsidRPr="00CE7A4E">
        <w:rPr>
          <w:lang w:val="en-US"/>
        </w:rPr>
        <w:t>Paraffin is the final product of petroleum refining, obtained after asphalt extraction and subsequently treated with chemical agents for its conversion into wax</w:t>
      </w:r>
      <w:sdt>
        <w:sdtPr>
          <w:rPr>
            <w:lang w:val="en-US"/>
          </w:rPr>
          <w:id w:val="1532222964"/>
          <w:citation/>
        </w:sdtPr>
        <w:sdtContent>
          <w:r>
            <w:rPr>
              <w:lang w:val="en-US"/>
            </w:rPr>
            <w:fldChar w:fldCharType="begin"/>
          </w:r>
          <w:r w:rsidRPr="00CE7A4E">
            <w:rPr>
              <w:lang w:val="en-US"/>
            </w:rPr>
            <w:instrText xml:space="preserve"> CITATION Placeholder14 \l 1040 </w:instrText>
          </w:r>
          <w:r>
            <w:rPr>
              <w:lang w:val="en-US"/>
            </w:rPr>
            <w:fldChar w:fldCharType="separate"/>
          </w:r>
          <w:r w:rsidR="00855396">
            <w:rPr>
              <w:noProof/>
              <w:lang w:val="en-US"/>
            </w:rPr>
            <w:t xml:space="preserve"> </w:t>
          </w:r>
          <w:r w:rsidR="00855396" w:rsidRPr="00855396">
            <w:rPr>
              <w:noProof/>
              <w:lang w:val="en-US"/>
            </w:rPr>
            <w:t>[8]</w:t>
          </w:r>
          <w:r>
            <w:rPr>
              <w:lang w:val="en-US"/>
            </w:rPr>
            <w:fldChar w:fldCharType="end"/>
          </w:r>
        </w:sdtContent>
      </w:sdt>
      <w:r w:rsidRPr="00CE7A4E">
        <w:rPr>
          <w:lang w:val="en-US"/>
        </w:rPr>
        <w:t>. From a chemical perspective, it belongs to the alkane family, saturated compounds of carbon and hydrogen with linear, cyclic, or branched structures. It is the most widely used commercial PCM due to its stability over approximately 1500 cycles and the possibility of adjusting melting and solidification points according to molar mass and chain length. Good cycling stability and the absence of supercooling are further advantages, while its inherently low thermal conductivity represents the main limitation, which can be partially mitigated through the use of high-conductivity additives or finned structures. From a safety standpoint, paraffins are non-corrosive and chemically stable, though they may undergo oxidation and, in industrial grades, can contain volatile compounds that are toxic or carcinogenic (e.g., formaldehyde, benzene, toluene, and naphthalene). Therefore, in building applications, the use of certified and safe products is essential.</w:t>
      </w:r>
    </w:p>
    <w:p w14:paraId="2EFD8E43" w14:textId="77777777" w:rsidR="00CE7A4E" w:rsidRPr="00CE7A4E" w:rsidRDefault="00CE7A4E" w:rsidP="00CE7A4E">
      <w:pPr>
        <w:rPr>
          <w:lang w:val="en-US"/>
        </w:rPr>
      </w:pPr>
      <w:r w:rsidRPr="00CE7A4E">
        <w:rPr>
          <w:lang w:val="en-US"/>
        </w:rPr>
        <w:t>Vegetable oil-based PCMs represent an attractive option for various applications, due to their higher safety compared to paraffin-based materials. They exhibit a latent heat capacity ranging from 150 to 220 J/g and melting temperatures within the 90–150 °C range. Unlike paraffins, which are toxic if ingested, vegetable oils are edible and pose no health risks. However, they are characterized by lower flash points and longer flame propagation times. From an environmental perspective, vegetable feedstocks are natural and renewable resources with an almost negligible carbon content. Moreover, their chemical inertness ensures compatibility with most construction materials.</w:t>
      </w:r>
    </w:p>
    <w:p w14:paraId="1567F03C" w14:textId="50477156" w:rsidR="00CE7A4E" w:rsidRDefault="00CE7A4E" w:rsidP="00CE7A4E">
      <w:pPr>
        <w:rPr>
          <w:lang w:val="en-US"/>
        </w:rPr>
      </w:pPr>
      <w:r w:rsidRPr="00CE7A4E">
        <w:rPr>
          <w:lang w:val="en-US"/>
        </w:rPr>
        <w:t xml:space="preserve">Fatty acids are carboxylic acids with long hydrocarbon chains and a terminal carboxyl group. They are mainly derived from glycerides or phospholipids. From an </w:t>
      </w:r>
      <w:r w:rsidRPr="00CE7A4E">
        <w:rPr>
          <w:lang w:val="en-US"/>
        </w:rPr>
        <w:lastRenderedPageBreak/>
        <w:t>application perspective, fatty acids present significant drawbacks: they are corrosive, flammable, and often characterized by an unpleasant odor, which limits their use in building applications. Moreover, their cost is considerably higher than paraffin wax (two to three times greater).</w:t>
      </w:r>
    </w:p>
    <w:p w14:paraId="37EEC269" w14:textId="779233A1" w:rsidR="00CE7A4E" w:rsidRDefault="00813561" w:rsidP="00CE7A4E">
      <w:pPr>
        <w:pStyle w:val="Heading4"/>
        <w:rPr>
          <w:lang w:val="en-US"/>
        </w:rPr>
      </w:pPr>
      <w:r w:rsidRPr="00813561">
        <w:rPr>
          <w:lang w:val="en-US"/>
        </w:rPr>
        <w:t xml:space="preserve">Inorganic </w:t>
      </w:r>
      <w:r w:rsidR="00784D2D">
        <w:rPr>
          <w:lang w:val="en-US"/>
        </w:rPr>
        <w:t>PCM</w:t>
      </w:r>
      <w:r w:rsidRPr="00813561">
        <w:rPr>
          <w:lang w:val="en-US"/>
        </w:rPr>
        <w:t>s</w:t>
      </w:r>
    </w:p>
    <w:p w14:paraId="62310C69" w14:textId="2747ACF5" w:rsidR="00CE7A4E" w:rsidRPr="00CE7A4E" w:rsidRDefault="00CE7A4E" w:rsidP="00CE7A4E">
      <w:pPr>
        <w:rPr>
          <w:lang w:val="en-US"/>
        </w:rPr>
      </w:pPr>
      <w:r w:rsidRPr="00CE7A4E">
        <w:rPr>
          <w:lang w:val="en-US"/>
        </w:rPr>
        <w:t>Inorganic PCMs can consist of metals or salt hydrates. In contrast to the previously described organic materials, inorganic compounds offer the advantages of very high latent heat storage capacity, non-flammability, and sharper phase transitions</w:t>
      </w:r>
      <w:r>
        <w:rPr>
          <w:lang w:val="en-US"/>
        </w:rPr>
        <w:t xml:space="preserve"> </w:t>
      </w:r>
      <w:sdt>
        <w:sdtPr>
          <w:rPr>
            <w:lang w:val="en-US"/>
          </w:rPr>
          <w:id w:val="-380170233"/>
          <w:citation/>
        </w:sdtPr>
        <w:sdtContent>
          <w:r>
            <w:rPr>
              <w:lang w:val="en-US"/>
            </w:rPr>
            <w:fldChar w:fldCharType="begin"/>
          </w:r>
          <w:r w:rsidRPr="00CE7A4E">
            <w:rPr>
              <w:lang w:val="en-US"/>
            </w:rPr>
            <w:instrText xml:space="preserve"> CITATION Placeholder13 \l 1040 </w:instrText>
          </w:r>
          <w:r>
            <w:rPr>
              <w:lang w:val="en-US"/>
            </w:rPr>
            <w:fldChar w:fldCharType="separate"/>
          </w:r>
          <w:r w:rsidR="00855396" w:rsidRPr="00855396">
            <w:rPr>
              <w:noProof/>
              <w:lang w:val="en-US"/>
            </w:rPr>
            <w:t>[7]</w:t>
          </w:r>
          <w:r>
            <w:rPr>
              <w:lang w:val="en-US"/>
            </w:rPr>
            <w:fldChar w:fldCharType="end"/>
          </w:r>
        </w:sdtContent>
      </w:sdt>
      <w:r w:rsidRPr="00CE7A4E">
        <w:rPr>
          <w:lang w:val="en-US"/>
        </w:rPr>
        <w:t>. However, they are inherently corrosive and may undergo phase segregation and supercooling, which represent significant challenges for their practical application.</w:t>
      </w:r>
    </w:p>
    <w:p w14:paraId="0EB60E76" w14:textId="77777777" w:rsidR="00CE7A4E" w:rsidRPr="00CE7A4E" w:rsidRDefault="00CE7A4E" w:rsidP="00CE7A4E">
      <w:pPr>
        <w:rPr>
          <w:lang w:val="en-US"/>
        </w:rPr>
      </w:pPr>
      <w:r w:rsidRPr="00CE7A4E">
        <w:rPr>
          <w:lang w:val="en-US"/>
        </w:rPr>
        <w:t>Salt hydrates are inorganic compounds integrally associated with water molecules, and they are attractive as PCMs due to their low cost, high specific heat capacity, high latent heat storage, and good thermal conductivity. However, they exhibit supercooling caused by poor nucleation and phase segregation due to incongruent melting. In addition, with an increasing number of cycles, the hydrated mass decreases, and the material degrades after several uses.</w:t>
      </w:r>
    </w:p>
    <w:p w14:paraId="72021A78" w14:textId="79557112" w:rsidR="00CE7A4E" w:rsidRDefault="00CE7A4E" w:rsidP="00CE7A4E">
      <w:pPr>
        <w:rPr>
          <w:lang w:val="en-US"/>
        </w:rPr>
      </w:pPr>
      <w:r w:rsidRPr="00CE7A4E">
        <w:rPr>
          <w:lang w:val="en-US"/>
        </w:rPr>
        <w:t>Salt hydrates are available within a limited temperature range that is suitable for most applications. Their main drawback is the phenomenon of incongruent melting, which reduces the reversibility of the phase change process and, consequently, their heat storage capacity. For this reason, the potential use of salt hydrates as PCMs requires a fundamental study of their thermal properties, such as phase change temperature, supercooling behavior, nucleation rate, and enthalpy. Ideally, these properties should be evaluated before and after repeated heating and cooling cycles. Proper encapsulation is therefore required before their use in building applications. Moreover, their tendency to cause corrosion in metal containers makes compatibility with containment materials another significant challenge. Salt hydrates are mostly considered non-toxic, but some compounds can cause skin, eye, or breathing irritation, especially when in powder form or in direct contact. In certain cases, the health risks can be more serious. Most salts are not carcinogenic, but some are not biodegradable. For this reason, proper safety measures are needed, and data sheets should be consulted when frequent exposure is expected.</w:t>
      </w:r>
    </w:p>
    <w:p w14:paraId="6B81D86A" w14:textId="43EC72C4" w:rsidR="00813561" w:rsidRDefault="00813561" w:rsidP="00813561">
      <w:pPr>
        <w:pStyle w:val="Heading4"/>
        <w:rPr>
          <w:lang w:val="en-US"/>
        </w:rPr>
      </w:pPr>
      <w:r w:rsidRPr="00813561">
        <w:rPr>
          <w:lang w:val="en-US"/>
        </w:rPr>
        <w:t>Eutectics</w:t>
      </w:r>
    </w:p>
    <w:p w14:paraId="48880C08" w14:textId="77777777" w:rsidR="00813561" w:rsidRPr="00813561" w:rsidRDefault="00813561" w:rsidP="00813561">
      <w:pPr>
        <w:rPr>
          <w:lang w:val="en-US"/>
        </w:rPr>
      </w:pPr>
      <w:r w:rsidRPr="00813561">
        <w:rPr>
          <w:lang w:val="en-US"/>
        </w:rPr>
        <w:t xml:space="preserve">Eutectics are mixtures of two or more compounds that melt and solidify together at a specific composition, known as the eutectic composition, and at a defined eutectic temperature. Their main advantage is the sharp and well-defined phase change temperature. They undergo melting and freezing without segregation, which makes them stable. Most eutectics reported in the literature for air-conditioning applications </w:t>
      </w:r>
      <w:r w:rsidRPr="00813561">
        <w:rPr>
          <w:lang w:val="en-US"/>
        </w:rPr>
        <w:lastRenderedPageBreak/>
        <w:t>are organic in nature. However, some of them have unpleasant odors, which limit their use in buildings. In addition, their synthesis, characterization, and testing can be costly and time-consuming, which may explain the limited research available on their thermophysical properties. Their level of toxicity depends on the nature of the constituent materials, whether organic or inorganic.</w:t>
      </w:r>
    </w:p>
    <w:p w14:paraId="0CB6E247" w14:textId="39287870" w:rsidR="00813561" w:rsidRDefault="00813561" w:rsidP="00813561">
      <w:pPr>
        <w:rPr>
          <w:lang w:val="en-US"/>
        </w:rPr>
      </w:pPr>
      <w:r w:rsidRPr="00813561">
        <w:rPr>
          <w:lang w:val="en-US"/>
        </w:rPr>
        <w:t xml:space="preserve">Table </w:t>
      </w:r>
      <w:r>
        <w:rPr>
          <w:lang w:val="en-US"/>
        </w:rPr>
        <w:t>1.</w:t>
      </w:r>
      <w:r w:rsidRPr="00813561">
        <w:rPr>
          <w:lang w:val="en-US"/>
        </w:rPr>
        <w:t xml:space="preserve">2 summarizes the advantages and disadvantages of </w:t>
      </w:r>
      <w:r w:rsidR="00784D2D">
        <w:rPr>
          <w:lang w:val="en-US"/>
        </w:rPr>
        <w:t>PCM</w:t>
      </w:r>
      <w:r w:rsidRPr="00813561">
        <w:rPr>
          <w:lang w:val="en-US"/>
        </w:rPr>
        <w:t xml:space="preserve">s, in accordance with the discussion above and with the scientific literature </w:t>
      </w:r>
      <w:sdt>
        <w:sdtPr>
          <w:rPr>
            <w:lang w:val="en-US"/>
          </w:rPr>
          <w:id w:val="1387453642"/>
          <w:citation/>
        </w:sdtPr>
        <w:sdtContent>
          <w:r>
            <w:rPr>
              <w:lang w:val="en-US"/>
            </w:rPr>
            <w:fldChar w:fldCharType="begin"/>
          </w:r>
          <w:r w:rsidRPr="00813561">
            <w:rPr>
              <w:lang w:val="en-US"/>
            </w:rPr>
            <w:instrText xml:space="preserve"> CITATION Placeholder15 \l 1040 </w:instrText>
          </w:r>
          <w:r>
            <w:rPr>
              <w:lang w:val="en-US"/>
            </w:rPr>
            <w:fldChar w:fldCharType="separate"/>
          </w:r>
          <w:r w:rsidR="00855396" w:rsidRPr="00855396">
            <w:rPr>
              <w:noProof/>
              <w:lang w:val="en-US"/>
            </w:rPr>
            <w:t>[9]</w:t>
          </w:r>
          <w:r>
            <w:rPr>
              <w:lang w:val="en-US"/>
            </w:rPr>
            <w:fldChar w:fldCharType="end"/>
          </w:r>
        </w:sdtContent>
      </w:sdt>
      <w:r w:rsidRPr="00813561">
        <w:rPr>
          <w:lang w:val="en-US"/>
        </w:rPr>
        <w:t>.</w:t>
      </w:r>
    </w:p>
    <w:tbl>
      <w:tblPr>
        <w:tblStyle w:val="TableGrid"/>
        <w:tblW w:w="4927" w:type="pct"/>
        <w:tblLayout w:type="fixed"/>
        <w:tblLook w:val="04A0" w:firstRow="1" w:lastRow="0" w:firstColumn="1" w:lastColumn="0" w:noHBand="0" w:noVBand="1"/>
      </w:tblPr>
      <w:tblGrid>
        <w:gridCol w:w="1600"/>
        <w:gridCol w:w="3730"/>
        <w:gridCol w:w="3598"/>
      </w:tblGrid>
      <w:tr w:rsidR="00813561" w:rsidRPr="00813561" w14:paraId="6E4383C1" w14:textId="77777777" w:rsidTr="00813561">
        <w:tc>
          <w:tcPr>
            <w:tcW w:w="896" w:type="pct"/>
            <w:shd w:val="clear" w:color="auto" w:fill="8EA5B6"/>
            <w:noWrap/>
            <w:vAlign w:val="center"/>
          </w:tcPr>
          <w:p w14:paraId="6F945915" w14:textId="77777777" w:rsidR="00813561" w:rsidRPr="00813561" w:rsidRDefault="00813561" w:rsidP="00813561">
            <w:pPr>
              <w:jc w:val="center"/>
              <w:rPr>
                <w:rFonts w:eastAsiaTheme="minorEastAsia" w:cs="Times New Roman"/>
                <w:b/>
                <w:bCs/>
                <w:sz w:val="22"/>
              </w:rPr>
            </w:pPr>
            <w:r w:rsidRPr="00813561">
              <w:rPr>
                <w:rFonts w:eastAsiaTheme="minorEastAsia" w:cs="Times New Roman"/>
                <w:b/>
                <w:bCs/>
                <w:sz w:val="22"/>
              </w:rPr>
              <w:t>Classification</w:t>
            </w:r>
          </w:p>
        </w:tc>
        <w:tc>
          <w:tcPr>
            <w:tcW w:w="2089" w:type="pct"/>
            <w:shd w:val="clear" w:color="auto" w:fill="8EA5B6"/>
            <w:vAlign w:val="center"/>
          </w:tcPr>
          <w:p w14:paraId="292A7E81" w14:textId="77777777" w:rsidR="00813561" w:rsidRPr="00813561" w:rsidRDefault="00813561" w:rsidP="00813561">
            <w:pPr>
              <w:jc w:val="center"/>
              <w:rPr>
                <w:rFonts w:eastAsiaTheme="minorEastAsia" w:cs="Times New Roman"/>
                <w:b/>
                <w:bCs/>
                <w:sz w:val="22"/>
              </w:rPr>
            </w:pPr>
            <w:r w:rsidRPr="00813561">
              <w:rPr>
                <w:rFonts w:eastAsiaTheme="minorEastAsia" w:cs="Times New Roman"/>
                <w:b/>
                <w:bCs/>
                <w:sz w:val="22"/>
              </w:rPr>
              <w:t>Advantages</w:t>
            </w:r>
          </w:p>
        </w:tc>
        <w:tc>
          <w:tcPr>
            <w:tcW w:w="2015" w:type="pct"/>
            <w:shd w:val="clear" w:color="auto" w:fill="8EA5B6"/>
            <w:vAlign w:val="center"/>
          </w:tcPr>
          <w:p w14:paraId="5E43E8B6" w14:textId="77777777" w:rsidR="00813561" w:rsidRPr="00813561" w:rsidRDefault="00813561" w:rsidP="00813561">
            <w:pPr>
              <w:jc w:val="center"/>
              <w:rPr>
                <w:rFonts w:eastAsiaTheme="minorEastAsia" w:cs="Times New Roman"/>
                <w:b/>
                <w:bCs/>
                <w:sz w:val="22"/>
              </w:rPr>
            </w:pPr>
            <w:r w:rsidRPr="00813561">
              <w:rPr>
                <w:rFonts w:eastAsiaTheme="minorEastAsia" w:cs="Times New Roman"/>
                <w:b/>
                <w:bCs/>
                <w:sz w:val="22"/>
              </w:rPr>
              <w:t>Disadvantages</w:t>
            </w:r>
          </w:p>
        </w:tc>
      </w:tr>
      <w:tr w:rsidR="00813561" w:rsidRPr="00736B36" w14:paraId="470687D5" w14:textId="77777777" w:rsidTr="00813561">
        <w:tc>
          <w:tcPr>
            <w:tcW w:w="896" w:type="pct"/>
            <w:noWrap/>
            <w:vAlign w:val="center"/>
          </w:tcPr>
          <w:p w14:paraId="2F2263B2" w14:textId="77777777" w:rsidR="00813561" w:rsidRPr="00813561" w:rsidRDefault="00813561" w:rsidP="00813561">
            <w:pPr>
              <w:jc w:val="center"/>
              <w:rPr>
                <w:rFonts w:eastAsiaTheme="minorEastAsia" w:cs="Times New Roman"/>
                <w:b/>
                <w:bCs/>
                <w:sz w:val="22"/>
              </w:rPr>
            </w:pPr>
            <w:r w:rsidRPr="00813561">
              <w:rPr>
                <w:rFonts w:eastAsiaTheme="minorEastAsia" w:cs="Times New Roman"/>
                <w:b/>
                <w:bCs/>
                <w:sz w:val="22"/>
              </w:rPr>
              <w:t>Organic PCMs</w:t>
            </w:r>
          </w:p>
        </w:tc>
        <w:tc>
          <w:tcPr>
            <w:tcW w:w="2089" w:type="pct"/>
            <w:vAlign w:val="center"/>
          </w:tcPr>
          <w:p w14:paraId="555782BF" w14:textId="77777777" w:rsidR="00813561" w:rsidRPr="00813561" w:rsidRDefault="00813561" w:rsidP="00813561">
            <w:pPr>
              <w:jc w:val="center"/>
              <w:rPr>
                <w:rFonts w:eastAsiaTheme="minorEastAsia" w:cs="Times New Roman"/>
                <w:sz w:val="22"/>
                <w:lang w:val="en-US"/>
              </w:rPr>
            </w:pPr>
            <w:r w:rsidRPr="00813561">
              <w:rPr>
                <w:rFonts w:eastAsiaTheme="minorEastAsia" w:cs="Times New Roman"/>
                <w:sz w:val="22"/>
                <w:lang w:val="en-US"/>
              </w:rPr>
              <w:t>Versatility over a wide temperature range</w:t>
            </w:r>
          </w:p>
          <w:p w14:paraId="193FC67C" w14:textId="77777777" w:rsidR="00813561" w:rsidRPr="00813561" w:rsidRDefault="00813561" w:rsidP="00813561">
            <w:pPr>
              <w:jc w:val="center"/>
              <w:rPr>
                <w:rFonts w:eastAsiaTheme="minorEastAsia" w:cs="Times New Roman"/>
                <w:sz w:val="22"/>
                <w:lang w:val="en-US"/>
              </w:rPr>
            </w:pPr>
            <w:r w:rsidRPr="00813561">
              <w:rPr>
                <w:rFonts w:eastAsiaTheme="minorEastAsia" w:cs="Times New Roman"/>
                <w:sz w:val="22"/>
                <w:lang w:val="en-US"/>
              </w:rPr>
              <w:t>High latent heat of phase change</w:t>
            </w:r>
          </w:p>
          <w:p w14:paraId="3EAE4881" w14:textId="77777777" w:rsidR="00813561" w:rsidRPr="00813561" w:rsidRDefault="00813561" w:rsidP="00813561">
            <w:pPr>
              <w:jc w:val="center"/>
              <w:rPr>
                <w:rFonts w:eastAsiaTheme="minorEastAsia" w:cs="Times New Roman"/>
                <w:sz w:val="22"/>
                <w:lang w:val="en-US"/>
              </w:rPr>
            </w:pPr>
            <w:r w:rsidRPr="00813561">
              <w:rPr>
                <w:rFonts w:eastAsiaTheme="minorEastAsia" w:cs="Times New Roman"/>
                <w:sz w:val="22"/>
                <w:lang w:val="en-US"/>
              </w:rPr>
              <w:t>Absence of subcooling</w:t>
            </w:r>
          </w:p>
          <w:p w14:paraId="3F206550" w14:textId="77777777" w:rsidR="00813561" w:rsidRPr="00813561" w:rsidRDefault="00813561" w:rsidP="00813561">
            <w:pPr>
              <w:jc w:val="center"/>
              <w:rPr>
                <w:rFonts w:eastAsiaTheme="minorEastAsia" w:cs="Times New Roman"/>
                <w:sz w:val="22"/>
                <w:lang w:val="en-US"/>
              </w:rPr>
            </w:pPr>
            <w:r w:rsidRPr="00813561">
              <w:rPr>
                <w:rFonts w:eastAsiaTheme="minorEastAsia" w:cs="Times New Roman"/>
                <w:sz w:val="22"/>
                <w:lang w:val="en-US"/>
              </w:rPr>
              <w:t>Physical/chemical stability and recyclability</w:t>
            </w:r>
          </w:p>
          <w:p w14:paraId="58DB8FD8" w14:textId="77777777" w:rsidR="00813561" w:rsidRPr="00813561" w:rsidRDefault="00813561" w:rsidP="00813561">
            <w:pPr>
              <w:jc w:val="center"/>
              <w:rPr>
                <w:rFonts w:eastAsiaTheme="minorEastAsia" w:cs="Times New Roman"/>
                <w:sz w:val="22"/>
                <w:lang w:val="en-US"/>
              </w:rPr>
            </w:pPr>
            <w:r w:rsidRPr="00813561">
              <w:rPr>
                <w:rFonts w:eastAsiaTheme="minorEastAsia" w:cs="Times New Roman"/>
                <w:sz w:val="22"/>
                <w:lang w:val="en-US"/>
              </w:rPr>
              <w:t>High compatibility with various materials</w:t>
            </w:r>
          </w:p>
        </w:tc>
        <w:tc>
          <w:tcPr>
            <w:tcW w:w="2015" w:type="pct"/>
            <w:vAlign w:val="center"/>
          </w:tcPr>
          <w:p w14:paraId="7A2A2CE1" w14:textId="77777777" w:rsidR="00813561" w:rsidRPr="00813561" w:rsidRDefault="00813561" w:rsidP="00813561">
            <w:pPr>
              <w:jc w:val="center"/>
              <w:rPr>
                <w:rFonts w:eastAsiaTheme="minorEastAsia" w:cs="Times New Roman"/>
                <w:sz w:val="22"/>
                <w:lang w:val="en-US"/>
              </w:rPr>
            </w:pPr>
            <w:r w:rsidRPr="00813561">
              <w:rPr>
                <w:rFonts w:eastAsiaTheme="minorEastAsia" w:cs="Times New Roman"/>
                <w:sz w:val="22"/>
                <w:lang w:val="en-US"/>
              </w:rPr>
              <w:t>Low thermal conductivity</w:t>
            </w:r>
          </w:p>
          <w:p w14:paraId="3F08A4A8" w14:textId="77777777" w:rsidR="00813561" w:rsidRPr="00813561" w:rsidRDefault="00813561" w:rsidP="00813561">
            <w:pPr>
              <w:jc w:val="center"/>
              <w:rPr>
                <w:rFonts w:eastAsiaTheme="minorEastAsia" w:cs="Times New Roman"/>
                <w:sz w:val="22"/>
                <w:lang w:val="en-US"/>
              </w:rPr>
            </w:pPr>
            <w:r w:rsidRPr="00813561">
              <w:rPr>
                <w:rFonts w:eastAsiaTheme="minorEastAsia" w:cs="Times New Roman"/>
                <w:sz w:val="22"/>
                <w:lang w:val="en-US"/>
              </w:rPr>
              <w:t>Significant volume change</w:t>
            </w:r>
          </w:p>
          <w:p w14:paraId="49A190AE" w14:textId="77777777" w:rsidR="00813561" w:rsidRPr="00813561" w:rsidRDefault="00813561" w:rsidP="00813561">
            <w:pPr>
              <w:jc w:val="center"/>
              <w:rPr>
                <w:rFonts w:eastAsiaTheme="minorEastAsia" w:cs="Times New Roman"/>
                <w:sz w:val="22"/>
                <w:lang w:val="en-US"/>
              </w:rPr>
            </w:pPr>
            <w:r w:rsidRPr="00813561">
              <w:rPr>
                <w:rFonts w:eastAsiaTheme="minorEastAsia" w:cs="Times New Roman"/>
                <w:sz w:val="22"/>
                <w:lang w:val="en-US"/>
              </w:rPr>
              <w:t>Low volumetric heat storage density</w:t>
            </w:r>
          </w:p>
          <w:p w14:paraId="56384045" w14:textId="77777777" w:rsidR="00813561" w:rsidRPr="00813561" w:rsidRDefault="00813561" w:rsidP="00813561">
            <w:pPr>
              <w:jc w:val="center"/>
              <w:rPr>
                <w:rFonts w:eastAsiaTheme="minorEastAsia" w:cs="Times New Roman"/>
                <w:sz w:val="22"/>
                <w:lang w:val="en-US"/>
              </w:rPr>
            </w:pPr>
            <w:r w:rsidRPr="00813561">
              <w:rPr>
                <w:rFonts w:eastAsiaTheme="minorEastAsia" w:cs="Times New Roman"/>
                <w:sz w:val="22"/>
                <w:lang w:val="en-US"/>
              </w:rPr>
              <w:t>Susceptibility to flammability</w:t>
            </w:r>
          </w:p>
        </w:tc>
      </w:tr>
      <w:tr w:rsidR="00813561" w:rsidRPr="00813561" w14:paraId="2EE96127" w14:textId="77777777" w:rsidTr="00813561">
        <w:tc>
          <w:tcPr>
            <w:tcW w:w="896" w:type="pct"/>
            <w:noWrap/>
            <w:vAlign w:val="center"/>
          </w:tcPr>
          <w:p w14:paraId="092E94E7" w14:textId="77777777" w:rsidR="00813561" w:rsidRPr="00813561" w:rsidRDefault="00813561" w:rsidP="00813561">
            <w:pPr>
              <w:jc w:val="center"/>
              <w:rPr>
                <w:rFonts w:eastAsiaTheme="minorEastAsia" w:cs="Times New Roman"/>
                <w:b/>
                <w:bCs/>
                <w:sz w:val="22"/>
              </w:rPr>
            </w:pPr>
            <w:r w:rsidRPr="00813561">
              <w:rPr>
                <w:rFonts w:eastAsiaTheme="minorEastAsia" w:cs="Times New Roman"/>
                <w:b/>
                <w:bCs/>
                <w:sz w:val="22"/>
              </w:rPr>
              <w:t>Inorganic PCMs</w:t>
            </w:r>
          </w:p>
        </w:tc>
        <w:tc>
          <w:tcPr>
            <w:tcW w:w="2089" w:type="pct"/>
            <w:vAlign w:val="center"/>
          </w:tcPr>
          <w:p w14:paraId="5B131218" w14:textId="77777777" w:rsidR="00813561" w:rsidRPr="00813561" w:rsidRDefault="00813561" w:rsidP="00813561">
            <w:pPr>
              <w:jc w:val="center"/>
              <w:rPr>
                <w:rFonts w:eastAsiaTheme="minorEastAsia" w:cs="Times New Roman"/>
                <w:sz w:val="22"/>
                <w:lang w:val="en-US"/>
              </w:rPr>
            </w:pPr>
            <w:r w:rsidRPr="00813561">
              <w:rPr>
                <w:rFonts w:eastAsiaTheme="minorEastAsia" w:cs="Times New Roman"/>
                <w:sz w:val="22"/>
                <w:lang w:val="en-US"/>
              </w:rPr>
              <w:t>High melting point</w:t>
            </w:r>
          </w:p>
          <w:p w14:paraId="05AA1B0F" w14:textId="77777777" w:rsidR="00813561" w:rsidRPr="00813561" w:rsidRDefault="00813561" w:rsidP="00813561">
            <w:pPr>
              <w:jc w:val="center"/>
              <w:rPr>
                <w:rFonts w:eastAsiaTheme="minorEastAsia" w:cs="Times New Roman"/>
                <w:sz w:val="22"/>
                <w:lang w:val="en-US"/>
              </w:rPr>
            </w:pPr>
            <w:r w:rsidRPr="00813561">
              <w:rPr>
                <w:rFonts w:eastAsiaTheme="minorEastAsia" w:cs="Times New Roman"/>
                <w:sz w:val="22"/>
                <w:lang w:val="en-US"/>
              </w:rPr>
              <w:t>Excellent thermal conductivity</w:t>
            </w:r>
          </w:p>
          <w:p w14:paraId="69DCB6FC" w14:textId="77777777" w:rsidR="00813561" w:rsidRPr="00813561" w:rsidRDefault="00813561" w:rsidP="00813561">
            <w:pPr>
              <w:jc w:val="center"/>
              <w:rPr>
                <w:rFonts w:eastAsiaTheme="minorEastAsia" w:cs="Times New Roman"/>
                <w:sz w:val="22"/>
                <w:lang w:val="en-US"/>
              </w:rPr>
            </w:pPr>
            <w:r w:rsidRPr="00813561">
              <w:rPr>
                <w:rFonts w:eastAsiaTheme="minorEastAsia" w:cs="Times New Roman"/>
                <w:sz w:val="22"/>
                <w:lang w:val="en-US"/>
              </w:rPr>
              <w:t>Low volume change</w:t>
            </w:r>
          </w:p>
          <w:p w14:paraId="5364C5A6" w14:textId="77777777" w:rsidR="00813561" w:rsidRPr="00813561" w:rsidRDefault="00813561" w:rsidP="00813561">
            <w:pPr>
              <w:jc w:val="center"/>
              <w:rPr>
                <w:rFonts w:eastAsiaTheme="minorEastAsia" w:cs="Times New Roman"/>
                <w:sz w:val="22"/>
                <w:lang w:val="en-US"/>
              </w:rPr>
            </w:pPr>
            <w:r w:rsidRPr="00813561">
              <w:rPr>
                <w:rFonts w:eastAsiaTheme="minorEastAsia" w:cs="Times New Roman"/>
                <w:sz w:val="22"/>
                <w:lang w:val="en-US"/>
              </w:rPr>
              <w:t>High volumetric heat storage density (compared to organic PCMs)</w:t>
            </w:r>
          </w:p>
          <w:p w14:paraId="5BFF64EB" w14:textId="77777777" w:rsidR="00813561" w:rsidRPr="00813561" w:rsidRDefault="00813561" w:rsidP="00813561">
            <w:pPr>
              <w:jc w:val="center"/>
              <w:rPr>
                <w:rFonts w:eastAsiaTheme="minorEastAsia" w:cs="Times New Roman"/>
                <w:sz w:val="22"/>
              </w:rPr>
            </w:pPr>
            <w:r w:rsidRPr="00813561">
              <w:rPr>
                <w:rFonts w:eastAsiaTheme="minorEastAsia" w:cs="Times New Roman"/>
                <w:sz w:val="22"/>
              </w:rPr>
              <w:t>Low-cost access</w:t>
            </w:r>
          </w:p>
        </w:tc>
        <w:tc>
          <w:tcPr>
            <w:tcW w:w="2015" w:type="pct"/>
            <w:vAlign w:val="center"/>
          </w:tcPr>
          <w:p w14:paraId="6FCF6F9F" w14:textId="77777777" w:rsidR="00813561" w:rsidRPr="00813561" w:rsidRDefault="00813561" w:rsidP="00813561">
            <w:pPr>
              <w:jc w:val="center"/>
              <w:rPr>
                <w:rFonts w:eastAsiaTheme="minorEastAsia" w:cs="Times New Roman"/>
                <w:sz w:val="22"/>
              </w:rPr>
            </w:pPr>
            <w:r w:rsidRPr="00813561">
              <w:rPr>
                <w:rFonts w:eastAsiaTheme="minorEastAsia" w:cs="Times New Roman"/>
                <w:sz w:val="22"/>
              </w:rPr>
              <w:t>Supercooling</w:t>
            </w:r>
          </w:p>
          <w:p w14:paraId="03FA2851" w14:textId="77777777" w:rsidR="00813561" w:rsidRPr="00813561" w:rsidRDefault="00813561" w:rsidP="00813561">
            <w:pPr>
              <w:jc w:val="center"/>
              <w:rPr>
                <w:rFonts w:eastAsiaTheme="minorEastAsia" w:cs="Times New Roman"/>
                <w:sz w:val="22"/>
              </w:rPr>
            </w:pPr>
            <w:r w:rsidRPr="00813561">
              <w:rPr>
                <w:rFonts w:eastAsiaTheme="minorEastAsia" w:cs="Times New Roman"/>
                <w:sz w:val="22"/>
              </w:rPr>
              <w:t>Corrosion</w:t>
            </w:r>
          </w:p>
        </w:tc>
      </w:tr>
      <w:tr w:rsidR="00813561" w:rsidRPr="00736B36" w14:paraId="7EDDF7FA" w14:textId="77777777" w:rsidTr="00813561">
        <w:tc>
          <w:tcPr>
            <w:tcW w:w="896" w:type="pct"/>
            <w:noWrap/>
            <w:vAlign w:val="center"/>
          </w:tcPr>
          <w:p w14:paraId="51184C0E" w14:textId="77777777" w:rsidR="00813561" w:rsidRPr="00813561" w:rsidRDefault="00813561" w:rsidP="00813561">
            <w:pPr>
              <w:jc w:val="center"/>
              <w:rPr>
                <w:rFonts w:eastAsiaTheme="minorEastAsia" w:cs="Times New Roman"/>
                <w:b/>
                <w:bCs/>
                <w:sz w:val="22"/>
              </w:rPr>
            </w:pPr>
            <w:r w:rsidRPr="00813561">
              <w:rPr>
                <w:rFonts w:eastAsiaTheme="minorEastAsia" w:cs="Times New Roman"/>
                <w:b/>
                <w:bCs/>
                <w:sz w:val="22"/>
              </w:rPr>
              <w:t>Eutectic PCMs</w:t>
            </w:r>
          </w:p>
        </w:tc>
        <w:tc>
          <w:tcPr>
            <w:tcW w:w="2089" w:type="pct"/>
            <w:vAlign w:val="center"/>
          </w:tcPr>
          <w:p w14:paraId="2C2A9871" w14:textId="77777777" w:rsidR="00813561" w:rsidRPr="00813561" w:rsidRDefault="00813561" w:rsidP="00813561">
            <w:pPr>
              <w:jc w:val="center"/>
              <w:rPr>
                <w:rFonts w:eastAsiaTheme="minorEastAsia" w:cs="Times New Roman"/>
                <w:sz w:val="22"/>
                <w:lang w:val="en-US"/>
              </w:rPr>
            </w:pPr>
            <w:r w:rsidRPr="00813561">
              <w:rPr>
                <w:rFonts w:eastAsiaTheme="minorEastAsia" w:cs="Times New Roman"/>
                <w:sz w:val="22"/>
                <w:lang w:val="en-US"/>
              </w:rPr>
              <w:t>Distinct phase change temperature</w:t>
            </w:r>
          </w:p>
          <w:p w14:paraId="7926FB58" w14:textId="77777777" w:rsidR="00813561" w:rsidRPr="00813561" w:rsidRDefault="00813561" w:rsidP="00813561">
            <w:pPr>
              <w:jc w:val="center"/>
              <w:rPr>
                <w:rFonts w:eastAsiaTheme="minorEastAsia" w:cs="Times New Roman"/>
                <w:sz w:val="22"/>
                <w:lang w:val="en-US"/>
              </w:rPr>
            </w:pPr>
            <w:r w:rsidRPr="00813561">
              <w:rPr>
                <w:rFonts w:eastAsiaTheme="minorEastAsia" w:cs="Times New Roman"/>
                <w:sz w:val="22"/>
                <w:lang w:val="en-US"/>
              </w:rPr>
              <w:t>High volumetric heat storage capacity</w:t>
            </w:r>
          </w:p>
        </w:tc>
        <w:tc>
          <w:tcPr>
            <w:tcW w:w="2015" w:type="pct"/>
            <w:vAlign w:val="center"/>
          </w:tcPr>
          <w:p w14:paraId="67854611" w14:textId="77777777" w:rsidR="00813561" w:rsidRPr="00813561" w:rsidRDefault="00813561" w:rsidP="00813561">
            <w:pPr>
              <w:keepNext/>
              <w:jc w:val="center"/>
              <w:rPr>
                <w:rFonts w:eastAsiaTheme="minorEastAsia" w:cs="Times New Roman"/>
                <w:sz w:val="22"/>
                <w:lang w:val="en-US"/>
              </w:rPr>
            </w:pPr>
            <w:r w:rsidRPr="00813561">
              <w:rPr>
                <w:rFonts w:eastAsiaTheme="minorEastAsia" w:cs="Times New Roman"/>
                <w:sz w:val="22"/>
                <w:lang w:val="en-US"/>
              </w:rPr>
              <w:t>Insufficient data available on thermophysical properties</w:t>
            </w:r>
          </w:p>
        </w:tc>
      </w:tr>
    </w:tbl>
    <w:p w14:paraId="4AF03B5E" w14:textId="56452F8D" w:rsidR="00813561" w:rsidRDefault="00813561" w:rsidP="00813561">
      <w:pPr>
        <w:pStyle w:val="Caption"/>
      </w:pPr>
      <w:bookmarkStart w:id="13" w:name="_Toc214362607"/>
      <w:r>
        <w:t xml:space="preserve">Table </w:t>
      </w:r>
      <w:r w:rsidR="00F43E9A">
        <w:fldChar w:fldCharType="begin"/>
      </w:r>
      <w:r w:rsidR="00F43E9A">
        <w:instrText xml:space="preserve"> STYLEREF 1 \s </w:instrText>
      </w:r>
      <w:r w:rsidR="00F43E9A">
        <w:fldChar w:fldCharType="separate"/>
      </w:r>
      <w:r w:rsidR="000412CE">
        <w:rPr>
          <w:noProof/>
        </w:rPr>
        <w:t>1</w:t>
      </w:r>
      <w:r w:rsidR="00F43E9A">
        <w:fldChar w:fldCharType="end"/>
      </w:r>
      <w:r w:rsidR="00F43E9A">
        <w:t>.</w:t>
      </w:r>
      <w:r w:rsidR="00F43E9A">
        <w:fldChar w:fldCharType="begin"/>
      </w:r>
      <w:r w:rsidR="00F43E9A">
        <w:instrText xml:space="preserve"> SEQ Table \* ARABIC \s 1 </w:instrText>
      </w:r>
      <w:r w:rsidR="00F43E9A">
        <w:fldChar w:fldCharType="separate"/>
      </w:r>
      <w:r w:rsidR="000412CE">
        <w:rPr>
          <w:noProof/>
        </w:rPr>
        <w:t>2</w:t>
      </w:r>
      <w:r w:rsidR="00F43E9A">
        <w:fldChar w:fldCharType="end"/>
      </w:r>
      <w:r w:rsidR="005A414B">
        <w:t>.</w:t>
      </w:r>
      <w:r>
        <w:t xml:space="preserve"> </w:t>
      </w:r>
      <w:r w:rsidRPr="00CB7AAE">
        <w:t xml:space="preserve">Advantages and disadvantages of different categories of </w:t>
      </w:r>
      <w:r w:rsidR="00784D2D">
        <w:t>PCM</w:t>
      </w:r>
      <w:r w:rsidRPr="00CB7AAE">
        <w:t>s</w:t>
      </w:r>
      <w:r w:rsidR="00A165BA">
        <w:t>.</w:t>
      </w:r>
      <w:bookmarkEnd w:id="13"/>
    </w:p>
    <w:p w14:paraId="3A0B6C6B" w14:textId="558F2A4B" w:rsidR="00813561" w:rsidRDefault="00813561" w:rsidP="00813561">
      <w:pPr>
        <w:rPr>
          <w:lang w:val="en-US"/>
        </w:rPr>
      </w:pPr>
      <w:r w:rsidRPr="00813561">
        <w:rPr>
          <w:lang w:val="en-US"/>
        </w:rPr>
        <w:t xml:space="preserve">To provide a comparative overview, Table </w:t>
      </w:r>
      <w:r>
        <w:rPr>
          <w:lang w:val="en-US"/>
        </w:rPr>
        <w:t>1.</w:t>
      </w:r>
      <w:r w:rsidRPr="00813561">
        <w:rPr>
          <w:lang w:val="en-US"/>
        </w:rPr>
        <w:t xml:space="preserve">3 presents the characteristic values of the most commonly studied PCMs reported in the literature </w:t>
      </w:r>
      <w:sdt>
        <w:sdtPr>
          <w:rPr>
            <w:lang w:val="en-US"/>
          </w:rPr>
          <w:id w:val="71403300"/>
          <w:citation/>
        </w:sdtPr>
        <w:sdtContent>
          <w:r>
            <w:rPr>
              <w:lang w:val="en-US"/>
            </w:rPr>
            <w:fldChar w:fldCharType="begin"/>
          </w:r>
          <w:r w:rsidRPr="00813561">
            <w:rPr>
              <w:lang w:val="en-US"/>
            </w:rPr>
            <w:instrText xml:space="preserve"> CITATION Placeholder13 \l 1040 </w:instrText>
          </w:r>
          <w:r>
            <w:rPr>
              <w:lang w:val="en-US"/>
            </w:rPr>
            <w:fldChar w:fldCharType="separate"/>
          </w:r>
          <w:r w:rsidR="00855396" w:rsidRPr="00855396">
            <w:rPr>
              <w:noProof/>
              <w:lang w:val="en-US"/>
            </w:rPr>
            <w:t>[7]</w:t>
          </w:r>
          <w:r>
            <w:rPr>
              <w:lang w:val="en-US"/>
            </w:rPr>
            <w:fldChar w:fldCharType="end"/>
          </w:r>
        </w:sdtContent>
      </w:sdt>
      <w:r w:rsidRPr="00813561">
        <w:rPr>
          <w:lang w:val="en-US"/>
        </w:rPr>
        <w:t>, including melting point, latent heat, sensible heat capacity, thermal conductivity, and density.</w:t>
      </w:r>
    </w:p>
    <w:tbl>
      <w:tblPr>
        <w:tblStyle w:val="TableGrid"/>
        <w:tblW w:w="9079" w:type="dxa"/>
        <w:tblInd w:w="-5" w:type="dxa"/>
        <w:tblLook w:val="04A0" w:firstRow="1" w:lastRow="0" w:firstColumn="1" w:lastColumn="0" w:noHBand="0" w:noVBand="1"/>
      </w:tblPr>
      <w:tblGrid>
        <w:gridCol w:w="1988"/>
        <w:gridCol w:w="1414"/>
        <w:gridCol w:w="1418"/>
        <w:gridCol w:w="1588"/>
        <w:gridCol w:w="1589"/>
        <w:gridCol w:w="1082"/>
      </w:tblGrid>
      <w:tr w:rsidR="00813561" w:rsidRPr="00813561" w14:paraId="650E86DA" w14:textId="77777777" w:rsidTr="1DCE42CA">
        <w:tc>
          <w:tcPr>
            <w:tcW w:w="1988" w:type="dxa"/>
            <w:shd w:val="clear" w:color="auto" w:fill="8EA5B6"/>
          </w:tcPr>
          <w:p w14:paraId="34928059" w14:textId="7ED45556" w:rsidR="00813561" w:rsidRPr="00813561" w:rsidRDefault="00813561" w:rsidP="00813561">
            <w:pPr>
              <w:rPr>
                <w:b/>
                <w:bCs/>
                <w:sz w:val="22"/>
                <w:lang w:val="en-US"/>
              </w:rPr>
            </w:pPr>
            <w:r w:rsidRPr="00813561">
              <w:rPr>
                <w:b/>
                <w:bCs/>
                <w:sz w:val="22"/>
                <w:lang w:val="en-US"/>
              </w:rPr>
              <w:t>Material/</w:t>
            </w:r>
            <w:r w:rsidRPr="00813561">
              <w:rPr>
                <w:b/>
                <w:bCs/>
                <w:sz w:val="22"/>
                <w:lang w:val="en-US"/>
              </w:rPr>
              <w:br/>
              <w:t>References</w:t>
            </w:r>
          </w:p>
        </w:tc>
        <w:tc>
          <w:tcPr>
            <w:tcW w:w="1414" w:type="dxa"/>
            <w:shd w:val="clear" w:color="auto" w:fill="8EA5B6"/>
          </w:tcPr>
          <w:p w14:paraId="7352A754" w14:textId="77777777" w:rsidR="00813561" w:rsidRPr="00813561" w:rsidRDefault="00813561" w:rsidP="00813561">
            <w:pPr>
              <w:rPr>
                <w:b/>
                <w:bCs/>
                <w:sz w:val="22"/>
                <w:lang w:val="en-US"/>
              </w:rPr>
            </w:pPr>
            <w:r w:rsidRPr="00813561">
              <w:rPr>
                <w:b/>
                <w:bCs/>
                <w:sz w:val="22"/>
                <w:lang w:val="en-US"/>
              </w:rPr>
              <w:t>Melting point [°C]</w:t>
            </w:r>
          </w:p>
        </w:tc>
        <w:tc>
          <w:tcPr>
            <w:tcW w:w="1418" w:type="dxa"/>
            <w:shd w:val="clear" w:color="auto" w:fill="8EA5B6"/>
          </w:tcPr>
          <w:p w14:paraId="44EA28EB" w14:textId="77777777" w:rsidR="00813561" w:rsidRPr="00813561" w:rsidRDefault="00813561" w:rsidP="00813561">
            <w:pPr>
              <w:rPr>
                <w:b/>
                <w:bCs/>
                <w:sz w:val="22"/>
                <w:lang w:val="en-US"/>
              </w:rPr>
            </w:pPr>
            <w:r w:rsidRPr="00813561">
              <w:rPr>
                <w:b/>
                <w:bCs/>
                <w:sz w:val="22"/>
                <w:lang w:val="en-US"/>
              </w:rPr>
              <w:t>Latent heat storage [kJ/kg]</w:t>
            </w:r>
          </w:p>
        </w:tc>
        <w:tc>
          <w:tcPr>
            <w:tcW w:w="1588" w:type="dxa"/>
            <w:shd w:val="clear" w:color="auto" w:fill="8EA5B6"/>
          </w:tcPr>
          <w:p w14:paraId="66308C52" w14:textId="77777777" w:rsidR="00813561" w:rsidRPr="00F43E9A" w:rsidRDefault="00813561" w:rsidP="1DCE42CA">
            <w:pPr>
              <w:rPr>
                <w:b/>
                <w:bCs/>
                <w:sz w:val="22"/>
                <w:lang w:val="en-US"/>
              </w:rPr>
            </w:pPr>
            <w:r w:rsidRPr="00F43E9A">
              <w:rPr>
                <w:b/>
                <w:bCs/>
                <w:sz w:val="22"/>
                <w:lang w:val="en-US"/>
              </w:rPr>
              <w:t>Sensible heat storage [kJ/(kg °C)]</w:t>
            </w:r>
          </w:p>
        </w:tc>
        <w:tc>
          <w:tcPr>
            <w:tcW w:w="1589" w:type="dxa"/>
            <w:shd w:val="clear" w:color="auto" w:fill="8EA5B6"/>
          </w:tcPr>
          <w:p w14:paraId="6F841488" w14:textId="77777777" w:rsidR="00813561" w:rsidRPr="00813561" w:rsidRDefault="00813561" w:rsidP="00813561">
            <w:pPr>
              <w:rPr>
                <w:b/>
                <w:bCs/>
                <w:sz w:val="22"/>
                <w:lang w:val="en-US"/>
              </w:rPr>
            </w:pPr>
            <w:r w:rsidRPr="00813561">
              <w:rPr>
                <w:b/>
                <w:bCs/>
                <w:sz w:val="22"/>
                <w:lang w:val="en-US"/>
              </w:rPr>
              <w:t>Thermal conductivity [W/(mK)]</w:t>
            </w:r>
          </w:p>
        </w:tc>
        <w:tc>
          <w:tcPr>
            <w:tcW w:w="1082" w:type="dxa"/>
            <w:shd w:val="clear" w:color="auto" w:fill="8EA5B6"/>
          </w:tcPr>
          <w:p w14:paraId="39149114" w14:textId="77777777" w:rsidR="00813561" w:rsidRPr="00813561" w:rsidRDefault="00813561" w:rsidP="00813561">
            <w:pPr>
              <w:rPr>
                <w:b/>
                <w:bCs/>
                <w:sz w:val="22"/>
                <w:lang w:val="en-US"/>
              </w:rPr>
            </w:pPr>
            <w:r w:rsidRPr="00813561">
              <w:rPr>
                <w:b/>
                <w:bCs/>
                <w:sz w:val="22"/>
                <w:lang w:val="en-US"/>
              </w:rPr>
              <w:t>Density [kg/m³]</w:t>
            </w:r>
          </w:p>
        </w:tc>
      </w:tr>
      <w:tr w:rsidR="00813561" w:rsidRPr="00813561" w14:paraId="75411B38" w14:textId="77777777" w:rsidTr="1DCE42CA">
        <w:tc>
          <w:tcPr>
            <w:tcW w:w="9079" w:type="dxa"/>
            <w:gridSpan w:val="6"/>
          </w:tcPr>
          <w:p w14:paraId="5956E2A1" w14:textId="63A1DDFE" w:rsidR="00813561" w:rsidRPr="00813561" w:rsidRDefault="00813561" w:rsidP="00813561">
            <w:pPr>
              <w:rPr>
                <w:sz w:val="22"/>
                <w:lang w:val="en-US"/>
              </w:rPr>
            </w:pPr>
            <w:r w:rsidRPr="00813561">
              <w:rPr>
                <w:b/>
                <w:bCs/>
                <w:sz w:val="22"/>
                <w:lang w:val="en-US"/>
              </w:rPr>
              <w:lastRenderedPageBreak/>
              <w:t>Organic PCM</w:t>
            </w:r>
          </w:p>
        </w:tc>
      </w:tr>
      <w:tr w:rsidR="00813561" w:rsidRPr="00813561" w14:paraId="35FB6F09" w14:textId="77777777" w:rsidTr="1DCE42CA">
        <w:tc>
          <w:tcPr>
            <w:tcW w:w="1988" w:type="dxa"/>
          </w:tcPr>
          <w:p w14:paraId="5DBE204A" w14:textId="77777777" w:rsidR="00813561" w:rsidRPr="00813561" w:rsidRDefault="00813561" w:rsidP="00813561">
            <w:pPr>
              <w:rPr>
                <w:sz w:val="22"/>
                <w:lang w:val="en-US"/>
              </w:rPr>
            </w:pPr>
            <w:r w:rsidRPr="00813561">
              <w:rPr>
                <w:sz w:val="22"/>
                <w:lang w:val="en-US"/>
              </w:rPr>
              <w:t xml:space="preserve">Stearic acid </w:t>
            </w:r>
          </w:p>
        </w:tc>
        <w:tc>
          <w:tcPr>
            <w:tcW w:w="1414" w:type="dxa"/>
          </w:tcPr>
          <w:p w14:paraId="61E994EB" w14:textId="77777777" w:rsidR="00813561" w:rsidRPr="00813561" w:rsidRDefault="00813561" w:rsidP="00813561">
            <w:pPr>
              <w:rPr>
                <w:sz w:val="22"/>
                <w:lang w:val="en-US"/>
              </w:rPr>
            </w:pPr>
            <w:r w:rsidRPr="00813561">
              <w:rPr>
                <w:sz w:val="22"/>
                <w:lang w:val="en-US"/>
              </w:rPr>
              <w:t>64.5</w:t>
            </w:r>
          </w:p>
        </w:tc>
        <w:tc>
          <w:tcPr>
            <w:tcW w:w="1418" w:type="dxa"/>
          </w:tcPr>
          <w:p w14:paraId="5902D3A3" w14:textId="77777777" w:rsidR="00813561" w:rsidRPr="00813561" w:rsidRDefault="00813561" w:rsidP="00813561">
            <w:pPr>
              <w:rPr>
                <w:sz w:val="22"/>
                <w:lang w:val="en-US"/>
              </w:rPr>
            </w:pPr>
            <w:r w:rsidRPr="00813561">
              <w:rPr>
                <w:sz w:val="22"/>
                <w:lang w:val="en-US"/>
              </w:rPr>
              <w:t>196</w:t>
            </w:r>
          </w:p>
        </w:tc>
        <w:tc>
          <w:tcPr>
            <w:tcW w:w="1588" w:type="dxa"/>
          </w:tcPr>
          <w:p w14:paraId="5C7DED01" w14:textId="77777777" w:rsidR="00813561" w:rsidRPr="00813561" w:rsidRDefault="00813561" w:rsidP="00813561">
            <w:pPr>
              <w:rPr>
                <w:sz w:val="22"/>
                <w:lang w:val="en-US"/>
              </w:rPr>
            </w:pPr>
            <w:r w:rsidRPr="00813561">
              <w:rPr>
                <w:sz w:val="22"/>
                <w:lang w:val="en-US"/>
              </w:rPr>
              <w:t>2.27[l], 1.76[s]</w:t>
            </w:r>
          </w:p>
        </w:tc>
        <w:tc>
          <w:tcPr>
            <w:tcW w:w="1589" w:type="dxa"/>
          </w:tcPr>
          <w:p w14:paraId="65FA2291" w14:textId="77777777" w:rsidR="00813561" w:rsidRPr="00813561" w:rsidRDefault="00813561" w:rsidP="00813561">
            <w:pPr>
              <w:rPr>
                <w:sz w:val="22"/>
                <w:lang w:val="en-US"/>
              </w:rPr>
            </w:pPr>
            <w:r w:rsidRPr="00813561">
              <w:rPr>
                <w:sz w:val="22"/>
                <w:lang w:val="en-US"/>
              </w:rPr>
              <w:t>1.60[s]</w:t>
            </w:r>
          </w:p>
        </w:tc>
        <w:tc>
          <w:tcPr>
            <w:tcW w:w="1082" w:type="dxa"/>
          </w:tcPr>
          <w:p w14:paraId="480D0166" w14:textId="77777777" w:rsidR="00813561" w:rsidRPr="00813561" w:rsidRDefault="00813561" w:rsidP="00813561">
            <w:pPr>
              <w:rPr>
                <w:sz w:val="22"/>
                <w:lang w:val="en-US"/>
              </w:rPr>
            </w:pPr>
            <w:r w:rsidRPr="00813561">
              <w:rPr>
                <w:sz w:val="22"/>
                <w:lang w:val="en-US"/>
              </w:rPr>
              <w:t>940</w:t>
            </w:r>
          </w:p>
        </w:tc>
      </w:tr>
      <w:tr w:rsidR="00813561" w:rsidRPr="00813561" w14:paraId="0AC53A71" w14:textId="77777777" w:rsidTr="1DCE42CA">
        <w:tc>
          <w:tcPr>
            <w:tcW w:w="1988" w:type="dxa"/>
          </w:tcPr>
          <w:p w14:paraId="09DF82F7" w14:textId="77777777" w:rsidR="00813561" w:rsidRPr="00813561" w:rsidRDefault="00813561" w:rsidP="00813561">
            <w:pPr>
              <w:rPr>
                <w:sz w:val="22"/>
                <w:lang w:val="en-US"/>
              </w:rPr>
            </w:pPr>
            <w:r w:rsidRPr="00813561">
              <w:rPr>
                <w:sz w:val="22"/>
                <w:lang w:val="en-US"/>
              </w:rPr>
              <w:t xml:space="preserve">Palmitic acid </w:t>
            </w:r>
          </w:p>
        </w:tc>
        <w:tc>
          <w:tcPr>
            <w:tcW w:w="1414" w:type="dxa"/>
          </w:tcPr>
          <w:p w14:paraId="5EAFF746" w14:textId="77777777" w:rsidR="00813561" w:rsidRPr="00813561" w:rsidRDefault="00813561" w:rsidP="00813561">
            <w:pPr>
              <w:rPr>
                <w:sz w:val="22"/>
                <w:lang w:val="en-US"/>
              </w:rPr>
            </w:pPr>
            <w:r w:rsidRPr="00813561">
              <w:rPr>
                <w:sz w:val="22"/>
                <w:lang w:val="en-US"/>
              </w:rPr>
              <w:t>61-63</w:t>
            </w:r>
          </w:p>
        </w:tc>
        <w:tc>
          <w:tcPr>
            <w:tcW w:w="1418" w:type="dxa"/>
          </w:tcPr>
          <w:p w14:paraId="1FAE2574" w14:textId="77777777" w:rsidR="00813561" w:rsidRPr="00813561" w:rsidRDefault="00813561" w:rsidP="00813561">
            <w:pPr>
              <w:rPr>
                <w:sz w:val="22"/>
                <w:lang w:val="en-US"/>
              </w:rPr>
            </w:pPr>
            <w:r w:rsidRPr="00813561">
              <w:rPr>
                <w:sz w:val="22"/>
                <w:lang w:val="en-US"/>
              </w:rPr>
              <w:t>212</w:t>
            </w:r>
          </w:p>
        </w:tc>
        <w:tc>
          <w:tcPr>
            <w:tcW w:w="1588" w:type="dxa"/>
          </w:tcPr>
          <w:p w14:paraId="76DF91A1" w14:textId="77777777" w:rsidR="00813561" w:rsidRPr="00813561" w:rsidRDefault="00813561" w:rsidP="00813561">
            <w:pPr>
              <w:rPr>
                <w:sz w:val="22"/>
                <w:lang w:val="en-US"/>
              </w:rPr>
            </w:pPr>
            <w:r w:rsidRPr="00813561">
              <w:rPr>
                <w:sz w:val="22"/>
                <w:lang w:val="en-US"/>
              </w:rPr>
              <w:t>2.20 [40 °C]</w:t>
            </w:r>
          </w:p>
        </w:tc>
        <w:tc>
          <w:tcPr>
            <w:tcW w:w="1589" w:type="dxa"/>
          </w:tcPr>
          <w:p w14:paraId="79E2BA0E" w14:textId="632D96B0" w:rsidR="00813561" w:rsidRPr="00813561" w:rsidRDefault="00813561" w:rsidP="00813561">
            <w:pPr>
              <w:rPr>
                <w:sz w:val="22"/>
                <w:lang w:val="en-US"/>
              </w:rPr>
            </w:pPr>
            <w:r w:rsidRPr="00813561">
              <w:rPr>
                <w:sz w:val="22"/>
                <w:lang w:val="en-US"/>
              </w:rPr>
              <w:t>0.162 [68.4 °C]</w:t>
            </w:r>
          </w:p>
        </w:tc>
        <w:tc>
          <w:tcPr>
            <w:tcW w:w="1082" w:type="dxa"/>
          </w:tcPr>
          <w:p w14:paraId="0A08B2EF" w14:textId="77777777" w:rsidR="00813561" w:rsidRPr="00813561" w:rsidRDefault="00813561" w:rsidP="00813561">
            <w:pPr>
              <w:rPr>
                <w:sz w:val="22"/>
                <w:lang w:val="en-US"/>
              </w:rPr>
            </w:pPr>
            <w:r w:rsidRPr="00813561">
              <w:rPr>
                <w:sz w:val="22"/>
                <w:lang w:val="en-US"/>
              </w:rPr>
              <w:t>942</w:t>
            </w:r>
          </w:p>
        </w:tc>
      </w:tr>
      <w:tr w:rsidR="00813561" w:rsidRPr="00813561" w14:paraId="7F189427" w14:textId="77777777" w:rsidTr="1DCE42CA">
        <w:tc>
          <w:tcPr>
            <w:tcW w:w="1988" w:type="dxa"/>
          </w:tcPr>
          <w:p w14:paraId="4B5FBCB1" w14:textId="052586CD" w:rsidR="00813561" w:rsidRPr="00813561" w:rsidRDefault="00813561" w:rsidP="00813561">
            <w:pPr>
              <w:rPr>
                <w:sz w:val="22"/>
                <w:lang w:val="en-US"/>
              </w:rPr>
            </w:pPr>
            <w:r w:rsidRPr="00813561">
              <w:rPr>
                <w:sz w:val="22"/>
                <w:lang w:val="en-US"/>
              </w:rPr>
              <w:t>Polyurethane</w:t>
            </w:r>
          </w:p>
        </w:tc>
        <w:tc>
          <w:tcPr>
            <w:tcW w:w="1414" w:type="dxa"/>
          </w:tcPr>
          <w:p w14:paraId="32D6C29F" w14:textId="77777777" w:rsidR="00813561" w:rsidRPr="00813561" w:rsidRDefault="00813561" w:rsidP="00813561">
            <w:pPr>
              <w:rPr>
                <w:sz w:val="22"/>
                <w:lang w:val="en-US"/>
              </w:rPr>
            </w:pPr>
            <w:r w:rsidRPr="00813561">
              <w:rPr>
                <w:sz w:val="22"/>
                <w:lang w:val="en-US"/>
              </w:rPr>
              <w:t>29.8</w:t>
            </w:r>
          </w:p>
        </w:tc>
        <w:tc>
          <w:tcPr>
            <w:tcW w:w="1418" w:type="dxa"/>
          </w:tcPr>
          <w:p w14:paraId="73F50BF3" w14:textId="77777777" w:rsidR="00813561" w:rsidRPr="00813561" w:rsidRDefault="00813561" w:rsidP="00813561">
            <w:pPr>
              <w:rPr>
                <w:sz w:val="22"/>
                <w:lang w:val="en-US"/>
              </w:rPr>
            </w:pPr>
            <w:r w:rsidRPr="00813561">
              <w:rPr>
                <w:sz w:val="22"/>
                <w:lang w:val="en-US"/>
              </w:rPr>
              <w:t>189</w:t>
            </w:r>
          </w:p>
        </w:tc>
        <w:tc>
          <w:tcPr>
            <w:tcW w:w="1588" w:type="dxa"/>
          </w:tcPr>
          <w:p w14:paraId="1AD86057" w14:textId="77777777" w:rsidR="00813561" w:rsidRPr="00813561" w:rsidRDefault="00813561" w:rsidP="00813561">
            <w:pPr>
              <w:rPr>
                <w:sz w:val="22"/>
                <w:lang w:val="en-US"/>
              </w:rPr>
            </w:pPr>
            <w:r w:rsidRPr="00813561">
              <w:rPr>
                <w:sz w:val="22"/>
                <w:lang w:val="en-US"/>
              </w:rPr>
              <w:t>-</w:t>
            </w:r>
          </w:p>
        </w:tc>
        <w:tc>
          <w:tcPr>
            <w:tcW w:w="1589" w:type="dxa"/>
          </w:tcPr>
          <w:p w14:paraId="79F4B534" w14:textId="77777777" w:rsidR="00813561" w:rsidRPr="00813561" w:rsidRDefault="00813561" w:rsidP="00813561">
            <w:pPr>
              <w:rPr>
                <w:sz w:val="22"/>
                <w:lang w:val="en-US"/>
              </w:rPr>
            </w:pPr>
            <w:r w:rsidRPr="00813561">
              <w:rPr>
                <w:sz w:val="22"/>
                <w:lang w:val="en-US"/>
              </w:rPr>
              <w:t>0.17[s]</w:t>
            </w:r>
          </w:p>
        </w:tc>
        <w:tc>
          <w:tcPr>
            <w:tcW w:w="1082" w:type="dxa"/>
          </w:tcPr>
          <w:p w14:paraId="3BD896A9" w14:textId="77777777" w:rsidR="00813561" w:rsidRPr="00813561" w:rsidRDefault="00813561" w:rsidP="00813561">
            <w:pPr>
              <w:rPr>
                <w:sz w:val="22"/>
                <w:lang w:val="en-US"/>
              </w:rPr>
            </w:pPr>
            <w:r w:rsidRPr="00813561">
              <w:rPr>
                <w:sz w:val="22"/>
                <w:lang w:val="en-US"/>
              </w:rPr>
              <w:t>860</w:t>
            </w:r>
          </w:p>
        </w:tc>
      </w:tr>
      <w:tr w:rsidR="00813561" w:rsidRPr="00813561" w14:paraId="665F0E31" w14:textId="77777777" w:rsidTr="1DCE42CA">
        <w:tc>
          <w:tcPr>
            <w:tcW w:w="1988" w:type="dxa"/>
          </w:tcPr>
          <w:p w14:paraId="6CF8964C" w14:textId="77777777" w:rsidR="00813561" w:rsidRPr="00813561" w:rsidRDefault="00813561" w:rsidP="00813561">
            <w:pPr>
              <w:rPr>
                <w:sz w:val="22"/>
                <w:lang w:val="en-US"/>
              </w:rPr>
            </w:pPr>
            <w:r w:rsidRPr="00813561">
              <w:rPr>
                <w:sz w:val="22"/>
                <w:lang w:val="en-US"/>
              </w:rPr>
              <w:t xml:space="preserve">Paraffin wax </w:t>
            </w:r>
          </w:p>
        </w:tc>
        <w:tc>
          <w:tcPr>
            <w:tcW w:w="1414" w:type="dxa"/>
          </w:tcPr>
          <w:p w14:paraId="17AAE4D0" w14:textId="77777777" w:rsidR="00813561" w:rsidRPr="00813561" w:rsidRDefault="00813561" w:rsidP="00813561">
            <w:pPr>
              <w:rPr>
                <w:sz w:val="22"/>
                <w:lang w:val="en-US"/>
              </w:rPr>
            </w:pPr>
            <w:r w:rsidRPr="00813561">
              <w:rPr>
                <w:sz w:val="22"/>
                <w:lang w:val="en-US"/>
              </w:rPr>
              <w:t>54</w:t>
            </w:r>
          </w:p>
        </w:tc>
        <w:tc>
          <w:tcPr>
            <w:tcW w:w="1418" w:type="dxa"/>
          </w:tcPr>
          <w:p w14:paraId="1218B524" w14:textId="77777777" w:rsidR="00813561" w:rsidRPr="00813561" w:rsidRDefault="00813561" w:rsidP="00813561">
            <w:pPr>
              <w:rPr>
                <w:sz w:val="22"/>
                <w:lang w:val="en-US"/>
              </w:rPr>
            </w:pPr>
            <w:r w:rsidRPr="00813561">
              <w:rPr>
                <w:sz w:val="22"/>
                <w:lang w:val="en-US"/>
              </w:rPr>
              <w:t>184</w:t>
            </w:r>
          </w:p>
        </w:tc>
        <w:tc>
          <w:tcPr>
            <w:tcW w:w="1588" w:type="dxa"/>
          </w:tcPr>
          <w:p w14:paraId="58E9D4AF" w14:textId="77777777" w:rsidR="00813561" w:rsidRPr="00813561" w:rsidRDefault="00813561" w:rsidP="00813561">
            <w:pPr>
              <w:rPr>
                <w:sz w:val="22"/>
                <w:lang w:val="en-US"/>
              </w:rPr>
            </w:pPr>
            <w:r w:rsidRPr="00813561">
              <w:rPr>
                <w:sz w:val="22"/>
                <w:lang w:val="en-US"/>
              </w:rPr>
              <w:t>-</w:t>
            </w:r>
          </w:p>
        </w:tc>
        <w:tc>
          <w:tcPr>
            <w:tcW w:w="1589" w:type="dxa"/>
          </w:tcPr>
          <w:p w14:paraId="1D9116AB" w14:textId="77777777" w:rsidR="00813561" w:rsidRPr="00813561" w:rsidRDefault="00813561" w:rsidP="00813561">
            <w:pPr>
              <w:rPr>
                <w:sz w:val="22"/>
                <w:lang w:val="en-US"/>
              </w:rPr>
            </w:pPr>
            <w:r w:rsidRPr="00813561">
              <w:rPr>
                <w:sz w:val="22"/>
                <w:lang w:val="en-US"/>
              </w:rPr>
              <w:t>-</w:t>
            </w:r>
          </w:p>
        </w:tc>
        <w:tc>
          <w:tcPr>
            <w:tcW w:w="1082" w:type="dxa"/>
          </w:tcPr>
          <w:p w14:paraId="621F5079" w14:textId="77777777" w:rsidR="00813561" w:rsidRPr="00813561" w:rsidRDefault="00813561" w:rsidP="00813561">
            <w:pPr>
              <w:rPr>
                <w:sz w:val="22"/>
                <w:lang w:val="en-US"/>
              </w:rPr>
            </w:pPr>
            <w:r w:rsidRPr="00813561">
              <w:rPr>
                <w:sz w:val="22"/>
                <w:lang w:val="en-US"/>
              </w:rPr>
              <w:t>-</w:t>
            </w:r>
          </w:p>
        </w:tc>
      </w:tr>
      <w:tr w:rsidR="00813561" w:rsidRPr="00813561" w14:paraId="0855B6AF" w14:textId="77777777" w:rsidTr="1DCE42CA">
        <w:tc>
          <w:tcPr>
            <w:tcW w:w="1988" w:type="dxa"/>
          </w:tcPr>
          <w:p w14:paraId="67B05EA4" w14:textId="77777777" w:rsidR="00813561" w:rsidRPr="00813561" w:rsidRDefault="00813561" w:rsidP="00813561">
            <w:pPr>
              <w:rPr>
                <w:sz w:val="22"/>
                <w:lang w:val="en-US"/>
              </w:rPr>
            </w:pPr>
            <w:r w:rsidRPr="00813561">
              <w:rPr>
                <w:sz w:val="22"/>
                <w:lang w:val="en-US"/>
              </w:rPr>
              <w:t xml:space="preserve">Malic acid </w:t>
            </w:r>
          </w:p>
        </w:tc>
        <w:tc>
          <w:tcPr>
            <w:tcW w:w="1414" w:type="dxa"/>
          </w:tcPr>
          <w:p w14:paraId="742BA88B" w14:textId="77777777" w:rsidR="00813561" w:rsidRPr="00813561" w:rsidRDefault="00813561" w:rsidP="00813561">
            <w:pPr>
              <w:rPr>
                <w:sz w:val="22"/>
                <w:lang w:val="en-US"/>
              </w:rPr>
            </w:pPr>
            <w:r w:rsidRPr="00813561">
              <w:rPr>
                <w:sz w:val="22"/>
                <w:lang w:val="en-US"/>
              </w:rPr>
              <w:t>51.5-53.6</w:t>
            </w:r>
          </w:p>
        </w:tc>
        <w:tc>
          <w:tcPr>
            <w:tcW w:w="1418" w:type="dxa"/>
          </w:tcPr>
          <w:p w14:paraId="49EDDD13" w14:textId="77777777" w:rsidR="00813561" w:rsidRPr="00813561" w:rsidRDefault="00813561" w:rsidP="00813561">
            <w:pPr>
              <w:rPr>
                <w:sz w:val="22"/>
                <w:lang w:val="en-US"/>
              </w:rPr>
            </w:pPr>
            <w:r w:rsidRPr="00813561">
              <w:rPr>
                <w:sz w:val="22"/>
                <w:lang w:val="en-US"/>
              </w:rPr>
              <w:t>200-204.5</w:t>
            </w:r>
          </w:p>
        </w:tc>
        <w:tc>
          <w:tcPr>
            <w:tcW w:w="1588" w:type="dxa"/>
          </w:tcPr>
          <w:p w14:paraId="4546F00D" w14:textId="77777777" w:rsidR="00813561" w:rsidRPr="00813561" w:rsidRDefault="00813561" w:rsidP="00813561">
            <w:pPr>
              <w:rPr>
                <w:sz w:val="22"/>
                <w:lang w:val="en-US"/>
              </w:rPr>
            </w:pPr>
            <w:r w:rsidRPr="00813561">
              <w:rPr>
                <w:sz w:val="22"/>
                <w:lang w:val="en-US"/>
              </w:rPr>
              <w:t>-</w:t>
            </w:r>
          </w:p>
        </w:tc>
        <w:tc>
          <w:tcPr>
            <w:tcW w:w="1589" w:type="dxa"/>
          </w:tcPr>
          <w:p w14:paraId="4D740DDF" w14:textId="77777777" w:rsidR="00813561" w:rsidRPr="00813561" w:rsidRDefault="00813561" w:rsidP="00813561">
            <w:pPr>
              <w:rPr>
                <w:sz w:val="22"/>
                <w:lang w:val="en-US"/>
              </w:rPr>
            </w:pPr>
            <w:r w:rsidRPr="00813561">
              <w:rPr>
                <w:sz w:val="22"/>
                <w:lang w:val="en-US"/>
              </w:rPr>
              <w:t>-</w:t>
            </w:r>
          </w:p>
        </w:tc>
        <w:tc>
          <w:tcPr>
            <w:tcW w:w="1082" w:type="dxa"/>
          </w:tcPr>
          <w:p w14:paraId="7844F41B" w14:textId="77777777" w:rsidR="00813561" w:rsidRPr="00813561" w:rsidRDefault="00813561" w:rsidP="00813561">
            <w:pPr>
              <w:rPr>
                <w:sz w:val="22"/>
                <w:lang w:val="en-US"/>
              </w:rPr>
            </w:pPr>
            <w:r w:rsidRPr="00813561">
              <w:rPr>
                <w:sz w:val="22"/>
                <w:lang w:val="en-US"/>
              </w:rPr>
              <w:t>878[l], 904[s]</w:t>
            </w:r>
          </w:p>
        </w:tc>
      </w:tr>
      <w:tr w:rsidR="00813561" w:rsidRPr="00813561" w14:paraId="0F3E88AF" w14:textId="77777777" w:rsidTr="1DCE42CA">
        <w:tc>
          <w:tcPr>
            <w:tcW w:w="1988" w:type="dxa"/>
          </w:tcPr>
          <w:p w14:paraId="5B4E0940" w14:textId="77777777" w:rsidR="00813561" w:rsidRPr="00813561" w:rsidRDefault="00813561" w:rsidP="00813561">
            <w:pPr>
              <w:rPr>
                <w:sz w:val="22"/>
                <w:lang w:val="en-US"/>
              </w:rPr>
            </w:pPr>
            <w:r w:rsidRPr="00813561">
              <w:rPr>
                <w:sz w:val="22"/>
                <w:lang w:val="en-US"/>
              </w:rPr>
              <w:t xml:space="preserve">Capric acid </w:t>
            </w:r>
          </w:p>
        </w:tc>
        <w:tc>
          <w:tcPr>
            <w:tcW w:w="1414" w:type="dxa"/>
          </w:tcPr>
          <w:p w14:paraId="5BC5C67F" w14:textId="77777777" w:rsidR="00813561" w:rsidRPr="00813561" w:rsidRDefault="00813561" w:rsidP="00813561">
            <w:pPr>
              <w:rPr>
                <w:sz w:val="22"/>
                <w:lang w:val="en-US"/>
              </w:rPr>
            </w:pPr>
            <w:r w:rsidRPr="00813561">
              <w:rPr>
                <w:sz w:val="22"/>
                <w:lang w:val="en-US"/>
              </w:rPr>
              <w:t>31.5-31.6</w:t>
            </w:r>
          </w:p>
        </w:tc>
        <w:tc>
          <w:tcPr>
            <w:tcW w:w="1418" w:type="dxa"/>
          </w:tcPr>
          <w:p w14:paraId="4D5CE5B4" w14:textId="77777777" w:rsidR="00813561" w:rsidRPr="00813561" w:rsidRDefault="00813561" w:rsidP="00813561">
            <w:pPr>
              <w:rPr>
                <w:sz w:val="22"/>
                <w:lang w:val="en-US"/>
              </w:rPr>
            </w:pPr>
            <w:r w:rsidRPr="00813561">
              <w:rPr>
                <w:sz w:val="22"/>
                <w:lang w:val="en-US"/>
              </w:rPr>
              <w:t>153</w:t>
            </w:r>
          </w:p>
        </w:tc>
        <w:tc>
          <w:tcPr>
            <w:tcW w:w="1588" w:type="dxa"/>
          </w:tcPr>
          <w:p w14:paraId="7FE515FC" w14:textId="77777777" w:rsidR="00813561" w:rsidRPr="00813561" w:rsidRDefault="00813561" w:rsidP="00813561">
            <w:pPr>
              <w:rPr>
                <w:sz w:val="22"/>
                <w:lang w:val="en-US"/>
              </w:rPr>
            </w:pPr>
            <w:r w:rsidRPr="00813561">
              <w:rPr>
                <w:sz w:val="22"/>
                <w:lang w:val="en-US"/>
              </w:rPr>
              <w:t>-</w:t>
            </w:r>
          </w:p>
        </w:tc>
        <w:tc>
          <w:tcPr>
            <w:tcW w:w="1589" w:type="dxa"/>
          </w:tcPr>
          <w:p w14:paraId="12895E75" w14:textId="77777777" w:rsidR="00813561" w:rsidRPr="00813561" w:rsidRDefault="00813561" w:rsidP="00813561">
            <w:pPr>
              <w:rPr>
                <w:sz w:val="22"/>
                <w:lang w:val="en-US"/>
              </w:rPr>
            </w:pPr>
            <w:r w:rsidRPr="00813561">
              <w:rPr>
                <w:sz w:val="22"/>
                <w:lang w:val="en-US"/>
              </w:rPr>
              <w:t>0.16[s]</w:t>
            </w:r>
          </w:p>
        </w:tc>
        <w:tc>
          <w:tcPr>
            <w:tcW w:w="1082" w:type="dxa"/>
          </w:tcPr>
          <w:p w14:paraId="3AF9765C" w14:textId="77777777" w:rsidR="00813561" w:rsidRPr="00813561" w:rsidRDefault="00813561" w:rsidP="00813561">
            <w:pPr>
              <w:rPr>
                <w:sz w:val="22"/>
                <w:lang w:val="en-US"/>
              </w:rPr>
            </w:pPr>
            <w:r w:rsidRPr="00813561">
              <w:rPr>
                <w:sz w:val="22"/>
                <w:lang w:val="en-US"/>
              </w:rPr>
              <w:t>862</w:t>
            </w:r>
          </w:p>
        </w:tc>
      </w:tr>
      <w:tr w:rsidR="00813561" w:rsidRPr="00813561" w14:paraId="24112813" w14:textId="77777777" w:rsidTr="1DCE42CA">
        <w:tc>
          <w:tcPr>
            <w:tcW w:w="1988" w:type="dxa"/>
          </w:tcPr>
          <w:p w14:paraId="6D0E4C35" w14:textId="77777777" w:rsidR="00813561" w:rsidRPr="00813561" w:rsidRDefault="00813561" w:rsidP="00813561">
            <w:pPr>
              <w:rPr>
                <w:sz w:val="22"/>
                <w:lang w:val="en-US"/>
              </w:rPr>
            </w:pPr>
            <w:r w:rsidRPr="00813561">
              <w:rPr>
                <w:sz w:val="22"/>
                <w:lang w:val="en-US"/>
              </w:rPr>
              <w:t>Lauric acid</w:t>
            </w:r>
          </w:p>
        </w:tc>
        <w:tc>
          <w:tcPr>
            <w:tcW w:w="1414" w:type="dxa"/>
          </w:tcPr>
          <w:p w14:paraId="588E74A7" w14:textId="77777777" w:rsidR="00813561" w:rsidRPr="00813561" w:rsidRDefault="00813561" w:rsidP="00813561">
            <w:pPr>
              <w:rPr>
                <w:sz w:val="22"/>
                <w:lang w:val="en-US"/>
              </w:rPr>
            </w:pPr>
            <w:r w:rsidRPr="00813561">
              <w:rPr>
                <w:sz w:val="22"/>
                <w:lang w:val="en-US"/>
              </w:rPr>
              <w:t>41-44</w:t>
            </w:r>
          </w:p>
        </w:tc>
        <w:tc>
          <w:tcPr>
            <w:tcW w:w="1418" w:type="dxa"/>
          </w:tcPr>
          <w:p w14:paraId="6C1E1DFB" w14:textId="77777777" w:rsidR="00813561" w:rsidRPr="00813561" w:rsidRDefault="00813561" w:rsidP="00813561">
            <w:pPr>
              <w:rPr>
                <w:sz w:val="22"/>
                <w:lang w:val="en-US"/>
              </w:rPr>
            </w:pPr>
            <w:r w:rsidRPr="00813561">
              <w:rPr>
                <w:sz w:val="22"/>
                <w:lang w:val="en-US"/>
              </w:rPr>
              <w:t>183-212</w:t>
            </w:r>
          </w:p>
        </w:tc>
        <w:tc>
          <w:tcPr>
            <w:tcW w:w="1588" w:type="dxa"/>
          </w:tcPr>
          <w:p w14:paraId="5A7114ED" w14:textId="77777777" w:rsidR="00813561" w:rsidRPr="00813561" w:rsidRDefault="00813561" w:rsidP="00813561">
            <w:pPr>
              <w:rPr>
                <w:sz w:val="22"/>
                <w:lang w:val="en-US"/>
              </w:rPr>
            </w:pPr>
            <w:r w:rsidRPr="00813561">
              <w:rPr>
                <w:sz w:val="22"/>
                <w:lang w:val="en-US"/>
              </w:rPr>
              <w:t>1.76 [25°C]</w:t>
            </w:r>
          </w:p>
        </w:tc>
        <w:tc>
          <w:tcPr>
            <w:tcW w:w="1589" w:type="dxa"/>
          </w:tcPr>
          <w:p w14:paraId="3F3CB3EB" w14:textId="77777777" w:rsidR="00813561" w:rsidRPr="00813561" w:rsidRDefault="00813561" w:rsidP="00813561">
            <w:pPr>
              <w:rPr>
                <w:sz w:val="22"/>
                <w:lang w:val="en-US"/>
              </w:rPr>
            </w:pPr>
            <w:r w:rsidRPr="00813561">
              <w:rPr>
                <w:sz w:val="22"/>
                <w:lang w:val="en-US"/>
              </w:rPr>
              <w:t>0.16[s]</w:t>
            </w:r>
          </w:p>
        </w:tc>
        <w:tc>
          <w:tcPr>
            <w:tcW w:w="1082" w:type="dxa"/>
          </w:tcPr>
          <w:p w14:paraId="16CF26D3" w14:textId="77777777" w:rsidR="00813561" w:rsidRPr="00813561" w:rsidRDefault="00813561" w:rsidP="00813561">
            <w:pPr>
              <w:rPr>
                <w:sz w:val="22"/>
                <w:lang w:val="en-US"/>
              </w:rPr>
            </w:pPr>
            <w:r w:rsidRPr="00813561">
              <w:rPr>
                <w:sz w:val="22"/>
                <w:lang w:val="en-US"/>
              </w:rPr>
              <w:t>862</w:t>
            </w:r>
          </w:p>
        </w:tc>
      </w:tr>
      <w:tr w:rsidR="00813561" w:rsidRPr="00813561" w14:paraId="063F98F7" w14:textId="77777777" w:rsidTr="1DCE42CA">
        <w:tc>
          <w:tcPr>
            <w:tcW w:w="1988" w:type="dxa"/>
          </w:tcPr>
          <w:p w14:paraId="413B15F4" w14:textId="77777777" w:rsidR="00813561" w:rsidRPr="00813561" w:rsidRDefault="00813561" w:rsidP="00813561">
            <w:pPr>
              <w:rPr>
                <w:sz w:val="22"/>
                <w:lang w:val="en-US"/>
              </w:rPr>
            </w:pPr>
            <w:r w:rsidRPr="00813561">
              <w:rPr>
                <w:sz w:val="22"/>
                <w:lang w:val="en-US"/>
              </w:rPr>
              <w:t xml:space="preserve">Erythritol </w:t>
            </w:r>
          </w:p>
        </w:tc>
        <w:tc>
          <w:tcPr>
            <w:tcW w:w="1414" w:type="dxa"/>
          </w:tcPr>
          <w:p w14:paraId="12C5FC33" w14:textId="77777777" w:rsidR="00813561" w:rsidRPr="00813561" w:rsidRDefault="00813561" w:rsidP="00813561">
            <w:pPr>
              <w:rPr>
                <w:sz w:val="22"/>
                <w:lang w:val="en-US"/>
              </w:rPr>
            </w:pPr>
            <w:r w:rsidRPr="00813561">
              <w:rPr>
                <w:sz w:val="22"/>
                <w:lang w:val="en-US"/>
              </w:rPr>
              <w:t>118</w:t>
            </w:r>
          </w:p>
        </w:tc>
        <w:tc>
          <w:tcPr>
            <w:tcW w:w="1418" w:type="dxa"/>
          </w:tcPr>
          <w:p w14:paraId="5068D9BD" w14:textId="77777777" w:rsidR="00813561" w:rsidRPr="00813561" w:rsidRDefault="00813561" w:rsidP="00813561">
            <w:pPr>
              <w:rPr>
                <w:sz w:val="22"/>
                <w:lang w:val="en-US"/>
              </w:rPr>
            </w:pPr>
            <w:r w:rsidRPr="00813561">
              <w:rPr>
                <w:sz w:val="22"/>
                <w:lang w:val="en-US"/>
              </w:rPr>
              <w:t>339</w:t>
            </w:r>
          </w:p>
        </w:tc>
        <w:tc>
          <w:tcPr>
            <w:tcW w:w="1588" w:type="dxa"/>
          </w:tcPr>
          <w:p w14:paraId="6175FDC0" w14:textId="77777777" w:rsidR="00813561" w:rsidRPr="00813561" w:rsidRDefault="00813561" w:rsidP="00813561">
            <w:pPr>
              <w:rPr>
                <w:sz w:val="22"/>
                <w:lang w:val="en-US"/>
              </w:rPr>
            </w:pPr>
            <w:r w:rsidRPr="00813561">
              <w:rPr>
                <w:sz w:val="22"/>
                <w:lang w:val="en-US"/>
              </w:rPr>
              <w:t>2.61[l], 2.25[s]</w:t>
            </w:r>
          </w:p>
        </w:tc>
        <w:tc>
          <w:tcPr>
            <w:tcW w:w="1589" w:type="dxa"/>
          </w:tcPr>
          <w:p w14:paraId="0694A3A4" w14:textId="77777777" w:rsidR="00813561" w:rsidRPr="00813561" w:rsidRDefault="00813561" w:rsidP="00813561">
            <w:pPr>
              <w:rPr>
                <w:sz w:val="22"/>
                <w:lang w:val="en-US"/>
              </w:rPr>
            </w:pPr>
            <w:r w:rsidRPr="00813561">
              <w:rPr>
                <w:sz w:val="22"/>
                <w:lang w:val="en-US"/>
              </w:rPr>
              <w:t>0.326[l], 0.733[s]</w:t>
            </w:r>
          </w:p>
        </w:tc>
        <w:tc>
          <w:tcPr>
            <w:tcW w:w="1082" w:type="dxa"/>
          </w:tcPr>
          <w:p w14:paraId="0F568BD8" w14:textId="77777777" w:rsidR="00813561" w:rsidRPr="00813561" w:rsidRDefault="00813561" w:rsidP="00813561">
            <w:pPr>
              <w:rPr>
                <w:sz w:val="22"/>
                <w:lang w:val="en-US"/>
              </w:rPr>
            </w:pPr>
            <w:r w:rsidRPr="00813561">
              <w:rPr>
                <w:sz w:val="22"/>
                <w:lang w:val="en-US"/>
              </w:rPr>
              <w:t>1480[s], 1300[l]</w:t>
            </w:r>
          </w:p>
        </w:tc>
      </w:tr>
      <w:tr w:rsidR="00813561" w:rsidRPr="00813561" w14:paraId="156F0608" w14:textId="77777777" w:rsidTr="1DCE42CA">
        <w:tc>
          <w:tcPr>
            <w:tcW w:w="1988" w:type="dxa"/>
          </w:tcPr>
          <w:p w14:paraId="50DBF7BF" w14:textId="77777777" w:rsidR="00813561" w:rsidRPr="00813561" w:rsidRDefault="00813561" w:rsidP="00813561">
            <w:pPr>
              <w:rPr>
                <w:sz w:val="22"/>
                <w:lang w:val="en-US"/>
              </w:rPr>
            </w:pPr>
            <w:r w:rsidRPr="00813561">
              <w:rPr>
                <w:sz w:val="22"/>
                <w:lang w:val="en-US"/>
              </w:rPr>
              <w:t xml:space="preserve">Hydroquinone </w:t>
            </w:r>
          </w:p>
        </w:tc>
        <w:tc>
          <w:tcPr>
            <w:tcW w:w="1414" w:type="dxa"/>
          </w:tcPr>
          <w:p w14:paraId="21BC472F" w14:textId="77777777" w:rsidR="00813561" w:rsidRPr="00813561" w:rsidRDefault="00813561" w:rsidP="00813561">
            <w:pPr>
              <w:rPr>
                <w:sz w:val="22"/>
                <w:lang w:val="en-US"/>
              </w:rPr>
            </w:pPr>
            <w:r w:rsidRPr="00813561">
              <w:rPr>
                <w:sz w:val="22"/>
                <w:lang w:val="en-US"/>
              </w:rPr>
              <w:t>169-173</w:t>
            </w:r>
          </w:p>
        </w:tc>
        <w:tc>
          <w:tcPr>
            <w:tcW w:w="1418" w:type="dxa"/>
          </w:tcPr>
          <w:p w14:paraId="4F03A606" w14:textId="77777777" w:rsidR="00813561" w:rsidRPr="00813561" w:rsidRDefault="00813561" w:rsidP="00813561">
            <w:pPr>
              <w:rPr>
                <w:sz w:val="22"/>
                <w:lang w:val="en-US"/>
              </w:rPr>
            </w:pPr>
            <w:r w:rsidRPr="00813561">
              <w:rPr>
                <w:sz w:val="22"/>
                <w:lang w:val="en-US"/>
              </w:rPr>
              <w:t>-</w:t>
            </w:r>
          </w:p>
        </w:tc>
        <w:tc>
          <w:tcPr>
            <w:tcW w:w="1588" w:type="dxa"/>
          </w:tcPr>
          <w:p w14:paraId="5A0506C0" w14:textId="77777777" w:rsidR="00813561" w:rsidRPr="00813561" w:rsidRDefault="00813561" w:rsidP="00813561">
            <w:pPr>
              <w:rPr>
                <w:sz w:val="22"/>
                <w:lang w:val="en-US"/>
              </w:rPr>
            </w:pPr>
            <w:r w:rsidRPr="00813561">
              <w:rPr>
                <w:sz w:val="22"/>
                <w:lang w:val="en-US"/>
              </w:rPr>
              <w:t>-</w:t>
            </w:r>
          </w:p>
        </w:tc>
        <w:tc>
          <w:tcPr>
            <w:tcW w:w="1589" w:type="dxa"/>
          </w:tcPr>
          <w:p w14:paraId="0DE0D409" w14:textId="77777777" w:rsidR="00813561" w:rsidRPr="00813561" w:rsidRDefault="00813561" w:rsidP="00813561">
            <w:pPr>
              <w:rPr>
                <w:sz w:val="22"/>
                <w:lang w:val="en-US"/>
              </w:rPr>
            </w:pPr>
            <w:r w:rsidRPr="00813561">
              <w:rPr>
                <w:sz w:val="22"/>
                <w:lang w:val="en-US"/>
              </w:rPr>
              <w:t>-</w:t>
            </w:r>
          </w:p>
        </w:tc>
        <w:tc>
          <w:tcPr>
            <w:tcW w:w="1082" w:type="dxa"/>
          </w:tcPr>
          <w:p w14:paraId="05332069" w14:textId="77777777" w:rsidR="00813561" w:rsidRPr="00813561" w:rsidRDefault="00813561" w:rsidP="00813561">
            <w:pPr>
              <w:rPr>
                <w:sz w:val="22"/>
                <w:lang w:val="en-US"/>
              </w:rPr>
            </w:pPr>
            <w:r w:rsidRPr="00813561">
              <w:rPr>
                <w:sz w:val="22"/>
                <w:lang w:val="en-US"/>
              </w:rPr>
              <w:t>-</w:t>
            </w:r>
          </w:p>
        </w:tc>
      </w:tr>
      <w:tr w:rsidR="00813561" w:rsidRPr="00813561" w14:paraId="2088104B" w14:textId="77777777" w:rsidTr="1DCE42CA">
        <w:tc>
          <w:tcPr>
            <w:tcW w:w="1988" w:type="dxa"/>
          </w:tcPr>
          <w:p w14:paraId="5F4728FC" w14:textId="77777777" w:rsidR="00813561" w:rsidRPr="00813561" w:rsidRDefault="00813561" w:rsidP="00813561">
            <w:pPr>
              <w:rPr>
                <w:sz w:val="22"/>
                <w:lang w:val="en-US"/>
              </w:rPr>
            </w:pPr>
            <w:r w:rsidRPr="00813561">
              <w:rPr>
                <w:sz w:val="22"/>
                <w:lang w:val="en-US"/>
              </w:rPr>
              <w:t xml:space="preserve">Acetamide </w:t>
            </w:r>
          </w:p>
        </w:tc>
        <w:tc>
          <w:tcPr>
            <w:tcW w:w="1414" w:type="dxa"/>
          </w:tcPr>
          <w:p w14:paraId="47FC41B5" w14:textId="77777777" w:rsidR="00813561" w:rsidRPr="00813561" w:rsidRDefault="00813561" w:rsidP="00813561">
            <w:pPr>
              <w:rPr>
                <w:sz w:val="22"/>
                <w:lang w:val="en-US"/>
              </w:rPr>
            </w:pPr>
            <w:r w:rsidRPr="00813561">
              <w:rPr>
                <w:sz w:val="22"/>
                <w:lang w:val="en-US"/>
              </w:rPr>
              <w:t>82</w:t>
            </w:r>
          </w:p>
        </w:tc>
        <w:tc>
          <w:tcPr>
            <w:tcW w:w="1418" w:type="dxa"/>
          </w:tcPr>
          <w:p w14:paraId="3371A7C1" w14:textId="77777777" w:rsidR="00813561" w:rsidRPr="00813561" w:rsidRDefault="00813561" w:rsidP="00813561">
            <w:pPr>
              <w:rPr>
                <w:sz w:val="22"/>
                <w:lang w:val="en-US"/>
              </w:rPr>
            </w:pPr>
            <w:r w:rsidRPr="00813561">
              <w:rPr>
                <w:sz w:val="22"/>
                <w:lang w:val="en-US"/>
              </w:rPr>
              <w:t>-</w:t>
            </w:r>
          </w:p>
        </w:tc>
        <w:tc>
          <w:tcPr>
            <w:tcW w:w="1588" w:type="dxa"/>
          </w:tcPr>
          <w:p w14:paraId="2A3D5947" w14:textId="77777777" w:rsidR="00813561" w:rsidRPr="00813561" w:rsidRDefault="00813561" w:rsidP="00813561">
            <w:pPr>
              <w:rPr>
                <w:sz w:val="22"/>
                <w:lang w:val="en-US"/>
              </w:rPr>
            </w:pPr>
            <w:r w:rsidRPr="00813561">
              <w:rPr>
                <w:sz w:val="22"/>
                <w:lang w:val="en-US"/>
              </w:rPr>
              <w:t>-</w:t>
            </w:r>
          </w:p>
        </w:tc>
        <w:tc>
          <w:tcPr>
            <w:tcW w:w="1589" w:type="dxa"/>
          </w:tcPr>
          <w:p w14:paraId="0E96BB2F" w14:textId="77777777" w:rsidR="00813561" w:rsidRPr="00813561" w:rsidRDefault="00813561" w:rsidP="00813561">
            <w:pPr>
              <w:rPr>
                <w:sz w:val="22"/>
                <w:lang w:val="en-US"/>
              </w:rPr>
            </w:pPr>
            <w:r w:rsidRPr="00813561">
              <w:rPr>
                <w:sz w:val="22"/>
                <w:lang w:val="en-US"/>
              </w:rPr>
              <w:t>-</w:t>
            </w:r>
          </w:p>
        </w:tc>
        <w:tc>
          <w:tcPr>
            <w:tcW w:w="1082" w:type="dxa"/>
          </w:tcPr>
          <w:p w14:paraId="4797AB01" w14:textId="77777777" w:rsidR="00813561" w:rsidRPr="00813561" w:rsidRDefault="00813561" w:rsidP="00813561">
            <w:pPr>
              <w:rPr>
                <w:sz w:val="22"/>
                <w:lang w:val="en-US"/>
              </w:rPr>
            </w:pPr>
            <w:r w:rsidRPr="00813561">
              <w:rPr>
                <w:sz w:val="22"/>
                <w:lang w:val="en-US"/>
              </w:rPr>
              <w:t>1159</w:t>
            </w:r>
          </w:p>
        </w:tc>
      </w:tr>
      <w:tr w:rsidR="00813561" w:rsidRPr="00813561" w14:paraId="1ED8AD2E" w14:textId="77777777" w:rsidTr="1DCE42CA">
        <w:tc>
          <w:tcPr>
            <w:tcW w:w="1988" w:type="dxa"/>
          </w:tcPr>
          <w:p w14:paraId="1EE5D94D" w14:textId="77777777" w:rsidR="00813561" w:rsidRPr="00813561" w:rsidRDefault="00813561" w:rsidP="00813561">
            <w:pPr>
              <w:rPr>
                <w:sz w:val="22"/>
                <w:lang w:val="en-US"/>
              </w:rPr>
            </w:pPr>
            <w:r w:rsidRPr="00813561">
              <w:rPr>
                <w:sz w:val="22"/>
                <w:lang w:val="en-US"/>
              </w:rPr>
              <w:t xml:space="preserve">Acetanilide </w:t>
            </w:r>
          </w:p>
        </w:tc>
        <w:tc>
          <w:tcPr>
            <w:tcW w:w="1414" w:type="dxa"/>
          </w:tcPr>
          <w:p w14:paraId="72CE2075" w14:textId="77777777" w:rsidR="00813561" w:rsidRPr="00813561" w:rsidRDefault="00813561" w:rsidP="00813561">
            <w:pPr>
              <w:rPr>
                <w:sz w:val="22"/>
                <w:lang w:val="en-US"/>
              </w:rPr>
            </w:pPr>
            <w:r w:rsidRPr="00813561">
              <w:rPr>
                <w:sz w:val="22"/>
                <w:lang w:val="en-US"/>
              </w:rPr>
              <w:t>116</w:t>
            </w:r>
          </w:p>
        </w:tc>
        <w:tc>
          <w:tcPr>
            <w:tcW w:w="1418" w:type="dxa"/>
          </w:tcPr>
          <w:p w14:paraId="68C01F43" w14:textId="77777777" w:rsidR="00813561" w:rsidRPr="00813561" w:rsidRDefault="00813561" w:rsidP="00813561">
            <w:pPr>
              <w:rPr>
                <w:sz w:val="22"/>
                <w:lang w:val="en-US"/>
              </w:rPr>
            </w:pPr>
            <w:r w:rsidRPr="00813561">
              <w:rPr>
                <w:sz w:val="22"/>
                <w:lang w:val="en-US"/>
              </w:rPr>
              <w:t>-</w:t>
            </w:r>
          </w:p>
        </w:tc>
        <w:tc>
          <w:tcPr>
            <w:tcW w:w="1588" w:type="dxa"/>
          </w:tcPr>
          <w:p w14:paraId="2D7C49CC" w14:textId="77777777" w:rsidR="00813561" w:rsidRPr="00813561" w:rsidRDefault="00813561" w:rsidP="00813561">
            <w:pPr>
              <w:rPr>
                <w:sz w:val="22"/>
                <w:lang w:val="en-US"/>
              </w:rPr>
            </w:pPr>
            <w:r w:rsidRPr="00813561">
              <w:rPr>
                <w:sz w:val="22"/>
                <w:lang w:val="en-US"/>
              </w:rPr>
              <w:t>-</w:t>
            </w:r>
          </w:p>
        </w:tc>
        <w:tc>
          <w:tcPr>
            <w:tcW w:w="1589" w:type="dxa"/>
          </w:tcPr>
          <w:p w14:paraId="1427E5A3" w14:textId="77777777" w:rsidR="00813561" w:rsidRPr="00813561" w:rsidRDefault="00813561" w:rsidP="00813561">
            <w:pPr>
              <w:rPr>
                <w:sz w:val="22"/>
                <w:lang w:val="en-US"/>
              </w:rPr>
            </w:pPr>
            <w:r w:rsidRPr="00813561">
              <w:rPr>
                <w:sz w:val="22"/>
                <w:lang w:val="en-US"/>
              </w:rPr>
              <w:t>-</w:t>
            </w:r>
          </w:p>
        </w:tc>
        <w:tc>
          <w:tcPr>
            <w:tcW w:w="1082" w:type="dxa"/>
          </w:tcPr>
          <w:p w14:paraId="59A15F7A" w14:textId="77777777" w:rsidR="00813561" w:rsidRPr="00813561" w:rsidRDefault="00813561" w:rsidP="00813561">
            <w:pPr>
              <w:rPr>
                <w:sz w:val="22"/>
                <w:lang w:val="en-US"/>
              </w:rPr>
            </w:pPr>
            <w:r w:rsidRPr="00813561">
              <w:rPr>
                <w:sz w:val="22"/>
                <w:lang w:val="en-US"/>
              </w:rPr>
              <w:t>-</w:t>
            </w:r>
          </w:p>
        </w:tc>
      </w:tr>
      <w:tr w:rsidR="00813561" w:rsidRPr="00813561" w14:paraId="41BAA78B" w14:textId="77777777" w:rsidTr="1DCE42CA">
        <w:tc>
          <w:tcPr>
            <w:tcW w:w="1988" w:type="dxa"/>
          </w:tcPr>
          <w:p w14:paraId="797879BA" w14:textId="77777777" w:rsidR="00813561" w:rsidRPr="00813561" w:rsidRDefault="00813561" w:rsidP="00813561">
            <w:pPr>
              <w:rPr>
                <w:sz w:val="22"/>
                <w:lang w:val="en-US"/>
              </w:rPr>
            </w:pPr>
            <w:r w:rsidRPr="00813561">
              <w:rPr>
                <w:sz w:val="22"/>
                <w:lang w:val="en-US"/>
              </w:rPr>
              <w:t xml:space="preserve">Dimethyl Sulphoxide </w:t>
            </w:r>
          </w:p>
        </w:tc>
        <w:tc>
          <w:tcPr>
            <w:tcW w:w="1414" w:type="dxa"/>
          </w:tcPr>
          <w:p w14:paraId="1DE2C15E" w14:textId="77777777" w:rsidR="00813561" w:rsidRPr="00813561" w:rsidRDefault="00813561" w:rsidP="00813561">
            <w:pPr>
              <w:rPr>
                <w:sz w:val="22"/>
                <w:lang w:val="en-US"/>
              </w:rPr>
            </w:pPr>
            <w:r w:rsidRPr="00813561">
              <w:rPr>
                <w:sz w:val="22"/>
                <w:lang w:val="en-US"/>
              </w:rPr>
              <w:t>189</w:t>
            </w:r>
          </w:p>
        </w:tc>
        <w:tc>
          <w:tcPr>
            <w:tcW w:w="1418" w:type="dxa"/>
          </w:tcPr>
          <w:p w14:paraId="1F210319" w14:textId="77777777" w:rsidR="00813561" w:rsidRPr="00813561" w:rsidRDefault="00813561" w:rsidP="00813561">
            <w:pPr>
              <w:rPr>
                <w:sz w:val="22"/>
                <w:lang w:val="en-US"/>
              </w:rPr>
            </w:pPr>
            <w:r w:rsidRPr="00813561">
              <w:rPr>
                <w:sz w:val="22"/>
                <w:lang w:val="en-US"/>
              </w:rPr>
              <w:t>-</w:t>
            </w:r>
          </w:p>
        </w:tc>
        <w:tc>
          <w:tcPr>
            <w:tcW w:w="1588" w:type="dxa"/>
          </w:tcPr>
          <w:p w14:paraId="5080A8A7" w14:textId="77777777" w:rsidR="00813561" w:rsidRPr="00813561" w:rsidRDefault="00813561" w:rsidP="00813561">
            <w:pPr>
              <w:rPr>
                <w:sz w:val="22"/>
                <w:lang w:val="en-US"/>
              </w:rPr>
            </w:pPr>
            <w:r w:rsidRPr="00813561">
              <w:rPr>
                <w:sz w:val="22"/>
                <w:lang w:val="en-US"/>
              </w:rPr>
              <w:t>-</w:t>
            </w:r>
          </w:p>
        </w:tc>
        <w:tc>
          <w:tcPr>
            <w:tcW w:w="1589" w:type="dxa"/>
          </w:tcPr>
          <w:p w14:paraId="72D2EEF3" w14:textId="77777777" w:rsidR="00813561" w:rsidRPr="00813561" w:rsidRDefault="00813561" w:rsidP="00813561">
            <w:pPr>
              <w:rPr>
                <w:sz w:val="22"/>
                <w:lang w:val="en-US"/>
              </w:rPr>
            </w:pPr>
            <w:r w:rsidRPr="00813561">
              <w:rPr>
                <w:sz w:val="22"/>
                <w:lang w:val="en-US"/>
              </w:rPr>
              <w:t>-</w:t>
            </w:r>
          </w:p>
        </w:tc>
        <w:tc>
          <w:tcPr>
            <w:tcW w:w="1082" w:type="dxa"/>
          </w:tcPr>
          <w:p w14:paraId="2125C9C7" w14:textId="77777777" w:rsidR="00813561" w:rsidRPr="00813561" w:rsidRDefault="00813561" w:rsidP="00813561">
            <w:pPr>
              <w:rPr>
                <w:sz w:val="22"/>
                <w:lang w:val="en-US"/>
              </w:rPr>
            </w:pPr>
            <w:r w:rsidRPr="00813561">
              <w:rPr>
                <w:sz w:val="22"/>
                <w:lang w:val="en-US"/>
              </w:rPr>
              <w:t>1009[l]</w:t>
            </w:r>
          </w:p>
        </w:tc>
      </w:tr>
      <w:tr w:rsidR="00813561" w:rsidRPr="00813561" w14:paraId="56197CC7" w14:textId="77777777" w:rsidTr="1DCE42CA">
        <w:tc>
          <w:tcPr>
            <w:tcW w:w="1988" w:type="dxa"/>
          </w:tcPr>
          <w:p w14:paraId="30BA4794" w14:textId="77777777" w:rsidR="00813561" w:rsidRPr="00813561" w:rsidRDefault="00813561" w:rsidP="00813561">
            <w:pPr>
              <w:rPr>
                <w:sz w:val="22"/>
                <w:lang w:val="en-US"/>
              </w:rPr>
            </w:pPr>
            <w:r w:rsidRPr="00813561">
              <w:rPr>
                <w:sz w:val="22"/>
                <w:lang w:val="en-US"/>
              </w:rPr>
              <w:t xml:space="preserve">Hexadecane </w:t>
            </w:r>
          </w:p>
        </w:tc>
        <w:tc>
          <w:tcPr>
            <w:tcW w:w="1414" w:type="dxa"/>
          </w:tcPr>
          <w:p w14:paraId="7558C890" w14:textId="77777777" w:rsidR="00813561" w:rsidRPr="00813561" w:rsidRDefault="00813561" w:rsidP="00813561">
            <w:pPr>
              <w:rPr>
                <w:sz w:val="22"/>
                <w:lang w:val="en-US"/>
              </w:rPr>
            </w:pPr>
            <w:r w:rsidRPr="00813561">
              <w:rPr>
                <w:sz w:val="22"/>
                <w:lang w:val="en-US"/>
              </w:rPr>
              <w:t>18</w:t>
            </w:r>
          </w:p>
        </w:tc>
        <w:tc>
          <w:tcPr>
            <w:tcW w:w="1418" w:type="dxa"/>
          </w:tcPr>
          <w:p w14:paraId="6A13274F" w14:textId="77777777" w:rsidR="00813561" w:rsidRPr="00813561" w:rsidRDefault="00813561" w:rsidP="00813561">
            <w:pPr>
              <w:rPr>
                <w:sz w:val="22"/>
                <w:lang w:val="en-US"/>
              </w:rPr>
            </w:pPr>
            <w:r w:rsidRPr="00813561">
              <w:rPr>
                <w:sz w:val="22"/>
                <w:lang w:val="en-US"/>
              </w:rPr>
              <w:t>237</w:t>
            </w:r>
          </w:p>
        </w:tc>
        <w:tc>
          <w:tcPr>
            <w:tcW w:w="1588" w:type="dxa"/>
          </w:tcPr>
          <w:p w14:paraId="7BD7EA39" w14:textId="77777777" w:rsidR="00813561" w:rsidRPr="00813561" w:rsidRDefault="00813561" w:rsidP="00813561">
            <w:pPr>
              <w:rPr>
                <w:sz w:val="22"/>
                <w:lang w:val="en-US"/>
              </w:rPr>
            </w:pPr>
            <w:r w:rsidRPr="00813561">
              <w:rPr>
                <w:sz w:val="22"/>
                <w:lang w:val="en-US"/>
              </w:rPr>
              <w:t>2.22 [l]</w:t>
            </w:r>
          </w:p>
        </w:tc>
        <w:tc>
          <w:tcPr>
            <w:tcW w:w="1589" w:type="dxa"/>
          </w:tcPr>
          <w:p w14:paraId="25417575" w14:textId="22ECB0DD" w:rsidR="00813561" w:rsidRPr="00813561" w:rsidRDefault="00813561" w:rsidP="00813561">
            <w:pPr>
              <w:rPr>
                <w:sz w:val="22"/>
                <w:lang w:val="en-US"/>
              </w:rPr>
            </w:pPr>
            <w:r w:rsidRPr="00813561">
              <w:rPr>
                <w:sz w:val="22"/>
                <w:lang w:val="en-US"/>
              </w:rPr>
              <w:t>0.189 [38.6 °C]</w:t>
            </w:r>
          </w:p>
        </w:tc>
        <w:tc>
          <w:tcPr>
            <w:tcW w:w="1082" w:type="dxa"/>
          </w:tcPr>
          <w:p w14:paraId="5B43E0F2" w14:textId="7F2F4A15" w:rsidR="00813561" w:rsidRPr="00813561" w:rsidRDefault="00813561" w:rsidP="00813561">
            <w:pPr>
              <w:rPr>
                <w:sz w:val="22"/>
                <w:lang w:val="en-US"/>
              </w:rPr>
            </w:pPr>
            <w:r w:rsidRPr="00813561">
              <w:rPr>
                <w:sz w:val="22"/>
                <w:lang w:val="en-US"/>
              </w:rPr>
              <w:t>770</w:t>
            </w:r>
            <w:r>
              <w:rPr>
                <w:sz w:val="22"/>
                <w:lang w:val="en-US"/>
              </w:rPr>
              <w:t xml:space="preserve"> </w:t>
            </w:r>
            <w:r w:rsidRPr="00813561">
              <w:rPr>
                <w:sz w:val="22"/>
                <w:lang w:val="en-US"/>
              </w:rPr>
              <w:t>[20 °C]</w:t>
            </w:r>
          </w:p>
        </w:tc>
      </w:tr>
      <w:tr w:rsidR="00813561" w:rsidRPr="00813561" w14:paraId="1E171905" w14:textId="77777777" w:rsidTr="1DCE42CA">
        <w:tc>
          <w:tcPr>
            <w:tcW w:w="9079" w:type="dxa"/>
            <w:gridSpan w:val="6"/>
          </w:tcPr>
          <w:p w14:paraId="2BBA1DD4" w14:textId="38E05B04" w:rsidR="00813561" w:rsidRPr="00813561" w:rsidRDefault="00813561" w:rsidP="00813561">
            <w:pPr>
              <w:rPr>
                <w:sz w:val="22"/>
                <w:lang w:val="en-US"/>
              </w:rPr>
            </w:pPr>
            <w:r w:rsidRPr="00813561">
              <w:rPr>
                <w:b/>
                <w:bCs/>
                <w:sz w:val="22"/>
                <w:lang w:val="en-US"/>
              </w:rPr>
              <w:t>Inorganic PCM</w:t>
            </w:r>
          </w:p>
        </w:tc>
      </w:tr>
      <w:tr w:rsidR="00813561" w:rsidRPr="00813561" w14:paraId="70241FF6" w14:textId="77777777" w:rsidTr="1DCE42CA">
        <w:tc>
          <w:tcPr>
            <w:tcW w:w="1988" w:type="dxa"/>
          </w:tcPr>
          <w:p w14:paraId="7727A7D5" w14:textId="77777777" w:rsidR="00813561" w:rsidRPr="00813561" w:rsidRDefault="00813561" w:rsidP="00813561">
            <w:pPr>
              <w:rPr>
                <w:sz w:val="22"/>
                <w:lang w:val="en-US"/>
              </w:rPr>
            </w:pPr>
            <w:r w:rsidRPr="00813561">
              <w:rPr>
                <w:sz w:val="22"/>
                <w:lang w:val="en-US"/>
              </w:rPr>
              <w:t xml:space="preserve">Na₂CO₃·10H₂O </w:t>
            </w:r>
          </w:p>
        </w:tc>
        <w:tc>
          <w:tcPr>
            <w:tcW w:w="1414" w:type="dxa"/>
          </w:tcPr>
          <w:p w14:paraId="475EA079" w14:textId="77777777" w:rsidR="00813561" w:rsidRPr="00813561" w:rsidRDefault="00813561" w:rsidP="00813561">
            <w:pPr>
              <w:rPr>
                <w:sz w:val="22"/>
                <w:lang w:val="en-US"/>
              </w:rPr>
            </w:pPr>
            <w:r w:rsidRPr="00813561">
              <w:rPr>
                <w:sz w:val="22"/>
                <w:lang w:val="en-US"/>
              </w:rPr>
              <w:t>33-36</w:t>
            </w:r>
          </w:p>
        </w:tc>
        <w:tc>
          <w:tcPr>
            <w:tcW w:w="1418" w:type="dxa"/>
          </w:tcPr>
          <w:p w14:paraId="143F12CF" w14:textId="77777777" w:rsidR="00813561" w:rsidRPr="00813561" w:rsidRDefault="00813561" w:rsidP="00813561">
            <w:pPr>
              <w:rPr>
                <w:sz w:val="22"/>
                <w:lang w:val="en-US"/>
              </w:rPr>
            </w:pPr>
            <w:r w:rsidRPr="00813561">
              <w:rPr>
                <w:sz w:val="22"/>
                <w:lang w:val="en-US"/>
              </w:rPr>
              <w:t>247</w:t>
            </w:r>
          </w:p>
        </w:tc>
        <w:tc>
          <w:tcPr>
            <w:tcW w:w="1588" w:type="dxa"/>
          </w:tcPr>
          <w:p w14:paraId="52C1424D" w14:textId="77777777" w:rsidR="00813561" w:rsidRPr="00813561" w:rsidRDefault="00813561" w:rsidP="00813561">
            <w:pPr>
              <w:rPr>
                <w:sz w:val="22"/>
                <w:lang w:val="en-US"/>
              </w:rPr>
            </w:pPr>
            <w:r w:rsidRPr="00813561">
              <w:rPr>
                <w:sz w:val="22"/>
                <w:lang w:val="en-US"/>
              </w:rPr>
              <w:t>-</w:t>
            </w:r>
          </w:p>
        </w:tc>
        <w:tc>
          <w:tcPr>
            <w:tcW w:w="1589" w:type="dxa"/>
          </w:tcPr>
          <w:p w14:paraId="5B19592A" w14:textId="77777777" w:rsidR="00813561" w:rsidRPr="00813561" w:rsidRDefault="00813561" w:rsidP="00813561">
            <w:pPr>
              <w:rPr>
                <w:sz w:val="22"/>
                <w:lang w:val="en-US"/>
              </w:rPr>
            </w:pPr>
            <w:r w:rsidRPr="00813561">
              <w:rPr>
                <w:sz w:val="22"/>
                <w:lang w:val="en-US"/>
              </w:rPr>
              <w:t>-</w:t>
            </w:r>
          </w:p>
        </w:tc>
        <w:tc>
          <w:tcPr>
            <w:tcW w:w="1082" w:type="dxa"/>
          </w:tcPr>
          <w:p w14:paraId="767E8E40" w14:textId="77777777" w:rsidR="00813561" w:rsidRPr="00813561" w:rsidRDefault="00813561" w:rsidP="00813561">
            <w:pPr>
              <w:rPr>
                <w:sz w:val="22"/>
                <w:lang w:val="en-US"/>
              </w:rPr>
            </w:pPr>
            <w:r w:rsidRPr="00813561">
              <w:rPr>
                <w:sz w:val="22"/>
                <w:lang w:val="en-US"/>
              </w:rPr>
              <w:t>1485</w:t>
            </w:r>
          </w:p>
        </w:tc>
      </w:tr>
      <w:tr w:rsidR="00813561" w:rsidRPr="00813561" w14:paraId="016420D4" w14:textId="77777777" w:rsidTr="1DCE42CA">
        <w:tc>
          <w:tcPr>
            <w:tcW w:w="1988" w:type="dxa"/>
          </w:tcPr>
          <w:p w14:paraId="34EB242B" w14:textId="77777777" w:rsidR="00813561" w:rsidRPr="00813561" w:rsidRDefault="00813561" w:rsidP="00813561">
            <w:pPr>
              <w:rPr>
                <w:sz w:val="22"/>
                <w:lang w:val="en-US"/>
              </w:rPr>
            </w:pPr>
            <w:r w:rsidRPr="00813561">
              <w:rPr>
                <w:sz w:val="22"/>
                <w:lang w:val="en-US"/>
              </w:rPr>
              <w:t xml:space="preserve">CaCl₂·6H₂O </w:t>
            </w:r>
          </w:p>
        </w:tc>
        <w:tc>
          <w:tcPr>
            <w:tcW w:w="1414" w:type="dxa"/>
          </w:tcPr>
          <w:p w14:paraId="3BD74C94" w14:textId="77777777" w:rsidR="00813561" w:rsidRPr="00813561" w:rsidRDefault="00813561" w:rsidP="00813561">
            <w:pPr>
              <w:rPr>
                <w:sz w:val="22"/>
                <w:lang w:val="en-US"/>
              </w:rPr>
            </w:pPr>
            <w:r w:rsidRPr="00813561">
              <w:rPr>
                <w:sz w:val="22"/>
                <w:lang w:val="en-US"/>
              </w:rPr>
              <w:t>30</w:t>
            </w:r>
          </w:p>
        </w:tc>
        <w:tc>
          <w:tcPr>
            <w:tcW w:w="1418" w:type="dxa"/>
          </w:tcPr>
          <w:p w14:paraId="4DA1A421" w14:textId="77777777" w:rsidR="00813561" w:rsidRPr="00813561" w:rsidRDefault="00813561" w:rsidP="00813561">
            <w:pPr>
              <w:rPr>
                <w:sz w:val="22"/>
                <w:lang w:val="en-US"/>
              </w:rPr>
            </w:pPr>
            <w:r w:rsidRPr="00813561">
              <w:rPr>
                <w:sz w:val="22"/>
                <w:lang w:val="en-US"/>
              </w:rPr>
              <w:t>190-192</w:t>
            </w:r>
          </w:p>
        </w:tc>
        <w:tc>
          <w:tcPr>
            <w:tcW w:w="1588" w:type="dxa"/>
          </w:tcPr>
          <w:p w14:paraId="4D226213" w14:textId="77777777" w:rsidR="00813561" w:rsidRPr="00813561" w:rsidRDefault="00813561" w:rsidP="00813561">
            <w:pPr>
              <w:rPr>
                <w:sz w:val="22"/>
                <w:lang w:val="en-US"/>
              </w:rPr>
            </w:pPr>
            <w:r w:rsidRPr="00813561">
              <w:rPr>
                <w:sz w:val="22"/>
                <w:lang w:val="en-US"/>
              </w:rPr>
              <w:t>1.4[s], 2.1[l]</w:t>
            </w:r>
          </w:p>
        </w:tc>
        <w:tc>
          <w:tcPr>
            <w:tcW w:w="1589" w:type="dxa"/>
          </w:tcPr>
          <w:p w14:paraId="3B1955CF" w14:textId="77777777" w:rsidR="00813561" w:rsidRPr="00813561" w:rsidRDefault="00813561" w:rsidP="00813561">
            <w:pPr>
              <w:rPr>
                <w:sz w:val="22"/>
                <w:lang w:val="en-US"/>
              </w:rPr>
            </w:pPr>
            <w:r w:rsidRPr="00813561">
              <w:rPr>
                <w:sz w:val="22"/>
                <w:lang w:val="en-US"/>
              </w:rPr>
              <w:t>1.08[s], 0.56[l]</w:t>
            </w:r>
          </w:p>
        </w:tc>
        <w:tc>
          <w:tcPr>
            <w:tcW w:w="1082" w:type="dxa"/>
          </w:tcPr>
          <w:p w14:paraId="55FDB70C" w14:textId="77777777" w:rsidR="00813561" w:rsidRPr="00813561" w:rsidRDefault="00813561" w:rsidP="00813561">
            <w:pPr>
              <w:rPr>
                <w:sz w:val="22"/>
                <w:lang w:val="en-US"/>
              </w:rPr>
            </w:pPr>
            <w:r w:rsidRPr="00813561">
              <w:rPr>
                <w:sz w:val="22"/>
                <w:lang w:val="en-US"/>
              </w:rPr>
              <w:t>1710</w:t>
            </w:r>
          </w:p>
        </w:tc>
      </w:tr>
      <w:tr w:rsidR="00813561" w:rsidRPr="00813561" w14:paraId="2AA52201" w14:textId="77777777" w:rsidTr="1DCE42CA">
        <w:tc>
          <w:tcPr>
            <w:tcW w:w="1988" w:type="dxa"/>
          </w:tcPr>
          <w:p w14:paraId="794C13D8" w14:textId="77777777" w:rsidR="00813561" w:rsidRPr="00813561" w:rsidRDefault="00813561" w:rsidP="00813561">
            <w:pPr>
              <w:rPr>
                <w:sz w:val="22"/>
                <w:lang w:val="en-US"/>
              </w:rPr>
            </w:pPr>
            <w:r w:rsidRPr="00813561">
              <w:rPr>
                <w:sz w:val="22"/>
                <w:lang w:val="en-US"/>
              </w:rPr>
              <w:t xml:space="preserve">Na₂SO₄·10H₂O </w:t>
            </w:r>
          </w:p>
        </w:tc>
        <w:tc>
          <w:tcPr>
            <w:tcW w:w="1414" w:type="dxa"/>
          </w:tcPr>
          <w:p w14:paraId="76A23376" w14:textId="77777777" w:rsidR="00813561" w:rsidRPr="00813561" w:rsidRDefault="00813561" w:rsidP="00813561">
            <w:pPr>
              <w:rPr>
                <w:sz w:val="22"/>
                <w:lang w:val="en-US"/>
              </w:rPr>
            </w:pPr>
            <w:r w:rsidRPr="00813561">
              <w:rPr>
                <w:sz w:val="22"/>
                <w:lang w:val="en-US"/>
              </w:rPr>
              <w:t>32</w:t>
            </w:r>
          </w:p>
        </w:tc>
        <w:tc>
          <w:tcPr>
            <w:tcW w:w="1418" w:type="dxa"/>
          </w:tcPr>
          <w:p w14:paraId="479D341F" w14:textId="77777777" w:rsidR="00813561" w:rsidRPr="00813561" w:rsidRDefault="00813561" w:rsidP="00813561">
            <w:pPr>
              <w:rPr>
                <w:sz w:val="22"/>
                <w:lang w:val="en-US"/>
              </w:rPr>
            </w:pPr>
            <w:r w:rsidRPr="00813561">
              <w:rPr>
                <w:sz w:val="22"/>
                <w:lang w:val="en-US"/>
              </w:rPr>
              <w:t>254</w:t>
            </w:r>
          </w:p>
        </w:tc>
        <w:tc>
          <w:tcPr>
            <w:tcW w:w="1588" w:type="dxa"/>
          </w:tcPr>
          <w:p w14:paraId="74E565A5" w14:textId="77777777" w:rsidR="00813561" w:rsidRPr="00813561" w:rsidRDefault="00813561" w:rsidP="00813561">
            <w:pPr>
              <w:rPr>
                <w:sz w:val="22"/>
                <w:lang w:val="en-US"/>
              </w:rPr>
            </w:pPr>
            <w:r w:rsidRPr="00813561">
              <w:rPr>
                <w:sz w:val="22"/>
                <w:lang w:val="en-US"/>
              </w:rPr>
              <w:t>2.01[l], 2.25[s]</w:t>
            </w:r>
          </w:p>
        </w:tc>
        <w:tc>
          <w:tcPr>
            <w:tcW w:w="1589" w:type="dxa"/>
          </w:tcPr>
          <w:p w14:paraId="1F7969B9" w14:textId="77777777" w:rsidR="00813561" w:rsidRPr="00813561" w:rsidRDefault="00813561" w:rsidP="00813561">
            <w:pPr>
              <w:rPr>
                <w:sz w:val="22"/>
                <w:lang w:val="en-US"/>
              </w:rPr>
            </w:pPr>
            <w:r w:rsidRPr="00813561">
              <w:rPr>
                <w:sz w:val="22"/>
                <w:lang w:val="en-US"/>
              </w:rPr>
              <w:t>0.15[l], 0.3[s]</w:t>
            </w:r>
          </w:p>
        </w:tc>
        <w:tc>
          <w:tcPr>
            <w:tcW w:w="1082" w:type="dxa"/>
          </w:tcPr>
          <w:p w14:paraId="0FD99E93" w14:textId="77777777" w:rsidR="00813561" w:rsidRPr="00813561" w:rsidRDefault="00813561" w:rsidP="00813561">
            <w:pPr>
              <w:rPr>
                <w:sz w:val="22"/>
                <w:lang w:val="en-US"/>
              </w:rPr>
            </w:pPr>
            <w:r w:rsidRPr="00813561">
              <w:rPr>
                <w:sz w:val="22"/>
                <w:lang w:val="en-US"/>
              </w:rPr>
              <w:t>1450</w:t>
            </w:r>
          </w:p>
        </w:tc>
      </w:tr>
      <w:tr w:rsidR="00813561" w:rsidRPr="00813561" w14:paraId="2E0C70B6" w14:textId="77777777" w:rsidTr="1DCE42CA">
        <w:tc>
          <w:tcPr>
            <w:tcW w:w="1988" w:type="dxa"/>
          </w:tcPr>
          <w:p w14:paraId="1C164779" w14:textId="77777777" w:rsidR="00813561" w:rsidRPr="00813561" w:rsidRDefault="00813561" w:rsidP="00813561">
            <w:pPr>
              <w:rPr>
                <w:sz w:val="22"/>
                <w:lang w:val="en-US"/>
              </w:rPr>
            </w:pPr>
            <w:r w:rsidRPr="00813561">
              <w:rPr>
                <w:sz w:val="22"/>
                <w:lang w:val="en-US"/>
              </w:rPr>
              <w:t xml:space="preserve">MgCl₂·6H₂O </w:t>
            </w:r>
          </w:p>
        </w:tc>
        <w:tc>
          <w:tcPr>
            <w:tcW w:w="1414" w:type="dxa"/>
          </w:tcPr>
          <w:p w14:paraId="1DC0AEE5" w14:textId="77777777" w:rsidR="00813561" w:rsidRPr="00813561" w:rsidRDefault="00813561" w:rsidP="00813561">
            <w:pPr>
              <w:rPr>
                <w:sz w:val="22"/>
                <w:lang w:val="en-US"/>
              </w:rPr>
            </w:pPr>
            <w:r w:rsidRPr="00813561">
              <w:rPr>
                <w:sz w:val="22"/>
                <w:lang w:val="en-US"/>
              </w:rPr>
              <w:t>117</w:t>
            </w:r>
          </w:p>
        </w:tc>
        <w:tc>
          <w:tcPr>
            <w:tcW w:w="1418" w:type="dxa"/>
          </w:tcPr>
          <w:p w14:paraId="04025B0A" w14:textId="77777777" w:rsidR="00813561" w:rsidRPr="00813561" w:rsidRDefault="00813561" w:rsidP="00813561">
            <w:pPr>
              <w:rPr>
                <w:sz w:val="22"/>
                <w:lang w:val="en-US"/>
              </w:rPr>
            </w:pPr>
            <w:r w:rsidRPr="00813561">
              <w:rPr>
                <w:sz w:val="22"/>
                <w:lang w:val="en-US"/>
              </w:rPr>
              <w:t>167</w:t>
            </w:r>
          </w:p>
        </w:tc>
        <w:tc>
          <w:tcPr>
            <w:tcW w:w="1588" w:type="dxa"/>
          </w:tcPr>
          <w:p w14:paraId="696B4BEC" w14:textId="77777777" w:rsidR="00813561" w:rsidRPr="00813561" w:rsidRDefault="00813561" w:rsidP="00813561">
            <w:pPr>
              <w:rPr>
                <w:sz w:val="22"/>
                <w:lang w:val="en-US"/>
              </w:rPr>
            </w:pPr>
            <w:r w:rsidRPr="00813561">
              <w:rPr>
                <w:sz w:val="22"/>
                <w:lang w:val="en-US"/>
              </w:rPr>
              <w:t>2.61[l], 2.25[s]</w:t>
            </w:r>
          </w:p>
        </w:tc>
        <w:tc>
          <w:tcPr>
            <w:tcW w:w="1589" w:type="dxa"/>
          </w:tcPr>
          <w:p w14:paraId="544C8CE7" w14:textId="77777777" w:rsidR="00813561" w:rsidRPr="00813561" w:rsidRDefault="00813561" w:rsidP="00813561">
            <w:pPr>
              <w:rPr>
                <w:sz w:val="22"/>
                <w:lang w:val="en-US"/>
              </w:rPr>
            </w:pPr>
            <w:r w:rsidRPr="00813561">
              <w:rPr>
                <w:sz w:val="22"/>
                <w:lang w:val="en-US"/>
              </w:rPr>
              <w:t>0.57[l], 0.69[s]</w:t>
            </w:r>
          </w:p>
        </w:tc>
        <w:tc>
          <w:tcPr>
            <w:tcW w:w="1082" w:type="dxa"/>
          </w:tcPr>
          <w:p w14:paraId="17C6508A" w14:textId="77777777" w:rsidR="00813561" w:rsidRPr="00813561" w:rsidRDefault="00813561" w:rsidP="00813561">
            <w:pPr>
              <w:rPr>
                <w:sz w:val="22"/>
                <w:lang w:val="en-US"/>
              </w:rPr>
            </w:pPr>
            <w:r w:rsidRPr="00813561">
              <w:rPr>
                <w:sz w:val="22"/>
                <w:lang w:val="en-US"/>
              </w:rPr>
              <w:t>1560</w:t>
            </w:r>
          </w:p>
        </w:tc>
      </w:tr>
      <w:tr w:rsidR="00813561" w:rsidRPr="00813561" w14:paraId="3D488820" w14:textId="77777777" w:rsidTr="1DCE42CA">
        <w:tc>
          <w:tcPr>
            <w:tcW w:w="1988" w:type="dxa"/>
          </w:tcPr>
          <w:p w14:paraId="2E4CC0E6" w14:textId="77777777" w:rsidR="00813561" w:rsidRPr="00813561" w:rsidRDefault="00813561" w:rsidP="00813561">
            <w:pPr>
              <w:rPr>
                <w:sz w:val="22"/>
                <w:lang w:val="en-US"/>
              </w:rPr>
            </w:pPr>
            <w:r w:rsidRPr="00813561">
              <w:rPr>
                <w:sz w:val="22"/>
                <w:lang w:val="en-US"/>
              </w:rPr>
              <w:t xml:space="preserve">Na₂HPO₄·12H₂O </w:t>
            </w:r>
          </w:p>
        </w:tc>
        <w:tc>
          <w:tcPr>
            <w:tcW w:w="1414" w:type="dxa"/>
          </w:tcPr>
          <w:p w14:paraId="5190F5AB" w14:textId="77777777" w:rsidR="00813561" w:rsidRPr="00813561" w:rsidRDefault="00813561" w:rsidP="00813561">
            <w:pPr>
              <w:rPr>
                <w:sz w:val="22"/>
                <w:lang w:val="en-US"/>
              </w:rPr>
            </w:pPr>
            <w:r w:rsidRPr="00813561">
              <w:rPr>
                <w:sz w:val="22"/>
                <w:lang w:val="en-US"/>
              </w:rPr>
              <w:t>35-45</w:t>
            </w:r>
          </w:p>
        </w:tc>
        <w:tc>
          <w:tcPr>
            <w:tcW w:w="1418" w:type="dxa"/>
          </w:tcPr>
          <w:p w14:paraId="412D9137" w14:textId="77777777" w:rsidR="00813561" w:rsidRPr="00813561" w:rsidRDefault="00813561" w:rsidP="00813561">
            <w:pPr>
              <w:rPr>
                <w:sz w:val="22"/>
                <w:lang w:val="en-US"/>
              </w:rPr>
            </w:pPr>
            <w:r w:rsidRPr="00813561">
              <w:rPr>
                <w:sz w:val="22"/>
                <w:lang w:val="en-US"/>
              </w:rPr>
              <w:t>279.6</w:t>
            </w:r>
          </w:p>
        </w:tc>
        <w:tc>
          <w:tcPr>
            <w:tcW w:w="1588" w:type="dxa"/>
          </w:tcPr>
          <w:p w14:paraId="0C28BAA2" w14:textId="77777777" w:rsidR="00813561" w:rsidRPr="00813561" w:rsidRDefault="00813561" w:rsidP="00813561">
            <w:pPr>
              <w:rPr>
                <w:sz w:val="22"/>
                <w:lang w:val="en-US"/>
              </w:rPr>
            </w:pPr>
            <w:r w:rsidRPr="00813561">
              <w:rPr>
                <w:sz w:val="22"/>
                <w:lang w:val="en-US"/>
              </w:rPr>
              <w:t>-</w:t>
            </w:r>
          </w:p>
        </w:tc>
        <w:tc>
          <w:tcPr>
            <w:tcW w:w="1589" w:type="dxa"/>
          </w:tcPr>
          <w:p w14:paraId="118C8F8D" w14:textId="77777777" w:rsidR="00813561" w:rsidRPr="00813561" w:rsidRDefault="00813561" w:rsidP="00813561">
            <w:pPr>
              <w:rPr>
                <w:sz w:val="22"/>
                <w:lang w:val="en-US"/>
              </w:rPr>
            </w:pPr>
            <w:r w:rsidRPr="00813561">
              <w:rPr>
                <w:sz w:val="22"/>
                <w:lang w:val="en-US"/>
              </w:rPr>
              <w:t>-</w:t>
            </w:r>
          </w:p>
        </w:tc>
        <w:tc>
          <w:tcPr>
            <w:tcW w:w="1082" w:type="dxa"/>
          </w:tcPr>
          <w:p w14:paraId="586BDEA0" w14:textId="77777777" w:rsidR="00813561" w:rsidRPr="00813561" w:rsidRDefault="00813561" w:rsidP="00813561">
            <w:pPr>
              <w:rPr>
                <w:sz w:val="22"/>
                <w:lang w:val="en-US"/>
              </w:rPr>
            </w:pPr>
            <w:r w:rsidRPr="00813561">
              <w:rPr>
                <w:sz w:val="22"/>
                <w:lang w:val="en-US"/>
              </w:rPr>
              <w:t>1520</w:t>
            </w:r>
          </w:p>
        </w:tc>
      </w:tr>
      <w:tr w:rsidR="00813561" w:rsidRPr="00813561" w14:paraId="33981223" w14:textId="77777777" w:rsidTr="1DCE42CA">
        <w:tc>
          <w:tcPr>
            <w:tcW w:w="1988" w:type="dxa"/>
          </w:tcPr>
          <w:p w14:paraId="229B11F6" w14:textId="77777777" w:rsidR="00813561" w:rsidRPr="00813561" w:rsidRDefault="00813561" w:rsidP="00813561">
            <w:pPr>
              <w:rPr>
                <w:sz w:val="22"/>
                <w:lang w:val="en-US"/>
              </w:rPr>
            </w:pPr>
            <w:r w:rsidRPr="00813561">
              <w:rPr>
                <w:sz w:val="22"/>
                <w:lang w:val="en-US"/>
              </w:rPr>
              <w:t xml:space="preserve">Mn(NO₃)₂·6H₂O </w:t>
            </w:r>
          </w:p>
        </w:tc>
        <w:tc>
          <w:tcPr>
            <w:tcW w:w="1414" w:type="dxa"/>
          </w:tcPr>
          <w:p w14:paraId="320CD825" w14:textId="77777777" w:rsidR="00813561" w:rsidRPr="00813561" w:rsidRDefault="00813561" w:rsidP="00813561">
            <w:pPr>
              <w:rPr>
                <w:sz w:val="22"/>
                <w:lang w:val="en-US"/>
              </w:rPr>
            </w:pPr>
            <w:r w:rsidRPr="00813561">
              <w:rPr>
                <w:sz w:val="22"/>
                <w:lang w:val="en-US"/>
              </w:rPr>
              <w:t>89.3-89.9</w:t>
            </w:r>
          </w:p>
        </w:tc>
        <w:tc>
          <w:tcPr>
            <w:tcW w:w="1418" w:type="dxa"/>
          </w:tcPr>
          <w:p w14:paraId="31CCCBC0" w14:textId="77777777" w:rsidR="00813561" w:rsidRPr="00813561" w:rsidRDefault="00813561" w:rsidP="00813561">
            <w:pPr>
              <w:rPr>
                <w:sz w:val="22"/>
                <w:lang w:val="en-US"/>
              </w:rPr>
            </w:pPr>
            <w:r w:rsidRPr="00813561">
              <w:rPr>
                <w:sz w:val="22"/>
                <w:lang w:val="en-US"/>
              </w:rPr>
              <w:t>167-175</w:t>
            </w:r>
          </w:p>
        </w:tc>
        <w:tc>
          <w:tcPr>
            <w:tcW w:w="1588" w:type="dxa"/>
          </w:tcPr>
          <w:p w14:paraId="18B14318" w14:textId="77777777" w:rsidR="00813561" w:rsidRPr="00813561" w:rsidRDefault="00813561" w:rsidP="00813561">
            <w:pPr>
              <w:rPr>
                <w:sz w:val="22"/>
                <w:lang w:val="en-US"/>
              </w:rPr>
            </w:pPr>
            <w:r w:rsidRPr="00813561">
              <w:rPr>
                <w:sz w:val="22"/>
                <w:lang w:val="en-US"/>
              </w:rPr>
              <w:t>-</w:t>
            </w:r>
          </w:p>
        </w:tc>
        <w:tc>
          <w:tcPr>
            <w:tcW w:w="1589" w:type="dxa"/>
          </w:tcPr>
          <w:p w14:paraId="6367A7FD" w14:textId="77777777" w:rsidR="00813561" w:rsidRPr="00813561" w:rsidRDefault="00813561" w:rsidP="00813561">
            <w:pPr>
              <w:rPr>
                <w:sz w:val="22"/>
                <w:lang w:val="en-US"/>
              </w:rPr>
            </w:pPr>
            <w:r w:rsidRPr="00813561">
              <w:rPr>
                <w:sz w:val="22"/>
                <w:lang w:val="en-US"/>
              </w:rPr>
              <w:t>0.57 [120 °C]</w:t>
            </w:r>
          </w:p>
        </w:tc>
        <w:tc>
          <w:tcPr>
            <w:tcW w:w="1082" w:type="dxa"/>
          </w:tcPr>
          <w:p w14:paraId="1AA47E90" w14:textId="77777777" w:rsidR="00813561" w:rsidRPr="00813561" w:rsidRDefault="00813561" w:rsidP="00813561">
            <w:pPr>
              <w:rPr>
                <w:sz w:val="22"/>
                <w:lang w:val="en-US"/>
              </w:rPr>
            </w:pPr>
            <w:r w:rsidRPr="00813561">
              <w:rPr>
                <w:sz w:val="22"/>
                <w:lang w:val="en-US"/>
              </w:rPr>
              <w:t>-</w:t>
            </w:r>
          </w:p>
        </w:tc>
      </w:tr>
      <w:tr w:rsidR="00813561" w:rsidRPr="00813561" w14:paraId="48DB89C1" w14:textId="77777777" w:rsidTr="1DCE42CA">
        <w:tc>
          <w:tcPr>
            <w:tcW w:w="1988" w:type="dxa"/>
          </w:tcPr>
          <w:p w14:paraId="6BFC888D" w14:textId="77777777" w:rsidR="00813561" w:rsidRPr="00813561" w:rsidRDefault="00813561" w:rsidP="00813561">
            <w:pPr>
              <w:rPr>
                <w:sz w:val="22"/>
                <w:lang w:val="en-US"/>
              </w:rPr>
            </w:pPr>
            <w:r w:rsidRPr="00813561">
              <w:rPr>
                <w:sz w:val="22"/>
                <w:lang w:val="en-US"/>
              </w:rPr>
              <w:lastRenderedPageBreak/>
              <w:t xml:space="preserve">K·4H₂O </w:t>
            </w:r>
          </w:p>
        </w:tc>
        <w:tc>
          <w:tcPr>
            <w:tcW w:w="1414" w:type="dxa"/>
          </w:tcPr>
          <w:p w14:paraId="520F8022" w14:textId="77777777" w:rsidR="00813561" w:rsidRPr="00813561" w:rsidRDefault="00813561" w:rsidP="00813561">
            <w:pPr>
              <w:rPr>
                <w:sz w:val="22"/>
                <w:lang w:val="en-US"/>
              </w:rPr>
            </w:pPr>
            <w:r w:rsidRPr="00813561">
              <w:rPr>
                <w:sz w:val="22"/>
                <w:lang w:val="en-US"/>
              </w:rPr>
              <w:t>18.5</w:t>
            </w:r>
          </w:p>
        </w:tc>
        <w:tc>
          <w:tcPr>
            <w:tcW w:w="1418" w:type="dxa"/>
          </w:tcPr>
          <w:p w14:paraId="37B37C62" w14:textId="77777777" w:rsidR="00813561" w:rsidRPr="00813561" w:rsidRDefault="00813561" w:rsidP="00813561">
            <w:pPr>
              <w:rPr>
                <w:sz w:val="22"/>
                <w:lang w:val="en-US"/>
              </w:rPr>
            </w:pPr>
            <w:r w:rsidRPr="00813561">
              <w:rPr>
                <w:sz w:val="22"/>
                <w:lang w:val="en-US"/>
              </w:rPr>
              <w:t>-</w:t>
            </w:r>
          </w:p>
        </w:tc>
        <w:tc>
          <w:tcPr>
            <w:tcW w:w="1588" w:type="dxa"/>
          </w:tcPr>
          <w:p w14:paraId="7BB781E2" w14:textId="0C32FF9A" w:rsidR="00813561" w:rsidRPr="00813561" w:rsidRDefault="00813561" w:rsidP="00813561">
            <w:pPr>
              <w:rPr>
                <w:sz w:val="22"/>
                <w:lang w:val="en-US"/>
              </w:rPr>
            </w:pPr>
            <w:r w:rsidRPr="00813561">
              <w:rPr>
                <w:sz w:val="22"/>
                <w:lang w:val="en-US"/>
              </w:rPr>
              <w:t>1.84[s], 2.39 [l]</w:t>
            </w:r>
          </w:p>
        </w:tc>
        <w:tc>
          <w:tcPr>
            <w:tcW w:w="1589" w:type="dxa"/>
          </w:tcPr>
          <w:p w14:paraId="49FEA37A" w14:textId="77777777" w:rsidR="00813561" w:rsidRPr="00813561" w:rsidRDefault="00813561" w:rsidP="00813561">
            <w:pPr>
              <w:rPr>
                <w:sz w:val="22"/>
                <w:lang w:val="en-US"/>
              </w:rPr>
            </w:pPr>
            <w:r w:rsidRPr="00813561">
              <w:rPr>
                <w:sz w:val="22"/>
                <w:lang w:val="en-US"/>
              </w:rPr>
              <w:t>-</w:t>
            </w:r>
          </w:p>
        </w:tc>
        <w:tc>
          <w:tcPr>
            <w:tcW w:w="1082" w:type="dxa"/>
          </w:tcPr>
          <w:p w14:paraId="48D25A35" w14:textId="77777777" w:rsidR="00813561" w:rsidRPr="00813561" w:rsidRDefault="00813561" w:rsidP="00813561">
            <w:pPr>
              <w:rPr>
                <w:sz w:val="22"/>
                <w:lang w:val="en-US"/>
              </w:rPr>
            </w:pPr>
            <w:r w:rsidRPr="00813561">
              <w:rPr>
                <w:sz w:val="22"/>
                <w:lang w:val="en-US"/>
              </w:rPr>
              <w:t>870</w:t>
            </w:r>
          </w:p>
        </w:tc>
      </w:tr>
      <w:tr w:rsidR="00813561" w:rsidRPr="00813561" w14:paraId="00E50062" w14:textId="77777777" w:rsidTr="1DCE42CA">
        <w:tc>
          <w:tcPr>
            <w:tcW w:w="9079" w:type="dxa"/>
            <w:gridSpan w:val="6"/>
          </w:tcPr>
          <w:p w14:paraId="7D1099B0" w14:textId="019852A0" w:rsidR="00813561" w:rsidRPr="00813561" w:rsidRDefault="00813561" w:rsidP="00813561">
            <w:pPr>
              <w:rPr>
                <w:sz w:val="22"/>
                <w:lang w:val="en-US"/>
              </w:rPr>
            </w:pPr>
            <w:r w:rsidRPr="00813561">
              <w:rPr>
                <w:b/>
                <w:bCs/>
                <w:sz w:val="22"/>
                <w:lang w:val="en-US"/>
              </w:rPr>
              <w:t>Eutectic PCM</w:t>
            </w:r>
          </w:p>
        </w:tc>
      </w:tr>
      <w:tr w:rsidR="00813561" w:rsidRPr="00813561" w14:paraId="5D66E6AC" w14:textId="77777777" w:rsidTr="1DCE42CA">
        <w:tc>
          <w:tcPr>
            <w:tcW w:w="1988" w:type="dxa"/>
          </w:tcPr>
          <w:p w14:paraId="6C4C646C" w14:textId="77777777" w:rsidR="00813561" w:rsidRPr="00813561" w:rsidRDefault="00813561" w:rsidP="00813561">
            <w:pPr>
              <w:rPr>
                <w:sz w:val="22"/>
                <w:lang w:val="en-US"/>
              </w:rPr>
            </w:pPr>
            <w:r w:rsidRPr="00813561">
              <w:rPr>
                <w:sz w:val="22"/>
                <w:lang w:val="en-US"/>
              </w:rPr>
              <w:t xml:space="preserve">Palmitic acid+stearic acid </w:t>
            </w:r>
          </w:p>
        </w:tc>
        <w:tc>
          <w:tcPr>
            <w:tcW w:w="1414" w:type="dxa"/>
          </w:tcPr>
          <w:p w14:paraId="49B5859C" w14:textId="77777777" w:rsidR="00813561" w:rsidRPr="00813561" w:rsidRDefault="00813561" w:rsidP="00813561">
            <w:pPr>
              <w:rPr>
                <w:sz w:val="22"/>
                <w:lang w:val="en-US"/>
              </w:rPr>
            </w:pPr>
            <w:r w:rsidRPr="00813561">
              <w:rPr>
                <w:sz w:val="22"/>
                <w:lang w:val="en-US"/>
              </w:rPr>
              <w:t>53</w:t>
            </w:r>
          </w:p>
        </w:tc>
        <w:tc>
          <w:tcPr>
            <w:tcW w:w="1418" w:type="dxa"/>
          </w:tcPr>
          <w:p w14:paraId="53D39926" w14:textId="77777777" w:rsidR="00813561" w:rsidRPr="00813561" w:rsidRDefault="00813561" w:rsidP="00813561">
            <w:pPr>
              <w:rPr>
                <w:sz w:val="22"/>
                <w:lang w:val="en-US"/>
              </w:rPr>
            </w:pPr>
            <w:r w:rsidRPr="00813561">
              <w:rPr>
                <w:sz w:val="22"/>
                <w:lang w:val="en-US"/>
              </w:rPr>
              <w:t>-</w:t>
            </w:r>
          </w:p>
        </w:tc>
        <w:tc>
          <w:tcPr>
            <w:tcW w:w="1588" w:type="dxa"/>
          </w:tcPr>
          <w:p w14:paraId="77A71AB9" w14:textId="77777777" w:rsidR="00813561" w:rsidRPr="00813561" w:rsidRDefault="00813561" w:rsidP="00813561">
            <w:pPr>
              <w:rPr>
                <w:sz w:val="22"/>
                <w:lang w:val="en-US"/>
              </w:rPr>
            </w:pPr>
            <w:r w:rsidRPr="00813561">
              <w:rPr>
                <w:sz w:val="22"/>
                <w:lang w:val="en-US"/>
              </w:rPr>
              <w:t>-</w:t>
            </w:r>
          </w:p>
        </w:tc>
        <w:tc>
          <w:tcPr>
            <w:tcW w:w="1589" w:type="dxa"/>
          </w:tcPr>
          <w:p w14:paraId="60B915D4" w14:textId="77777777" w:rsidR="00813561" w:rsidRPr="00813561" w:rsidRDefault="00813561" w:rsidP="00813561">
            <w:pPr>
              <w:rPr>
                <w:sz w:val="22"/>
                <w:lang w:val="en-US"/>
              </w:rPr>
            </w:pPr>
            <w:r w:rsidRPr="00813561">
              <w:rPr>
                <w:sz w:val="22"/>
                <w:lang w:val="en-US"/>
              </w:rPr>
              <w:t>-</w:t>
            </w:r>
          </w:p>
        </w:tc>
        <w:tc>
          <w:tcPr>
            <w:tcW w:w="1082" w:type="dxa"/>
          </w:tcPr>
          <w:p w14:paraId="37875223" w14:textId="77777777" w:rsidR="00813561" w:rsidRPr="00813561" w:rsidRDefault="00813561" w:rsidP="00813561">
            <w:pPr>
              <w:rPr>
                <w:sz w:val="22"/>
                <w:lang w:val="en-US"/>
              </w:rPr>
            </w:pPr>
            <w:r w:rsidRPr="00813561">
              <w:rPr>
                <w:sz w:val="22"/>
                <w:lang w:val="en-US"/>
              </w:rPr>
              <w:t>-</w:t>
            </w:r>
          </w:p>
        </w:tc>
      </w:tr>
      <w:tr w:rsidR="00813561" w:rsidRPr="00813561" w14:paraId="68A8BBD3" w14:textId="77777777" w:rsidTr="1DCE42CA">
        <w:tc>
          <w:tcPr>
            <w:tcW w:w="1988" w:type="dxa"/>
          </w:tcPr>
          <w:p w14:paraId="4FAC4C25" w14:textId="77500DD2" w:rsidR="00813561" w:rsidRPr="00813561" w:rsidRDefault="00813561" w:rsidP="00813561">
            <w:pPr>
              <w:rPr>
                <w:sz w:val="22"/>
                <w:lang w:val="en-US"/>
              </w:rPr>
            </w:pPr>
            <w:r w:rsidRPr="00813561">
              <w:rPr>
                <w:sz w:val="22"/>
                <w:lang w:val="en-US"/>
              </w:rPr>
              <w:t xml:space="preserve">Lauric acid </w:t>
            </w:r>
          </w:p>
        </w:tc>
        <w:tc>
          <w:tcPr>
            <w:tcW w:w="1414" w:type="dxa"/>
          </w:tcPr>
          <w:p w14:paraId="1FF2045B" w14:textId="77777777" w:rsidR="00813561" w:rsidRPr="00813561" w:rsidRDefault="00813561" w:rsidP="00813561">
            <w:pPr>
              <w:rPr>
                <w:sz w:val="22"/>
                <w:lang w:val="en-US"/>
              </w:rPr>
            </w:pPr>
            <w:r w:rsidRPr="00813561">
              <w:rPr>
                <w:sz w:val="22"/>
                <w:lang w:val="en-US"/>
              </w:rPr>
              <w:t>35</w:t>
            </w:r>
          </w:p>
        </w:tc>
        <w:tc>
          <w:tcPr>
            <w:tcW w:w="1418" w:type="dxa"/>
          </w:tcPr>
          <w:p w14:paraId="229DD387" w14:textId="77777777" w:rsidR="00813561" w:rsidRPr="00813561" w:rsidRDefault="00813561" w:rsidP="00813561">
            <w:pPr>
              <w:rPr>
                <w:sz w:val="22"/>
                <w:lang w:val="en-US"/>
              </w:rPr>
            </w:pPr>
            <w:r w:rsidRPr="00813561">
              <w:rPr>
                <w:sz w:val="22"/>
                <w:lang w:val="en-US"/>
              </w:rPr>
              <w:t>-</w:t>
            </w:r>
          </w:p>
        </w:tc>
        <w:tc>
          <w:tcPr>
            <w:tcW w:w="1588" w:type="dxa"/>
          </w:tcPr>
          <w:p w14:paraId="1BC8ABED" w14:textId="77777777" w:rsidR="00813561" w:rsidRPr="00813561" w:rsidRDefault="00813561" w:rsidP="00813561">
            <w:pPr>
              <w:rPr>
                <w:sz w:val="22"/>
                <w:lang w:val="en-US"/>
              </w:rPr>
            </w:pPr>
            <w:r w:rsidRPr="00813561">
              <w:rPr>
                <w:sz w:val="22"/>
                <w:lang w:val="en-US"/>
              </w:rPr>
              <w:t>-</w:t>
            </w:r>
          </w:p>
        </w:tc>
        <w:tc>
          <w:tcPr>
            <w:tcW w:w="1589" w:type="dxa"/>
          </w:tcPr>
          <w:p w14:paraId="7C785A51" w14:textId="77777777" w:rsidR="00813561" w:rsidRPr="00813561" w:rsidRDefault="00813561" w:rsidP="00813561">
            <w:pPr>
              <w:rPr>
                <w:sz w:val="22"/>
                <w:lang w:val="en-US"/>
              </w:rPr>
            </w:pPr>
            <w:r w:rsidRPr="00813561">
              <w:rPr>
                <w:sz w:val="22"/>
                <w:lang w:val="en-US"/>
              </w:rPr>
              <w:t>-</w:t>
            </w:r>
          </w:p>
        </w:tc>
        <w:tc>
          <w:tcPr>
            <w:tcW w:w="1082" w:type="dxa"/>
          </w:tcPr>
          <w:p w14:paraId="302DD09C" w14:textId="77777777" w:rsidR="00813561" w:rsidRPr="00813561" w:rsidRDefault="00813561" w:rsidP="00813561">
            <w:pPr>
              <w:rPr>
                <w:sz w:val="22"/>
                <w:lang w:val="en-US"/>
              </w:rPr>
            </w:pPr>
            <w:r w:rsidRPr="00813561">
              <w:rPr>
                <w:sz w:val="22"/>
                <w:lang w:val="en-US"/>
              </w:rPr>
              <w:t>-</w:t>
            </w:r>
          </w:p>
        </w:tc>
      </w:tr>
      <w:tr w:rsidR="00813561" w:rsidRPr="00813561" w14:paraId="4AC6D239" w14:textId="77777777" w:rsidTr="1DCE42CA">
        <w:tc>
          <w:tcPr>
            <w:tcW w:w="1988" w:type="dxa"/>
          </w:tcPr>
          <w:p w14:paraId="2C3A6E9C" w14:textId="77777777" w:rsidR="00813561" w:rsidRPr="00813561" w:rsidRDefault="00813561" w:rsidP="00813561">
            <w:pPr>
              <w:rPr>
                <w:sz w:val="22"/>
                <w:lang w:val="en-US"/>
              </w:rPr>
            </w:pPr>
            <w:r w:rsidRPr="00813561">
              <w:rPr>
                <w:sz w:val="22"/>
                <w:lang w:val="en-US"/>
              </w:rPr>
              <w:t>Capric lauric acid</w:t>
            </w:r>
          </w:p>
        </w:tc>
        <w:tc>
          <w:tcPr>
            <w:tcW w:w="1414" w:type="dxa"/>
          </w:tcPr>
          <w:p w14:paraId="58B23228" w14:textId="77777777" w:rsidR="00813561" w:rsidRPr="00813561" w:rsidRDefault="00813561" w:rsidP="00813561">
            <w:pPr>
              <w:rPr>
                <w:sz w:val="22"/>
                <w:lang w:val="en-US"/>
              </w:rPr>
            </w:pPr>
            <w:r w:rsidRPr="00813561">
              <w:rPr>
                <w:sz w:val="22"/>
                <w:lang w:val="en-US"/>
              </w:rPr>
              <w:t>18-39</w:t>
            </w:r>
          </w:p>
        </w:tc>
        <w:tc>
          <w:tcPr>
            <w:tcW w:w="1418" w:type="dxa"/>
          </w:tcPr>
          <w:p w14:paraId="473B206B" w14:textId="77777777" w:rsidR="00813561" w:rsidRPr="00813561" w:rsidRDefault="00813561" w:rsidP="00813561">
            <w:pPr>
              <w:rPr>
                <w:sz w:val="22"/>
                <w:lang w:val="en-US"/>
              </w:rPr>
            </w:pPr>
            <w:r w:rsidRPr="00813561">
              <w:rPr>
                <w:sz w:val="22"/>
                <w:lang w:val="en-US"/>
              </w:rPr>
              <w:t>-</w:t>
            </w:r>
          </w:p>
        </w:tc>
        <w:tc>
          <w:tcPr>
            <w:tcW w:w="1588" w:type="dxa"/>
          </w:tcPr>
          <w:p w14:paraId="42577453" w14:textId="77777777" w:rsidR="00813561" w:rsidRPr="00813561" w:rsidRDefault="00813561" w:rsidP="00813561">
            <w:pPr>
              <w:rPr>
                <w:sz w:val="22"/>
                <w:lang w:val="en-US"/>
              </w:rPr>
            </w:pPr>
            <w:r w:rsidRPr="00813561">
              <w:rPr>
                <w:sz w:val="22"/>
                <w:lang w:val="en-US"/>
              </w:rPr>
              <w:t>-</w:t>
            </w:r>
          </w:p>
        </w:tc>
        <w:tc>
          <w:tcPr>
            <w:tcW w:w="1589" w:type="dxa"/>
          </w:tcPr>
          <w:p w14:paraId="30166A9F" w14:textId="77777777" w:rsidR="00813561" w:rsidRPr="00813561" w:rsidRDefault="00813561" w:rsidP="00813561">
            <w:pPr>
              <w:rPr>
                <w:sz w:val="22"/>
                <w:lang w:val="en-US"/>
              </w:rPr>
            </w:pPr>
            <w:r w:rsidRPr="00813561">
              <w:rPr>
                <w:sz w:val="22"/>
                <w:lang w:val="en-US"/>
              </w:rPr>
              <w:t>-</w:t>
            </w:r>
          </w:p>
        </w:tc>
        <w:tc>
          <w:tcPr>
            <w:tcW w:w="1082" w:type="dxa"/>
          </w:tcPr>
          <w:p w14:paraId="670520C3" w14:textId="77777777" w:rsidR="00813561" w:rsidRPr="00813561" w:rsidRDefault="00813561" w:rsidP="00813561">
            <w:pPr>
              <w:rPr>
                <w:sz w:val="22"/>
                <w:lang w:val="en-US"/>
              </w:rPr>
            </w:pPr>
            <w:r w:rsidRPr="00813561">
              <w:rPr>
                <w:sz w:val="22"/>
                <w:lang w:val="en-US"/>
              </w:rPr>
              <w:t>-</w:t>
            </w:r>
          </w:p>
        </w:tc>
      </w:tr>
      <w:tr w:rsidR="00813561" w:rsidRPr="00813561" w14:paraId="7327FF4E" w14:textId="77777777" w:rsidTr="1DCE42CA">
        <w:tc>
          <w:tcPr>
            <w:tcW w:w="1988" w:type="dxa"/>
          </w:tcPr>
          <w:p w14:paraId="487BB870" w14:textId="77777777" w:rsidR="00813561" w:rsidRPr="00813561" w:rsidRDefault="00813561" w:rsidP="00813561">
            <w:pPr>
              <w:rPr>
                <w:sz w:val="22"/>
                <w:lang w:val="en-US"/>
              </w:rPr>
            </w:pPr>
            <w:r w:rsidRPr="00813561">
              <w:rPr>
                <w:sz w:val="22"/>
                <w:lang w:val="en-US"/>
              </w:rPr>
              <w:t xml:space="preserve">Paraffins </w:t>
            </w:r>
          </w:p>
        </w:tc>
        <w:tc>
          <w:tcPr>
            <w:tcW w:w="1414" w:type="dxa"/>
          </w:tcPr>
          <w:p w14:paraId="4D5F7176" w14:textId="77777777" w:rsidR="00813561" w:rsidRPr="00813561" w:rsidRDefault="00813561" w:rsidP="00813561">
            <w:pPr>
              <w:rPr>
                <w:sz w:val="22"/>
                <w:lang w:val="en-US"/>
              </w:rPr>
            </w:pPr>
            <w:r w:rsidRPr="00813561">
              <w:rPr>
                <w:sz w:val="22"/>
                <w:lang w:val="en-US"/>
              </w:rPr>
              <w:t>22.5</w:t>
            </w:r>
          </w:p>
        </w:tc>
        <w:tc>
          <w:tcPr>
            <w:tcW w:w="1418" w:type="dxa"/>
          </w:tcPr>
          <w:p w14:paraId="61908E5D" w14:textId="77777777" w:rsidR="00813561" w:rsidRPr="00813561" w:rsidRDefault="00813561" w:rsidP="00813561">
            <w:pPr>
              <w:rPr>
                <w:sz w:val="22"/>
                <w:lang w:val="en-US"/>
              </w:rPr>
            </w:pPr>
            <w:r w:rsidRPr="00813561">
              <w:rPr>
                <w:sz w:val="22"/>
                <w:lang w:val="en-US"/>
              </w:rPr>
              <w:t>173</w:t>
            </w:r>
          </w:p>
        </w:tc>
        <w:tc>
          <w:tcPr>
            <w:tcW w:w="1588" w:type="dxa"/>
          </w:tcPr>
          <w:p w14:paraId="01B25F1B" w14:textId="77777777" w:rsidR="00813561" w:rsidRPr="00813561" w:rsidRDefault="00813561" w:rsidP="00813561">
            <w:pPr>
              <w:rPr>
                <w:sz w:val="22"/>
                <w:lang w:val="en-US"/>
              </w:rPr>
            </w:pPr>
            <w:r w:rsidRPr="00813561">
              <w:rPr>
                <w:sz w:val="22"/>
                <w:lang w:val="en-US"/>
              </w:rPr>
              <w:t>2.0[s], 2.3[l]</w:t>
            </w:r>
          </w:p>
        </w:tc>
        <w:tc>
          <w:tcPr>
            <w:tcW w:w="1589" w:type="dxa"/>
          </w:tcPr>
          <w:p w14:paraId="32F72FB4" w14:textId="77777777" w:rsidR="00813561" w:rsidRPr="00813561" w:rsidRDefault="00813561" w:rsidP="00813561">
            <w:pPr>
              <w:rPr>
                <w:sz w:val="22"/>
                <w:lang w:val="en-US"/>
              </w:rPr>
            </w:pPr>
            <w:r w:rsidRPr="00813561">
              <w:rPr>
                <w:sz w:val="22"/>
                <w:lang w:val="en-US"/>
              </w:rPr>
              <w:t>0.14</w:t>
            </w:r>
          </w:p>
        </w:tc>
        <w:tc>
          <w:tcPr>
            <w:tcW w:w="1082" w:type="dxa"/>
          </w:tcPr>
          <w:p w14:paraId="4FEDDC44" w14:textId="77777777" w:rsidR="00813561" w:rsidRPr="00813561" w:rsidRDefault="00813561" w:rsidP="00813561">
            <w:pPr>
              <w:rPr>
                <w:sz w:val="22"/>
                <w:lang w:val="en-US"/>
              </w:rPr>
            </w:pPr>
            <w:r w:rsidRPr="00813561">
              <w:rPr>
                <w:sz w:val="22"/>
                <w:lang w:val="en-US"/>
              </w:rPr>
              <w:t>870[s], 790[l]</w:t>
            </w:r>
          </w:p>
        </w:tc>
      </w:tr>
      <w:tr w:rsidR="00813561" w:rsidRPr="00813561" w14:paraId="405C96B8" w14:textId="77777777" w:rsidTr="1DCE42CA">
        <w:tc>
          <w:tcPr>
            <w:tcW w:w="1988" w:type="dxa"/>
          </w:tcPr>
          <w:p w14:paraId="607A5509" w14:textId="77777777" w:rsidR="00813561" w:rsidRPr="00813561" w:rsidRDefault="00813561" w:rsidP="00813561">
            <w:pPr>
              <w:rPr>
                <w:sz w:val="22"/>
                <w:lang w:val="en-US"/>
              </w:rPr>
            </w:pPr>
            <w:r w:rsidRPr="00813561">
              <w:rPr>
                <w:sz w:val="22"/>
                <w:lang w:val="en-US"/>
              </w:rPr>
              <w:t>Capric acid-Palmitic acid</w:t>
            </w:r>
          </w:p>
        </w:tc>
        <w:tc>
          <w:tcPr>
            <w:tcW w:w="1414" w:type="dxa"/>
          </w:tcPr>
          <w:p w14:paraId="501D244B" w14:textId="77777777" w:rsidR="00813561" w:rsidRPr="00813561" w:rsidRDefault="00813561" w:rsidP="00813561">
            <w:pPr>
              <w:rPr>
                <w:sz w:val="22"/>
                <w:lang w:val="en-US"/>
              </w:rPr>
            </w:pPr>
            <w:r w:rsidRPr="00813561">
              <w:rPr>
                <w:sz w:val="22"/>
                <w:lang w:val="en-US"/>
              </w:rPr>
              <w:t>22.5</w:t>
            </w:r>
          </w:p>
        </w:tc>
        <w:tc>
          <w:tcPr>
            <w:tcW w:w="1418" w:type="dxa"/>
          </w:tcPr>
          <w:p w14:paraId="09062BEA" w14:textId="77777777" w:rsidR="00813561" w:rsidRPr="00813561" w:rsidRDefault="00813561" w:rsidP="00813561">
            <w:pPr>
              <w:rPr>
                <w:sz w:val="22"/>
                <w:lang w:val="en-US"/>
              </w:rPr>
            </w:pPr>
            <w:r w:rsidRPr="00813561">
              <w:rPr>
                <w:sz w:val="22"/>
                <w:lang w:val="en-US"/>
              </w:rPr>
              <w:t>-</w:t>
            </w:r>
          </w:p>
        </w:tc>
        <w:tc>
          <w:tcPr>
            <w:tcW w:w="1588" w:type="dxa"/>
          </w:tcPr>
          <w:p w14:paraId="4CCF5B3E" w14:textId="77777777" w:rsidR="00813561" w:rsidRPr="00813561" w:rsidRDefault="00813561" w:rsidP="00813561">
            <w:pPr>
              <w:rPr>
                <w:sz w:val="22"/>
                <w:lang w:val="en-US"/>
              </w:rPr>
            </w:pPr>
            <w:r w:rsidRPr="00813561">
              <w:rPr>
                <w:sz w:val="22"/>
                <w:lang w:val="en-US"/>
              </w:rPr>
              <w:t>-</w:t>
            </w:r>
          </w:p>
        </w:tc>
        <w:tc>
          <w:tcPr>
            <w:tcW w:w="1589" w:type="dxa"/>
          </w:tcPr>
          <w:p w14:paraId="49EC2BF2" w14:textId="77777777" w:rsidR="00813561" w:rsidRPr="00813561" w:rsidRDefault="00813561" w:rsidP="00813561">
            <w:pPr>
              <w:rPr>
                <w:sz w:val="22"/>
                <w:lang w:val="en-US"/>
              </w:rPr>
            </w:pPr>
            <w:r w:rsidRPr="00813561">
              <w:rPr>
                <w:sz w:val="22"/>
                <w:lang w:val="en-US"/>
              </w:rPr>
              <w:t>-</w:t>
            </w:r>
          </w:p>
        </w:tc>
        <w:tc>
          <w:tcPr>
            <w:tcW w:w="1082" w:type="dxa"/>
          </w:tcPr>
          <w:p w14:paraId="045EB544" w14:textId="77777777" w:rsidR="00813561" w:rsidRPr="00813561" w:rsidRDefault="00813561" w:rsidP="00813561">
            <w:pPr>
              <w:keepNext/>
              <w:rPr>
                <w:sz w:val="22"/>
                <w:lang w:val="en-US"/>
              </w:rPr>
            </w:pPr>
            <w:r w:rsidRPr="00813561">
              <w:rPr>
                <w:sz w:val="22"/>
                <w:lang w:val="en-US"/>
              </w:rPr>
              <w:t>-</w:t>
            </w:r>
          </w:p>
        </w:tc>
      </w:tr>
    </w:tbl>
    <w:p w14:paraId="46725C8B" w14:textId="63B92B3E" w:rsidR="00813561" w:rsidRDefault="00813561" w:rsidP="00813561">
      <w:pPr>
        <w:pStyle w:val="Caption"/>
      </w:pPr>
      <w:bookmarkStart w:id="14" w:name="_Toc214362608"/>
      <w:r>
        <w:t xml:space="preserve">Table </w:t>
      </w:r>
      <w:r w:rsidR="00F43E9A">
        <w:fldChar w:fldCharType="begin"/>
      </w:r>
      <w:r w:rsidR="00F43E9A">
        <w:instrText xml:space="preserve"> STYLEREF 1 \s </w:instrText>
      </w:r>
      <w:r w:rsidR="00F43E9A">
        <w:fldChar w:fldCharType="separate"/>
      </w:r>
      <w:r w:rsidR="000412CE">
        <w:rPr>
          <w:noProof/>
        </w:rPr>
        <w:t>1</w:t>
      </w:r>
      <w:r w:rsidR="00F43E9A">
        <w:fldChar w:fldCharType="end"/>
      </w:r>
      <w:r w:rsidR="00F43E9A">
        <w:t>.</w:t>
      </w:r>
      <w:r w:rsidR="00F43E9A">
        <w:fldChar w:fldCharType="begin"/>
      </w:r>
      <w:r w:rsidR="00F43E9A">
        <w:instrText xml:space="preserve"> SEQ Table \* ARABIC \s 1 </w:instrText>
      </w:r>
      <w:r w:rsidR="00F43E9A">
        <w:fldChar w:fldCharType="separate"/>
      </w:r>
      <w:r w:rsidR="000412CE">
        <w:rPr>
          <w:noProof/>
        </w:rPr>
        <w:t>3</w:t>
      </w:r>
      <w:r w:rsidR="00F43E9A">
        <w:fldChar w:fldCharType="end"/>
      </w:r>
      <w:r w:rsidR="005A414B">
        <w:t>.</w:t>
      </w:r>
      <w:r>
        <w:t xml:space="preserve"> </w:t>
      </w:r>
      <w:r w:rsidRPr="00F25DCB">
        <w:t>Key thermophysical properties of common PCMs, grouped into organic, inorganic</w:t>
      </w:r>
      <w:r w:rsidR="00D02B65">
        <w:t>,</w:t>
      </w:r>
      <w:r w:rsidRPr="00F25DCB">
        <w:t xml:space="preserve"> and eutectic.</w:t>
      </w:r>
      <w:bookmarkEnd w:id="14"/>
    </w:p>
    <w:p w14:paraId="6023F11A" w14:textId="2696D415" w:rsidR="00813561" w:rsidRDefault="00C9472C" w:rsidP="00C9472C">
      <w:pPr>
        <w:pStyle w:val="Heading3"/>
        <w:rPr>
          <w:lang w:val="en-US"/>
        </w:rPr>
      </w:pPr>
      <w:bookmarkStart w:id="15" w:name="_Toc214356270"/>
      <w:r w:rsidRPr="00C9472C">
        <w:rPr>
          <w:lang w:val="en-US"/>
        </w:rPr>
        <w:t xml:space="preserve">Solid-Solid </w:t>
      </w:r>
      <w:r w:rsidR="00784D2D">
        <w:rPr>
          <w:lang w:val="en-US"/>
        </w:rPr>
        <w:t>PCM</w:t>
      </w:r>
      <w:r w:rsidRPr="00C9472C">
        <w:rPr>
          <w:lang w:val="en-US"/>
        </w:rPr>
        <w:t>s</w:t>
      </w:r>
      <w:bookmarkEnd w:id="15"/>
    </w:p>
    <w:p w14:paraId="4C0FCF2B" w14:textId="3A37C2FF" w:rsidR="00C9472C" w:rsidRPr="00C9472C" w:rsidRDefault="00C9472C" w:rsidP="00C9472C">
      <w:pPr>
        <w:rPr>
          <w:rFonts w:cs="Times New Roman"/>
          <w:lang w:val="en-US"/>
        </w:rPr>
      </w:pPr>
      <w:r>
        <w:rPr>
          <w:noProof/>
        </w:rPr>
        <mc:AlternateContent>
          <mc:Choice Requires="wps">
            <w:drawing>
              <wp:anchor distT="0" distB="0" distL="114300" distR="114300" simplePos="0" relativeHeight="251661312" behindDoc="0" locked="0" layoutInCell="1" allowOverlap="1" wp14:anchorId="51CB13BF" wp14:editId="44D2F467">
                <wp:simplePos x="0" y="0"/>
                <wp:positionH relativeFrom="column">
                  <wp:posOffset>2940050</wp:posOffset>
                </wp:positionH>
                <wp:positionV relativeFrom="paragraph">
                  <wp:posOffset>1363980</wp:posOffset>
                </wp:positionV>
                <wp:extent cx="2796540" cy="635"/>
                <wp:effectExtent l="0" t="0" r="0" b="0"/>
                <wp:wrapSquare wrapText="bothSides"/>
                <wp:docPr id="2051421011" name="Text Box 1"/>
                <wp:cNvGraphicFramePr/>
                <a:graphic xmlns:a="http://schemas.openxmlformats.org/drawingml/2006/main">
                  <a:graphicData uri="http://schemas.microsoft.com/office/word/2010/wordprocessingShape">
                    <wps:wsp>
                      <wps:cNvSpPr txBox="1"/>
                      <wps:spPr>
                        <a:xfrm>
                          <a:off x="0" y="0"/>
                          <a:ext cx="2796540" cy="635"/>
                        </a:xfrm>
                        <a:prstGeom prst="rect">
                          <a:avLst/>
                        </a:prstGeom>
                        <a:solidFill>
                          <a:prstClr val="white"/>
                        </a:solidFill>
                        <a:ln>
                          <a:noFill/>
                        </a:ln>
                      </wps:spPr>
                      <wps:txbx>
                        <w:txbxContent>
                          <w:p w14:paraId="5147A107" w14:textId="6DC650E5" w:rsidR="00C9472C" w:rsidRPr="005F7366" w:rsidRDefault="00C9472C" w:rsidP="00C9472C">
                            <w:pPr>
                              <w:pStyle w:val="Caption"/>
                              <w:rPr>
                                <w:rFonts w:cs="Times New Roman"/>
                                <w:noProof/>
                                <w:szCs w:val="22"/>
                              </w:rPr>
                            </w:pPr>
                            <w:bookmarkStart w:id="16" w:name="_Toc214357712"/>
                            <w:r>
                              <w:t xml:space="preserve">Figure </w:t>
                            </w:r>
                            <w:r w:rsidR="00F824A5">
                              <w:fldChar w:fldCharType="begin"/>
                            </w:r>
                            <w:r w:rsidR="00F824A5">
                              <w:instrText xml:space="preserve"> STYLEREF 1 \s </w:instrText>
                            </w:r>
                            <w:r w:rsidR="00F824A5">
                              <w:fldChar w:fldCharType="separate"/>
                            </w:r>
                            <w:r w:rsidR="000412CE">
                              <w:rPr>
                                <w:noProof/>
                              </w:rPr>
                              <w:t>1</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3</w:t>
                            </w:r>
                            <w:r w:rsidR="00F824A5">
                              <w:fldChar w:fldCharType="end"/>
                            </w:r>
                            <w:r w:rsidR="005A414B">
                              <w:t>.</w:t>
                            </w:r>
                            <w:r>
                              <w:t xml:space="preserve"> </w:t>
                            </w:r>
                            <w:r w:rsidRPr="009F75BB">
                              <w:rPr>
                                <w:rFonts w:ascii="Times New Roman" w:hAnsi="Times New Roman" w:cs="Times New Roman"/>
                              </w:rPr>
                              <w:t>Classification of solid–solid PCMs: organic, organometallic, and polymeric.</w:t>
                            </w:r>
                            <w:bookmarkEnd w:id="1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51CB13BF" id="_x0000_t202" coordsize="21600,21600" o:spt="202" path="m,l,21600r21600,l21600,xe">
                <v:stroke joinstyle="miter"/>
                <v:path gradientshapeok="t" o:connecttype="rect"/>
              </v:shapetype>
              <v:shape id="Text Box 1" o:spid="_x0000_s1026" type="#_x0000_t202" style="position:absolute;left:0;text-align:left;margin-left:231.5pt;margin-top:107.4pt;width:220.2pt;height:.0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" stroked="f">
                <v:textbox style="mso-fit-shape-to-text:t" inset="0,0,0,0">
                  <w:txbxContent>
                    <w:p w14:paraId="5147A107" w14:textId="6DC650E5" w:rsidR="00C9472C" w:rsidRPr="005F7366" w:rsidRDefault="00C9472C" w:rsidP="00C9472C">
                      <w:pPr>
                        <w:pStyle w:val="Caption"/>
                        <w:rPr>
                          <w:rFonts w:cs="Times New Roman"/>
                          <w:noProof/>
                          <w:szCs w:val="22"/>
                        </w:rPr>
                      </w:pPr>
                      <w:bookmarkStart w:id="17" w:name="_Toc214357712"/>
                      <w:r>
                        <w:t xml:space="preserve">Figure </w:t>
                      </w:r>
                      <w:r w:rsidR="00F824A5">
                        <w:fldChar w:fldCharType="begin"/>
                      </w:r>
                      <w:r w:rsidR="00F824A5">
                        <w:instrText xml:space="preserve"> STYLEREF 1 \s </w:instrText>
                      </w:r>
                      <w:r w:rsidR="00F824A5">
                        <w:fldChar w:fldCharType="separate"/>
                      </w:r>
                      <w:r w:rsidR="000412CE">
                        <w:rPr>
                          <w:noProof/>
                        </w:rPr>
                        <w:t>1</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3</w:t>
                      </w:r>
                      <w:r w:rsidR="00F824A5">
                        <w:fldChar w:fldCharType="end"/>
                      </w:r>
                      <w:r w:rsidR="005A414B">
                        <w:t>.</w:t>
                      </w:r>
                      <w:r>
                        <w:t xml:space="preserve"> </w:t>
                      </w:r>
                      <w:r w:rsidRPr="009F75BB">
                        <w:rPr>
                          <w:rFonts w:ascii="Times New Roman" w:hAnsi="Times New Roman" w:cs="Times New Roman"/>
                        </w:rPr>
                        <w:t>Classification of solid–solid PCMs: organic, organometallic, and polymeric.</w:t>
                      </w:r>
                      <w:bookmarkEnd w:id="17"/>
                    </w:p>
                  </w:txbxContent>
                </v:textbox>
                <w10:wrap type="square"/>
              </v:shape>
            </w:pict>
          </mc:Fallback>
        </mc:AlternateContent>
      </w:r>
      <w:r w:rsidRPr="00C9472C">
        <w:rPr>
          <w:rFonts w:cs="Times New Roman"/>
          <w:noProof/>
        </w:rPr>
        <w:drawing>
          <wp:anchor distT="0" distB="0" distL="114300" distR="114300" simplePos="0" relativeHeight="251659264" behindDoc="0" locked="0" layoutInCell="1" allowOverlap="1" wp14:anchorId="4741AFB5" wp14:editId="68E8D265">
            <wp:simplePos x="0" y="0"/>
            <wp:positionH relativeFrom="margin">
              <wp:align>right</wp:align>
            </wp:positionH>
            <wp:positionV relativeFrom="paragraph">
              <wp:posOffset>11430</wp:posOffset>
            </wp:positionV>
            <wp:extent cx="2796540" cy="1295400"/>
            <wp:effectExtent l="0" t="0" r="22860" b="0"/>
            <wp:wrapSquare wrapText="bothSides"/>
            <wp:docPr id="635711943" name="Diagram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14:sizeRelH relativeFrom="margin">
              <wp14:pctWidth>0</wp14:pctWidth>
            </wp14:sizeRelH>
            <wp14:sizeRelV relativeFrom="margin">
              <wp14:pctHeight>0</wp14:pctHeight>
            </wp14:sizeRelV>
          </wp:anchor>
        </w:drawing>
      </w:r>
      <w:r w:rsidRPr="00C9472C">
        <w:rPr>
          <w:rFonts w:cs="Times New Roman"/>
          <w:lang w:val="en-US"/>
        </w:rPr>
        <w:t xml:space="preserve">Recent progress has highlighted a growing interest in solid–solid </w:t>
      </w:r>
      <w:r w:rsidR="00784D2D">
        <w:rPr>
          <w:rFonts w:cs="Times New Roman"/>
          <w:lang w:val="en-US"/>
        </w:rPr>
        <w:t>PCM</w:t>
      </w:r>
      <w:r w:rsidRPr="00C9472C">
        <w:rPr>
          <w:rFonts w:cs="Times New Roman"/>
          <w:lang w:val="en-US"/>
        </w:rPr>
        <w:t xml:space="preserve">s (SS-PCMs), which offer specific advantages such as low supercooling, limited volume expansion during the solid–solid transition, high thermal stability, and significant values of both latent heat and thermal conductivity. Solid–solid phase change materials (SS-PCMs) exhibit a phase transition from a crystalline structure to a semi-solid polycrystalline structure, and further to an amorphous phase transition with full reversibility, which helps reduce thermal degradation. The thermal stability of SS-PCMs is comparatively higher than that of solid–liquid PCMs (SL-PCMs). In recent years, research on PCMs has increased significantly, but it has been mainly focused on SL-PCMs </w:t>
      </w:r>
      <w:sdt>
        <w:sdtPr>
          <w:rPr>
            <w:rFonts w:cs="Times New Roman"/>
            <w:lang w:val="en-US"/>
          </w:rPr>
          <w:id w:val="-1969808776"/>
          <w:citation/>
        </w:sdtPr>
        <w:sdtContent>
          <w:r>
            <w:rPr>
              <w:rFonts w:cs="Times New Roman"/>
              <w:lang w:val="en-US"/>
            </w:rPr>
            <w:fldChar w:fldCharType="begin"/>
          </w:r>
          <w:r w:rsidRPr="00C9472C">
            <w:rPr>
              <w:rFonts w:cs="Times New Roman"/>
              <w:lang w:val="en-US"/>
            </w:rPr>
            <w:instrText xml:space="preserve"> CITATION Placeholder16 \l 1040 </w:instrText>
          </w:r>
          <w:r>
            <w:rPr>
              <w:rFonts w:cs="Times New Roman"/>
              <w:lang w:val="en-US"/>
            </w:rPr>
            <w:fldChar w:fldCharType="separate"/>
          </w:r>
          <w:r w:rsidR="00855396" w:rsidRPr="00855396">
            <w:rPr>
              <w:rFonts w:cs="Times New Roman"/>
              <w:noProof/>
              <w:lang w:val="en-US"/>
            </w:rPr>
            <w:t>[10]</w:t>
          </w:r>
          <w:r>
            <w:rPr>
              <w:rFonts w:cs="Times New Roman"/>
              <w:lang w:val="en-US"/>
            </w:rPr>
            <w:fldChar w:fldCharType="end"/>
          </w:r>
        </w:sdtContent>
      </w:sdt>
      <w:r w:rsidRPr="00C9472C">
        <w:rPr>
          <w:rFonts w:cs="Times New Roman"/>
          <w:lang w:val="en-US"/>
        </w:rPr>
        <w:t xml:space="preserve">. Despite the fundamental advantages offered by SS-PCMs over the previously discussed materials, only a limited number of reviews are available. Figure </w:t>
      </w:r>
      <w:r>
        <w:rPr>
          <w:rFonts w:cs="Times New Roman"/>
          <w:lang w:val="en-US"/>
        </w:rPr>
        <w:t>1.3</w:t>
      </w:r>
      <w:r w:rsidRPr="00C9472C">
        <w:rPr>
          <w:rFonts w:cs="Times New Roman"/>
          <w:lang w:val="en-US"/>
        </w:rPr>
        <w:t xml:space="preserve"> shows that  SS-PCMs can be classified into organic, organometallic, and polymeric categories. </w:t>
      </w:r>
    </w:p>
    <w:p w14:paraId="69BAFACF" w14:textId="0BF85D94" w:rsidR="00C9472C" w:rsidRPr="00C9472C" w:rsidRDefault="00C9472C" w:rsidP="00C9472C">
      <w:pPr>
        <w:pStyle w:val="Heading4"/>
        <w:rPr>
          <w:lang w:val="en-US"/>
        </w:rPr>
      </w:pPr>
      <w:r w:rsidRPr="00C9472C">
        <w:rPr>
          <w:lang w:val="en-US"/>
        </w:rPr>
        <w:lastRenderedPageBreak/>
        <w:t>Organic Solid-Solid PCMs</w:t>
      </w:r>
    </w:p>
    <w:p w14:paraId="3EF736A0" w14:textId="42089C8E" w:rsidR="00C9472C" w:rsidRDefault="00C9472C" w:rsidP="00C9472C">
      <w:pPr>
        <w:rPr>
          <w:lang w:val="en-US"/>
        </w:rPr>
      </w:pPr>
      <w:r w:rsidRPr="00C9472C">
        <w:rPr>
          <w:lang w:val="en-US"/>
        </w:rPr>
        <w:t xml:space="preserve">Some polyalcohols are commonly used either individually or in binary, ternary, or quaternary mixtures as SS-PCMs </w:t>
      </w:r>
      <w:sdt>
        <w:sdtPr>
          <w:rPr>
            <w:lang w:val="en-US"/>
          </w:rPr>
          <w:id w:val="1041403718"/>
          <w:citation/>
        </w:sdtPr>
        <w:sdtContent>
          <w:r>
            <w:rPr>
              <w:lang w:val="en-US"/>
            </w:rPr>
            <w:fldChar w:fldCharType="begin"/>
          </w:r>
          <w:r w:rsidRPr="00C9472C">
            <w:rPr>
              <w:lang w:val="en-US"/>
            </w:rPr>
            <w:instrText xml:space="preserve"> CITATION Placeholder17 \l 1040 </w:instrText>
          </w:r>
          <w:r>
            <w:rPr>
              <w:lang w:val="en-US"/>
            </w:rPr>
            <w:fldChar w:fldCharType="separate"/>
          </w:r>
          <w:r w:rsidR="00855396" w:rsidRPr="00855396">
            <w:rPr>
              <w:noProof/>
              <w:lang w:val="en-US"/>
            </w:rPr>
            <w:t>[11]</w:t>
          </w:r>
          <w:r>
            <w:rPr>
              <w:lang w:val="en-US"/>
            </w:rPr>
            <w:fldChar w:fldCharType="end"/>
          </w:r>
        </w:sdtContent>
      </w:sdt>
      <w:r w:rsidRPr="00C9472C">
        <w:rPr>
          <w:lang w:val="en-US"/>
        </w:rPr>
        <w:t xml:space="preserve">. Studies in the literature </w:t>
      </w:r>
      <w:sdt>
        <w:sdtPr>
          <w:rPr>
            <w:lang w:val="en-US"/>
          </w:rPr>
          <w:id w:val="658733448"/>
          <w:citation/>
        </w:sdtPr>
        <w:sdtContent>
          <w:r>
            <w:rPr>
              <w:lang w:val="en-US"/>
            </w:rPr>
            <w:fldChar w:fldCharType="begin"/>
          </w:r>
          <w:r w:rsidRPr="00C9472C">
            <w:rPr>
              <w:lang w:val="en-US"/>
            </w:rPr>
            <w:instrText xml:space="preserve"> CITATION Placeholder18 \l 1040 </w:instrText>
          </w:r>
          <w:r>
            <w:rPr>
              <w:lang w:val="en-US"/>
            </w:rPr>
            <w:fldChar w:fldCharType="separate"/>
          </w:r>
          <w:r w:rsidR="00855396" w:rsidRPr="00855396">
            <w:rPr>
              <w:noProof/>
              <w:lang w:val="en-US"/>
            </w:rPr>
            <w:t>[12]</w:t>
          </w:r>
          <w:r>
            <w:rPr>
              <w:lang w:val="en-US"/>
            </w:rPr>
            <w:fldChar w:fldCharType="end"/>
          </w:r>
        </w:sdtContent>
      </w:sdt>
      <w:sdt>
        <w:sdtPr>
          <w:rPr>
            <w:lang w:val="en-US"/>
          </w:rPr>
          <w:id w:val="-786343521"/>
          <w:citation/>
        </w:sdtPr>
        <w:sdtContent>
          <w:r>
            <w:rPr>
              <w:lang w:val="en-US"/>
            </w:rPr>
            <w:fldChar w:fldCharType="begin"/>
          </w:r>
          <w:r w:rsidRPr="00C9472C">
            <w:rPr>
              <w:lang w:val="en-US"/>
            </w:rPr>
            <w:instrText xml:space="preserve"> CITATION Placeholder19 \l 1040 </w:instrText>
          </w:r>
          <w:r>
            <w:rPr>
              <w:lang w:val="en-US"/>
            </w:rPr>
            <w:fldChar w:fldCharType="separate"/>
          </w:r>
          <w:r w:rsidR="00855396">
            <w:rPr>
              <w:noProof/>
              <w:lang w:val="en-US"/>
            </w:rPr>
            <w:t xml:space="preserve"> </w:t>
          </w:r>
          <w:r w:rsidR="00855396" w:rsidRPr="00855396">
            <w:rPr>
              <w:noProof/>
              <w:lang w:val="en-US"/>
            </w:rPr>
            <w:t>[13]</w:t>
          </w:r>
          <w:r>
            <w:rPr>
              <w:lang w:val="en-US"/>
            </w:rPr>
            <w:fldChar w:fldCharType="end"/>
          </w:r>
        </w:sdtContent>
      </w:sdt>
      <w:sdt>
        <w:sdtPr>
          <w:rPr>
            <w:lang w:val="en-US"/>
          </w:rPr>
          <w:id w:val="2141924058"/>
          <w:citation/>
        </w:sdtPr>
        <w:sdtContent>
          <w:r>
            <w:rPr>
              <w:lang w:val="en-US"/>
            </w:rPr>
            <w:fldChar w:fldCharType="begin"/>
          </w:r>
          <w:r w:rsidRPr="00C9472C">
            <w:rPr>
              <w:lang w:val="en-US"/>
            </w:rPr>
            <w:instrText xml:space="preserve"> CITATION Placeholder20 \l 1040 </w:instrText>
          </w:r>
          <w:r>
            <w:rPr>
              <w:lang w:val="en-US"/>
            </w:rPr>
            <w:fldChar w:fldCharType="separate"/>
          </w:r>
          <w:r w:rsidR="00855396">
            <w:rPr>
              <w:noProof/>
              <w:lang w:val="en-US"/>
            </w:rPr>
            <w:t xml:space="preserve"> </w:t>
          </w:r>
          <w:r w:rsidR="00855396" w:rsidRPr="00855396">
            <w:rPr>
              <w:noProof/>
              <w:lang w:val="en-US"/>
            </w:rPr>
            <w:t>[14]</w:t>
          </w:r>
          <w:r>
            <w:rPr>
              <w:lang w:val="en-US"/>
            </w:rPr>
            <w:fldChar w:fldCharType="end"/>
          </w:r>
        </w:sdtContent>
      </w:sdt>
      <w:r w:rsidRPr="00C9472C">
        <w:rPr>
          <w:lang w:val="en-US"/>
        </w:rPr>
        <w:t xml:space="preserve"> report that polyols exhibit a low-symmetry, layered crystal structure at low temperatures, which transforms into a high-symmetry, face-centered cubic structure when the temperature rises above the phase change point. Figure </w:t>
      </w:r>
      <w:r>
        <w:rPr>
          <w:lang w:val="en-US"/>
        </w:rPr>
        <w:t>1.4</w:t>
      </w:r>
      <w:r w:rsidRPr="00C9472C">
        <w:rPr>
          <w:lang w:val="en-US"/>
        </w:rPr>
        <w:t xml:space="preserve"> shows this behavior. Table </w:t>
      </w:r>
      <w:r>
        <w:rPr>
          <w:lang w:val="en-US"/>
        </w:rPr>
        <w:t>1.</w:t>
      </w:r>
      <w:r w:rsidRPr="00C9472C">
        <w:rPr>
          <w:lang w:val="en-US"/>
        </w:rPr>
        <w:t>4 shows representative thermophysical properties of selected organic solid–solid PCMs, including phase transition and melting temperatures, latent heat, specific heat, and density.</w:t>
      </w:r>
    </w:p>
    <w:tbl>
      <w:tblPr>
        <w:tblStyle w:val="TableGrid"/>
        <w:tblW w:w="0" w:type="auto"/>
        <w:tblLook w:val="04A0" w:firstRow="1" w:lastRow="0" w:firstColumn="1" w:lastColumn="0" w:noHBand="0" w:noVBand="1"/>
      </w:tblPr>
      <w:tblGrid>
        <w:gridCol w:w="1588"/>
        <w:gridCol w:w="1840"/>
        <w:gridCol w:w="1621"/>
        <w:gridCol w:w="1537"/>
        <w:gridCol w:w="1392"/>
        <w:gridCol w:w="1082"/>
      </w:tblGrid>
      <w:tr w:rsidR="00C9472C" w:rsidRPr="00C9472C" w14:paraId="5CA6F4C9" w14:textId="77777777" w:rsidTr="00C9472C">
        <w:tc>
          <w:tcPr>
            <w:tcW w:w="1588" w:type="dxa"/>
            <w:shd w:val="clear" w:color="auto" w:fill="8EA5B6"/>
          </w:tcPr>
          <w:p w14:paraId="10CAB6E0" w14:textId="008570D5" w:rsidR="00C9472C" w:rsidRPr="00C9472C" w:rsidRDefault="00C9472C" w:rsidP="00C9472C">
            <w:pPr>
              <w:rPr>
                <w:b/>
                <w:bCs/>
                <w:lang w:val="en-US"/>
              </w:rPr>
            </w:pPr>
            <w:r w:rsidRPr="00C9472C">
              <w:rPr>
                <w:b/>
                <w:bCs/>
                <w:lang w:val="en-US"/>
              </w:rPr>
              <w:t>ORGANICS</w:t>
            </w:r>
          </w:p>
        </w:tc>
        <w:tc>
          <w:tcPr>
            <w:tcW w:w="1840" w:type="dxa"/>
            <w:shd w:val="clear" w:color="auto" w:fill="8EA5B6"/>
          </w:tcPr>
          <w:p w14:paraId="4BD665FF" w14:textId="77777777" w:rsidR="00C9472C" w:rsidRPr="00C9472C" w:rsidRDefault="00C9472C" w:rsidP="00C9472C">
            <w:pPr>
              <w:rPr>
                <w:b/>
                <w:bCs/>
                <w:lang w:val="en-US"/>
              </w:rPr>
            </w:pPr>
            <w:r w:rsidRPr="00C9472C">
              <w:rPr>
                <w:b/>
                <w:bCs/>
                <w:lang w:val="en-US"/>
              </w:rPr>
              <w:t>Phase transition temperature [°C]</w:t>
            </w:r>
          </w:p>
        </w:tc>
        <w:tc>
          <w:tcPr>
            <w:tcW w:w="1621" w:type="dxa"/>
            <w:shd w:val="clear" w:color="auto" w:fill="8EA5B6"/>
          </w:tcPr>
          <w:p w14:paraId="7B13D16F" w14:textId="77777777" w:rsidR="00C9472C" w:rsidRPr="00C9472C" w:rsidRDefault="00C9472C" w:rsidP="00C9472C">
            <w:pPr>
              <w:rPr>
                <w:b/>
                <w:bCs/>
                <w:lang w:val="en-US"/>
              </w:rPr>
            </w:pPr>
            <w:r w:rsidRPr="00C9472C">
              <w:rPr>
                <w:b/>
                <w:bCs/>
                <w:lang w:val="en-US"/>
              </w:rPr>
              <w:t>Melting temperature [°C]</w:t>
            </w:r>
          </w:p>
        </w:tc>
        <w:tc>
          <w:tcPr>
            <w:tcW w:w="1537" w:type="dxa"/>
            <w:shd w:val="clear" w:color="auto" w:fill="8EA5B6"/>
          </w:tcPr>
          <w:p w14:paraId="42567B72" w14:textId="77777777" w:rsidR="00C9472C" w:rsidRPr="00C9472C" w:rsidRDefault="00C9472C" w:rsidP="00C9472C">
            <w:pPr>
              <w:rPr>
                <w:b/>
                <w:bCs/>
                <w:lang w:val="en-US"/>
              </w:rPr>
            </w:pPr>
            <w:r w:rsidRPr="00C9472C">
              <w:rPr>
                <w:b/>
                <w:bCs/>
                <w:lang w:val="en-US"/>
              </w:rPr>
              <w:t xml:space="preserve">Latent heat of transition </w:t>
            </w:r>
          </w:p>
        </w:tc>
        <w:tc>
          <w:tcPr>
            <w:tcW w:w="1392" w:type="dxa"/>
            <w:shd w:val="clear" w:color="auto" w:fill="8EA5B6"/>
          </w:tcPr>
          <w:p w14:paraId="0ACAA274" w14:textId="77777777" w:rsidR="00C9472C" w:rsidRPr="00C9472C" w:rsidRDefault="00C9472C" w:rsidP="00C9472C">
            <w:pPr>
              <w:rPr>
                <w:b/>
                <w:bCs/>
                <w:lang w:val="en-US"/>
              </w:rPr>
            </w:pPr>
            <w:r w:rsidRPr="00C9472C">
              <w:rPr>
                <w:b/>
                <w:bCs/>
                <w:lang w:val="en-US"/>
              </w:rPr>
              <w:t>Specific heat [J K⁻¹ mol⁻¹]</w:t>
            </w:r>
          </w:p>
        </w:tc>
        <w:tc>
          <w:tcPr>
            <w:tcW w:w="1082" w:type="dxa"/>
            <w:shd w:val="clear" w:color="auto" w:fill="8EA5B6"/>
          </w:tcPr>
          <w:p w14:paraId="1AC6EE0C" w14:textId="77777777" w:rsidR="00C9472C" w:rsidRPr="00C9472C" w:rsidRDefault="00C9472C" w:rsidP="00C9472C">
            <w:pPr>
              <w:rPr>
                <w:b/>
                <w:bCs/>
                <w:lang w:val="en-US"/>
              </w:rPr>
            </w:pPr>
            <w:r w:rsidRPr="00C9472C">
              <w:rPr>
                <w:b/>
                <w:bCs/>
                <w:lang w:val="en-US"/>
              </w:rPr>
              <w:t>Density [kg/m³]</w:t>
            </w:r>
          </w:p>
        </w:tc>
      </w:tr>
      <w:tr w:rsidR="00C9472C" w:rsidRPr="00C9472C" w14:paraId="4824BD8A" w14:textId="77777777" w:rsidTr="00C9472C">
        <w:tc>
          <w:tcPr>
            <w:tcW w:w="1588" w:type="dxa"/>
          </w:tcPr>
          <w:p w14:paraId="1EC95ED8" w14:textId="77777777" w:rsidR="00C9472C" w:rsidRPr="00C9472C" w:rsidRDefault="00C9472C" w:rsidP="00C9472C">
            <w:pPr>
              <w:rPr>
                <w:lang w:val="en-US"/>
              </w:rPr>
            </w:pPr>
            <w:r w:rsidRPr="00C9472C">
              <w:rPr>
                <w:lang w:val="en-US"/>
              </w:rPr>
              <w:t>Neopentane</w:t>
            </w:r>
          </w:p>
        </w:tc>
        <w:tc>
          <w:tcPr>
            <w:tcW w:w="1840" w:type="dxa"/>
          </w:tcPr>
          <w:p w14:paraId="2E483F83" w14:textId="77777777" w:rsidR="00C9472C" w:rsidRPr="00C9472C" w:rsidRDefault="00C9472C" w:rsidP="00C9472C">
            <w:pPr>
              <w:rPr>
                <w:lang w:val="en-US"/>
              </w:rPr>
            </w:pPr>
            <w:r w:rsidRPr="00C9472C">
              <w:rPr>
                <w:lang w:val="en-US"/>
              </w:rPr>
              <w:t>-133</w:t>
            </w:r>
          </w:p>
        </w:tc>
        <w:tc>
          <w:tcPr>
            <w:tcW w:w="1621" w:type="dxa"/>
          </w:tcPr>
          <w:p w14:paraId="24B96387" w14:textId="77777777" w:rsidR="00C9472C" w:rsidRPr="00C9472C" w:rsidRDefault="00C9472C" w:rsidP="00C9472C">
            <w:pPr>
              <w:rPr>
                <w:lang w:val="en-US"/>
              </w:rPr>
            </w:pPr>
            <w:r w:rsidRPr="00C9472C">
              <w:rPr>
                <w:lang w:val="en-US"/>
              </w:rPr>
              <w:t>-16.54</w:t>
            </w:r>
          </w:p>
        </w:tc>
        <w:tc>
          <w:tcPr>
            <w:tcW w:w="1537" w:type="dxa"/>
          </w:tcPr>
          <w:p w14:paraId="772BEAD6" w14:textId="77777777" w:rsidR="00C9472C" w:rsidRPr="00C9472C" w:rsidRDefault="00C9472C" w:rsidP="00C9472C">
            <w:pPr>
              <w:rPr>
                <w:lang w:val="en-US"/>
              </w:rPr>
            </w:pPr>
            <w:r w:rsidRPr="00C9472C">
              <w:rPr>
                <w:lang w:val="en-US"/>
              </w:rPr>
              <w:t>35.9 J/g</w:t>
            </w:r>
          </w:p>
        </w:tc>
        <w:tc>
          <w:tcPr>
            <w:tcW w:w="1392" w:type="dxa"/>
          </w:tcPr>
          <w:p w14:paraId="6ADD07CE" w14:textId="77777777" w:rsidR="00C9472C" w:rsidRPr="00C9472C" w:rsidRDefault="00C9472C" w:rsidP="00C9472C">
            <w:pPr>
              <w:rPr>
                <w:lang w:val="en-US"/>
              </w:rPr>
            </w:pPr>
            <w:r w:rsidRPr="00C9472C">
              <w:rPr>
                <w:lang w:val="en-US"/>
              </w:rPr>
              <w:t>121.07–120.57</w:t>
            </w:r>
          </w:p>
        </w:tc>
        <w:tc>
          <w:tcPr>
            <w:tcW w:w="1082" w:type="dxa"/>
          </w:tcPr>
          <w:p w14:paraId="3C81519D" w14:textId="2954A007" w:rsidR="00C9472C" w:rsidRPr="00C9472C" w:rsidRDefault="00C9472C" w:rsidP="00C9472C">
            <w:pPr>
              <w:rPr>
                <w:lang w:val="en-US"/>
              </w:rPr>
            </w:pPr>
            <w:r w:rsidRPr="00C9472C">
              <w:rPr>
                <w:lang w:val="en-US"/>
              </w:rPr>
              <w:t>3.255 (Vapor</w:t>
            </w:r>
            <w:r>
              <w:rPr>
                <w:lang w:val="en-US"/>
              </w:rPr>
              <w:t>)</w:t>
            </w:r>
          </w:p>
        </w:tc>
      </w:tr>
      <w:tr w:rsidR="00C9472C" w:rsidRPr="00C9472C" w14:paraId="0523EF8C" w14:textId="77777777" w:rsidTr="00C9472C">
        <w:tc>
          <w:tcPr>
            <w:tcW w:w="1588" w:type="dxa"/>
          </w:tcPr>
          <w:p w14:paraId="4488383D" w14:textId="77777777" w:rsidR="00C9472C" w:rsidRPr="00C9472C" w:rsidRDefault="00C9472C" w:rsidP="00C9472C">
            <w:pPr>
              <w:rPr>
                <w:lang w:val="en-US"/>
              </w:rPr>
            </w:pPr>
            <w:r w:rsidRPr="00C9472C">
              <w:rPr>
                <w:lang w:val="en-US"/>
              </w:rPr>
              <w:t>NPA</w:t>
            </w:r>
          </w:p>
        </w:tc>
        <w:tc>
          <w:tcPr>
            <w:tcW w:w="1840" w:type="dxa"/>
          </w:tcPr>
          <w:p w14:paraId="38E26596" w14:textId="77777777" w:rsidR="00C9472C" w:rsidRPr="00C9472C" w:rsidRDefault="00C9472C" w:rsidP="00C9472C">
            <w:pPr>
              <w:rPr>
                <w:lang w:val="en-US"/>
              </w:rPr>
            </w:pPr>
            <w:r w:rsidRPr="00C9472C">
              <w:rPr>
                <w:lang w:val="en-US"/>
              </w:rPr>
              <w:t>-31</w:t>
            </w:r>
          </w:p>
        </w:tc>
        <w:tc>
          <w:tcPr>
            <w:tcW w:w="1621" w:type="dxa"/>
          </w:tcPr>
          <w:p w14:paraId="605FF4C5" w14:textId="77777777" w:rsidR="00C9472C" w:rsidRPr="00C9472C" w:rsidRDefault="00C9472C" w:rsidP="00C9472C">
            <w:pPr>
              <w:rPr>
                <w:lang w:val="en-US"/>
              </w:rPr>
            </w:pPr>
            <w:r w:rsidRPr="00C9472C">
              <w:rPr>
                <w:lang w:val="en-US"/>
              </w:rPr>
              <w:t>51–55</w:t>
            </w:r>
          </w:p>
        </w:tc>
        <w:tc>
          <w:tcPr>
            <w:tcW w:w="1537" w:type="dxa"/>
          </w:tcPr>
          <w:p w14:paraId="5C3E1C21" w14:textId="77777777" w:rsidR="00C9472C" w:rsidRPr="00C9472C" w:rsidRDefault="00C9472C" w:rsidP="00C9472C">
            <w:pPr>
              <w:rPr>
                <w:lang w:val="en-US"/>
              </w:rPr>
            </w:pPr>
            <w:r w:rsidRPr="00C9472C">
              <w:rPr>
                <w:lang w:val="en-US"/>
              </w:rPr>
              <w:t>50.6–53.3 J/g</w:t>
            </w:r>
          </w:p>
        </w:tc>
        <w:tc>
          <w:tcPr>
            <w:tcW w:w="1392" w:type="dxa"/>
          </w:tcPr>
          <w:p w14:paraId="55CA13C6" w14:textId="77777777" w:rsidR="00C9472C" w:rsidRPr="00C9472C" w:rsidRDefault="00C9472C" w:rsidP="00C9472C">
            <w:pPr>
              <w:rPr>
                <w:lang w:val="en-US"/>
              </w:rPr>
            </w:pPr>
            <w:r w:rsidRPr="00C9472C">
              <w:rPr>
                <w:lang w:val="en-US"/>
              </w:rPr>
              <w:t>2.79</w:t>
            </w:r>
          </w:p>
        </w:tc>
        <w:tc>
          <w:tcPr>
            <w:tcW w:w="1082" w:type="dxa"/>
          </w:tcPr>
          <w:p w14:paraId="44658173" w14:textId="77777777" w:rsidR="00C9472C" w:rsidRPr="00C9472C" w:rsidRDefault="00C9472C" w:rsidP="00C9472C">
            <w:pPr>
              <w:rPr>
                <w:lang w:val="en-US"/>
              </w:rPr>
            </w:pPr>
            <w:r w:rsidRPr="00C9472C">
              <w:rPr>
                <w:lang w:val="en-US"/>
              </w:rPr>
              <w:t>36</w:t>
            </w:r>
          </w:p>
        </w:tc>
      </w:tr>
      <w:tr w:rsidR="00C9472C" w:rsidRPr="00C9472C" w14:paraId="753F2484" w14:textId="77777777" w:rsidTr="00C9472C">
        <w:tc>
          <w:tcPr>
            <w:tcW w:w="1588" w:type="dxa"/>
          </w:tcPr>
          <w:p w14:paraId="4EA98E5F" w14:textId="77777777" w:rsidR="00C9472C" w:rsidRPr="00C9472C" w:rsidRDefault="00C9472C" w:rsidP="00C9472C">
            <w:pPr>
              <w:rPr>
                <w:lang w:val="en-US"/>
              </w:rPr>
            </w:pPr>
            <w:r w:rsidRPr="00C9472C">
              <w:rPr>
                <w:lang w:val="en-US"/>
              </w:rPr>
              <w:t>AMPD</w:t>
            </w:r>
          </w:p>
        </w:tc>
        <w:tc>
          <w:tcPr>
            <w:tcW w:w="1840" w:type="dxa"/>
          </w:tcPr>
          <w:p w14:paraId="59C7BB69" w14:textId="77777777" w:rsidR="00C9472C" w:rsidRPr="00C9472C" w:rsidRDefault="00C9472C" w:rsidP="00C9472C">
            <w:pPr>
              <w:rPr>
                <w:lang w:val="en-US"/>
              </w:rPr>
            </w:pPr>
            <w:r w:rsidRPr="00C9472C">
              <w:rPr>
                <w:lang w:val="en-US"/>
              </w:rPr>
              <w:t>23.4–78</w:t>
            </w:r>
          </w:p>
        </w:tc>
        <w:tc>
          <w:tcPr>
            <w:tcW w:w="1621" w:type="dxa"/>
          </w:tcPr>
          <w:p w14:paraId="5E6D905F" w14:textId="77777777" w:rsidR="00C9472C" w:rsidRPr="00C9472C" w:rsidRDefault="00C9472C" w:rsidP="00C9472C">
            <w:pPr>
              <w:rPr>
                <w:lang w:val="en-US"/>
              </w:rPr>
            </w:pPr>
            <w:r w:rsidRPr="00C9472C">
              <w:rPr>
                <w:lang w:val="en-US"/>
              </w:rPr>
              <w:t>71.4–107</w:t>
            </w:r>
          </w:p>
        </w:tc>
        <w:tc>
          <w:tcPr>
            <w:tcW w:w="1537" w:type="dxa"/>
          </w:tcPr>
          <w:p w14:paraId="2C487590" w14:textId="77777777" w:rsidR="00C9472C" w:rsidRPr="00C9472C" w:rsidRDefault="00C9472C" w:rsidP="00C9472C">
            <w:pPr>
              <w:rPr>
                <w:lang w:val="en-US"/>
              </w:rPr>
            </w:pPr>
            <w:r w:rsidRPr="00C9472C">
              <w:rPr>
                <w:lang w:val="en-US"/>
              </w:rPr>
              <w:t>77.05 J/g</w:t>
            </w:r>
          </w:p>
        </w:tc>
        <w:tc>
          <w:tcPr>
            <w:tcW w:w="1392" w:type="dxa"/>
          </w:tcPr>
          <w:p w14:paraId="72D2E21C" w14:textId="77777777" w:rsidR="00C9472C" w:rsidRPr="00C9472C" w:rsidRDefault="00C9472C" w:rsidP="00C9472C">
            <w:pPr>
              <w:rPr>
                <w:lang w:val="en-US"/>
              </w:rPr>
            </w:pPr>
            <w:r w:rsidRPr="00C9472C">
              <w:rPr>
                <w:lang w:val="en-US"/>
              </w:rPr>
              <w:t>-</w:t>
            </w:r>
          </w:p>
        </w:tc>
        <w:tc>
          <w:tcPr>
            <w:tcW w:w="1082" w:type="dxa"/>
          </w:tcPr>
          <w:p w14:paraId="1F395358" w14:textId="10395BC8" w:rsidR="00C9472C" w:rsidRPr="00C9472C" w:rsidRDefault="00C9472C" w:rsidP="00C9472C">
            <w:pPr>
              <w:rPr>
                <w:lang w:val="en-US"/>
              </w:rPr>
            </w:pPr>
            <w:r w:rsidRPr="00C9472C">
              <w:rPr>
                <w:lang w:val="en-US"/>
              </w:rPr>
              <w:t>3.63 (Vapor</w:t>
            </w:r>
            <w:r>
              <w:rPr>
                <w:lang w:val="en-US"/>
              </w:rPr>
              <w:t>)</w:t>
            </w:r>
          </w:p>
        </w:tc>
      </w:tr>
      <w:tr w:rsidR="00C9472C" w:rsidRPr="00C9472C" w14:paraId="0170CDD0" w14:textId="77777777" w:rsidTr="00C9472C">
        <w:tc>
          <w:tcPr>
            <w:tcW w:w="1588" w:type="dxa"/>
          </w:tcPr>
          <w:p w14:paraId="1268DC15" w14:textId="77777777" w:rsidR="00C9472C" w:rsidRPr="00C9472C" w:rsidRDefault="00C9472C" w:rsidP="00C9472C">
            <w:pPr>
              <w:rPr>
                <w:lang w:val="en-US"/>
              </w:rPr>
            </w:pPr>
            <w:r w:rsidRPr="00C9472C">
              <w:rPr>
                <w:lang w:val="en-US"/>
              </w:rPr>
              <w:t>NPG</w:t>
            </w:r>
          </w:p>
        </w:tc>
        <w:tc>
          <w:tcPr>
            <w:tcW w:w="1840" w:type="dxa"/>
          </w:tcPr>
          <w:p w14:paraId="5BCFDC7B" w14:textId="77777777" w:rsidR="00C9472C" w:rsidRPr="00C9472C" w:rsidRDefault="00C9472C" w:rsidP="00C9472C">
            <w:pPr>
              <w:rPr>
                <w:lang w:val="en-US"/>
              </w:rPr>
            </w:pPr>
            <w:r w:rsidRPr="00C9472C">
              <w:rPr>
                <w:lang w:val="en-US"/>
              </w:rPr>
              <w:t>40–48</w:t>
            </w:r>
          </w:p>
        </w:tc>
        <w:tc>
          <w:tcPr>
            <w:tcW w:w="1621" w:type="dxa"/>
          </w:tcPr>
          <w:p w14:paraId="504A4621" w14:textId="77777777" w:rsidR="00C9472C" w:rsidRPr="00C9472C" w:rsidRDefault="00C9472C" w:rsidP="00C9472C">
            <w:pPr>
              <w:rPr>
                <w:lang w:val="en-US"/>
              </w:rPr>
            </w:pPr>
            <w:r w:rsidRPr="00C9472C">
              <w:rPr>
                <w:lang w:val="en-US"/>
              </w:rPr>
              <w:t>129.13</w:t>
            </w:r>
          </w:p>
        </w:tc>
        <w:tc>
          <w:tcPr>
            <w:tcW w:w="1537" w:type="dxa"/>
          </w:tcPr>
          <w:p w14:paraId="4C714BF6" w14:textId="77777777" w:rsidR="00C9472C" w:rsidRPr="00C9472C" w:rsidRDefault="00C9472C" w:rsidP="00C9472C">
            <w:pPr>
              <w:rPr>
                <w:lang w:val="en-US"/>
              </w:rPr>
            </w:pPr>
            <w:r w:rsidRPr="00C9472C">
              <w:rPr>
                <w:lang w:val="en-US"/>
              </w:rPr>
              <w:t>110.4–131 J/g</w:t>
            </w:r>
          </w:p>
        </w:tc>
        <w:tc>
          <w:tcPr>
            <w:tcW w:w="1392" w:type="dxa"/>
          </w:tcPr>
          <w:p w14:paraId="317BEC64" w14:textId="77777777" w:rsidR="00C9472C" w:rsidRPr="00C9472C" w:rsidRDefault="00C9472C" w:rsidP="00C9472C">
            <w:pPr>
              <w:rPr>
                <w:lang w:val="en-US"/>
              </w:rPr>
            </w:pPr>
            <w:r w:rsidRPr="00C9472C">
              <w:rPr>
                <w:lang w:val="en-US"/>
              </w:rPr>
              <w:t>287</w:t>
            </w:r>
          </w:p>
        </w:tc>
        <w:tc>
          <w:tcPr>
            <w:tcW w:w="1082" w:type="dxa"/>
          </w:tcPr>
          <w:p w14:paraId="7A2891DD" w14:textId="77777777" w:rsidR="00C9472C" w:rsidRPr="00C9472C" w:rsidRDefault="00C9472C" w:rsidP="00C9472C">
            <w:pPr>
              <w:rPr>
                <w:lang w:val="en-US"/>
              </w:rPr>
            </w:pPr>
            <w:r w:rsidRPr="00C9472C">
              <w:rPr>
                <w:lang w:val="en-US"/>
              </w:rPr>
              <w:t>1060</w:t>
            </w:r>
          </w:p>
        </w:tc>
      </w:tr>
      <w:tr w:rsidR="00C9472C" w:rsidRPr="00C9472C" w14:paraId="0DAC9A0B" w14:textId="77777777" w:rsidTr="00C9472C">
        <w:tc>
          <w:tcPr>
            <w:tcW w:w="1588" w:type="dxa"/>
          </w:tcPr>
          <w:p w14:paraId="5F946839" w14:textId="77777777" w:rsidR="00C9472C" w:rsidRPr="00C9472C" w:rsidRDefault="00C9472C" w:rsidP="00C9472C">
            <w:pPr>
              <w:rPr>
                <w:lang w:val="en-US"/>
              </w:rPr>
            </w:pPr>
            <w:r w:rsidRPr="00C9472C">
              <w:rPr>
                <w:lang w:val="en-US"/>
              </w:rPr>
              <w:t>PEG 4000</w:t>
            </w:r>
          </w:p>
        </w:tc>
        <w:tc>
          <w:tcPr>
            <w:tcW w:w="1840" w:type="dxa"/>
          </w:tcPr>
          <w:p w14:paraId="5B6F2D5F" w14:textId="77777777" w:rsidR="00C9472C" w:rsidRPr="00C9472C" w:rsidRDefault="00C9472C" w:rsidP="00C9472C">
            <w:pPr>
              <w:rPr>
                <w:lang w:val="en-US"/>
              </w:rPr>
            </w:pPr>
            <w:r w:rsidRPr="00C9472C">
              <w:rPr>
                <w:lang w:val="en-US"/>
              </w:rPr>
              <w:t>41–44.5</w:t>
            </w:r>
          </w:p>
        </w:tc>
        <w:tc>
          <w:tcPr>
            <w:tcW w:w="1621" w:type="dxa"/>
          </w:tcPr>
          <w:p w14:paraId="532C7292" w14:textId="77777777" w:rsidR="00C9472C" w:rsidRPr="00C9472C" w:rsidRDefault="00C9472C" w:rsidP="00C9472C">
            <w:pPr>
              <w:rPr>
                <w:lang w:val="en-US"/>
              </w:rPr>
            </w:pPr>
            <w:r w:rsidRPr="00C9472C">
              <w:rPr>
                <w:lang w:val="en-US"/>
              </w:rPr>
              <w:t>-</w:t>
            </w:r>
          </w:p>
        </w:tc>
        <w:tc>
          <w:tcPr>
            <w:tcW w:w="1537" w:type="dxa"/>
          </w:tcPr>
          <w:p w14:paraId="6B343BCE" w14:textId="77777777" w:rsidR="00C9472C" w:rsidRPr="00C9472C" w:rsidRDefault="00C9472C" w:rsidP="00C9472C">
            <w:pPr>
              <w:rPr>
                <w:lang w:val="en-US"/>
              </w:rPr>
            </w:pPr>
            <w:r w:rsidRPr="00C9472C">
              <w:rPr>
                <w:lang w:val="en-US"/>
              </w:rPr>
              <w:t>60.4 J/g</w:t>
            </w:r>
          </w:p>
        </w:tc>
        <w:tc>
          <w:tcPr>
            <w:tcW w:w="1392" w:type="dxa"/>
          </w:tcPr>
          <w:p w14:paraId="4DE735D6" w14:textId="77777777" w:rsidR="00C9472C" w:rsidRPr="00C9472C" w:rsidRDefault="00C9472C" w:rsidP="00C9472C">
            <w:pPr>
              <w:rPr>
                <w:lang w:val="en-US"/>
              </w:rPr>
            </w:pPr>
            <w:r w:rsidRPr="00C9472C">
              <w:rPr>
                <w:lang w:val="en-US"/>
              </w:rPr>
              <w:t>-</w:t>
            </w:r>
          </w:p>
        </w:tc>
        <w:tc>
          <w:tcPr>
            <w:tcW w:w="1082" w:type="dxa"/>
          </w:tcPr>
          <w:p w14:paraId="3A093114" w14:textId="77777777" w:rsidR="00C9472C" w:rsidRPr="00C9472C" w:rsidRDefault="00C9472C" w:rsidP="00C9472C">
            <w:pPr>
              <w:rPr>
                <w:lang w:val="en-US"/>
              </w:rPr>
            </w:pPr>
            <w:r w:rsidRPr="00C9472C">
              <w:rPr>
                <w:lang w:val="en-US"/>
              </w:rPr>
              <w:t>1200</w:t>
            </w:r>
          </w:p>
        </w:tc>
      </w:tr>
      <w:tr w:rsidR="00C9472C" w:rsidRPr="00C9472C" w14:paraId="6C0341DF" w14:textId="77777777" w:rsidTr="00C9472C">
        <w:tc>
          <w:tcPr>
            <w:tcW w:w="1588" w:type="dxa"/>
          </w:tcPr>
          <w:p w14:paraId="319E604E" w14:textId="77777777" w:rsidR="00C9472C" w:rsidRPr="00C9472C" w:rsidRDefault="00C9472C" w:rsidP="00C9472C">
            <w:pPr>
              <w:rPr>
                <w:lang w:val="en-US"/>
              </w:rPr>
            </w:pPr>
            <w:r w:rsidRPr="00C9472C">
              <w:rPr>
                <w:lang w:val="en-US"/>
              </w:rPr>
              <w:t>PE</w:t>
            </w:r>
          </w:p>
        </w:tc>
        <w:tc>
          <w:tcPr>
            <w:tcW w:w="1840" w:type="dxa"/>
          </w:tcPr>
          <w:p w14:paraId="23E14EAE" w14:textId="77777777" w:rsidR="00C9472C" w:rsidRPr="00C9472C" w:rsidRDefault="00C9472C" w:rsidP="00C9472C">
            <w:pPr>
              <w:rPr>
                <w:lang w:val="en-US"/>
              </w:rPr>
            </w:pPr>
            <w:r w:rsidRPr="00C9472C">
              <w:rPr>
                <w:lang w:val="en-US"/>
              </w:rPr>
              <w:t>187</w:t>
            </w:r>
          </w:p>
        </w:tc>
        <w:tc>
          <w:tcPr>
            <w:tcW w:w="1621" w:type="dxa"/>
          </w:tcPr>
          <w:p w14:paraId="1594217C" w14:textId="77777777" w:rsidR="00C9472C" w:rsidRPr="00C9472C" w:rsidRDefault="00C9472C" w:rsidP="00C9472C">
            <w:pPr>
              <w:rPr>
                <w:lang w:val="en-US"/>
              </w:rPr>
            </w:pPr>
            <w:r w:rsidRPr="00C9472C">
              <w:rPr>
                <w:lang w:val="en-US"/>
              </w:rPr>
              <w:t>-</w:t>
            </w:r>
          </w:p>
        </w:tc>
        <w:tc>
          <w:tcPr>
            <w:tcW w:w="1537" w:type="dxa"/>
          </w:tcPr>
          <w:p w14:paraId="6ED55554" w14:textId="77777777" w:rsidR="00C9472C" w:rsidRPr="00C9472C" w:rsidRDefault="00C9472C" w:rsidP="00C9472C">
            <w:pPr>
              <w:rPr>
                <w:lang w:val="en-US"/>
              </w:rPr>
            </w:pPr>
            <w:r w:rsidRPr="00C9472C">
              <w:rPr>
                <w:lang w:val="en-US"/>
              </w:rPr>
              <w:t>36.8 kJ/mol</w:t>
            </w:r>
          </w:p>
        </w:tc>
        <w:tc>
          <w:tcPr>
            <w:tcW w:w="1392" w:type="dxa"/>
          </w:tcPr>
          <w:p w14:paraId="09377C11" w14:textId="77777777" w:rsidR="00C9472C" w:rsidRPr="00C9472C" w:rsidRDefault="00C9472C" w:rsidP="00C9472C">
            <w:pPr>
              <w:rPr>
                <w:lang w:val="en-US"/>
              </w:rPr>
            </w:pPr>
            <w:r w:rsidRPr="00C9472C">
              <w:rPr>
                <w:lang w:val="en-US"/>
              </w:rPr>
              <w:t>-</w:t>
            </w:r>
          </w:p>
        </w:tc>
        <w:tc>
          <w:tcPr>
            <w:tcW w:w="1082" w:type="dxa"/>
          </w:tcPr>
          <w:p w14:paraId="309F5817" w14:textId="77777777" w:rsidR="00C9472C" w:rsidRPr="00C9472C" w:rsidRDefault="00C9472C" w:rsidP="00C9472C">
            <w:pPr>
              <w:keepNext/>
              <w:rPr>
                <w:lang w:val="en-US"/>
              </w:rPr>
            </w:pPr>
            <w:r w:rsidRPr="00C9472C">
              <w:rPr>
                <w:lang w:val="en-US"/>
              </w:rPr>
              <w:t>1400</w:t>
            </w:r>
          </w:p>
        </w:tc>
      </w:tr>
    </w:tbl>
    <w:p w14:paraId="44FC7899" w14:textId="60486996" w:rsidR="00C9472C" w:rsidRDefault="00C9472C" w:rsidP="00C9472C">
      <w:pPr>
        <w:pStyle w:val="Caption"/>
      </w:pPr>
      <w:bookmarkStart w:id="18" w:name="_Toc214362609"/>
      <w:r>
        <w:t xml:space="preserve">Table </w:t>
      </w:r>
      <w:r w:rsidR="00F43E9A">
        <w:fldChar w:fldCharType="begin"/>
      </w:r>
      <w:r w:rsidR="00F43E9A">
        <w:instrText xml:space="preserve"> STYLEREF 1 \s </w:instrText>
      </w:r>
      <w:r w:rsidR="00F43E9A">
        <w:fldChar w:fldCharType="separate"/>
      </w:r>
      <w:r w:rsidR="000412CE">
        <w:rPr>
          <w:noProof/>
        </w:rPr>
        <w:t>1</w:t>
      </w:r>
      <w:r w:rsidR="00F43E9A">
        <w:fldChar w:fldCharType="end"/>
      </w:r>
      <w:r w:rsidR="00F43E9A">
        <w:t>.</w:t>
      </w:r>
      <w:r w:rsidR="00F43E9A">
        <w:fldChar w:fldCharType="begin"/>
      </w:r>
      <w:r w:rsidR="00F43E9A">
        <w:instrText xml:space="preserve"> SEQ Table \* ARABIC \s 1 </w:instrText>
      </w:r>
      <w:r w:rsidR="00F43E9A">
        <w:fldChar w:fldCharType="separate"/>
      </w:r>
      <w:r w:rsidR="000412CE">
        <w:rPr>
          <w:noProof/>
        </w:rPr>
        <w:t>4</w:t>
      </w:r>
      <w:r w:rsidR="00F43E9A">
        <w:fldChar w:fldCharType="end"/>
      </w:r>
      <w:r w:rsidR="005A414B">
        <w:t xml:space="preserve">. </w:t>
      </w:r>
      <w:r w:rsidRPr="00C9472C">
        <w:t>Representative thermophysical properties of organic solid–solid PCMs: phase transition and melting temperatures, latent heat, specific heat, and density</w:t>
      </w:r>
      <w:r w:rsidR="00A165BA">
        <w:t>.</w:t>
      </w:r>
      <w:bookmarkEnd w:id="18"/>
    </w:p>
    <w:p w14:paraId="5728D240" w14:textId="77777777" w:rsidR="00C9472C" w:rsidRDefault="00C9472C" w:rsidP="00C9472C">
      <w:pPr>
        <w:keepNext/>
        <w:jc w:val="center"/>
      </w:pPr>
      <w:r w:rsidRPr="0012692B">
        <w:rPr>
          <w:rFonts w:ascii="Times New Roman" w:hAnsi="Times New Roman" w:cs="Times New Roman"/>
          <w:noProof/>
        </w:rPr>
        <w:lastRenderedPageBreak/>
        <w:drawing>
          <wp:inline distT="0" distB="0" distL="0" distR="0" wp14:anchorId="7DD241BA" wp14:editId="35772020">
            <wp:extent cx="4015740" cy="1868170"/>
            <wp:effectExtent l="0" t="0" r="3810" b="0"/>
            <wp:docPr id="322525862" name="Immagine 1" descr="Immagine che contiene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2525862" name="Immagine 1" descr="Immagine che contiene diagramma&#10;&#10;Il contenuto generato dall'IA potrebbe non essere corretto."/>
                    <pic:cNvPicPr/>
                  </pic:nvPicPr>
                  <pic:blipFill>
                    <a:blip r:embed="rId38">
                      <a:extLst>
                        <a:ext uri="{28A0092B-C50C-407E-A947-70E740481C1C}">
                          <a14:useLocalDpi xmlns:a14="http://schemas.microsoft.com/office/drawing/2010/main" val="0"/>
                        </a:ext>
                      </a:extLst>
                    </a:blip>
                    <a:stretch>
                      <a:fillRect/>
                    </a:stretch>
                  </pic:blipFill>
                  <pic:spPr>
                    <a:xfrm>
                      <a:off x="0" y="0"/>
                      <a:ext cx="4015740" cy="1868170"/>
                    </a:xfrm>
                    <a:prstGeom prst="rect">
                      <a:avLst/>
                    </a:prstGeom>
                  </pic:spPr>
                </pic:pic>
              </a:graphicData>
            </a:graphic>
          </wp:inline>
        </w:drawing>
      </w:r>
    </w:p>
    <w:p w14:paraId="511318EB" w14:textId="58143B58" w:rsidR="00C9472C" w:rsidRPr="00C9472C" w:rsidRDefault="00C9472C" w:rsidP="00C9472C">
      <w:pPr>
        <w:pStyle w:val="Caption"/>
      </w:pPr>
      <w:bookmarkStart w:id="19" w:name="_Toc214357713"/>
      <w:r>
        <w:t xml:space="preserve">Figure </w:t>
      </w:r>
      <w:r w:rsidR="00F824A5">
        <w:fldChar w:fldCharType="begin"/>
      </w:r>
      <w:r w:rsidR="00F824A5">
        <w:instrText xml:space="preserve"> STYLEREF 1 \s </w:instrText>
      </w:r>
      <w:r w:rsidR="00F824A5">
        <w:fldChar w:fldCharType="separate"/>
      </w:r>
      <w:r w:rsidR="000412CE">
        <w:rPr>
          <w:noProof/>
        </w:rPr>
        <w:t>1</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4</w:t>
      </w:r>
      <w:r w:rsidR="00F824A5">
        <w:fldChar w:fldCharType="end"/>
      </w:r>
      <w:r w:rsidR="005A414B">
        <w:t>.</w:t>
      </w:r>
      <w:r>
        <w:t xml:space="preserve"> </w:t>
      </w:r>
      <w:r w:rsidRPr="0060107C">
        <w:t>Phase transition behavior  of organic polyol SS-PCM</w:t>
      </w:r>
      <w:r w:rsidR="00736714">
        <w:t xml:space="preserve"> [10]</w:t>
      </w:r>
      <w:r w:rsidR="00A165BA">
        <w:t>.</w:t>
      </w:r>
      <w:bookmarkEnd w:id="19"/>
    </w:p>
    <w:p w14:paraId="2DA13972" w14:textId="24C90748" w:rsidR="00C9472C" w:rsidRDefault="00C9472C" w:rsidP="00C9472C">
      <w:pPr>
        <w:pStyle w:val="Heading4"/>
        <w:rPr>
          <w:lang w:val="en-US"/>
        </w:rPr>
      </w:pPr>
      <w:r w:rsidRPr="00C9472C">
        <w:rPr>
          <w:lang w:val="en-US"/>
        </w:rPr>
        <w:t>Polymeric Solid-Solid PCMs</w:t>
      </w:r>
    </w:p>
    <w:p w14:paraId="2CF069A5" w14:textId="4C8C0454" w:rsidR="00C9472C" w:rsidRPr="00EF7AD5" w:rsidRDefault="00C9472C" w:rsidP="00C9472C">
      <w:pPr>
        <w:rPr>
          <w:rFonts w:cs="Times New Roman"/>
          <w:lang w:val="en-US"/>
        </w:rPr>
      </w:pPr>
      <w:r w:rsidRPr="00EF7AD5">
        <w:rPr>
          <w:rFonts w:cs="Times New Roman"/>
          <w:lang w:val="en-US"/>
        </w:rPr>
        <w:t xml:space="preserve">Polymeric PCMs consist of a solid–liquid macromolecule that is chemically linked to a polymer. The soft part undergoes melting and is stabilized by the hard part, resulting in a solid–solid phase transition, as shown in Figure </w:t>
      </w:r>
      <w:r w:rsidR="00CF7E04">
        <w:rPr>
          <w:rFonts w:cs="Times New Roman"/>
          <w:lang w:val="en-US"/>
        </w:rPr>
        <w:t>1.5</w:t>
      </w:r>
      <w:r w:rsidRPr="00EF7AD5">
        <w:rPr>
          <w:rFonts w:cs="Times New Roman"/>
          <w:lang w:val="en-US"/>
        </w:rPr>
        <w:t xml:space="preserve">. Organic compounds such as fatty acids are SL-PCMs with high latent heats. Another high-enthalpy PCM is polyethylene glycol (PEG), which exhibits good phase change properties at molecular weights above 4000. The enthalpy of polymeric PCMs depends on the active component used. Composite solid PCMs have lower enthalpy compared to the original phase-changing polymer, since the supporting structure does not take part in the phase transition. PEG is the most commonly used substance, and some studies </w:t>
      </w:r>
      <w:sdt>
        <w:sdtPr>
          <w:rPr>
            <w:rFonts w:cs="Times New Roman"/>
            <w:lang w:val="en-US"/>
          </w:rPr>
          <w:id w:val="-1182123900"/>
          <w:citation/>
        </w:sdtPr>
        <w:sdtContent>
          <w:r w:rsidR="00EF7AD5" w:rsidRPr="00EF7AD5">
            <w:rPr>
              <w:rFonts w:cs="Times New Roman"/>
              <w:lang w:val="en-US"/>
            </w:rPr>
            <w:fldChar w:fldCharType="begin"/>
          </w:r>
          <w:r w:rsidR="00EF7AD5" w:rsidRPr="00EF7AD5">
            <w:rPr>
              <w:rFonts w:cs="Times New Roman"/>
              <w:lang w:val="en-US"/>
            </w:rPr>
            <w:instrText xml:space="preserve"> CITATION Placeholder21 \l 1040 </w:instrText>
          </w:r>
          <w:r w:rsidR="00EF7AD5" w:rsidRPr="00EF7AD5">
            <w:rPr>
              <w:rFonts w:cs="Times New Roman"/>
              <w:lang w:val="en-US"/>
            </w:rPr>
            <w:fldChar w:fldCharType="separate"/>
          </w:r>
          <w:r w:rsidR="00855396" w:rsidRPr="00855396">
            <w:rPr>
              <w:rFonts w:cs="Times New Roman"/>
              <w:noProof/>
              <w:lang w:val="en-US"/>
            </w:rPr>
            <w:t>[15]</w:t>
          </w:r>
          <w:r w:rsidR="00EF7AD5" w:rsidRPr="00EF7AD5">
            <w:rPr>
              <w:rFonts w:cs="Times New Roman"/>
              <w:lang w:val="en-US"/>
            </w:rPr>
            <w:fldChar w:fldCharType="end"/>
          </w:r>
        </w:sdtContent>
      </w:sdt>
      <w:r w:rsidRPr="00EF7AD5">
        <w:rPr>
          <w:rFonts w:cs="Times New Roman"/>
          <w:lang w:val="en-US"/>
        </w:rPr>
        <w:t xml:space="preserve"> have shown that the molecular weight of PEG directly influences its phase transition temperature and enthalpy. Table 5</w:t>
      </w:r>
      <w:r w:rsidRPr="00EF7AD5">
        <w:rPr>
          <w:lang w:val="en-US"/>
        </w:rPr>
        <w:t xml:space="preserve"> </w:t>
      </w:r>
      <w:r w:rsidRPr="00EF7AD5">
        <w:rPr>
          <w:rFonts w:cs="Times New Roman"/>
          <w:lang w:val="en-US"/>
        </w:rPr>
        <w:t xml:space="preserve">presents thermophysical data for polymeric solid–solid PCMs as phase transition temperature, latent heat of transition, and, when reported, melting temperature. </w:t>
      </w:r>
    </w:p>
    <w:tbl>
      <w:tblPr>
        <w:tblStyle w:val="TableGrid"/>
        <w:tblW w:w="9209" w:type="dxa"/>
        <w:tblLook w:val="04A0" w:firstRow="1" w:lastRow="0" w:firstColumn="1" w:lastColumn="0" w:noHBand="0" w:noVBand="1"/>
      </w:tblPr>
      <w:tblGrid>
        <w:gridCol w:w="2943"/>
        <w:gridCol w:w="1843"/>
        <w:gridCol w:w="2155"/>
        <w:gridCol w:w="2268"/>
      </w:tblGrid>
      <w:tr w:rsidR="00C9472C" w:rsidRPr="00EF7AD5" w14:paraId="4C8B74DD" w14:textId="77777777" w:rsidTr="00EF7AD5">
        <w:tc>
          <w:tcPr>
            <w:tcW w:w="2943" w:type="dxa"/>
            <w:shd w:val="clear" w:color="auto" w:fill="8EA5B6"/>
            <w:vAlign w:val="center"/>
          </w:tcPr>
          <w:p w14:paraId="0D72FDD5" w14:textId="77777777" w:rsidR="00EF7AD5" w:rsidRPr="00EF7AD5" w:rsidRDefault="00EF7AD5" w:rsidP="00EF7AD5">
            <w:pPr>
              <w:jc w:val="center"/>
              <w:rPr>
                <w:rFonts w:cs="Times New Roman"/>
                <w:b/>
                <w:bCs/>
                <w:sz w:val="22"/>
              </w:rPr>
            </w:pPr>
            <w:r w:rsidRPr="00EF7AD5">
              <w:rPr>
                <w:rFonts w:cs="Times New Roman"/>
                <w:b/>
                <w:bCs/>
                <w:sz w:val="22"/>
              </w:rPr>
              <w:t>POLYMERICS</w:t>
            </w:r>
          </w:p>
          <w:p w14:paraId="1E11B0D7" w14:textId="77777777" w:rsidR="00C9472C" w:rsidRPr="00EF7AD5" w:rsidRDefault="00C9472C" w:rsidP="00EF7AD5">
            <w:pPr>
              <w:jc w:val="center"/>
              <w:rPr>
                <w:rFonts w:cs="Times New Roman"/>
                <w:b/>
                <w:bCs/>
                <w:sz w:val="22"/>
                <w:lang w:val="en-US"/>
              </w:rPr>
            </w:pPr>
          </w:p>
        </w:tc>
        <w:tc>
          <w:tcPr>
            <w:tcW w:w="1843" w:type="dxa"/>
            <w:shd w:val="clear" w:color="auto" w:fill="8EA5B6"/>
            <w:vAlign w:val="center"/>
          </w:tcPr>
          <w:p w14:paraId="27B9F00A" w14:textId="77777777" w:rsidR="00C9472C" w:rsidRPr="00EF7AD5" w:rsidRDefault="00C9472C" w:rsidP="00EF7AD5">
            <w:pPr>
              <w:jc w:val="center"/>
              <w:rPr>
                <w:rFonts w:cs="Times New Roman"/>
                <w:b/>
                <w:bCs/>
                <w:sz w:val="22"/>
              </w:rPr>
            </w:pPr>
            <w:r w:rsidRPr="00EF7AD5">
              <w:rPr>
                <w:rFonts w:cs="Times New Roman"/>
                <w:b/>
                <w:bCs/>
                <w:sz w:val="22"/>
              </w:rPr>
              <w:t>Phase transition temperature (°C)</w:t>
            </w:r>
          </w:p>
        </w:tc>
        <w:tc>
          <w:tcPr>
            <w:tcW w:w="2155" w:type="dxa"/>
            <w:shd w:val="clear" w:color="auto" w:fill="8EA5B6"/>
            <w:vAlign w:val="center"/>
          </w:tcPr>
          <w:p w14:paraId="233A717F" w14:textId="77777777" w:rsidR="00C9472C" w:rsidRPr="00EF7AD5" w:rsidRDefault="00C9472C" w:rsidP="00EF7AD5">
            <w:pPr>
              <w:jc w:val="center"/>
              <w:rPr>
                <w:rFonts w:cs="Times New Roman"/>
                <w:b/>
                <w:bCs/>
                <w:sz w:val="22"/>
                <w:lang w:val="en-US"/>
              </w:rPr>
            </w:pPr>
            <w:r w:rsidRPr="00EF7AD5">
              <w:rPr>
                <w:rFonts w:cs="Times New Roman"/>
                <w:b/>
                <w:bCs/>
                <w:sz w:val="22"/>
                <w:lang w:val="en-US"/>
              </w:rPr>
              <w:t>Latent heat of transition (J/g)</w:t>
            </w:r>
          </w:p>
        </w:tc>
        <w:tc>
          <w:tcPr>
            <w:tcW w:w="2268" w:type="dxa"/>
            <w:shd w:val="clear" w:color="auto" w:fill="8EA5B6"/>
            <w:vAlign w:val="center"/>
          </w:tcPr>
          <w:p w14:paraId="1420E204" w14:textId="77777777" w:rsidR="00C9472C" w:rsidRPr="00EF7AD5" w:rsidRDefault="00C9472C" w:rsidP="00EF7AD5">
            <w:pPr>
              <w:jc w:val="center"/>
              <w:rPr>
                <w:rFonts w:cs="Times New Roman"/>
                <w:b/>
                <w:bCs/>
                <w:sz w:val="22"/>
              </w:rPr>
            </w:pPr>
            <w:r w:rsidRPr="00EF7AD5">
              <w:rPr>
                <w:rFonts w:cs="Times New Roman"/>
                <w:b/>
                <w:bCs/>
                <w:sz w:val="22"/>
              </w:rPr>
              <w:t>Melting temperature (°C)</w:t>
            </w:r>
          </w:p>
        </w:tc>
      </w:tr>
      <w:tr w:rsidR="00C9472C" w:rsidRPr="00EF7AD5" w14:paraId="288F6188" w14:textId="77777777" w:rsidTr="00EF7AD5">
        <w:tc>
          <w:tcPr>
            <w:tcW w:w="2943" w:type="dxa"/>
            <w:vAlign w:val="center"/>
          </w:tcPr>
          <w:p w14:paraId="0C0DF53E" w14:textId="7C8E348F" w:rsidR="00C9472C" w:rsidRPr="00EF7AD5" w:rsidRDefault="00C9472C" w:rsidP="00EF7AD5">
            <w:pPr>
              <w:jc w:val="center"/>
              <w:rPr>
                <w:rFonts w:cs="Times New Roman"/>
                <w:sz w:val="22"/>
                <w:lang w:val="en-US"/>
              </w:rPr>
            </w:pPr>
            <w:r w:rsidRPr="00EF7AD5">
              <w:rPr>
                <w:rFonts w:cs="Times New Roman"/>
                <w:sz w:val="22"/>
                <w:lang w:val="en-US"/>
              </w:rPr>
              <w:t>Poly(2-myristoxyethyl acrylate-co-methylacrylate)</w:t>
            </w:r>
          </w:p>
        </w:tc>
        <w:tc>
          <w:tcPr>
            <w:tcW w:w="1843" w:type="dxa"/>
            <w:vAlign w:val="center"/>
          </w:tcPr>
          <w:p w14:paraId="0E85FD21" w14:textId="77777777" w:rsidR="00C9472C" w:rsidRPr="00EF7AD5" w:rsidRDefault="00C9472C" w:rsidP="00EF7AD5">
            <w:pPr>
              <w:jc w:val="center"/>
              <w:rPr>
                <w:rFonts w:cs="Times New Roman"/>
                <w:sz w:val="22"/>
              </w:rPr>
            </w:pPr>
            <w:r w:rsidRPr="00EF7AD5">
              <w:rPr>
                <w:rFonts w:cs="Times New Roman"/>
                <w:sz w:val="22"/>
              </w:rPr>
              <w:t>-5.8 – 1.4</w:t>
            </w:r>
          </w:p>
        </w:tc>
        <w:tc>
          <w:tcPr>
            <w:tcW w:w="2155" w:type="dxa"/>
            <w:vAlign w:val="center"/>
          </w:tcPr>
          <w:p w14:paraId="454C97E8" w14:textId="77777777" w:rsidR="00C9472C" w:rsidRPr="00EF7AD5" w:rsidRDefault="00C9472C" w:rsidP="00EF7AD5">
            <w:pPr>
              <w:jc w:val="center"/>
              <w:rPr>
                <w:rFonts w:cs="Times New Roman"/>
                <w:sz w:val="22"/>
              </w:rPr>
            </w:pPr>
            <w:r w:rsidRPr="00EF7AD5">
              <w:rPr>
                <w:rFonts w:cs="Times New Roman"/>
                <w:sz w:val="22"/>
              </w:rPr>
              <w:t>48.5–110.8</w:t>
            </w:r>
          </w:p>
        </w:tc>
        <w:tc>
          <w:tcPr>
            <w:tcW w:w="2268" w:type="dxa"/>
            <w:vAlign w:val="center"/>
          </w:tcPr>
          <w:p w14:paraId="266C6C9C" w14:textId="77777777" w:rsidR="00C9472C" w:rsidRPr="00EF7AD5" w:rsidRDefault="00C9472C" w:rsidP="00EF7AD5">
            <w:pPr>
              <w:jc w:val="center"/>
              <w:rPr>
                <w:rFonts w:cs="Times New Roman"/>
                <w:sz w:val="22"/>
              </w:rPr>
            </w:pPr>
            <w:r w:rsidRPr="00EF7AD5">
              <w:rPr>
                <w:rFonts w:cs="Times New Roman"/>
                <w:sz w:val="22"/>
              </w:rPr>
              <w:t>-</w:t>
            </w:r>
          </w:p>
        </w:tc>
      </w:tr>
      <w:tr w:rsidR="00C9472C" w:rsidRPr="00EF7AD5" w14:paraId="097FBFAA" w14:textId="77777777" w:rsidTr="00EF7AD5">
        <w:tc>
          <w:tcPr>
            <w:tcW w:w="2943" w:type="dxa"/>
            <w:vAlign w:val="center"/>
          </w:tcPr>
          <w:p w14:paraId="76B07F57" w14:textId="16D273FB" w:rsidR="00C9472C" w:rsidRPr="00EF7AD5" w:rsidRDefault="00C9472C" w:rsidP="00EF7AD5">
            <w:pPr>
              <w:jc w:val="center"/>
              <w:rPr>
                <w:rFonts w:cs="Times New Roman"/>
                <w:sz w:val="22"/>
              </w:rPr>
            </w:pPr>
            <w:r w:rsidRPr="00EF7AD5">
              <w:rPr>
                <w:rFonts w:cs="Times New Roman"/>
                <w:sz w:val="22"/>
              </w:rPr>
              <w:t>Cellulose-g-Polyethylene glycol</w:t>
            </w:r>
          </w:p>
        </w:tc>
        <w:tc>
          <w:tcPr>
            <w:tcW w:w="1843" w:type="dxa"/>
            <w:vAlign w:val="center"/>
          </w:tcPr>
          <w:p w14:paraId="6C122B62" w14:textId="77777777" w:rsidR="00C9472C" w:rsidRPr="00EF7AD5" w:rsidRDefault="00C9472C" w:rsidP="00EF7AD5">
            <w:pPr>
              <w:jc w:val="center"/>
              <w:rPr>
                <w:rFonts w:cs="Times New Roman"/>
                <w:sz w:val="22"/>
              </w:rPr>
            </w:pPr>
            <w:r w:rsidRPr="00EF7AD5">
              <w:rPr>
                <w:rFonts w:cs="Times New Roman"/>
                <w:sz w:val="22"/>
              </w:rPr>
              <w:t>12.2–19.4</w:t>
            </w:r>
          </w:p>
        </w:tc>
        <w:tc>
          <w:tcPr>
            <w:tcW w:w="2155" w:type="dxa"/>
            <w:vAlign w:val="center"/>
          </w:tcPr>
          <w:p w14:paraId="10173555" w14:textId="77777777" w:rsidR="00C9472C" w:rsidRPr="00EF7AD5" w:rsidRDefault="00C9472C" w:rsidP="00EF7AD5">
            <w:pPr>
              <w:jc w:val="center"/>
              <w:rPr>
                <w:rFonts w:cs="Times New Roman"/>
                <w:sz w:val="22"/>
              </w:rPr>
            </w:pPr>
            <w:r w:rsidRPr="00EF7AD5">
              <w:rPr>
                <w:rFonts w:cs="Times New Roman"/>
                <w:sz w:val="22"/>
              </w:rPr>
              <w:t>70.3–192.1</w:t>
            </w:r>
          </w:p>
        </w:tc>
        <w:tc>
          <w:tcPr>
            <w:tcW w:w="2268" w:type="dxa"/>
            <w:vAlign w:val="center"/>
          </w:tcPr>
          <w:p w14:paraId="6565B28D" w14:textId="77777777" w:rsidR="00C9472C" w:rsidRPr="00EF7AD5" w:rsidRDefault="00C9472C" w:rsidP="00EF7AD5">
            <w:pPr>
              <w:jc w:val="center"/>
              <w:rPr>
                <w:rFonts w:cs="Times New Roman"/>
                <w:sz w:val="22"/>
              </w:rPr>
            </w:pPr>
            <w:r w:rsidRPr="00EF7AD5">
              <w:rPr>
                <w:rFonts w:cs="Times New Roman"/>
                <w:sz w:val="22"/>
              </w:rPr>
              <w:t>40.2–41.6</w:t>
            </w:r>
          </w:p>
        </w:tc>
      </w:tr>
      <w:tr w:rsidR="00C9472C" w:rsidRPr="00EF7AD5" w14:paraId="7E7D9DA3" w14:textId="77777777" w:rsidTr="00EF7AD5">
        <w:tc>
          <w:tcPr>
            <w:tcW w:w="2943" w:type="dxa"/>
            <w:vAlign w:val="center"/>
          </w:tcPr>
          <w:p w14:paraId="6A7ECD9F" w14:textId="67F203C9" w:rsidR="00C9472C" w:rsidRPr="00EF7AD5" w:rsidRDefault="00C9472C" w:rsidP="00EF7AD5">
            <w:pPr>
              <w:jc w:val="center"/>
              <w:rPr>
                <w:rFonts w:cs="Times New Roman"/>
                <w:sz w:val="22"/>
              </w:rPr>
            </w:pPr>
            <w:r w:rsidRPr="00EF7AD5">
              <w:rPr>
                <w:rFonts w:cs="Times New Roman"/>
                <w:sz w:val="22"/>
              </w:rPr>
              <w:t>Polystyrene-co-stearoxyethyl acrylate</w:t>
            </w:r>
          </w:p>
        </w:tc>
        <w:tc>
          <w:tcPr>
            <w:tcW w:w="1843" w:type="dxa"/>
            <w:vAlign w:val="center"/>
          </w:tcPr>
          <w:p w14:paraId="1DA32CE6" w14:textId="77777777" w:rsidR="00C9472C" w:rsidRPr="00EF7AD5" w:rsidRDefault="00C9472C" w:rsidP="00EF7AD5">
            <w:pPr>
              <w:jc w:val="center"/>
              <w:rPr>
                <w:rFonts w:cs="Times New Roman"/>
                <w:sz w:val="22"/>
              </w:rPr>
            </w:pPr>
            <w:r w:rsidRPr="00EF7AD5">
              <w:rPr>
                <w:rFonts w:cs="Times New Roman"/>
                <w:sz w:val="22"/>
              </w:rPr>
              <w:t>23.3–27.5</w:t>
            </w:r>
          </w:p>
        </w:tc>
        <w:tc>
          <w:tcPr>
            <w:tcW w:w="2155" w:type="dxa"/>
            <w:vAlign w:val="center"/>
          </w:tcPr>
          <w:p w14:paraId="17FE28C2" w14:textId="77777777" w:rsidR="00C9472C" w:rsidRPr="00EF7AD5" w:rsidRDefault="00C9472C" w:rsidP="00EF7AD5">
            <w:pPr>
              <w:jc w:val="center"/>
              <w:rPr>
                <w:rFonts w:cs="Times New Roman"/>
                <w:sz w:val="22"/>
              </w:rPr>
            </w:pPr>
            <w:r w:rsidRPr="00EF7AD5">
              <w:rPr>
                <w:rFonts w:cs="Times New Roman"/>
                <w:sz w:val="22"/>
              </w:rPr>
              <w:t>54.8–84.3</w:t>
            </w:r>
          </w:p>
        </w:tc>
        <w:tc>
          <w:tcPr>
            <w:tcW w:w="2268" w:type="dxa"/>
            <w:vAlign w:val="center"/>
          </w:tcPr>
          <w:p w14:paraId="0C6E4C9B" w14:textId="77777777" w:rsidR="00C9472C" w:rsidRPr="00EF7AD5" w:rsidRDefault="00C9472C" w:rsidP="00EF7AD5">
            <w:pPr>
              <w:jc w:val="center"/>
              <w:rPr>
                <w:rFonts w:cs="Times New Roman"/>
                <w:sz w:val="22"/>
              </w:rPr>
            </w:pPr>
            <w:r w:rsidRPr="00EF7AD5">
              <w:rPr>
                <w:rFonts w:cs="Times New Roman"/>
                <w:sz w:val="22"/>
              </w:rPr>
              <w:t>-</w:t>
            </w:r>
          </w:p>
        </w:tc>
      </w:tr>
      <w:tr w:rsidR="00C9472C" w:rsidRPr="00EF7AD5" w14:paraId="36918D2D" w14:textId="77777777" w:rsidTr="00EF7AD5">
        <w:tc>
          <w:tcPr>
            <w:tcW w:w="2943" w:type="dxa"/>
            <w:vAlign w:val="center"/>
          </w:tcPr>
          <w:p w14:paraId="35F9BDCB" w14:textId="2C3FF267" w:rsidR="00C9472C" w:rsidRPr="00EF7AD5" w:rsidRDefault="00C9472C" w:rsidP="00EF7AD5">
            <w:pPr>
              <w:jc w:val="center"/>
              <w:rPr>
                <w:rFonts w:cs="Times New Roman"/>
                <w:sz w:val="22"/>
              </w:rPr>
            </w:pPr>
            <w:r w:rsidRPr="00EF7AD5">
              <w:rPr>
                <w:rFonts w:cs="Times New Roman"/>
                <w:sz w:val="22"/>
              </w:rPr>
              <w:t>Polyethylene glycol</w:t>
            </w:r>
          </w:p>
        </w:tc>
        <w:tc>
          <w:tcPr>
            <w:tcW w:w="1843" w:type="dxa"/>
            <w:vAlign w:val="center"/>
          </w:tcPr>
          <w:p w14:paraId="48F2DA21" w14:textId="77777777" w:rsidR="00C9472C" w:rsidRPr="00EF7AD5" w:rsidRDefault="00C9472C" w:rsidP="00EF7AD5">
            <w:pPr>
              <w:jc w:val="center"/>
              <w:rPr>
                <w:rFonts w:cs="Times New Roman"/>
                <w:sz w:val="22"/>
              </w:rPr>
            </w:pPr>
            <w:r w:rsidRPr="00EF7AD5">
              <w:rPr>
                <w:rFonts w:cs="Times New Roman"/>
                <w:sz w:val="22"/>
              </w:rPr>
              <w:t>36–59.9</w:t>
            </w:r>
          </w:p>
        </w:tc>
        <w:tc>
          <w:tcPr>
            <w:tcW w:w="2155" w:type="dxa"/>
            <w:vAlign w:val="center"/>
          </w:tcPr>
          <w:p w14:paraId="27A70579" w14:textId="77777777" w:rsidR="00C9472C" w:rsidRPr="00EF7AD5" w:rsidRDefault="00C9472C" w:rsidP="00EF7AD5">
            <w:pPr>
              <w:jc w:val="center"/>
              <w:rPr>
                <w:rFonts w:cs="Times New Roman"/>
                <w:sz w:val="22"/>
              </w:rPr>
            </w:pPr>
            <w:r w:rsidRPr="00EF7AD5">
              <w:rPr>
                <w:rFonts w:cs="Times New Roman"/>
                <w:sz w:val="22"/>
              </w:rPr>
              <w:t>91–107.5</w:t>
            </w:r>
          </w:p>
        </w:tc>
        <w:tc>
          <w:tcPr>
            <w:tcW w:w="2268" w:type="dxa"/>
            <w:vAlign w:val="center"/>
          </w:tcPr>
          <w:p w14:paraId="4D89B27F" w14:textId="77777777" w:rsidR="00C9472C" w:rsidRPr="00EF7AD5" w:rsidRDefault="00C9472C" w:rsidP="00EF7AD5">
            <w:pPr>
              <w:jc w:val="center"/>
              <w:rPr>
                <w:rFonts w:cs="Times New Roman"/>
                <w:sz w:val="22"/>
              </w:rPr>
            </w:pPr>
            <w:r w:rsidRPr="00EF7AD5">
              <w:rPr>
                <w:rFonts w:cs="Times New Roman"/>
                <w:sz w:val="22"/>
              </w:rPr>
              <w:t>-</w:t>
            </w:r>
          </w:p>
        </w:tc>
      </w:tr>
      <w:tr w:rsidR="00C9472C" w:rsidRPr="00EF7AD5" w14:paraId="63F2D621" w14:textId="77777777" w:rsidTr="00EF7AD5">
        <w:tc>
          <w:tcPr>
            <w:tcW w:w="2943" w:type="dxa"/>
            <w:vAlign w:val="center"/>
          </w:tcPr>
          <w:p w14:paraId="585FA46A" w14:textId="23CC1805" w:rsidR="00C9472C" w:rsidRPr="00EF7AD5" w:rsidRDefault="00C9472C" w:rsidP="00EF7AD5">
            <w:pPr>
              <w:jc w:val="center"/>
              <w:rPr>
                <w:rFonts w:cs="Times New Roman"/>
                <w:sz w:val="22"/>
              </w:rPr>
            </w:pPr>
            <w:r w:rsidRPr="00EF7AD5">
              <w:rPr>
                <w:rFonts w:cs="Times New Roman"/>
                <w:sz w:val="22"/>
              </w:rPr>
              <w:t>Polyethylene glycol 100,000</w:t>
            </w:r>
          </w:p>
        </w:tc>
        <w:tc>
          <w:tcPr>
            <w:tcW w:w="1843" w:type="dxa"/>
            <w:vAlign w:val="center"/>
          </w:tcPr>
          <w:p w14:paraId="68334ABA" w14:textId="77777777" w:rsidR="00C9472C" w:rsidRPr="00EF7AD5" w:rsidRDefault="00C9472C" w:rsidP="00EF7AD5">
            <w:pPr>
              <w:jc w:val="center"/>
              <w:rPr>
                <w:rFonts w:cs="Times New Roman"/>
                <w:sz w:val="22"/>
              </w:rPr>
            </w:pPr>
            <w:r w:rsidRPr="00EF7AD5">
              <w:rPr>
                <w:rFonts w:cs="Times New Roman"/>
                <w:sz w:val="22"/>
              </w:rPr>
              <w:t>38.6</w:t>
            </w:r>
          </w:p>
        </w:tc>
        <w:tc>
          <w:tcPr>
            <w:tcW w:w="2155" w:type="dxa"/>
            <w:vAlign w:val="center"/>
          </w:tcPr>
          <w:p w14:paraId="12C6A1B5" w14:textId="77777777" w:rsidR="00C9472C" w:rsidRPr="00EF7AD5" w:rsidRDefault="00C9472C" w:rsidP="00EF7AD5">
            <w:pPr>
              <w:jc w:val="center"/>
              <w:rPr>
                <w:rFonts w:cs="Times New Roman"/>
                <w:sz w:val="22"/>
              </w:rPr>
            </w:pPr>
            <w:r w:rsidRPr="00EF7AD5">
              <w:rPr>
                <w:rFonts w:cs="Times New Roman"/>
                <w:sz w:val="22"/>
              </w:rPr>
              <w:t>166.3</w:t>
            </w:r>
          </w:p>
        </w:tc>
        <w:tc>
          <w:tcPr>
            <w:tcW w:w="2268" w:type="dxa"/>
            <w:vAlign w:val="center"/>
          </w:tcPr>
          <w:p w14:paraId="693651F3" w14:textId="77777777" w:rsidR="00C9472C" w:rsidRPr="00EF7AD5" w:rsidRDefault="00C9472C" w:rsidP="00EF7AD5">
            <w:pPr>
              <w:jc w:val="center"/>
              <w:rPr>
                <w:rFonts w:cs="Times New Roman"/>
                <w:sz w:val="22"/>
              </w:rPr>
            </w:pPr>
            <w:r w:rsidRPr="00EF7AD5">
              <w:rPr>
                <w:rFonts w:cs="Times New Roman"/>
                <w:sz w:val="22"/>
              </w:rPr>
              <w:t>83.62</w:t>
            </w:r>
          </w:p>
        </w:tc>
      </w:tr>
      <w:tr w:rsidR="00C9472C" w:rsidRPr="00EF7AD5" w14:paraId="105BD0AF" w14:textId="77777777" w:rsidTr="00EF7AD5">
        <w:tc>
          <w:tcPr>
            <w:tcW w:w="2943" w:type="dxa"/>
            <w:vAlign w:val="center"/>
          </w:tcPr>
          <w:p w14:paraId="760D9DAE" w14:textId="35FC62F9" w:rsidR="00C9472C" w:rsidRPr="00EF7AD5" w:rsidRDefault="00C9472C" w:rsidP="00EF7AD5">
            <w:pPr>
              <w:jc w:val="center"/>
              <w:rPr>
                <w:rFonts w:cs="Times New Roman"/>
                <w:sz w:val="22"/>
              </w:rPr>
            </w:pPr>
            <w:r w:rsidRPr="00EF7AD5">
              <w:rPr>
                <w:rFonts w:cs="Times New Roman"/>
                <w:sz w:val="22"/>
              </w:rPr>
              <w:lastRenderedPageBreak/>
              <w:t>Polyethylene glycol</w:t>
            </w:r>
          </w:p>
          <w:p w14:paraId="0367196C" w14:textId="77777777" w:rsidR="00C9472C" w:rsidRPr="00EF7AD5" w:rsidRDefault="00C9472C" w:rsidP="00EF7AD5">
            <w:pPr>
              <w:jc w:val="center"/>
              <w:rPr>
                <w:rFonts w:cs="Times New Roman"/>
                <w:b/>
                <w:bCs/>
                <w:sz w:val="22"/>
              </w:rPr>
            </w:pPr>
            <w:r w:rsidRPr="00EF7AD5">
              <w:rPr>
                <w:rFonts w:cs="Times New Roman"/>
                <w:sz w:val="22"/>
              </w:rPr>
              <w:t>8000/4,4’-diphenylmethane diisocyanate/Glucose</w:t>
            </w:r>
          </w:p>
        </w:tc>
        <w:tc>
          <w:tcPr>
            <w:tcW w:w="1843" w:type="dxa"/>
            <w:vAlign w:val="center"/>
          </w:tcPr>
          <w:p w14:paraId="2546E56E" w14:textId="77777777" w:rsidR="00C9472C" w:rsidRPr="00EF7AD5" w:rsidRDefault="00C9472C" w:rsidP="00EF7AD5">
            <w:pPr>
              <w:jc w:val="center"/>
              <w:rPr>
                <w:rFonts w:cs="Times New Roman"/>
                <w:sz w:val="22"/>
              </w:rPr>
            </w:pPr>
            <w:r w:rsidRPr="00EF7AD5">
              <w:rPr>
                <w:rFonts w:cs="Times New Roman"/>
                <w:sz w:val="22"/>
              </w:rPr>
              <w:t>45.5–46.3</w:t>
            </w:r>
          </w:p>
        </w:tc>
        <w:tc>
          <w:tcPr>
            <w:tcW w:w="2155" w:type="dxa"/>
            <w:vAlign w:val="center"/>
          </w:tcPr>
          <w:p w14:paraId="2BDC7259" w14:textId="77777777" w:rsidR="00C9472C" w:rsidRPr="00EF7AD5" w:rsidRDefault="00C9472C" w:rsidP="00EF7AD5">
            <w:pPr>
              <w:jc w:val="center"/>
              <w:rPr>
                <w:rFonts w:cs="Times New Roman"/>
                <w:sz w:val="22"/>
              </w:rPr>
            </w:pPr>
            <w:r w:rsidRPr="00EF7AD5">
              <w:rPr>
                <w:rFonts w:cs="Times New Roman"/>
                <w:sz w:val="22"/>
              </w:rPr>
              <w:t>183.72</w:t>
            </w:r>
          </w:p>
        </w:tc>
        <w:tc>
          <w:tcPr>
            <w:tcW w:w="2268" w:type="dxa"/>
            <w:vAlign w:val="center"/>
          </w:tcPr>
          <w:p w14:paraId="431B7B73" w14:textId="77777777" w:rsidR="00C9472C" w:rsidRPr="00EF7AD5" w:rsidRDefault="00C9472C" w:rsidP="00EF7AD5">
            <w:pPr>
              <w:keepNext/>
              <w:jc w:val="center"/>
              <w:rPr>
                <w:rFonts w:cs="Times New Roman"/>
                <w:sz w:val="22"/>
              </w:rPr>
            </w:pPr>
            <w:r w:rsidRPr="00EF7AD5">
              <w:rPr>
                <w:rFonts w:cs="Times New Roman"/>
                <w:sz w:val="22"/>
              </w:rPr>
              <w:t>56.7–61.4</w:t>
            </w:r>
          </w:p>
        </w:tc>
      </w:tr>
    </w:tbl>
    <w:p w14:paraId="62CBF354" w14:textId="23CDD92A" w:rsidR="00C9472C" w:rsidRDefault="00EF7AD5" w:rsidP="00EF7AD5">
      <w:pPr>
        <w:pStyle w:val="Caption"/>
      </w:pPr>
      <w:bookmarkStart w:id="20" w:name="_Toc214362610"/>
      <w:r>
        <w:t xml:space="preserve">Table </w:t>
      </w:r>
      <w:r w:rsidR="00F43E9A">
        <w:fldChar w:fldCharType="begin"/>
      </w:r>
      <w:r w:rsidR="00F43E9A">
        <w:instrText xml:space="preserve"> STYLEREF 1 \s </w:instrText>
      </w:r>
      <w:r w:rsidR="00F43E9A">
        <w:fldChar w:fldCharType="separate"/>
      </w:r>
      <w:r w:rsidR="000412CE">
        <w:rPr>
          <w:noProof/>
        </w:rPr>
        <w:t>1</w:t>
      </w:r>
      <w:r w:rsidR="00F43E9A">
        <w:fldChar w:fldCharType="end"/>
      </w:r>
      <w:r w:rsidR="00F43E9A">
        <w:t>.</w:t>
      </w:r>
      <w:r w:rsidR="00F43E9A">
        <w:fldChar w:fldCharType="begin"/>
      </w:r>
      <w:r w:rsidR="00F43E9A">
        <w:instrText xml:space="preserve"> SEQ Table \* ARABIC \s 1 </w:instrText>
      </w:r>
      <w:r w:rsidR="00F43E9A">
        <w:fldChar w:fldCharType="separate"/>
      </w:r>
      <w:r w:rsidR="000412CE">
        <w:rPr>
          <w:noProof/>
        </w:rPr>
        <w:t>5</w:t>
      </w:r>
      <w:r w:rsidR="00F43E9A">
        <w:fldChar w:fldCharType="end"/>
      </w:r>
      <w:r w:rsidR="005A414B">
        <w:t>.</w:t>
      </w:r>
      <w:r>
        <w:t xml:space="preserve"> </w:t>
      </w:r>
      <w:r w:rsidRPr="00FE30AE">
        <w:t>Thermophysical properties of polymeric solid–solid PCMs: phase transition temperature, latent heat of transition, and melting temperature</w:t>
      </w:r>
      <w:r w:rsidR="00A165BA">
        <w:t>.</w:t>
      </w:r>
      <w:bookmarkEnd w:id="20"/>
    </w:p>
    <w:p w14:paraId="0C6464B6" w14:textId="77777777" w:rsidR="00EF7AD5" w:rsidRDefault="00EF7AD5" w:rsidP="00EF7AD5">
      <w:pPr>
        <w:keepNext/>
        <w:jc w:val="center"/>
      </w:pPr>
      <w:r w:rsidRPr="002F03D0">
        <w:rPr>
          <w:rFonts w:ascii="Times New Roman" w:hAnsi="Times New Roman" w:cs="Times New Roman"/>
          <w:noProof/>
          <w:lang w:val="nb-NO"/>
        </w:rPr>
        <w:drawing>
          <wp:inline distT="0" distB="0" distL="0" distR="0" wp14:anchorId="2466E82F" wp14:editId="1EEB6C06">
            <wp:extent cx="5759450" cy="1565055"/>
            <wp:effectExtent l="0" t="0" r="0" b="0"/>
            <wp:docPr id="102038688" name="Immagine 1" descr="Immagine che contiene modello, design, ricam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038688" name="Immagine 1" descr="Immagine che contiene modello, design, ricamo&#10;&#10;Il contenuto generato dall'IA potrebbe non essere corretto."/>
                    <pic:cNvPicPr/>
                  </pic:nvPicPr>
                  <pic:blipFill>
                    <a:blip r:embed="rId39"/>
                    <a:stretch>
                      <a:fillRect/>
                    </a:stretch>
                  </pic:blipFill>
                  <pic:spPr>
                    <a:xfrm>
                      <a:off x="0" y="0"/>
                      <a:ext cx="5759450" cy="1565055"/>
                    </a:xfrm>
                    <a:prstGeom prst="rect">
                      <a:avLst/>
                    </a:prstGeom>
                  </pic:spPr>
                </pic:pic>
              </a:graphicData>
            </a:graphic>
          </wp:inline>
        </w:drawing>
      </w:r>
    </w:p>
    <w:p w14:paraId="46E74BC5" w14:textId="224CB30A" w:rsidR="00C9472C" w:rsidRDefault="00EF7AD5" w:rsidP="00EF7AD5">
      <w:pPr>
        <w:pStyle w:val="Caption"/>
        <w:jc w:val="both"/>
      </w:pPr>
      <w:bookmarkStart w:id="21" w:name="_Toc214357714"/>
      <w:r>
        <w:t xml:space="preserve">Figure </w:t>
      </w:r>
      <w:r w:rsidR="00F824A5">
        <w:fldChar w:fldCharType="begin"/>
      </w:r>
      <w:r w:rsidR="00F824A5">
        <w:instrText xml:space="preserve"> STYLEREF 1 \s </w:instrText>
      </w:r>
      <w:r w:rsidR="00F824A5">
        <w:fldChar w:fldCharType="separate"/>
      </w:r>
      <w:r w:rsidR="000412CE">
        <w:rPr>
          <w:noProof/>
        </w:rPr>
        <w:t>1</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5</w:t>
      </w:r>
      <w:r w:rsidR="00F824A5">
        <w:fldChar w:fldCharType="end"/>
      </w:r>
      <w:r w:rsidRPr="00237B95">
        <w:t>. Phase transition behavior of polymeric SS-PCM</w:t>
      </w:r>
      <w:r w:rsidR="00736714">
        <w:t xml:space="preserve"> [10]</w:t>
      </w:r>
      <w:r w:rsidR="00A165BA">
        <w:t>.</w:t>
      </w:r>
      <w:bookmarkEnd w:id="21"/>
    </w:p>
    <w:p w14:paraId="45D65881" w14:textId="77777777" w:rsidR="00EF7AD5" w:rsidRDefault="00EF7AD5" w:rsidP="00EF7AD5">
      <w:pPr>
        <w:rPr>
          <w:lang w:val="en-US"/>
        </w:rPr>
      </w:pPr>
    </w:p>
    <w:p w14:paraId="0EAA0762" w14:textId="73A2CBAD" w:rsidR="00EF7AD5" w:rsidRPr="00EF7AD5" w:rsidRDefault="002C2AD4" w:rsidP="002C2AD4">
      <w:pPr>
        <w:pStyle w:val="Heading4"/>
        <w:rPr>
          <w:lang w:val="en-US"/>
        </w:rPr>
      </w:pPr>
      <w:r w:rsidRPr="002C2AD4">
        <w:rPr>
          <w:lang w:val="en-US"/>
        </w:rPr>
        <w:t>Organometallic Solid-Solid PCMs</w:t>
      </w:r>
    </w:p>
    <w:p w14:paraId="2361ADD6" w14:textId="572286FE" w:rsidR="002C2AD4" w:rsidRDefault="002C2AD4" w:rsidP="002C2AD4">
      <w:pPr>
        <w:rPr>
          <w:rFonts w:cs="Times New Roman"/>
          <w:lang w:val="en-US"/>
        </w:rPr>
      </w:pPr>
      <w:r>
        <w:rPr>
          <w:noProof/>
        </w:rPr>
        <mc:AlternateContent>
          <mc:Choice Requires="wps">
            <w:drawing>
              <wp:anchor distT="0" distB="0" distL="114300" distR="114300" simplePos="0" relativeHeight="251665408" behindDoc="0" locked="0" layoutInCell="1" allowOverlap="1" wp14:anchorId="5E377314" wp14:editId="710A69A4">
                <wp:simplePos x="0" y="0"/>
                <wp:positionH relativeFrom="column">
                  <wp:posOffset>2825750</wp:posOffset>
                </wp:positionH>
                <wp:positionV relativeFrom="paragraph">
                  <wp:posOffset>2252980</wp:posOffset>
                </wp:positionV>
                <wp:extent cx="2924175" cy="635"/>
                <wp:effectExtent l="0" t="0" r="0" b="0"/>
                <wp:wrapSquare wrapText="bothSides"/>
                <wp:docPr id="2129340583" name="Text Box 1"/>
                <wp:cNvGraphicFramePr/>
                <a:graphic xmlns:a="http://schemas.openxmlformats.org/drawingml/2006/main">
                  <a:graphicData uri="http://schemas.microsoft.com/office/word/2010/wordprocessingShape">
                    <wps:wsp>
                      <wps:cNvSpPr txBox="1"/>
                      <wps:spPr>
                        <a:xfrm>
                          <a:off x="0" y="0"/>
                          <a:ext cx="2924175" cy="635"/>
                        </a:xfrm>
                        <a:prstGeom prst="rect">
                          <a:avLst/>
                        </a:prstGeom>
                        <a:solidFill>
                          <a:prstClr val="white"/>
                        </a:solidFill>
                        <a:ln>
                          <a:noFill/>
                        </a:ln>
                      </wps:spPr>
                      <wps:txbx>
                        <w:txbxContent>
                          <w:p w14:paraId="0844D8E2" w14:textId="5F995EE2" w:rsidR="002C2AD4" w:rsidRPr="002C2AD4" w:rsidRDefault="002C2AD4" w:rsidP="002C2AD4">
                            <w:pPr>
                              <w:pStyle w:val="Caption"/>
                              <w:rPr>
                                <w:rFonts w:cs="Times New Roman"/>
                                <w:noProof/>
                                <w:szCs w:val="22"/>
                              </w:rPr>
                            </w:pPr>
                            <w:bookmarkStart w:id="22" w:name="_Toc214357715"/>
                            <w:r>
                              <w:t xml:space="preserve">Figure </w:t>
                            </w:r>
                            <w:r w:rsidR="00F824A5">
                              <w:fldChar w:fldCharType="begin"/>
                            </w:r>
                            <w:r w:rsidR="00F824A5">
                              <w:instrText xml:space="preserve"> STYLEREF 1 \s </w:instrText>
                            </w:r>
                            <w:r w:rsidR="00F824A5">
                              <w:fldChar w:fldCharType="separate"/>
                            </w:r>
                            <w:r w:rsidR="000412CE">
                              <w:rPr>
                                <w:noProof/>
                              </w:rPr>
                              <w:t>1</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6</w:t>
                            </w:r>
                            <w:r w:rsidR="00F824A5">
                              <w:fldChar w:fldCharType="end"/>
                            </w:r>
                            <w:r w:rsidR="005A414B">
                              <w:t>.</w:t>
                            </w:r>
                            <w:r>
                              <w:t xml:space="preserve"> </w:t>
                            </w:r>
                            <w:r w:rsidRPr="00FD39C5">
                              <w:t>Phase transition behavior of organometallic SS-PCM</w:t>
                            </w:r>
                            <w:r w:rsidR="00736714">
                              <w:t xml:space="preserve"> [10]</w:t>
                            </w:r>
                            <w:r w:rsidR="00A165BA">
                              <w:t>.</w:t>
                            </w:r>
                            <w:bookmarkEnd w:id="2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E377314" id="_x0000_s1027" type="#_x0000_t202" style="position:absolute;left:0;text-align:left;margin-left:222.5pt;margin-top:177.4pt;width:230.25pt;height:.0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" stroked="f">
                <v:textbox style="mso-fit-shape-to-text:t" inset="0,0,0,0">
                  <w:txbxContent>
                    <w:p w14:paraId="0844D8E2" w14:textId="5F995EE2" w:rsidR="002C2AD4" w:rsidRPr="002C2AD4" w:rsidRDefault="002C2AD4" w:rsidP="002C2AD4">
                      <w:pPr>
                        <w:pStyle w:val="Caption"/>
                        <w:rPr>
                          <w:rFonts w:cs="Times New Roman"/>
                          <w:noProof/>
                          <w:szCs w:val="22"/>
                        </w:rPr>
                      </w:pPr>
                      <w:bookmarkStart w:id="23" w:name="_Toc214357715"/>
                      <w:r>
                        <w:t xml:space="preserve">Figure </w:t>
                      </w:r>
                      <w:r w:rsidR="00F824A5">
                        <w:fldChar w:fldCharType="begin"/>
                      </w:r>
                      <w:r w:rsidR="00F824A5">
                        <w:instrText xml:space="preserve"> STYLEREF 1 \s </w:instrText>
                      </w:r>
                      <w:r w:rsidR="00F824A5">
                        <w:fldChar w:fldCharType="separate"/>
                      </w:r>
                      <w:r w:rsidR="000412CE">
                        <w:rPr>
                          <w:noProof/>
                        </w:rPr>
                        <w:t>1</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6</w:t>
                      </w:r>
                      <w:r w:rsidR="00F824A5">
                        <w:fldChar w:fldCharType="end"/>
                      </w:r>
                      <w:r w:rsidR="005A414B">
                        <w:t>.</w:t>
                      </w:r>
                      <w:r>
                        <w:t xml:space="preserve"> </w:t>
                      </w:r>
                      <w:r w:rsidRPr="00FD39C5">
                        <w:t>Phase transition behavior of organometallic SS-PCM</w:t>
                      </w:r>
                      <w:r w:rsidR="00736714">
                        <w:t xml:space="preserve"> [10]</w:t>
                      </w:r>
                      <w:r w:rsidR="00A165BA">
                        <w:t>.</w:t>
                      </w:r>
                      <w:bookmarkEnd w:id="23"/>
                    </w:p>
                  </w:txbxContent>
                </v:textbox>
                <w10:wrap type="square"/>
              </v:shape>
            </w:pict>
          </mc:Fallback>
        </mc:AlternateContent>
      </w:r>
      <w:r w:rsidRPr="002C2AD4">
        <w:rPr>
          <w:rFonts w:cs="Times New Roman"/>
          <w:noProof/>
          <w:lang w:val="nb-NO"/>
        </w:rPr>
        <w:drawing>
          <wp:anchor distT="0" distB="0" distL="114300" distR="114300" simplePos="0" relativeHeight="251663360" behindDoc="0" locked="0" layoutInCell="1" allowOverlap="1" wp14:anchorId="55FD2121" wp14:editId="6D73D8BC">
            <wp:simplePos x="0" y="0"/>
            <wp:positionH relativeFrom="margin">
              <wp:align>right</wp:align>
            </wp:positionH>
            <wp:positionV relativeFrom="paragraph">
              <wp:posOffset>14968</wp:posOffset>
            </wp:positionV>
            <wp:extent cx="2924583" cy="2181529"/>
            <wp:effectExtent l="0" t="0" r="9525" b="9525"/>
            <wp:wrapSquare wrapText="bothSides"/>
            <wp:docPr id="188472958" name="Immagine 1" descr="Immagine che contiene testo, schermata, Carattere,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472958" name="Immagine 1" descr="Immagine che contiene testo, schermata, Carattere, diagramma&#10;&#10;Il contenuto generato dall'IA potrebbe non essere corretto."/>
                    <pic:cNvPicPr/>
                  </pic:nvPicPr>
                  <pic:blipFill>
                    <a:blip r:embed="rId40">
                      <a:extLst>
                        <a:ext uri="{28A0092B-C50C-407E-A947-70E740481C1C}">
                          <a14:useLocalDpi xmlns:a14="http://schemas.microsoft.com/office/drawing/2010/main" val="0"/>
                        </a:ext>
                      </a:extLst>
                    </a:blip>
                    <a:stretch>
                      <a:fillRect/>
                    </a:stretch>
                  </pic:blipFill>
                  <pic:spPr>
                    <a:xfrm>
                      <a:off x="0" y="0"/>
                      <a:ext cx="2924583" cy="2181529"/>
                    </a:xfrm>
                    <a:prstGeom prst="rect">
                      <a:avLst/>
                    </a:prstGeom>
                  </pic:spPr>
                </pic:pic>
              </a:graphicData>
            </a:graphic>
          </wp:anchor>
        </w:drawing>
      </w:r>
      <w:r w:rsidRPr="002C2AD4">
        <w:rPr>
          <w:rFonts w:cs="Times New Roman"/>
          <w:lang w:val="en-US"/>
        </w:rPr>
        <w:t>Organometallic SS-PCMs of the type (1-C</w:t>
      </w:r>
      <w:r w:rsidRPr="002C2AD4">
        <w:rPr>
          <w:rFonts w:ascii="Cambria Math" w:hAnsi="Cambria Math" w:cs="Cambria Math"/>
          <w:lang w:val="en-US"/>
        </w:rPr>
        <w:t>ₙ</w:t>
      </w:r>
      <w:r w:rsidRPr="002C2AD4">
        <w:rPr>
          <w:rFonts w:cs="Times New Roman"/>
          <w:lang w:val="en-US"/>
        </w:rPr>
        <w:t>H</w:t>
      </w:r>
      <w:r w:rsidRPr="002C2AD4">
        <w:rPr>
          <w:rFonts w:cs="Palatino Linotype"/>
          <w:lang w:val="en-US"/>
        </w:rPr>
        <w:t>₂</w:t>
      </w:r>
      <w:r w:rsidRPr="002C2AD4">
        <w:rPr>
          <w:rFonts w:ascii="Cambria Math" w:hAnsi="Cambria Math" w:cs="Cambria Math"/>
          <w:lang w:val="en-US"/>
        </w:rPr>
        <w:t>ₙ</w:t>
      </w:r>
      <w:r w:rsidRPr="002C2AD4">
        <w:rPr>
          <w:rFonts w:cs="Palatino Linotype"/>
          <w:lang w:val="en-US"/>
        </w:rPr>
        <w:t>₊₁</w:t>
      </w:r>
      <w:r w:rsidRPr="002C2AD4">
        <w:rPr>
          <w:rFonts w:cs="Times New Roman"/>
          <w:lang w:val="en-US"/>
        </w:rPr>
        <w:t>NH</w:t>
      </w:r>
      <w:r w:rsidRPr="002C2AD4">
        <w:rPr>
          <w:rFonts w:cs="Palatino Linotype"/>
          <w:lang w:val="en-US"/>
        </w:rPr>
        <w:t>₃</w:t>
      </w:r>
      <w:r w:rsidRPr="002C2AD4">
        <w:rPr>
          <w:rFonts w:cs="Times New Roman"/>
          <w:lang w:val="en-US"/>
        </w:rPr>
        <w:t>)</w:t>
      </w:r>
      <w:r w:rsidRPr="002C2AD4">
        <w:rPr>
          <w:rFonts w:cs="Palatino Linotype"/>
          <w:lang w:val="en-US"/>
        </w:rPr>
        <w:t>₂·</w:t>
      </w:r>
      <w:r w:rsidRPr="002C2AD4">
        <w:rPr>
          <w:rFonts w:cs="Times New Roman"/>
          <w:lang w:val="en-US"/>
        </w:rPr>
        <w:t>MX</w:t>
      </w:r>
      <w:r w:rsidRPr="002C2AD4">
        <w:rPr>
          <w:rFonts w:cs="Palatino Linotype"/>
          <w:lang w:val="en-US"/>
        </w:rPr>
        <w:t>₄</w:t>
      </w:r>
      <w:r w:rsidRPr="002C2AD4">
        <w:rPr>
          <w:rFonts w:cs="Times New Roman"/>
          <w:lang w:val="en-US"/>
        </w:rPr>
        <w:t>, where n is the number of carbon atoms in the hydrocarbon chain, M is a divalent metal, and X is a halogen, are classified as layered perovskites. These structures are formed by MX</w:t>
      </w:r>
      <w:r w:rsidRPr="002C2AD4">
        <w:rPr>
          <w:rFonts w:cs="Palatino Linotype"/>
          <w:lang w:val="en-US"/>
        </w:rPr>
        <w:t>₄</w:t>
      </w:r>
      <w:r w:rsidRPr="002C2AD4">
        <w:rPr>
          <w:rFonts w:cs="Times New Roman"/>
          <w:lang w:val="en-US"/>
        </w:rPr>
        <w:t xml:space="preserve"> layers consisting of halide octahedra connected in a plane, while </w:t>
      </w:r>
      <w:r w:rsidRPr="002C2AD4">
        <w:rPr>
          <w:rFonts w:cs="Palatino Linotype"/>
          <w:lang w:val="en-US"/>
        </w:rPr>
        <w:t>–</w:t>
      </w:r>
      <w:r w:rsidRPr="002C2AD4">
        <w:rPr>
          <w:rFonts w:cs="Times New Roman"/>
          <w:lang w:val="en-US"/>
        </w:rPr>
        <w:t>NH</w:t>
      </w:r>
      <w:r w:rsidRPr="002C2AD4">
        <w:rPr>
          <w:rFonts w:cs="Palatino Linotype"/>
          <w:lang w:val="en-US"/>
        </w:rPr>
        <w:t>₃</w:t>
      </w:r>
      <w:r w:rsidRPr="002C2AD4">
        <w:rPr>
          <w:rFonts w:cs="Times New Roman"/>
          <w:lang w:val="en-US"/>
        </w:rPr>
        <w:t xml:space="preserve"> groups bond to the halogens through hydrogen bonding and to the hydrocarbon chain through covalent bonding. Several layers are held together by van der Waals forces.</w:t>
      </w:r>
      <w:r w:rsidRPr="002C2AD4">
        <w:rPr>
          <w:lang w:val="en-US"/>
        </w:rPr>
        <w:t xml:space="preserve"> </w:t>
      </w:r>
      <w:r w:rsidRPr="002C2AD4">
        <w:rPr>
          <w:rFonts w:cs="Times New Roman"/>
          <w:lang w:val="en-US"/>
        </w:rPr>
        <w:t xml:space="preserve">Figure </w:t>
      </w:r>
      <w:r>
        <w:rPr>
          <w:rFonts w:cs="Times New Roman"/>
          <w:lang w:val="en-US"/>
        </w:rPr>
        <w:t xml:space="preserve">1.6 </w:t>
      </w:r>
      <w:r w:rsidRPr="002C2AD4">
        <w:rPr>
          <w:rFonts w:cs="Times New Roman"/>
          <w:lang w:val="en-US"/>
        </w:rPr>
        <w:t xml:space="preserve">shows that the structural framework of layered perovskites is formed by MX₄ layers, which consist of halide octahedra sharing corners within a plane. During phase transition, these materials move from an ordered to a disordered state, similar to paraffin melting, but the transition is solid–solid and the inorganic metallic substrate remains unchanged. The properties of these PCMs depend on the chain length (n), the metal, and the halogen. The transition temperature and enthalpy increase with the length of the alkyl chain in the amine. The metallic salt part does not contribute to the enthalpy but instead reduces it compared </w:t>
      </w:r>
      <w:r w:rsidRPr="002C2AD4">
        <w:rPr>
          <w:rFonts w:cs="Times New Roman"/>
          <w:lang w:val="en-US"/>
        </w:rPr>
        <w:lastRenderedPageBreak/>
        <w:t>to normal paraffins. However, the thermal behavior can vary significantly depending on the coordination geometry of the metal atoms</w:t>
      </w:r>
      <w:r w:rsidRPr="002C2AD4">
        <w:rPr>
          <w:rFonts w:cs="Times New Roman"/>
          <w:i/>
          <w:iCs/>
          <w:lang w:val="en-US"/>
        </w:rPr>
        <w:t xml:space="preserve">. </w:t>
      </w:r>
      <w:r w:rsidRPr="002C2AD4">
        <w:rPr>
          <w:rFonts w:cs="Times New Roman"/>
          <w:lang w:val="en-US"/>
        </w:rPr>
        <w:t xml:space="preserve">Table </w:t>
      </w:r>
      <w:r>
        <w:rPr>
          <w:rFonts w:cs="Times New Roman"/>
          <w:lang w:val="en-US"/>
        </w:rPr>
        <w:t>1.</w:t>
      </w:r>
      <w:r w:rsidRPr="002C2AD4">
        <w:rPr>
          <w:rFonts w:cs="Times New Roman"/>
          <w:lang w:val="en-US"/>
        </w:rPr>
        <w:t>6 presents thermophysical data for organometallic solid–solid PCMs as phase transition temperature, latent heat of transition, and, when available, melting temperature.</w:t>
      </w:r>
    </w:p>
    <w:tbl>
      <w:tblPr>
        <w:tblStyle w:val="TableGrid"/>
        <w:tblW w:w="9067" w:type="dxa"/>
        <w:tblLook w:val="04A0" w:firstRow="1" w:lastRow="0" w:firstColumn="1" w:lastColumn="0" w:noHBand="0" w:noVBand="1"/>
      </w:tblPr>
      <w:tblGrid>
        <w:gridCol w:w="2811"/>
        <w:gridCol w:w="1999"/>
        <w:gridCol w:w="2073"/>
        <w:gridCol w:w="2184"/>
      </w:tblGrid>
      <w:tr w:rsidR="002C2AD4" w:rsidRPr="002C2AD4" w14:paraId="29CEF295" w14:textId="77777777" w:rsidTr="002C2AD4">
        <w:tc>
          <w:tcPr>
            <w:tcW w:w="2811" w:type="dxa"/>
            <w:shd w:val="clear" w:color="auto" w:fill="8EA5B6"/>
          </w:tcPr>
          <w:p w14:paraId="5710059D" w14:textId="7F5F3C1E" w:rsidR="002C2AD4" w:rsidRPr="002C2AD4" w:rsidRDefault="002C2AD4" w:rsidP="002C2AD4">
            <w:pPr>
              <w:rPr>
                <w:rFonts w:cs="Times New Roman"/>
                <w:b/>
                <w:bCs/>
                <w:lang w:val="en-US"/>
              </w:rPr>
            </w:pPr>
            <w:r w:rsidRPr="002C2AD4">
              <w:rPr>
                <w:rFonts w:cs="Times New Roman"/>
                <w:b/>
                <w:bCs/>
                <w:lang w:val="en-US"/>
              </w:rPr>
              <w:t>ORGANOMETALLICS</w:t>
            </w:r>
          </w:p>
        </w:tc>
        <w:tc>
          <w:tcPr>
            <w:tcW w:w="1999" w:type="dxa"/>
            <w:shd w:val="clear" w:color="auto" w:fill="8EA5B6"/>
          </w:tcPr>
          <w:p w14:paraId="1CB43CD1" w14:textId="77777777" w:rsidR="002C2AD4" w:rsidRPr="002C2AD4" w:rsidRDefault="002C2AD4" w:rsidP="002C2AD4">
            <w:pPr>
              <w:rPr>
                <w:rFonts w:cs="Times New Roman"/>
                <w:b/>
                <w:bCs/>
                <w:lang w:val="en-US"/>
              </w:rPr>
            </w:pPr>
            <w:r w:rsidRPr="002C2AD4">
              <w:rPr>
                <w:rFonts w:cs="Times New Roman"/>
                <w:b/>
                <w:bCs/>
                <w:lang w:val="en-US"/>
              </w:rPr>
              <w:t>Phase transition temperature (°C)</w:t>
            </w:r>
          </w:p>
        </w:tc>
        <w:tc>
          <w:tcPr>
            <w:tcW w:w="2073" w:type="dxa"/>
            <w:shd w:val="clear" w:color="auto" w:fill="8EA5B6"/>
          </w:tcPr>
          <w:p w14:paraId="498DDD2A" w14:textId="77777777" w:rsidR="002C2AD4" w:rsidRPr="002C2AD4" w:rsidRDefault="002C2AD4" w:rsidP="002C2AD4">
            <w:pPr>
              <w:rPr>
                <w:rFonts w:cs="Times New Roman"/>
                <w:b/>
                <w:bCs/>
                <w:lang w:val="en-US"/>
              </w:rPr>
            </w:pPr>
            <w:r w:rsidRPr="002C2AD4">
              <w:rPr>
                <w:rFonts w:cs="Times New Roman"/>
                <w:b/>
                <w:bCs/>
                <w:lang w:val="en-US"/>
              </w:rPr>
              <w:t>Latent heat of transition (J/g)</w:t>
            </w:r>
          </w:p>
        </w:tc>
        <w:tc>
          <w:tcPr>
            <w:tcW w:w="2184" w:type="dxa"/>
            <w:shd w:val="clear" w:color="auto" w:fill="8EA5B6"/>
          </w:tcPr>
          <w:p w14:paraId="626A79C9" w14:textId="77777777" w:rsidR="002C2AD4" w:rsidRPr="002C2AD4" w:rsidRDefault="002C2AD4" w:rsidP="002C2AD4">
            <w:pPr>
              <w:rPr>
                <w:rFonts w:cs="Times New Roman"/>
                <w:b/>
                <w:bCs/>
                <w:lang w:val="en-US"/>
              </w:rPr>
            </w:pPr>
            <w:r w:rsidRPr="002C2AD4">
              <w:rPr>
                <w:rFonts w:cs="Times New Roman"/>
                <w:b/>
                <w:bCs/>
                <w:lang w:val="en-US"/>
              </w:rPr>
              <w:t>Melting temperature (°C)</w:t>
            </w:r>
          </w:p>
        </w:tc>
      </w:tr>
      <w:tr w:rsidR="002C2AD4" w:rsidRPr="002C2AD4" w14:paraId="23F2ED97" w14:textId="77777777" w:rsidTr="002C2AD4">
        <w:tc>
          <w:tcPr>
            <w:tcW w:w="2811" w:type="dxa"/>
          </w:tcPr>
          <w:p w14:paraId="28F99A9F" w14:textId="77777777" w:rsidR="002C2AD4" w:rsidRPr="002C2AD4" w:rsidRDefault="002C2AD4" w:rsidP="002C2AD4">
            <w:pPr>
              <w:rPr>
                <w:rFonts w:cs="Times New Roman"/>
                <w:lang w:val="en-US"/>
              </w:rPr>
            </w:pPr>
            <w:r w:rsidRPr="002C2AD4">
              <w:rPr>
                <w:rFonts w:cs="Times New Roman"/>
                <w:lang w:val="en-US"/>
              </w:rPr>
              <w:t>C10Mn</w:t>
            </w:r>
          </w:p>
        </w:tc>
        <w:tc>
          <w:tcPr>
            <w:tcW w:w="1999" w:type="dxa"/>
          </w:tcPr>
          <w:p w14:paraId="0AAD896D" w14:textId="77777777" w:rsidR="002C2AD4" w:rsidRPr="002C2AD4" w:rsidRDefault="002C2AD4" w:rsidP="002C2AD4">
            <w:pPr>
              <w:rPr>
                <w:rFonts w:cs="Times New Roman"/>
                <w:lang w:val="en-US"/>
              </w:rPr>
            </w:pPr>
            <w:r w:rsidRPr="002C2AD4">
              <w:rPr>
                <w:rFonts w:cs="Times New Roman"/>
                <w:lang w:val="en-US"/>
              </w:rPr>
              <w:t>32.8</w:t>
            </w:r>
          </w:p>
        </w:tc>
        <w:tc>
          <w:tcPr>
            <w:tcW w:w="2073" w:type="dxa"/>
          </w:tcPr>
          <w:p w14:paraId="3E7DCEE6" w14:textId="77777777" w:rsidR="002C2AD4" w:rsidRPr="002C2AD4" w:rsidRDefault="002C2AD4" w:rsidP="002C2AD4">
            <w:pPr>
              <w:rPr>
                <w:rFonts w:cs="Times New Roman"/>
                <w:lang w:val="en-US"/>
              </w:rPr>
            </w:pPr>
            <w:r w:rsidRPr="002C2AD4">
              <w:rPr>
                <w:rFonts w:cs="Times New Roman"/>
                <w:lang w:val="en-US"/>
              </w:rPr>
              <w:t>70.34</w:t>
            </w:r>
          </w:p>
        </w:tc>
        <w:tc>
          <w:tcPr>
            <w:tcW w:w="2184" w:type="dxa"/>
          </w:tcPr>
          <w:p w14:paraId="7B771F26" w14:textId="77777777" w:rsidR="002C2AD4" w:rsidRPr="002C2AD4" w:rsidRDefault="002C2AD4" w:rsidP="002C2AD4">
            <w:pPr>
              <w:rPr>
                <w:rFonts w:cs="Times New Roman"/>
                <w:lang w:val="en-US"/>
              </w:rPr>
            </w:pPr>
            <w:r w:rsidRPr="002C2AD4">
              <w:rPr>
                <w:rFonts w:cs="Times New Roman"/>
                <w:lang w:val="en-US"/>
              </w:rPr>
              <w:t>-</w:t>
            </w:r>
          </w:p>
        </w:tc>
      </w:tr>
      <w:tr w:rsidR="002C2AD4" w:rsidRPr="002C2AD4" w14:paraId="1B06601F" w14:textId="77777777" w:rsidTr="002C2AD4">
        <w:tc>
          <w:tcPr>
            <w:tcW w:w="2811" w:type="dxa"/>
          </w:tcPr>
          <w:p w14:paraId="39918C34" w14:textId="77777777" w:rsidR="002C2AD4" w:rsidRPr="002C2AD4" w:rsidRDefault="002C2AD4" w:rsidP="002C2AD4">
            <w:pPr>
              <w:rPr>
                <w:rFonts w:cs="Times New Roman"/>
                <w:lang w:val="en-US"/>
              </w:rPr>
            </w:pPr>
            <w:r w:rsidRPr="002C2AD4">
              <w:rPr>
                <w:rFonts w:cs="Times New Roman"/>
                <w:lang w:val="en-US"/>
              </w:rPr>
              <w:t>C11Cu</w:t>
            </w:r>
          </w:p>
        </w:tc>
        <w:tc>
          <w:tcPr>
            <w:tcW w:w="1999" w:type="dxa"/>
          </w:tcPr>
          <w:p w14:paraId="1FBC7245" w14:textId="77777777" w:rsidR="002C2AD4" w:rsidRPr="002C2AD4" w:rsidRDefault="002C2AD4" w:rsidP="002C2AD4">
            <w:pPr>
              <w:rPr>
                <w:rFonts w:cs="Times New Roman"/>
                <w:lang w:val="en-US"/>
              </w:rPr>
            </w:pPr>
            <w:r w:rsidRPr="002C2AD4">
              <w:rPr>
                <w:rFonts w:cs="Times New Roman"/>
                <w:lang w:val="en-US"/>
              </w:rPr>
              <w:t>40</w:t>
            </w:r>
          </w:p>
        </w:tc>
        <w:tc>
          <w:tcPr>
            <w:tcW w:w="2073" w:type="dxa"/>
          </w:tcPr>
          <w:p w14:paraId="1B789091" w14:textId="77777777" w:rsidR="002C2AD4" w:rsidRPr="002C2AD4" w:rsidRDefault="002C2AD4" w:rsidP="002C2AD4">
            <w:pPr>
              <w:rPr>
                <w:rFonts w:cs="Times New Roman"/>
                <w:lang w:val="en-US"/>
              </w:rPr>
            </w:pPr>
            <w:r w:rsidRPr="002C2AD4">
              <w:rPr>
                <w:rFonts w:cs="Times New Roman"/>
                <w:lang w:val="en-US"/>
              </w:rPr>
              <w:t>70.4</w:t>
            </w:r>
          </w:p>
        </w:tc>
        <w:tc>
          <w:tcPr>
            <w:tcW w:w="2184" w:type="dxa"/>
          </w:tcPr>
          <w:p w14:paraId="7B4ED9CC" w14:textId="77777777" w:rsidR="002C2AD4" w:rsidRPr="002C2AD4" w:rsidRDefault="002C2AD4" w:rsidP="002C2AD4">
            <w:pPr>
              <w:rPr>
                <w:rFonts w:cs="Times New Roman"/>
                <w:lang w:val="en-US"/>
              </w:rPr>
            </w:pPr>
            <w:r w:rsidRPr="002C2AD4">
              <w:rPr>
                <w:rFonts w:cs="Times New Roman"/>
                <w:lang w:val="en-US"/>
              </w:rPr>
              <w:t>513.5–515.5</w:t>
            </w:r>
          </w:p>
        </w:tc>
      </w:tr>
      <w:tr w:rsidR="002C2AD4" w:rsidRPr="002C2AD4" w14:paraId="7ED01A6A" w14:textId="77777777" w:rsidTr="002C2AD4">
        <w:tc>
          <w:tcPr>
            <w:tcW w:w="2811" w:type="dxa"/>
          </w:tcPr>
          <w:p w14:paraId="5EA24639" w14:textId="77777777" w:rsidR="002C2AD4" w:rsidRPr="002C2AD4" w:rsidRDefault="002C2AD4" w:rsidP="002C2AD4">
            <w:pPr>
              <w:rPr>
                <w:rFonts w:cs="Times New Roman"/>
                <w:lang w:val="en-US"/>
              </w:rPr>
            </w:pPr>
            <w:r w:rsidRPr="002C2AD4">
              <w:rPr>
                <w:rFonts w:cs="Times New Roman"/>
                <w:lang w:val="en-US"/>
              </w:rPr>
              <w:t>C12Fe</w:t>
            </w:r>
          </w:p>
        </w:tc>
        <w:tc>
          <w:tcPr>
            <w:tcW w:w="1999" w:type="dxa"/>
          </w:tcPr>
          <w:p w14:paraId="126CE50E" w14:textId="77777777" w:rsidR="002C2AD4" w:rsidRPr="002C2AD4" w:rsidRDefault="002C2AD4" w:rsidP="002C2AD4">
            <w:pPr>
              <w:rPr>
                <w:rFonts w:cs="Times New Roman"/>
                <w:lang w:val="en-US"/>
              </w:rPr>
            </w:pPr>
            <w:r w:rsidRPr="002C2AD4">
              <w:rPr>
                <w:rFonts w:cs="Times New Roman"/>
                <w:lang w:val="en-US"/>
              </w:rPr>
              <w:t>46</w:t>
            </w:r>
          </w:p>
        </w:tc>
        <w:tc>
          <w:tcPr>
            <w:tcW w:w="2073" w:type="dxa"/>
          </w:tcPr>
          <w:p w14:paraId="769C1696" w14:textId="77777777" w:rsidR="002C2AD4" w:rsidRPr="002C2AD4" w:rsidRDefault="002C2AD4" w:rsidP="002C2AD4">
            <w:pPr>
              <w:rPr>
                <w:rFonts w:cs="Times New Roman"/>
                <w:lang w:val="en-US"/>
              </w:rPr>
            </w:pPr>
            <w:r w:rsidRPr="002C2AD4">
              <w:rPr>
                <w:rFonts w:cs="Times New Roman"/>
                <w:lang w:val="en-US"/>
              </w:rPr>
              <w:t>77.2</w:t>
            </w:r>
          </w:p>
        </w:tc>
        <w:tc>
          <w:tcPr>
            <w:tcW w:w="2184" w:type="dxa"/>
          </w:tcPr>
          <w:p w14:paraId="5D1B63CA" w14:textId="77777777" w:rsidR="002C2AD4" w:rsidRPr="002C2AD4" w:rsidRDefault="002C2AD4" w:rsidP="002C2AD4">
            <w:pPr>
              <w:rPr>
                <w:rFonts w:cs="Times New Roman"/>
                <w:lang w:val="en-US"/>
              </w:rPr>
            </w:pPr>
            <w:r w:rsidRPr="002C2AD4">
              <w:rPr>
                <w:rFonts w:cs="Times New Roman"/>
                <w:lang w:val="en-US"/>
              </w:rPr>
              <w:t>202</w:t>
            </w:r>
          </w:p>
        </w:tc>
      </w:tr>
      <w:tr w:rsidR="002C2AD4" w:rsidRPr="002C2AD4" w14:paraId="0507A6F2" w14:textId="77777777" w:rsidTr="002C2AD4">
        <w:tc>
          <w:tcPr>
            <w:tcW w:w="2811" w:type="dxa"/>
          </w:tcPr>
          <w:p w14:paraId="10925324" w14:textId="77777777" w:rsidR="002C2AD4" w:rsidRPr="002C2AD4" w:rsidRDefault="002C2AD4" w:rsidP="002C2AD4">
            <w:pPr>
              <w:rPr>
                <w:rFonts w:cs="Times New Roman"/>
                <w:lang w:val="en-US"/>
              </w:rPr>
            </w:pPr>
            <w:r w:rsidRPr="002C2AD4">
              <w:rPr>
                <w:rFonts w:cs="Times New Roman"/>
                <w:lang w:val="en-US"/>
              </w:rPr>
              <w:t>C12Mn</w:t>
            </w:r>
          </w:p>
        </w:tc>
        <w:tc>
          <w:tcPr>
            <w:tcW w:w="1999" w:type="dxa"/>
          </w:tcPr>
          <w:p w14:paraId="588C3EA7" w14:textId="77777777" w:rsidR="002C2AD4" w:rsidRPr="002C2AD4" w:rsidRDefault="002C2AD4" w:rsidP="002C2AD4">
            <w:pPr>
              <w:rPr>
                <w:rFonts w:cs="Times New Roman"/>
                <w:lang w:val="en-US"/>
              </w:rPr>
            </w:pPr>
            <w:r w:rsidRPr="002C2AD4">
              <w:rPr>
                <w:rFonts w:cs="Times New Roman"/>
                <w:lang w:val="en-US"/>
              </w:rPr>
              <w:t>58.7</w:t>
            </w:r>
          </w:p>
        </w:tc>
        <w:tc>
          <w:tcPr>
            <w:tcW w:w="2073" w:type="dxa"/>
          </w:tcPr>
          <w:p w14:paraId="174C7DD0" w14:textId="77777777" w:rsidR="002C2AD4" w:rsidRPr="002C2AD4" w:rsidRDefault="002C2AD4" w:rsidP="002C2AD4">
            <w:pPr>
              <w:rPr>
                <w:rFonts w:cs="Times New Roman"/>
                <w:lang w:val="en-US"/>
              </w:rPr>
            </w:pPr>
            <w:r w:rsidRPr="002C2AD4">
              <w:rPr>
                <w:rFonts w:cs="Times New Roman"/>
                <w:lang w:val="en-US"/>
              </w:rPr>
              <w:t>87.5, 12.6</w:t>
            </w:r>
          </w:p>
        </w:tc>
        <w:tc>
          <w:tcPr>
            <w:tcW w:w="2184" w:type="dxa"/>
          </w:tcPr>
          <w:p w14:paraId="6C8352AD" w14:textId="77777777" w:rsidR="002C2AD4" w:rsidRPr="002C2AD4" w:rsidRDefault="002C2AD4" w:rsidP="002C2AD4">
            <w:pPr>
              <w:rPr>
                <w:rFonts w:cs="Times New Roman"/>
                <w:lang w:val="en-US"/>
              </w:rPr>
            </w:pPr>
            <w:r w:rsidRPr="002C2AD4">
              <w:rPr>
                <w:rFonts w:cs="Times New Roman"/>
                <w:lang w:val="en-US"/>
              </w:rPr>
              <w:t>202</w:t>
            </w:r>
          </w:p>
        </w:tc>
      </w:tr>
      <w:tr w:rsidR="002C2AD4" w:rsidRPr="002C2AD4" w14:paraId="19E1C728" w14:textId="77777777" w:rsidTr="002C2AD4">
        <w:tc>
          <w:tcPr>
            <w:tcW w:w="2811" w:type="dxa"/>
          </w:tcPr>
          <w:p w14:paraId="119C3B34" w14:textId="77777777" w:rsidR="002C2AD4" w:rsidRPr="002C2AD4" w:rsidRDefault="002C2AD4" w:rsidP="002C2AD4">
            <w:pPr>
              <w:rPr>
                <w:rFonts w:cs="Times New Roman"/>
                <w:lang w:val="en-US"/>
              </w:rPr>
            </w:pPr>
            <w:r w:rsidRPr="002C2AD4">
              <w:rPr>
                <w:rFonts w:cs="Times New Roman"/>
                <w:lang w:val="en-US"/>
              </w:rPr>
              <w:t>C14Mn</w:t>
            </w:r>
          </w:p>
        </w:tc>
        <w:tc>
          <w:tcPr>
            <w:tcW w:w="1999" w:type="dxa"/>
          </w:tcPr>
          <w:p w14:paraId="3197F097" w14:textId="77777777" w:rsidR="002C2AD4" w:rsidRPr="002C2AD4" w:rsidRDefault="002C2AD4" w:rsidP="002C2AD4">
            <w:pPr>
              <w:rPr>
                <w:rFonts w:cs="Times New Roman"/>
                <w:lang w:val="en-US"/>
              </w:rPr>
            </w:pPr>
            <w:r w:rsidRPr="002C2AD4">
              <w:rPr>
                <w:rFonts w:cs="Times New Roman"/>
                <w:lang w:val="en-US"/>
              </w:rPr>
              <w:t>65.7</w:t>
            </w:r>
          </w:p>
        </w:tc>
        <w:tc>
          <w:tcPr>
            <w:tcW w:w="2073" w:type="dxa"/>
          </w:tcPr>
          <w:p w14:paraId="2CF59B43" w14:textId="77777777" w:rsidR="002C2AD4" w:rsidRPr="002C2AD4" w:rsidRDefault="002C2AD4" w:rsidP="002C2AD4">
            <w:pPr>
              <w:rPr>
                <w:rFonts w:cs="Times New Roman"/>
                <w:lang w:val="en-US"/>
              </w:rPr>
            </w:pPr>
            <w:r w:rsidRPr="002C2AD4">
              <w:rPr>
                <w:rFonts w:cs="Times New Roman"/>
                <w:lang w:val="en-US"/>
              </w:rPr>
              <w:t>66.8, 17.2</w:t>
            </w:r>
          </w:p>
        </w:tc>
        <w:tc>
          <w:tcPr>
            <w:tcW w:w="2184" w:type="dxa"/>
          </w:tcPr>
          <w:p w14:paraId="65521AFA" w14:textId="77777777" w:rsidR="002C2AD4" w:rsidRPr="002C2AD4" w:rsidRDefault="002C2AD4" w:rsidP="002C2AD4">
            <w:pPr>
              <w:rPr>
                <w:rFonts w:cs="Times New Roman"/>
                <w:lang w:val="en-US"/>
              </w:rPr>
            </w:pPr>
            <w:r w:rsidRPr="002C2AD4">
              <w:rPr>
                <w:rFonts w:cs="Times New Roman"/>
                <w:lang w:val="en-US"/>
              </w:rPr>
              <w:t>-</w:t>
            </w:r>
          </w:p>
        </w:tc>
      </w:tr>
      <w:tr w:rsidR="002C2AD4" w:rsidRPr="002C2AD4" w14:paraId="4E26F5D9" w14:textId="77777777" w:rsidTr="002C2AD4">
        <w:tc>
          <w:tcPr>
            <w:tcW w:w="2811" w:type="dxa"/>
          </w:tcPr>
          <w:p w14:paraId="05A21750" w14:textId="77777777" w:rsidR="002C2AD4" w:rsidRPr="002C2AD4" w:rsidRDefault="002C2AD4" w:rsidP="002C2AD4">
            <w:pPr>
              <w:rPr>
                <w:rFonts w:cs="Times New Roman"/>
                <w:lang w:val="en-US"/>
              </w:rPr>
            </w:pPr>
            <w:r w:rsidRPr="002C2AD4">
              <w:rPr>
                <w:rFonts w:cs="Times New Roman"/>
                <w:lang w:val="en-US"/>
              </w:rPr>
              <w:t>C15Cu</w:t>
            </w:r>
          </w:p>
        </w:tc>
        <w:tc>
          <w:tcPr>
            <w:tcW w:w="1999" w:type="dxa"/>
          </w:tcPr>
          <w:p w14:paraId="3664FA02" w14:textId="77777777" w:rsidR="002C2AD4" w:rsidRPr="002C2AD4" w:rsidRDefault="002C2AD4" w:rsidP="002C2AD4">
            <w:pPr>
              <w:rPr>
                <w:rFonts w:cs="Times New Roman"/>
                <w:lang w:val="en-US"/>
              </w:rPr>
            </w:pPr>
            <w:r w:rsidRPr="002C2AD4">
              <w:rPr>
                <w:rFonts w:cs="Times New Roman"/>
                <w:lang w:val="en-US"/>
              </w:rPr>
              <w:t>67.8</w:t>
            </w:r>
          </w:p>
        </w:tc>
        <w:tc>
          <w:tcPr>
            <w:tcW w:w="2073" w:type="dxa"/>
          </w:tcPr>
          <w:p w14:paraId="5AD7DD11" w14:textId="77777777" w:rsidR="002C2AD4" w:rsidRPr="002C2AD4" w:rsidRDefault="002C2AD4" w:rsidP="002C2AD4">
            <w:pPr>
              <w:rPr>
                <w:rFonts w:cs="Times New Roman"/>
                <w:lang w:val="en-US"/>
              </w:rPr>
            </w:pPr>
            <w:r w:rsidRPr="002C2AD4">
              <w:rPr>
                <w:rFonts w:cs="Times New Roman"/>
                <w:lang w:val="en-US"/>
              </w:rPr>
              <w:t>95.9, 15.8</w:t>
            </w:r>
          </w:p>
        </w:tc>
        <w:tc>
          <w:tcPr>
            <w:tcW w:w="2184" w:type="dxa"/>
          </w:tcPr>
          <w:p w14:paraId="2648B3D0" w14:textId="77777777" w:rsidR="002C2AD4" w:rsidRPr="002C2AD4" w:rsidRDefault="002C2AD4" w:rsidP="002C2AD4">
            <w:pPr>
              <w:rPr>
                <w:rFonts w:cs="Times New Roman"/>
                <w:lang w:val="en-US"/>
              </w:rPr>
            </w:pPr>
            <w:r w:rsidRPr="002C2AD4">
              <w:rPr>
                <w:rFonts w:cs="Times New Roman"/>
                <w:lang w:val="en-US"/>
              </w:rPr>
              <w:t>-</w:t>
            </w:r>
          </w:p>
        </w:tc>
      </w:tr>
      <w:tr w:rsidR="002C2AD4" w:rsidRPr="002C2AD4" w14:paraId="59636985" w14:textId="77777777" w:rsidTr="002C2AD4">
        <w:tc>
          <w:tcPr>
            <w:tcW w:w="2811" w:type="dxa"/>
          </w:tcPr>
          <w:p w14:paraId="47B26404" w14:textId="77777777" w:rsidR="002C2AD4" w:rsidRPr="002C2AD4" w:rsidRDefault="002C2AD4" w:rsidP="002C2AD4">
            <w:pPr>
              <w:rPr>
                <w:rFonts w:cs="Times New Roman"/>
                <w:lang w:val="en-US"/>
              </w:rPr>
            </w:pPr>
            <w:r w:rsidRPr="002C2AD4">
              <w:rPr>
                <w:rFonts w:cs="Times New Roman"/>
                <w:lang w:val="en-US"/>
              </w:rPr>
              <w:t>C16Cu</w:t>
            </w:r>
          </w:p>
        </w:tc>
        <w:tc>
          <w:tcPr>
            <w:tcW w:w="1999" w:type="dxa"/>
          </w:tcPr>
          <w:p w14:paraId="21B3D3A8" w14:textId="77777777" w:rsidR="002C2AD4" w:rsidRPr="002C2AD4" w:rsidRDefault="002C2AD4" w:rsidP="002C2AD4">
            <w:pPr>
              <w:rPr>
                <w:rFonts w:cs="Times New Roman"/>
                <w:lang w:val="en-US"/>
              </w:rPr>
            </w:pPr>
            <w:r w:rsidRPr="002C2AD4">
              <w:rPr>
                <w:rFonts w:cs="Times New Roman"/>
                <w:lang w:val="en-US"/>
              </w:rPr>
              <w:t>72.91</w:t>
            </w:r>
          </w:p>
        </w:tc>
        <w:tc>
          <w:tcPr>
            <w:tcW w:w="2073" w:type="dxa"/>
          </w:tcPr>
          <w:p w14:paraId="0ACBA495" w14:textId="77777777" w:rsidR="002C2AD4" w:rsidRPr="002C2AD4" w:rsidRDefault="002C2AD4" w:rsidP="002C2AD4">
            <w:pPr>
              <w:rPr>
                <w:rFonts w:cs="Times New Roman"/>
                <w:lang w:val="en-US"/>
              </w:rPr>
            </w:pPr>
            <w:r w:rsidRPr="002C2AD4">
              <w:rPr>
                <w:rFonts w:cs="Times New Roman"/>
                <w:lang w:val="en-US"/>
              </w:rPr>
              <w:t>87.8, 16.6</w:t>
            </w:r>
          </w:p>
        </w:tc>
        <w:tc>
          <w:tcPr>
            <w:tcW w:w="2184" w:type="dxa"/>
          </w:tcPr>
          <w:p w14:paraId="4175A5B8" w14:textId="77777777" w:rsidR="002C2AD4" w:rsidRPr="002C2AD4" w:rsidRDefault="002C2AD4" w:rsidP="002C2AD4">
            <w:pPr>
              <w:rPr>
                <w:rFonts w:cs="Times New Roman"/>
                <w:lang w:val="en-US"/>
              </w:rPr>
            </w:pPr>
            <w:r w:rsidRPr="002C2AD4">
              <w:rPr>
                <w:rFonts w:cs="Times New Roman"/>
                <w:lang w:val="en-US"/>
              </w:rPr>
              <w:t>160</w:t>
            </w:r>
          </w:p>
        </w:tc>
      </w:tr>
      <w:tr w:rsidR="002C2AD4" w:rsidRPr="002C2AD4" w14:paraId="62357F3B" w14:textId="77777777" w:rsidTr="002C2AD4">
        <w:tc>
          <w:tcPr>
            <w:tcW w:w="2811" w:type="dxa"/>
          </w:tcPr>
          <w:p w14:paraId="55D3FFD0" w14:textId="77777777" w:rsidR="002C2AD4" w:rsidRPr="002C2AD4" w:rsidRDefault="002C2AD4" w:rsidP="002C2AD4">
            <w:pPr>
              <w:rPr>
                <w:rFonts w:cs="Times New Roman"/>
                <w:lang w:val="en-US"/>
              </w:rPr>
            </w:pPr>
            <w:r w:rsidRPr="002C2AD4">
              <w:rPr>
                <w:rFonts w:cs="Times New Roman"/>
                <w:lang w:val="en-US"/>
              </w:rPr>
              <w:t>C16Mn</w:t>
            </w:r>
          </w:p>
        </w:tc>
        <w:tc>
          <w:tcPr>
            <w:tcW w:w="1999" w:type="dxa"/>
          </w:tcPr>
          <w:p w14:paraId="4109A900" w14:textId="77777777" w:rsidR="002C2AD4" w:rsidRPr="002C2AD4" w:rsidRDefault="002C2AD4" w:rsidP="002C2AD4">
            <w:pPr>
              <w:rPr>
                <w:rFonts w:cs="Times New Roman"/>
                <w:lang w:val="en-US"/>
              </w:rPr>
            </w:pPr>
            <w:r w:rsidRPr="002C2AD4">
              <w:rPr>
                <w:rFonts w:cs="Times New Roman"/>
                <w:lang w:val="en-US"/>
              </w:rPr>
              <w:t>73.6</w:t>
            </w:r>
          </w:p>
        </w:tc>
        <w:tc>
          <w:tcPr>
            <w:tcW w:w="2073" w:type="dxa"/>
          </w:tcPr>
          <w:p w14:paraId="2AA5480F" w14:textId="77777777" w:rsidR="002C2AD4" w:rsidRPr="002C2AD4" w:rsidRDefault="002C2AD4" w:rsidP="002C2AD4">
            <w:pPr>
              <w:rPr>
                <w:rFonts w:cs="Times New Roman"/>
                <w:lang w:val="en-US"/>
              </w:rPr>
            </w:pPr>
            <w:r w:rsidRPr="002C2AD4">
              <w:rPr>
                <w:rFonts w:cs="Times New Roman"/>
                <w:lang w:val="en-US"/>
              </w:rPr>
              <w:t>90.1, 14.1, 20.3</w:t>
            </w:r>
          </w:p>
        </w:tc>
        <w:tc>
          <w:tcPr>
            <w:tcW w:w="2184" w:type="dxa"/>
          </w:tcPr>
          <w:p w14:paraId="21CA1FDF" w14:textId="77777777" w:rsidR="002C2AD4" w:rsidRPr="002C2AD4" w:rsidRDefault="002C2AD4" w:rsidP="002C2AD4">
            <w:pPr>
              <w:rPr>
                <w:rFonts w:cs="Times New Roman"/>
                <w:lang w:val="en-US"/>
              </w:rPr>
            </w:pPr>
            <w:r w:rsidRPr="002C2AD4">
              <w:rPr>
                <w:rFonts w:cs="Times New Roman"/>
                <w:lang w:val="en-US"/>
              </w:rPr>
              <w:t>197</w:t>
            </w:r>
          </w:p>
        </w:tc>
      </w:tr>
      <w:tr w:rsidR="002C2AD4" w:rsidRPr="002C2AD4" w14:paraId="42EAC396" w14:textId="77777777" w:rsidTr="002C2AD4">
        <w:tc>
          <w:tcPr>
            <w:tcW w:w="2811" w:type="dxa"/>
          </w:tcPr>
          <w:p w14:paraId="395EF6BE" w14:textId="77777777" w:rsidR="002C2AD4" w:rsidRPr="002C2AD4" w:rsidRDefault="002C2AD4" w:rsidP="002C2AD4">
            <w:pPr>
              <w:rPr>
                <w:rFonts w:cs="Times New Roman"/>
                <w:lang w:val="en-US"/>
              </w:rPr>
            </w:pPr>
            <w:r w:rsidRPr="002C2AD4">
              <w:rPr>
                <w:rFonts w:cs="Times New Roman"/>
                <w:lang w:val="en-US"/>
              </w:rPr>
              <w:t>C16Co</w:t>
            </w:r>
          </w:p>
        </w:tc>
        <w:tc>
          <w:tcPr>
            <w:tcW w:w="1999" w:type="dxa"/>
          </w:tcPr>
          <w:p w14:paraId="0B2C979D" w14:textId="77777777" w:rsidR="002C2AD4" w:rsidRPr="002C2AD4" w:rsidRDefault="002C2AD4" w:rsidP="002C2AD4">
            <w:pPr>
              <w:rPr>
                <w:rFonts w:cs="Times New Roman"/>
                <w:lang w:val="en-US"/>
              </w:rPr>
            </w:pPr>
            <w:r w:rsidRPr="002C2AD4">
              <w:rPr>
                <w:rFonts w:cs="Times New Roman"/>
                <w:lang w:val="en-US"/>
              </w:rPr>
              <w:t>105</w:t>
            </w:r>
          </w:p>
        </w:tc>
        <w:tc>
          <w:tcPr>
            <w:tcW w:w="2073" w:type="dxa"/>
          </w:tcPr>
          <w:p w14:paraId="48C12B8A" w14:textId="77777777" w:rsidR="002C2AD4" w:rsidRPr="002C2AD4" w:rsidRDefault="002C2AD4" w:rsidP="002C2AD4">
            <w:pPr>
              <w:rPr>
                <w:rFonts w:cs="Times New Roman"/>
                <w:lang w:val="en-US"/>
              </w:rPr>
            </w:pPr>
            <w:r w:rsidRPr="002C2AD4">
              <w:rPr>
                <w:rFonts w:cs="Times New Roman"/>
                <w:lang w:val="en-US"/>
              </w:rPr>
              <w:t>113.8</w:t>
            </w:r>
          </w:p>
        </w:tc>
        <w:tc>
          <w:tcPr>
            <w:tcW w:w="2184" w:type="dxa"/>
          </w:tcPr>
          <w:p w14:paraId="35B02E3E" w14:textId="77777777" w:rsidR="002C2AD4" w:rsidRPr="002C2AD4" w:rsidRDefault="002C2AD4" w:rsidP="002C2AD4">
            <w:pPr>
              <w:keepNext/>
              <w:rPr>
                <w:rFonts w:cs="Times New Roman"/>
                <w:lang w:val="en-US"/>
              </w:rPr>
            </w:pPr>
            <w:r w:rsidRPr="002C2AD4">
              <w:rPr>
                <w:rFonts w:cs="Times New Roman"/>
                <w:lang w:val="en-US"/>
              </w:rPr>
              <w:t>171</w:t>
            </w:r>
          </w:p>
        </w:tc>
      </w:tr>
    </w:tbl>
    <w:p w14:paraId="37A1325E" w14:textId="016BEADD" w:rsidR="002C2AD4" w:rsidRDefault="002C2AD4" w:rsidP="002C2AD4">
      <w:pPr>
        <w:pStyle w:val="Caption"/>
      </w:pPr>
      <w:bookmarkStart w:id="24" w:name="_Toc214362611"/>
      <w:r>
        <w:t xml:space="preserve">Table </w:t>
      </w:r>
      <w:r w:rsidR="00F43E9A">
        <w:fldChar w:fldCharType="begin"/>
      </w:r>
      <w:r w:rsidR="00F43E9A">
        <w:instrText xml:space="preserve"> STYLEREF 1 \s </w:instrText>
      </w:r>
      <w:r w:rsidR="00F43E9A">
        <w:fldChar w:fldCharType="separate"/>
      </w:r>
      <w:r w:rsidR="000412CE">
        <w:rPr>
          <w:noProof/>
        </w:rPr>
        <w:t>1</w:t>
      </w:r>
      <w:r w:rsidR="00F43E9A">
        <w:fldChar w:fldCharType="end"/>
      </w:r>
      <w:r w:rsidR="00F43E9A">
        <w:t>.</w:t>
      </w:r>
      <w:r w:rsidR="00F43E9A">
        <w:fldChar w:fldCharType="begin"/>
      </w:r>
      <w:r w:rsidR="00F43E9A">
        <w:instrText xml:space="preserve"> SEQ Table \* ARABIC \s 1 </w:instrText>
      </w:r>
      <w:r w:rsidR="00F43E9A">
        <w:fldChar w:fldCharType="separate"/>
      </w:r>
      <w:r w:rsidR="000412CE">
        <w:rPr>
          <w:noProof/>
        </w:rPr>
        <w:t>6</w:t>
      </w:r>
      <w:r w:rsidR="00F43E9A">
        <w:fldChar w:fldCharType="end"/>
      </w:r>
      <w:r w:rsidR="005A414B">
        <w:t>.</w:t>
      </w:r>
      <w:r>
        <w:t xml:space="preserve"> </w:t>
      </w:r>
      <w:r w:rsidRPr="00DE721F">
        <w:t>Thermophysical properties of organometallic solid–solid PCMs: phase transition temperature, latent heat of transition, and melting temperature</w:t>
      </w:r>
      <w:r w:rsidR="00A165BA">
        <w:t>.</w:t>
      </w:r>
      <w:bookmarkEnd w:id="24"/>
    </w:p>
    <w:p w14:paraId="08AFFEF0" w14:textId="32917AB6" w:rsidR="00EF7AD5" w:rsidRDefault="002C2AD4" w:rsidP="002C2AD4">
      <w:pPr>
        <w:pStyle w:val="Heading2"/>
        <w:rPr>
          <w:lang w:val="en-US"/>
        </w:rPr>
      </w:pPr>
      <w:bookmarkStart w:id="25" w:name="_Toc214356271"/>
      <w:r w:rsidRPr="002C2AD4">
        <w:rPr>
          <w:lang w:val="en-US"/>
        </w:rPr>
        <w:t>Thermal, Chemical and Stability Properties of PCMs</w:t>
      </w:r>
      <w:bookmarkEnd w:id="25"/>
    </w:p>
    <w:p w14:paraId="6C274478" w14:textId="1718A472" w:rsidR="002C2AD4" w:rsidRDefault="002C2AD4" w:rsidP="002C2AD4">
      <w:pPr>
        <w:rPr>
          <w:lang w:val="en-US"/>
        </w:rPr>
      </w:pPr>
      <w:r w:rsidRPr="002C2AD4">
        <w:rPr>
          <w:lang w:val="en-US"/>
        </w:rPr>
        <w:t>In PCMs, a large amount of energy can be stored or released in the form of latent heat during the transition of the material from one phase to another. Despite these significant benefits, most PCMs present certain limitations, such as low phase change enthalpy, low specific heat capacity and thermal conductivity, supercooling, volume change, and phase segregation. The efficiency of a phase change thermal energy storage device is directly related to its thermophysical properties. In this paragraph, the thermophysical and chemical properties will be defined and explained, together with methods proposed for their improvement. We will see that, to improve the properties of PCMs, particularly their thermal conductivity, nanoparticles are added to the base material. The resulting material is called nano-enhanced PCM</w:t>
      </w:r>
      <w:r>
        <w:rPr>
          <w:lang w:val="en-US"/>
        </w:rPr>
        <w:t xml:space="preserve"> </w:t>
      </w:r>
      <w:sdt>
        <w:sdtPr>
          <w:rPr>
            <w:lang w:val="en-US"/>
          </w:rPr>
          <w:id w:val="1292789940"/>
          <w:citation/>
        </w:sdtPr>
        <w:sdtContent>
          <w:r>
            <w:rPr>
              <w:lang w:val="en-US"/>
            </w:rPr>
            <w:fldChar w:fldCharType="begin"/>
          </w:r>
          <w:r>
            <w:instrText xml:space="preserve"> CITATION Placeholder22 \l 1040 </w:instrText>
          </w:r>
          <w:r>
            <w:rPr>
              <w:lang w:val="en-US"/>
            </w:rPr>
            <w:fldChar w:fldCharType="separate"/>
          </w:r>
          <w:r w:rsidR="00855396" w:rsidRPr="00855396">
            <w:rPr>
              <w:noProof/>
            </w:rPr>
            <w:t>[16]</w:t>
          </w:r>
          <w:r>
            <w:rPr>
              <w:lang w:val="en-US"/>
            </w:rPr>
            <w:fldChar w:fldCharType="end"/>
          </w:r>
        </w:sdtContent>
      </w:sdt>
      <w:r>
        <w:rPr>
          <w:lang w:val="en-US"/>
        </w:rPr>
        <w:t>.</w:t>
      </w:r>
    </w:p>
    <w:p w14:paraId="53F952DA" w14:textId="270E44A9" w:rsidR="002C2AD4" w:rsidRDefault="002C2AD4" w:rsidP="002C2AD4">
      <w:pPr>
        <w:pStyle w:val="Heading3"/>
        <w:rPr>
          <w:lang w:val="en-US"/>
        </w:rPr>
      </w:pPr>
      <w:bookmarkStart w:id="26" w:name="_Toc214356272"/>
      <w:r w:rsidRPr="002C2AD4">
        <w:rPr>
          <w:lang w:val="en-US"/>
        </w:rPr>
        <w:lastRenderedPageBreak/>
        <w:t>Thermal conductivity</w:t>
      </w:r>
      <w:bookmarkEnd w:id="26"/>
    </w:p>
    <w:p w14:paraId="237A34D2" w14:textId="491D2AAF" w:rsidR="002C2AD4" w:rsidRPr="002C2AD4" w:rsidRDefault="002C2AD4" w:rsidP="002C2AD4">
      <w:pPr>
        <w:rPr>
          <w:rFonts w:cs="Times New Roman"/>
          <w:lang w:val="en-US"/>
        </w:rPr>
      </w:pPr>
      <w:bookmarkStart w:id="27" w:name="_Hlk213489052"/>
      <w:bookmarkStart w:id="28" w:name="_Hlk213489014"/>
      <w:r w:rsidRPr="002C2AD4">
        <w:rPr>
          <w:rFonts w:cs="Times New Roman"/>
          <w:lang w:val="en-US"/>
        </w:rPr>
        <w:t>The thermal conductivity of a PCM represents the amount of heat that flows per unit of time through a unit surface of the material, according to Fourier’s law Eq</w:t>
      </w:r>
      <w:r w:rsidR="001D0C2A">
        <w:rPr>
          <w:rFonts w:cs="Times New Roman"/>
          <w:lang w:val="en-US"/>
        </w:rPr>
        <w:t>.</w:t>
      </w:r>
      <w:r w:rsidR="00E02518">
        <w:rPr>
          <w:rFonts w:cs="Times New Roman"/>
          <w:lang w:val="en-US"/>
        </w:rPr>
        <w:t xml:space="preserve"> (</w:t>
      </w:r>
      <w:r w:rsidRPr="002C2AD4">
        <w:rPr>
          <w:rFonts w:cs="Times New Roman"/>
          <w:lang w:val="en-US"/>
        </w:rPr>
        <w:t xml:space="preserve">1). For PCMs, higher values of </w:t>
      </w:r>
      <w:r w:rsidRPr="002C2AD4">
        <w:rPr>
          <w:rFonts w:cs="Times New Roman"/>
          <w:b/>
          <w:bCs/>
          <w:i/>
          <w:iCs/>
          <w:lang w:val="en-US"/>
        </w:rPr>
        <w:t>k</w:t>
      </w:r>
      <w:r w:rsidRPr="002C2AD4">
        <w:rPr>
          <w:rFonts w:cs="Times New Roman"/>
          <w:lang w:val="en-US"/>
        </w:rPr>
        <w:t xml:space="preserve"> allow a faster absorption and release of latent heat during the melting/solidification cycle. This property is particularly important because it affects the rate at which the material can absorb or release heat during the phase change process.</w:t>
      </w:r>
    </w:p>
    <w:bookmarkEnd w:id="27"/>
    <w:p w14:paraId="22491B15" w14:textId="77777777" w:rsidR="002C2AD4" w:rsidRPr="00AD7125" w:rsidRDefault="002C2AD4" w:rsidP="002C2AD4">
      <w:pPr>
        <w:rPr>
          <w:rFonts w:ascii="Times New Roman" w:hAnsi="Times New Roman" w:cs="Times New Roman"/>
          <w:lang w:val="nb-NO"/>
        </w:rPr>
      </w:pPr>
      <m:oMathPara>
        <m:oMathParaPr>
          <m:jc m:val="right"/>
        </m:oMathParaPr>
        <m:oMath>
          <m:r>
            <w:rPr>
              <w:rFonts w:ascii="Cambria Math" w:hAnsi="Cambria Math" w:cs="Times New Roman"/>
              <w:lang w:val="en-US"/>
            </w:rPr>
            <m:t xml:space="preserve"> </m:t>
          </m:r>
          <m:r>
            <w:rPr>
              <w:rFonts w:ascii="Cambria Math" w:hAnsi="Cambria Math" w:cs="Times New Roman"/>
              <w:lang w:val="nb-NO"/>
            </w:rPr>
            <m:t>q=-kA</m:t>
          </m:r>
          <m:f>
            <m:fPr>
              <m:ctrlPr>
                <w:rPr>
                  <w:rFonts w:ascii="Cambria Math" w:hAnsi="Cambria Math" w:cs="Times New Roman"/>
                  <w:i/>
                  <w:lang w:val="nb-NO"/>
                </w:rPr>
              </m:ctrlPr>
            </m:fPr>
            <m:num>
              <m:r>
                <w:rPr>
                  <w:rFonts w:ascii="Cambria Math" w:hAnsi="Cambria Math" w:cs="Times New Roman"/>
                  <w:lang w:val="nb-NO"/>
                </w:rPr>
                <m:t>dT</m:t>
              </m:r>
            </m:num>
            <m:den>
              <m:r>
                <w:rPr>
                  <w:rFonts w:ascii="Cambria Math" w:hAnsi="Cambria Math" w:cs="Times New Roman"/>
                  <w:lang w:val="nb-NO"/>
                </w:rPr>
                <m:t>dx</m:t>
              </m:r>
            </m:den>
          </m:f>
          <m:r>
            <w:rPr>
              <w:rFonts w:ascii="Cambria Math" w:hAnsi="Cambria Math" w:cs="Times New Roman"/>
              <w:lang w:val="nb-NO"/>
            </w:rPr>
            <m:t xml:space="preserve">                                                                              (1)</m:t>
          </m:r>
        </m:oMath>
      </m:oMathPara>
    </w:p>
    <w:p w14:paraId="69A0B058" w14:textId="5240A878" w:rsidR="002C2AD4" w:rsidRDefault="002C2AD4" w:rsidP="002C2AD4">
      <w:pPr>
        <w:rPr>
          <w:rFonts w:cs="Times New Roman"/>
          <w:lang w:val="en-US"/>
        </w:rPr>
      </w:pPr>
      <w:r w:rsidRPr="002C2AD4">
        <w:rPr>
          <w:rFonts w:cs="Times New Roman"/>
          <w:lang w:val="en-US"/>
        </w:rPr>
        <w:t xml:space="preserve">The low thermal conductivity of PCMs is a major drawback. The development of composite materials with high thermal conductivity matrices can help to overcome this issue; therefore, enhancing the thermal conductivity of PCMs through composites remains an important research topic </w:t>
      </w:r>
      <w:sdt>
        <w:sdtPr>
          <w:rPr>
            <w:rFonts w:cs="Times New Roman"/>
            <w:lang w:val="en-US"/>
          </w:rPr>
          <w:id w:val="355545630"/>
          <w:citation/>
        </w:sdtPr>
        <w:sdtContent>
          <w:r>
            <w:rPr>
              <w:rFonts w:cs="Times New Roman"/>
              <w:lang w:val="en-US"/>
            </w:rPr>
            <w:fldChar w:fldCharType="begin"/>
          </w:r>
          <w:r w:rsidRPr="002C2AD4">
            <w:rPr>
              <w:rFonts w:cs="Times New Roman"/>
              <w:lang w:val="en-US"/>
            </w:rPr>
            <w:instrText xml:space="preserve"> CITATION Placeholder23 \l 1040 </w:instrText>
          </w:r>
          <w:r>
            <w:rPr>
              <w:rFonts w:cs="Times New Roman"/>
              <w:lang w:val="en-US"/>
            </w:rPr>
            <w:fldChar w:fldCharType="separate"/>
          </w:r>
          <w:r w:rsidR="00855396" w:rsidRPr="00855396">
            <w:rPr>
              <w:rFonts w:cs="Times New Roman"/>
              <w:noProof/>
              <w:lang w:val="en-US"/>
            </w:rPr>
            <w:t>[17]</w:t>
          </w:r>
          <w:r>
            <w:rPr>
              <w:rFonts w:cs="Times New Roman"/>
              <w:lang w:val="en-US"/>
            </w:rPr>
            <w:fldChar w:fldCharType="end"/>
          </w:r>
        </w:sdtContent>
      </w:sdt>
      <w:r w:rsidRPr="002C2AD4">
        <w:rPr>
          <w:rFonts w:cs="Times New Roman"/>
          <w:lang w:val="en-US"/>
        </w:rPr>
        <w:t xml:space="preserve">. Many factors influence the thermal conductivity of PCMs, but phonon scattering is considered one of the most significant factors limiting the conductivity of composite PCMs. A phonon is the most fundamental description of heat transfer at the microscopic level, acting as a carrier that transports heat from one point to another. The main factors governing phonon transmission are heat power, phonon velocity, and mean free path. However, heat transport in PCMs and interfacial phonons is not restricted only to these parameters, as they are also directly or indirectly affected by other factors such as atomic weight, temperature, mass, and bonding energy. </w:t>
      </w:r>
    </w:p>
    <w:p w14:paraId="65096AFD" w14:textId="68EAC3AD" w:rsidR="002C2AD4" w:rsidRDefault="002C2AD4" w:rsidP="002C2AD4">
      <w:pPr>
        <w:pStyle w:val="Heading4"/>
        <w:rPr>
          <w:lang w:val="en-US"/>
        </w:rPr>
      </w:pPr>
      <w:r w:rsidRPr="002C2AD4">
        <w:rPr>
          <w:lang w:val="en-US"/>
        </w:rPr>
        <w:t>Methods to increase thermal conductivity</w:t>
      </w:r>
    </w:p>
    <w:p w14:paraId="4FE05AA5" w14:textId="007ADB2D" w:rsidR="002C2AD4" w:rsidRPr="002C2AD4" w:rsidRDefault="002C2AD4" w:rsidP="002C2AD4">
      <w:pPr>
        <w:rPr>
          <w:rFonts w:cs="Times New Roman"/>
          <w:lang w:val="en-US"/>
        </w:rPr>
      </w:pPr>
      <w:r w:rsidRPr="002C2AD4">
        <w:rPr>
          <w:rFonts w:cs="Times New Roman"/>
          <w:lang w:val="en-US"/>
        </w:rPr>
        <w:t xml:space="preserve">The thermal conductivity of PCMs can be improved by analyzing and modifying their microscopic and morphological structure. This includes chemical modification and addition of structures. Figure </w:t>
      </w:r>
      <w:r>
        <w:rPr>
          <w:rFonts w:cs="Times New Roman"/>
          <w:lang w:val="en-US"/>
        </w:rPr>
        <w:t>1.7</w:t>
      </w:r>
      <w:r w:rsidRPr="002C2AD4">
        <w:rPr>
          <w:rFonts w:cs="Times New Roman"/>
          <w:lang w:val="en-US"/>
        </w:rPr>
        <w:t xml:space="preserve"> shows that the improvement can be achieved either through chemical strategies or by integrating external conductive structures</w:t>
      </w:r>
      <w:r>
        <w:rPr>
          <w:rFonts w:cs="Times New Roman"/>
          <w:lang w:val="en-US"/>
        </w:rPr>
        <w:t xml:space="preserve"> </w:t>
      </w:r>
      <w:sdt>
        <w:sdtPr>
          <w:rPr>
            <w:rFonts w:cs="Times New Roman"/>
            <w:lang w:val="en-US"/>
          </w:rPr>
          <w:id w:val="-1428428192"/>
          <w:citation/>
        </w:sdtPr>
        <w:sdtContent>
          <w:r>
            <w:rPr>
              <w:rFonts w:cs="Times New Roman"/>
              <w:lang w:val="en-US"/>
            </w:rPr>
            <w:fldChar w:fldCharType="begin"/>
          </w:r>
          <w:r w:rsidRPr="002C2AD4">
            <w:rPr>
              <w:rFonts w:cs="Times New Roman"/>
              <w:lang w:val="en-US"/>
            </w:rPr>
            <w:instrText xml:space="preserve"> CITATION Placeholder23 \l 1040 </w:instrText>
          </w:r>
          <w:r>
            <w:rPr>
              <w:rFonts w:cs="Times New Roman"/>
              <w:lang w:val="en-US"/>
            </w:rPr>
            <w:fldChar w:fldCharType="separate"/>
          </w:r>
          <w:r w:rsidR="00855396" w:rsidRPr="00855396">
            <w:rPr>
              <w:rFonts w:cs="Times New Roman"/>
              <w:noProof/>
              <w:lang w:val="en-US"/>
            </w:rPr>
            <w:t>[17]</w:t>
          </w:r>
          <w:r>
            <w:rPr>
              <w:rFonts w:cs="Times New Roman"/>
              <w:lang w:val="en-US"/>
            </w:rPr>
            <w:fldChar w:fldCharType="end"/>
          </w:r>
        </w:sdtContent>
      </w:sdt>
      <w:r>
        <w:rPr>
          <w:rFonts w:cs="Times New Roman"/>
          <w:lang w:val="en-US"/>
        </w:rPr>
        <w:t xml:space="preserve">. </w:t>
      </w:r>
    </w:p>
    <w:p w14:paraId="6D023F42" w14:textId="697F79FD" w:rsidR="002C2AD4" w:rsidRPr="00AC6DA0" w:rsidRDefault="002C2AD4" w:rsidP="002C2AD4">
      <w:pPr>
        <w:rPr>
          <w:rFonts w:ascii="Times New Roman" w:hAnsi="Times New Roman" w:cs="Times New Roman"/>
          <w:lang w:val="en-US"/>
        </w:rPr>
      </w:pPr>
      <w:r>
        <w:rPr>
          <w:rFonts w:ascii="Times New Roman" w:hAnsi="Times New Roman" w:cs="Times New Roman"/>
          <w:noProof/>
        </w:rPr>
        <w:drawing>
          <wp:anchor distT="0" distB="0" distL="114300" distR="114300" simplePos="0" relativeHeight="251667456" behindDoc="0" locked="0" layoutInCell="1" allowOverlap="1" wp14:anchorId="480F38DD" wp14:editId="27E38D20">
            <wp:simplePos x="0" y="0"/>
            <wp:positionH relativeFrom="margin">
              <wp:posOffset>371475</wp:posOffset>
            </wp:positionH>
            <wp:positionV relativeFrom="paragraph">
              <wp:posOffset>134620</wp:posOffset>
            </wp:positionV>
            <wp:extent cx="5377180" cy="2286000"/>
            <wp:effectExtent l="0" t="0" r="0" b="19050"/>
            <wp:wrapSquare wrapText="bothSides"/>
            <wp:docPr id="2069522407" name="Diagram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 r:lo="rId42" r:qs="rId43" r:cs="rId44"/>
              </a:graphicData>
            </a:graphic>
            <wp14:sizeRelH relativeFrom="margin">
              <wp14:pctWidth>0</wp14:pctWidth>
            </wp14:sizeRelH>
            <wp14:sizeRelV relativeFrom="margin">
              <wp14:pctHeight>0</wp14:pctHeight>
            </wp14:sizeRelV>
          </wp:anchor>
        </w:drawing>
      </w:r>
    </w:p>
    <w:p w14:paraId="0A41C695" w14:textId="77777777" w:rsidR="002C2AD4" w:rsidRPr="00AC6DA0" w:rsidRDefault="002C2AD4" w:rsidP="002C2AD4">
      <w:pPr>
        <w:rPr>
          <w:rFonts w:ascii="Times New Roman" w:hAnsi="Times New Roman" w:cs="Times New Roman"/>
          <w:i/>
          <w:iCs/>
          <w:lang w:val="en-US"/>
        </w:rPr>
      </w:pPr>
    </w:p>
    <w:p w14:paraId="186C027F" w14:textId="77777777" w:rsidR="002C2AD4" w:rsidRPr="00AC6DA0" w:rsidRDefault="002C2AD4" w:rsidP="002C2AD4">
      <w:pPr>
        <w:rPr>
          <w:rFonts w:ascii="Times New Roman" w:hAnsi="Times New Roman" w:cs="Times New Roman"/>
          <w:lang w:val="en-US"/>
        </w:rPr>
      </w:pPr>
    </w:p>
    <w:p w14:paraId="02A876BE" w14:textId="77777777" w:rsidR="002C2AD4" w:rsidRPr="00AC6DA0" w:rsidRDefault="002C2AD4" w:rsidP="002C2AD4">
      <w:pPr>
        <w:rPr>
          <w:rFonts w:ascii="Times New Roman" w:hAnsi="Times New Roman" w:cs="Times New Roman"/>
          <w:lang w:val="en-US"/>
        </w:rPr>
      </w:pPr>
    </w:p>
    <w:p w14:paraId="13DFF7C5" w14:textId="77777777" w:rsidR="002C2AD4" w:rsidRPr="00AC6DA0" w:rsidRDefault="002C2AD4" w:rsidP="002C2AD4">
      <w:pPr>
        <w:rPr>
          <w:rFonts w:ascii="Times New Roman" w:hAnsi="Times New Roman" w:cs="Times New Roman"/>
          <w:lang w:val="en-US"/>
        </w:rPr>
      </w:pPr>
    </w:p>
    <w:p w14:paraId="12310282" w14:textId="77777777" w:rsidR="002C2AD4" w:rsidRPr="00AC6DA0" w:rsidRDefault="002C2AD4" w:rsidP="002C2AD4">
      <w:pPr>
        <w:rPr>
          <w:rFonts w:ascii="Times New Roman" w:hAnsi="Times New Roman" w:cs="Times New Roman"/>
          <w:lang w:val="en-US"/>
        </w:rPr>
      </w:pPr>
    </w:p>
    <w:p w14:paraId="7D39F9B5" w14:textId="77777777" w:rsidR="002C2AD4" w:rsidRPr="00AC6DA0" w:rsidRDefault="002C2AD4" w:rsidP="002C2AD4">
      <w:pPr>
        <w:rPr>
          <w:rFonts w:ascii="Times New Roman" w:hAnsi="Times New Roman" w:cs="Times New Roman"/>
          <w:lang w:val="en-US"/>
        </w:rPr>
      </w:pPr>
    </w:p>
    <w:p w14:paraId="342D95B5" w14:textId="77777777" w:rsidR="002C2AD4" w:rsidRPr="00AC6DA0" w:rsidRDefault="002C2AD4" w:rsidP="002C2AD4">
      <w:pPr>
        <w:rPr>
          <w:rFonts w:ascii="Times New Roman" w:hAnsi="Times New Roman" w:cs="Times New Roman"/>
          <w:lang w:val="en-US"/>
        </w:rPr>
      </w:pPr>
    </w:p>
    <w:p w14:paraId="53D50B75" w14:textId="77777777" w:rsidR="002C2AD4" w:rsidRPr="00AC6DA0" w:rsidRDefault="002C2AD4" w:rsidP="002C2AD4">
      <w:pPr>
        <w:rPr>
          <w:rFonts w:ascii="Times New Roman" w:hAnsi="Times New Roman" w:cs="Times New Roman"/>
          <w:lang w:val="en-US"/>
        </w:rPr>
      </w:pPr>
    </w:p>
    <w:p w14:paraId="2F256504" w14:textId="5A77C843" w:rsidR="002C2AD4" w:rsidRPr="00AC6DA0" w:rsidRDefault="002C2AD4" w:rsidP="002C2AD4">
      <w:pPr>
        <w:rPr>
          <w:rFonts w:ascii="Times New Roman" w:hAnsi="Times New Roman" w:cs="Times New Roman"/>
          <w:lang w:val="en-US"/>
        </w:rPr>
      </w:pPr>
      <w:r>
        <w:rPr>
          <w:noProof/>
        </w:rPr>
        <w:lastRenderedPageBreak/>
        <mc:AlternateContent>
          <mc:Choice Requires="wps">
            <w:drawing>
              <wp:anchor distT="0" distB="0" distL="114300" distR="114300" simplePos="0" relativeHeight="251669504" behindDoc="0" locked="0" layoutInCell="1" allowOverlap="1" wp14:anchorId="3392710C" wp14:editId="37AC4B61">
                <wp:simplePos x="0" y="0"/>
                <wp:positionH relativeFrom="margin">
                  <wp:align>right</wp:align>
                </wp:positionH>
                <wp:positionV relativeFrom="paragraph">
                  <wp:posOffset>215900</wp:posOffset>
                </wp:positionV>
                <wp:extent cx="5746750" cy="635"/>
                <wp:effectExtent l="0" t="0" r="6350" b="4445"/>
                <wp:wrapSquare wrapText="bothSides"/>
                <wp:docPr id="509362134" name="Text Box 1"/>
                <wp:cNvGraphicFramePr/>
                <a:graphic xmlns:a="http://schemas.openxmlformats.org/drawingml/2006/main">
                  <a:graphicData uri="http://schemas.microsoft.com/office/word/2010/wordprocessingShape">
                    <wps:wsp>
                      <wps:cNvSpPr txBox="1"/>
                      <wps:spPr>
                        <a:xfrm>
                          <a:off x="0" y="0"/>
                          <a:ext cx="5746750" cy="635"/>
                        </a:xfrm>
                        <a:prstGeom prst="rect">
                          <a:avLst/>
                        </a:prstGeom>
                        <a:solidFill>
                          <a:prstClr val="white"/>
                        </a:solidFill>
                        <a:ln>
                          <a:noFill/>
                        </a:ln>
                      </wps:spPr>
                      <wps:txbx>
                        <w:txbxContent>
                          <w:p w14:paraId="2602E0D5" w14:textId="14E0B95E" w:rsidR="002C2AD4" w:rsidRPr="003B7B3F" w:rsidRDefault="002C2AD4" w:rsidP="002C2AD4">
                            <w:pPr>
                              <w:pStyle w:val="Caption"/>
                              <w:rPr>
                                <w:rFonts w:ascii="Times New Roman" w:hAnsi="Times New Roman" w:cs="Times New Roman"/>
                                <w:noProof/>
                                <w:szCs w:val="22"/>
                              </w:rPr>
                            </w:pPr>
                            <w:bookmarkStart w:id="29" w:name="_Toc214357716"/>
                            <w:r>
                              <w:t xml:space="preserve">Figure </w:t>
                            </w:r>
                            <w:r w:rsidR="00F824A5">
                              <w:fldChar w:fldCharType="begin"/>
                            </w:r>
                            <w:r w:rsidR="00F824A5">
                              <w:instrText xml:space="preserve"> STYLEREF 1 \s </w:instrText>
                            </w:r>
                            <w:r w:rsidR="00F824A5">
                              <w:fldChar w:fldCharType="separate"/>
                            </w:r>
                            <w:r w:rsidR="000412CE">
                              <w:rPr>
                                <w:noProof/>
                              </w:rPr>
                              <w:t>1</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7</w:t>
                            </w:r>
                            <w:r w:rsidR="00F824A5">
                              <w:fldChar w:fldCharType="end"/>
                            </w:r>
                            <w:r w:rsidR="005A414B">
                              <w:t>.</w:t>
                            </w:r>
                            <w:r>
                              <w:t xml:space="preserve"> </w:t>
                            </w:r>
                            <w:r w:rsidRPr="00314C00">
                              <w:rPr>
                                <w:rFonts w:ascii="Times New Roman" w:hAnsi="Times New Roman" w:cs="Times New Roman"/>
                              </w:rPr>
                              <w:t>Methods to improve the thermal conductivity of PCMs: chemical modification and addition of conductive structures at different length scales.</w:t>
                            </w:r>
                            <w:bookmarkEnd w:id="2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392710C" id="_x0000_s1028" type="#_x0000_t202" style="position:absolute;left:0;text-align:left;margin-left:401.3pt;margin-top:17pt;width:452.5pt;height:.05pt;z-index:251669504;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" stroked="f">
                <v:textbox style="mso-fit-shape-to-text:t" inset="0,0,0,0">
                  <w:txbxContent>
                    <w:p w14:paraId="2602E0D5" w14:textId="14E0B95E" w:rsidR="002C2AD4" w:rsidRPr="003B7B3F" w:rsidRDefault="002C2AD4" w:rsidP="002C2AD4">
                      <w:pPr>
                        <w:pStyle w:val="Caption"/>
                        <w:rPr>
                          <w:rFonts w:ascii="Times New Roman" w:hAnsi="Times New Roman" w:cs="Times New Roman"/>
                          <w:noProof/>
                          <w:szCs w:val="22"/>
                        </w:rPr>
                      </w:pPr>
                      <w:bookmarkStart w:id="30" w:name="_Toc214357716"/>
                      <w:r>
                        <w:t xml:space="preserve">Figure </w:t>
                      </w:r>
                      <w:r w:rsidR="00F824A5">
                        <w:fldChar w:fldCharType="begin"/>
                      </w:r>
                      <w:r w:rsidR="00F824A5">
                        <w:instrText xml:space="preserve"> STYLEREF 1 \s </w:instrText>
                      </w:r>
                      <w:r w:rsidR="00F824A5">
                        <w:fldChar w:fldCharType="separate"/>
                      </w:r>
                      <w:r w:rsidR="000412CE">
                        <w:rPr>
                          <w:noProof/>
                        </w:rPr>
                        <w:t>1</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7</w:t>
                      </w:r>
                      <w:r w:rsidR="00F824A5">
                        <w:fldChar w:fldCharType="end"/>
                      </w:r>
                      <w:r w:rsidR="005A414B">
                        <w:t>.</w:t>
                      </w:r>
                      <w:r>
                        <w:t xml:space="preserve"> </w:t>
                      </w:r>
                      <w:r w:rsidRPr="00314C00">
                        <w:rPr>
                          <w:rFonts w:ascii="Times New Roman" w:hAnsi="Times New Roman" w:cs="Times New Roman"/>
                        </w:rPr>
                        <w:t>Methods to improve the thermal conductivity of PCMs: chemical modification and addition of conductive structures at different length scales.</w:t>
                      </w:r>
                      <w:bookmarkEnd w:id="30"/>
                    </w:p>
                  </w:txbxContent>
                </v:textbox>
                <w10:wrap type="square" anchorx="margin"/>
              </v:shape>
            </w:pict>
          </mc:Fallback>
        </mc:AlternateContent>
      </w:r>
    </w:p>
    <w:p w14:paraId="48A1184E" w14:textId="77777777" w:rsidR="002C2AD4" w:rsidRDefault="002C2AD4" w:rsidP="002C2AD4">
      <w:pPr>
        <w:rPr>
          <w:rFonts w:ascii="Times New Roman" w:hAnsi="Times New Roman" w:cs="Times New Roman"/>
          <w:lang w:val="en-US"/>
        </w:rPr>
      </w:pPr>
    </w:p>
    <w:p w14:paraId="672E379C" w14:textId="77777777" w:rsidR="002C2AD4" w:rsidRPr="002C2AD4" w:rsidRDefault="002C2AD4" w:rsidP="002C2AD4">
      <w:pPr>
        <w:rPr>
          <w:rFonts w:cs="Times New Roman"/>
          <w:lang w:val="en-US"/>
        </w:rPr>
      </w:pPr>
      <w:r w:rsidRPr="002C2AD4">
        <w:rPr>
          <w:rFonts w:cs="Times New Roman"/>
          <w:lang w:val="en-US"/>
        </w:rPr>
        <w:t xml:space="preserve">The impact of macroscopic doping on the micromorphology of the composite is mainly reflected in the amount and size of the pores within the matrix. </w:t>
      </w:r>
    </w:p>
    <w:p w14:paraId="73183C40" w14:textId="2A85E40F" w:rsidR="002C2AD4" w:rsidRPr="002C2AD4" w:rsidRDefault="002C2AD4" w:rsidP="002C2AD4">
      <w:pPr>
        <w:ind w:firstLine="708"/>
        <w:rPr>
          <w:rFonts w:cs="Times New Roman"/>
          <w:lang w:val="en-US"/>
        </w:rPr>
      </w:pPr>
      <w:r w:rsidRPr="002C2AD4">
        <w:rPr>
          <w:rFonts w:cs="Times New Roman"/>
          <w:lang w:val="en-US"/>
        </w:rPr>
        <w:t xml:space="preserve">Doping produces significant changes in the composition and structure of the thermal conductive matrix at the surface phase. It reduces phonon scattering and increases the number of thermal conduction pathways. Porous materials obtained with a doped element can enhance the cyclic stability of the PCM and its thermal conductivity, while also improving microstructure and surface compatibility. Several studies have demonstrated that nitrogen-doped porous carbons can significantly improve the performance of composite PCMs. Atinafu et al. </w:t>
      </w:r>
      <w:sdt>
        <w:sdtPr>
          <w:rPr>
            <w:rFonts w:cs="Times New Roman"/>
            <w:lang w:val="en-US"/>
          </w:rPr>
          <w:id w:val="-314102563"/>
          <w:citation/>
        </w:sdtPr>
        <w:sdtContent>
          <w:r>
            <w:rPr>
              <w:rFonts w:cs="Times New Roman"/>
              <w:lang w:val="en-US"/>
            </w:rPr>
            <w:fldChar w:fldCharType="begin"/>
          </w:r>
          <w:r w:rsidRPr="0060138A">
            <w:rPr>
              <w:rFonts w:cs="Times New Roman"/>
              <w:lang w:val="en-US"/>
            </w:rPr>
            <w:instrText xml:space="preserve"> CITATION Placeholder24 \l 1040 </w:instrText>
          </w:r>
          <w:r>
            <w:rPr>
              <w:rFonts w:cs="Times New Roman"/>
              <w:lang w:val="en-US"/>
            </w:rPr>
            <w:fldChar w:fldCharType="separate"/>
          </w:r>
          <w:r w:rsidR="00855396" w:rsidRPr="00855396">
            <w:rPr>
              <w:rFonts w:cs="Times New Roman"/>
              <w:noProof/>
              <w:lang w:val="en-US"/>
            </w:rPr>
            <w:t>[18]</w:t>
          </w:r>
          <w:r>
            <w:rPr>
              <w:rFonts w:cs="Times New Roman"/>
              <w:lang w:val="en-US"/>
            </w:rPr>
            <w:fldChar w:fldCharType="end"/>
          </w:r>
        </w:sdtContent>
      </w:sdt>
      <w:r>
        <w:rPr>
          <w:rFonts w:cs="Times New Roman"/>
          <w:lang w:val="en-US"/>
        </w:rPr>
        <w:t xml:space="preserve"> </w:t>
      </w:r>
      <w:r w:rsidRPr="002C2AD4">
        <w:rPr>
          <w:rFonts w:cs="Times New Roman"/>
          <w:lang w:val="en-US"/>
        </w:rPr>
        <w:t>reported high thermal storage capacity and efficiency up to 117% using N-doped mesoporous carbons. Mehri et al.</w:t>
      </w:r>
      <w:sdt>
        <w:sdtPr>
          <w:rPr>
            <w:rFonts w:cs="Times New Roman"/>
            <w:lang w:val="en-US"/>
          </w:rPr>
          <w:id w:val="-448863561"/>
          <w:citation/>
        </w:sdtPr>
        <w:sdtContent>
          <w:r>
            <w:rPr>
              <w:rFonts w:cs="Times New Roman"/>
              <w:lang w:val="en-US"/>
            </w:rPr>
            <w:fldChar w:fldCharType="begin"/>
          </w:r>
          <w:r w:rsidRPr="002C2AD4">
            <w:rPr>
              <w:rFonts w:cs="Times New Roman"/>
              <w:lang w:val="en-US"/>
            </w:rPr>
            <w:instrText xml:space="preserve"> CITATION Placeholder25 \l 1040 </w:instrText>
          </w:r>
          <w:r>
            <w:rPr>
              <w:rFonts w:cs="Times New Roman"/>
              <w:lang w:val="en-US"/>
            </w:rPr>
            <w:fldChar w:fldCharType="separate"/>
          </w:r>
          <w:r w:rsidR="00855396">
            <w:rPr>
              <w:rFonts w:cs="Times New Roman"/>
              <w:noProof/>
              <w:lang w:val="en-US"/>
            </w:rPr>
            <w:t xml:space="preserve"> </w:t>
          </w:r>
          <w:r w:rsidR="00855396" w:rsidRPr="00855396">
            <w:rPr>
              <w:rFonts w:cs="Times New Roman"/>
              <w:noProof/>
              <w:lang w:val="en-US"/>
            </w:rPr>
            <w:t>[19]</w:t>
          </w:r>
          <w:r>
            <w:rPr>
              <w:rFonts w:cs="Times New Roman"/>
              <w:lang w:val="en-US"/>
            </w:rPr>
            <w:fldChar w:fldCharType="end"/>
          </w:r>
        </w:sdtContent>
      </w:sdt>
      <w:r w:rsidRPr="002C2AD4">
        <w:rPr>
          <w:rFonts w:cs="Times New Roman"/>
          <w:lang w:val="en-US"/>
        </w:rPr>
        <w:t xml:space="preserve">  showed that the incorporation of NDG into palmitic acid enhanced thermal conductivity by up to 50% and ensured stability for up to 1000 cycles. Chen et al. </w:t>
      </w:r>
      <w:sdt>
        <w:sdtPr>
          <w:rPr>
            <w:rFonts w:cs="Times New Roman"/>
            <w:lang w:val="en-US"/>
          </w:rPr>
          <w:id w:val="-1621597625"/>
          <w:citation/>
        </w:sdtPr>
        <w:sdtContent>
          <w:r>
            <w:rPr>
              <w:rFonts w:cs="Times New Roman"/>
              <w:lang w:val="en-US"/>
            </w:rPr>
            <w:fldChar w:fldCharType="begin"/>
          </w:r>
          <w:r w:rsidRPr="0060138A">
            <w:rPr>
              <w:rFonts w:cs="Times New Roman"/>
              <w:lang w:val="en-US"/>
            </w:rPr>
            <w:instrText xml:space="preserve"> CITATION Placeholder26 \l 1040 </w:instrText>
          </w:r>
          <w:r>
            <w:rPr>
              <w:rFonts w:cs="Times New Roman"/>
              <w:lang w:val="en-US"/>
            </w:rPr>
            <w:fldChar w:fldCharType="separate"/>
          </w:r>
          <w:r w:rsidR="00855396" w:rsidRPr="00855396">
            <w:rPr>
              <w:rFonts w:cs="Times New Roman"/>
              <w:noProof/>
              <w:lang w:val="en-US"/>
            </w:rPr>
            <w:t>[20]</w:t>
          </w:r>
          <w:r>
            <w:rPr>
              <w:rFonts w:cs="Times New Roman"/>
              <w:lang w:val="en-US"/>
            </w:rPr>
            <w:fldChar w:fldCharType="end"/>
          </w:r>
        </w:sdtContent>
      </w:sdt>
      <w:r w:rsidRPr="002C2AD4">
        <w:rPr>
          <w:rFonts w:cs="Times New Roman"/>
          <w:lang w:val="en-US"/>
        </w:rPr>
        <w:t xml:space="preserve"> highlighted that PCMs confined in nanoscale NDG structures exhibit higher heat transfer rates and high crystallinity. Finally, Atinafu et al. </w:t>
      </w:r>
      <w:sdt>
        <w:sdtPr>
          <w:rPr>
            <w:rFonts w:cs="Times New Roman"/>
            <w:lang w:val="en-US"/>
          </w:rPr>
          <w:id w:val="1099678484"/>
          <w:citation/>
        </w:sdtPr>
        <w:sdtContent>
          <w:r>
            <w:rPr>
              <w:rFonts w:cs="Times New Roman"/>
              <w:lang w:val="en-US"/>
            </w:rPr>
            <w:fldChar w:fldCharType="begin"/>
          </w:r>
          <w:r w:rsidRPr="0060138A">
            <w:rPr>
              <w:rFonts w:cs="Times New Roman"/>
              <w:lang w:val="en-US"/>
            </w:rPr>
            <w:instrText xml:space="preserve"> CITATION Placeholder27 \l 1040 </w:instrText>
          </w:r>
          <w:r>
            <w:rPr>
              <w:rFonts w:cs="Times New Roman"/>
              <w:lang w:val="en-US"/>
            </w:rPr>
            <w:fldChar w:fldCharType="separate"/>
          </w:r>
          <w:r w:rsidR="00855396" w:rsidRPr="00855396">
            <w:rPr>
              <w:rFonts w:cs="Times New Roman"/>
              <w:noProof/>
              <w:lang w:val="en-US"/>
            </w:rPr>
            <w:t>[21]</w:t>
          </w:r>
          <w:r>
            <w:rPr>
              <w:rFonts w:cs="Times New Roman"/>
              <w:lang w:val="en-US"/>
            </w:rPr>
            <w:fldChar w:fldCharType="end"/>
          </w:r>
        </w:sdtContent>
      </w:sdt>
      <w:r w:rsidRPr="002C2AD4">
        <w:rPr>
          <w:rFonts w:cs="Times New Roman"/>
          <w:lang w:val="en-US"/>
        </w:rPr>
        <w:t xml:space="preserve"> synthesized a PEG/NPC-Al composite with thermal conductivity increased by 52%, storage capacity up to 100%, and excellent cycling stability.</w:t>
      </w:r>
    </w:p>
    <w:p w14:paraId="03CC68A0" w14:textId="77777777" w:rsidR="002C2AD4" w:rsidRPr="002C2AD4" w:rsidRDefault="002C2AD4" w:rsidP="002C2AD4">
      <w:pPr>
        <w:ind w:firstLine="708"/>
        <w:rPr>
          <w:rFonts w:cs="Times New Roman"/>
          <w:lang w:val="en-US"/>
        </w:rPr>
      </w:pPr>
      <w:r w:rsidRPr="002C2AD4">
        <w:rPr>
          <w:rFonts w:cs="Times New Roman"/>
          <w:lang w:val="en-US"/>
        </w:rPr>
        <w:t xml:space="preserve"> Grafting, also known as post-synthesis, is a chemical process in which organic groups are introduced onto the surface of mesoporous channels. This can generate new active centers without altering the mesoporous structure of the matrix. However, it may reduce pore volume by blocking the channels due to the irregular distribution of organic groups. The main characteristics of grafting in composite materials are:</w:t>
      </w:r>
      <w:r w:rsidRPr="002C2AD4">
        <w:rPr>
          <w:rFonts w:cs="Times New Roman"/>
          <w:lang w:val="en-US"/>
        </w:rPr>
        <w:br/>
        <w:t>(i) progressive reduction of pore size with the increase of organic groups, (ii) preservation of the mesoporous structure of the matrix, (iii) possibility to modify the shape of the organic groups to control the thermal conductivity of the material.</w:t>
      </w:r>
    </w:p>
    <w:p w14:paraId="53D681E3" w14:textId="77777777" w:rsidR="002C2AD4" w:rsidRPr="002C2AD4" w:rsidRDefault="002C2AD4" w:rsidP="002C2AD4">
      <w:pPr>
        <w:rPr>
          <w:rFonts w:cs="Times New Roman"/>
          <w:lang w:val="en-US"/>
        </w:rPr>
      </w:pPr>
      <w:r w:rsidRPr="002C2AD4">
        <w:rPr>
          <w:rFonts w:cs="Times New Roman"/>
          <w:lang w:val="en-US"/>
        </w:rPr>
        <w:t>With regard to the addition of structures of different dimensions, there are two main strategies to improve the thermal conductivity of PCMs by adding conductive materials. The first consists of creating a form-stable composite, where the PCM is absorbed into the pores of a supporting material. This prevents leakage during phase change and enhances heat transfer by introducing 2D or 3D conductive networks. Such systems are usually referred to as passive composite PCMs. The second strategy involves adding a smaller amount of highly conductive materials directly to the PCM. Since leakage cannot be avoided in this case, the mixture is called an initiated composite PCM. When conductive structures of 1D or 0D are added, they provide an efficient heat conduction pathway.</w:t>
      </w:r>
    </w:p>
    <w:p w14:paraId="45ED7E07" w14:textId="3CF00920" w:rsidR="002C2AD4" w:rsidRDefault="007670FA" w:rsidP="002C2AD4">
      <w:pPr>
        <w:pStyle w:val="Heading3"/>
        <w:rPr>
          <w:lang w:val="en-US"/>
        </w:rPr>
      </w:pPr>
      <w:bookmarkStart w:id="31" w:name="_Toc214356273"/>
      <w:r>
        <w:rPr>
          <w:lang w:val="en-US"/>
        </w:rPr>
        <w:lastRenderedPageBreak/>
        <w:t>Heat storage capacity and latent heat of fusion</w:t>
      </w:r>
      <w:bookmarkEnd w:id="31"/>
    </w:p>
    <w:p w14:paraId="4F692BA4" w14:textId="78B1BEFB" w:rsidR="007670FA" w:rsidRPr="007670FA" w:rsidRDefault="007670FA" w:rsidP="007670FA">
      <w:pPr>
        <w:rPr>
          <w:lang w:val="en-US"/>
        </w:rPr>
      </w:pPr>
      <w:r w:rsidRPr="007670FA">
        <w:rPr>
          <w:lang w:val="en-US"/>
        </w:rPr>
        <w:t xml:space="preserve">The heat storage capacity of a </w:t>
      </w:r>
      <w:r w:rsidR="00784D2D">
        <w:rPr>
          <w:lang w:val="en-US"/>
        </w:rPr>
        <w:t>PCM</w:t>
      </w:r>
      <w:r w:rsidRPr="007670FA">
        <w:rPr>
          <w:lang w:val="en-US"/>
        </w:rPr>
        <w:t xml:space="preserve"> is the total amount of thermal energy that the material can absorb and release during heating and cooling processes. It includes both the sensible heat and the latent heat. Several studies have shown that the heat storage capacity of base PCMs can be improved by adding carbon-based materials such as carbon nanotubes, carbon nanofibers, single- and multi-wall carbon nanotubes, as well as graphene. Other additives like silica (SiO₂), alumina (Al₂O₃), titanium dioxide (TiO₂), and silica-alumina mixtures (SiO₂–Al₂O₃) have also been used to enhance their performance.</w:t>
      </w:r>
    </w:p>
    <w:p w14:paraId="31CC5A1E" w14:textId="578C5432" w:rsidR="007670FA" w:rsidRPr="007670FA" w:rsidRDefault="007670FA" w:rsidP="007670FA">
      <w:pPr>
        <w:rPr>
          <w:lang w:val="en-US"/>
        </w:rPr>
      </w:pPr>
      <w:r w:rsidRPr="007670FA">
        <w:rPr>
          <w:lang w:val="en-US"/>
        </w:rPr>
        <w:t xml:space="preserve">Latent heat of fusion is the amount of heat required to change a substance from the solid state to the liquid state at its melting temperature, without changing its temperature. In the case of </w:t>
      </w:r>
      <w:r w:rsidR="00784D2D">
        <w:rPr>
          <w:lang w:val="en-US"/>
        </w:rPr>
        <w:t>PCM</w:t>
      </w:r>
      <w:r w:rsidRPr="007670FA">
        <w:rPr>
          <w:lang w:val="en-US"/>
        </w:rPr>
        <w:t xml:space="preserve">s, it represents the energy stored or released during the melting and solidification processes. Due to the low thermal conductivity of </w:t>
      </w:r>
      <w:r w:rsidR="00784D2D">
        <w:rPr>
          <w:lang w:val="en-US"/>
        </w:rPr>
        <w:t>PCM</w:t>
      </w:r>
      <w:r w:rsidRPr="007670FA">
        <w:rPr>
          <w:lang w:val="en-US"/>
        </w:rPr>
        <w:t>s, thermally conductive nanoparticles are often proposed to be incorporated into them. However, any addition of “foreign substances” should not compromise the latent heat of the PCM. The majority of experiments have shown that the additives have little effect, or sometimes decrease, the absolute phase change enthalpy of composite PCMs because they displace part of the actual PCM mass</w:t>
      </w:r>
      <w:r w:rsidR="00D02B65">
        <w:rPr>
          <w:lang w:val="en-US"/>
        </w:rPr>
        <w:t xml:space="preserve"> </w:t>
      </w:r>
      <w:sdt>
        <w:sdtPr>
          <w:rPr>
            <w:lang w:val="en-US"/>
          </w:rPr>
          <w:id w:val="330498094"/>
          <w:citation/>
        </w:sdtPr>
        <w:sdtContent>
          <w:r w:rsidR="00D02B65">
            <w:rPr>
              <w:lang w:val="en-US"/>
            </w:rPr>
            <w:fldChar w:fldCharType="begin"/>
          </w:r>
          <w:r w:rsidR="00D02B65" w:rsidRPr="0060138A">
            <w:rPr>
              <w:lang w:val="en-US"/>
            </w:rPr>
            <w:instrText xml:space="preserve"> CITATION Placeholder28 \l 1040 </w:instrText>
          </w:r>
          <w:r w:rsidR="00D02B65">
            <w:rPr>
              <w:lang w:val="en-US"/>
            </w:rPr>
            <w:fldChar w:fldCharType="separate"/>
          </w:r>
          <w:r w:rsidR="00855396" w:rsidRPr="00855396">
            <w:rPr>
              <w:noProof/>
              <w:lang w:val="en-US"/>
            </w:rPr>
            <w:t>[22]</w:t>
          </w:r>
          <w:r w:rsidR="00D02B65">
            <w:rPr>
              <w:lang w:val="en-US"/>
            </w:rPr>
            <w:fldChar w:fldCharType="end"/>
          </w:r>
        </w:sdtContent>
      </w:sdt>
      <w:sdt>
        <w:sdtPr>
          <w:rPr>
            <w:lang w:val="en-US"/>
          </w:rPr>
          <w:id w:val="-1345622444"/>
          <w:citation/>
        </w:sdtPr>
        <w:sdtContent>
          <w:r w:rsidR="00D02B65">
            <w:rPr>
              <w:lang w:val="en-US"/>
            </w:rPr>
            <w:fldChar w:fldCharType="begin"/>
          </w:r>
          <w:r w:rsidR="00D02B65" w:rsidRPr="007670FA">
            <w:rPr>
              <w:lang w:val="en-US"/>
            </w:rPr>
            <w:instrText xml:space="preserve"> CITATION Placeholder29 \l 1040 </w:instrText>
          </w:r>
          <w:r w:rsidR="00D02B65">
            <w:rPr>
              <w:lang w:val="en-US"/>
            </w:rPr>
            <w:fldChar w:fldCharType="separate"/>
          </w:r>
          <w:r w:rsidR="00855396">
            <w:rPr>
              <w:noProof/>
              <w:lang w:val="en-US"/>
            </w:rPr>
            <w:t xml:space="preserve"> </w:t>
          </w:r>
          <w:r w:rsidR="00855396" w:rsidRPr="00855396">
            <w:rPr>
              <w:noProof/>
              <w:lang w:val="en-US"/>
            </w:rPr>
            <w:t>[23]</w:t>
          </w:r>
          <w:r w:rsidR="00D02B65">
            <w:rPr>
              <w:lang w:val="en-US"/>
            </w:rPr>
            <w:fldChar w:fldCharType="end"/>
          </w:r>
        </w:sdtContent>
      </w:sdt>
      <w:r w:rsidRPr="007670FA">
        <w:rPr>
          <w:lang w:val="en-US"/>
        </w:rPr>
        <w:t>. Some researchers attribute the change in latent heat of nano-enhanced PCMs to two main factors: (i) the alteration of the interaction between PCM molecules and nanoparticles, which can improve the latent heat, and (ii) the use of heavy nanoparticle loadings, where excessive replacement of PCM with nanoparticles leads to a degradation of latent heat.</w:t>
      </w:r>
    </w:p>
    <w:p w14:paraId="487D9052" w14:textId="50A2E7F7" w:rsidR="002C2AD4" w:rsidRDefault="007670FA" w:rsidP="007670FA">
      <w:pPr>
        <w:pStyle w:val="Heading3"/>
        <w:rPr>
          <w:lang w:val="en-US"/>
        </w:rPr>
      </w:pPr>
      <w:bookmarkStart w:id="32" w:name="_Toc214356274"/>
      <w:bookmarkEnd w:id="28"/>
      <w:r>
        <w:rPr>
          <w:lang w:val="en-US"/>
        </w:rPr>
        <w:t>Specific heat capacity</w:t>
      </w:r>
      <w:bookmarkEnd w:id="32"/>
    </w:p>
    <w:p w14:paraId="0C0FA5AA" w14:textId="63CAF1B3" w:rsidR="007670FA" w:rsidRDefault="007670FA" w:rsidP="007670FA">
      <w:pPr>
        <w:rPr>
          <w:lang w:val="en-US"/>
        </w:rPr>
      </w:pPr>
      <w:r w:rsidRPr="007670FA">
        <w:rPr>
          <w:lang w:val="en-US"/>
        </w:rPr>
        <w:t>The addition of nanoparticles can significantly improve the specific heat capacity of PCMs. For example, the use of nitrogen-doped graphene (NDG) increased the specific heat capacity of PA/NDG composites, with higher values observed for increasing NDG concentrations. Similarly, the dispersion of lithium silicate (LiCl) or other nanoparticles (SiO₂, Al₂O₃, TiO₂, SiO₂-Al₂O₃) showed improvements of up to 15% with only 1% of nanoparticles. This effect is mainly due to mechanisms such as higher intrinsic heat capacity, interfacial thermal resistance, and the semi-solid behavior of molecules adsorbed on the surface.</w:t>
      </w:r>
    </w:p>
    <w:p w14:paraId="50208EF3" w14:textId="324F3BAC" w:rsidR="007670FA" w:rsidRDefault="007670FA" w:rsidP="007670FA">
      <w:pPr>
        <w:pStyle w:val="Heading3"/>
        <w:rPr>
          <w:lang w:val="en-US"/>
        </w:rPr>
      </w:pPr>
      <w:bookmarkStart w:id="33" w:name="_Toc214356275"/>
      <w:r>
        <w:rPr>
          <w:lang w:val="en-US"/>
        </w:rPr>
        <w:t>Chemical properties</w:t>
      </w:r>
      <w:bookmarkEnd w:id="33"/>
      <w:r>
        <w:rPr>
          <w:lang w:val="en-US"/>
        </w:rPr>
        <w:t xml:space="preserve"> </w:t>
      </w:r>
    </w:p>
    <w:p w14:paraId="539E6898" w14:textId="18ABC494" w:rsidR="007670FA" w:rsidRDefault="007670FA" w:rsidP="007670FA">
      <w:pPr>
        <w:pStyle w:val="Heading4"/>
        <w:rPr>
          <w:lang w:val="en-US"/>
        </w:rPr>
      </w:pPr>
      <w:r>
        <w:rPr>
          <w:lang w:val="en-US"/>
        </w:rPr>
        <w:t>Thermal and chemical stability</w:t>
      </w:r>
    </w:p>
    <w:p w14:paraId="1285B9CA" w14:textId="2F5C79D7" w:rsidR="007670FA" w:rsidRPr="007670FA" w:rsidRDefault="007670FA" w:rsidP="007670FA">
      <w:pPr>
        <w:rPr>
          <w:lang w:val="en-US"/>
        </w:rPr>
      </w:pPr>
      <w:r w:rsidRPr="007670FA">
        <w:rPr>
          <w:lang w:val="en-US"/>
        </w:rPr>
        <w:t>The thermal and chemical stability of a PCM plays a crucial role in determining its long-term reliability and suitability for TES applications</w:t>
      </w:r>
      <w:r>
        <w:rPr>
          <w:lang w:val="en-US"/>
        </w:rPr>
        <w:t xml:space="preserve"> </w:t>
      </w:r>
      <w:sdt>
        <w:sdtPr>
          <w:rPr>
            <w:lang w:val="en-US"/>
          </w:rPr>
          <w:id w:val="2133514564"/>
          <w:citation/>
        </w:sdtPr>
        <w:sdtContent>
          <w:r>
            <w:rPr>
              <w:lang w:val="en-US"/>
            </w:rPr>
            <w:fldChar w:fldCharType="begin"/>
          </w:r>
          <w:r w:rsidRPr="007670FA">
            <w:rPr>
              <w:lang w:val="en-US"/>
            </w:rPr>
            <w:instrText xml:space="preserve"> CITATION Placeholder16 \l 1040 </w:instrText>
          </w:r>
          <w:r>
            <w:rPr>
              <w:lang w:val="en-US"/>
            </w:rPr>
            <w:fldChar w:fldCharType="separate"/>
          </w:r>
          <w:r w:rsidR="00855396" w:rsidRPr="00855396">
            <w:rPr>
              <w:noProof/>
              <w:lang w:val="en-US"/>
            </w:rPr>
            <w:t>[10]</w:t>
          </w:r>
          <w:r>
            <w:rPr>
              <w:lang w:val="en-US"/>
            </w:rPr>
            <w:fldChar w:fldCharType="end"/>
          </w:r>
        </w:sdtContent>
      </w:sdt>
      <w:r>
        <w:rPr>
          <w:lang w:val="en-US"/>
        </w:rPr>
        <w:t xml:space="preserve">. </w:t>
      </w:r>
      <w:r w:rsidRPr="007670FA">
        <w:rPr>
          <w:lang w:val="en-US"/>
        </w:rPr>
        <w:t xml:space="preserve"> In TES systems such as solar energy storage, PCMs undergo multiple charging and discharging cycles </w:t>
      </w:r>
      <w:r w:rsidRPr="007670FA">
        <w:rPr>
          <w:lang w:val="en-US"/>
        </w:rPr>
        <w:lastRenderedPageBreak/>
        <w:t>throughout their lifetime. This repeated cycling often leads to a gradual degradation of their thermophysical properties. Thermal stability is commonly assessed through accelerated thermal cycling tests in the laboratory, where the PCM is repeatedly cycled across its phase transition temperature. A PCM is considered thermally stable when, after numerous cycles, it retains its thermal, chemical, and physical characteristics. Changes in thermal properties are usually evaluated using a Differential Scanning Calorimeter (DSC), which compares variations in phase change temperature and enthalpy before and after cycling. In contrast, chemical stability is typically examined using FTIR analysis, which can detect alterations in chemical structure induced by thermal cycling. A slight degree of degradation is considered inevitable; however, it is generally accepted as long as it remains within permissible limits.</w:t>
      </w:r>
    </w:p>
    <w:p w14:paraId="2F352698" w14:textId="77777777" w:rsidR="007670FA" w:rsidRPr="007670FA" w:rsidRDefault="007670FA" w:rsidP="007670FA">
      <w:pPr>
        <w:rPr>
          <w:lang w:val="en-US"/>
        </w:rPr>
      </w:pPr>
      <w:r w:rsidRPr="007670FA">
        <w:rPr>
          <w:lang w:val="en-US"/>
        </w:rPr>
        <w:tab/>
        <w:t>Several studies have investigated the long-term stability of PCMs through accelerated thermal cycling. For instance, Fu et al. synthesized polyurethane-based PCMs with PEG and surfactants, reporting enthalpy losses of 8–14% after 100 cycles. Zhou et al. tested crosslinking polyurethane with graphene oxide, finding negligible enthalpy variation and excellent reliability. The incorporation of Halloysite nanotubes (HNT) further improved cycling stability and increased decomposition temperature. Other works focused on organics and polymeric PCMs. Huang et al. examined polyacrylonitrile-based copolymers and observed enthalpy losses of around 3–4% after 100 cycles. Similarly, PEG/expanded graphite composites showed minimal changes in phase transition temperature and enthalpy, confirming their reliability. Raj et al. studied manganese-based organometallic SS-PCMs, stable up to 1000 cycles, while Sari et al. tested copolymers such as poly(styrene-co-maleic anhydride)-graft-PEG, reporting stability up to 5000 cycles with negligible degradation. Overall, results suggest that most organic and polymeric PCMs maintain good stability for long-term applications, while organometallic PCMs require further research to address their relatively low enthalpies despite high stability.</w:t>
      </w:r>
    </w:p>
    <w:p w14:paraId="44D2034A" w14:textId="0888B943" w:rsidR="007670FA" w:rsidRDefault="007670FA" w:rsidP="007670FA">
      <w:pPr>
        <w:pStyle w:val="Heading4"/>
        <w:rPr>
          <w:lang w:val="en-US"/>
        </w:rPr>
      </w:pPr>
      <w:r>
        <w:rPr>
          <w:lang w:val="en-US"/>
        </w:rPr>
        <w:t>Toxicity</w:t>
      </w:r>
    </w:p>
    <w:p w14:paraId="2965B13A" w14:textId="2506FF3B" w:rsidR="007670FA" w:rsidRDefault="007670FA" w:rsidP="007670FA">
      <w:pPr>
        <w:rPr>
          <w:lang w:val="en-US"/>
        </w:rPr>
      </w:pPr>
      <w:r w:rsidRPr="007670FA">
        <w:rPr>
          <w:lang w:val="en-US"/>
        </w:rPr>
        <w:t xml:space="preserve">Toxicity is the degree to which a chemical substance, or a mixture of elements, can harm living organisms. For TES applications, a careful risk assessment and material selection are essential, guided by the toxicological and environmental profile of the complete system. As shown in paragraph 1.2.1, we can say that for solid–liquid PCMs, organics (paraffins, fatty acids, vegetable oils) are generally low-toxicity: paraffins and many oils can be food-grade, but they are flammable, and some industrial grades may release VOCs when overheated; fatty acids are typically non-toxic/biodegradable but can be irritant or mildly corrosive. Inorganics (salt hydrates) show variable toxicity: many have low acute toxicity but may cause skin/eye irritation and respiratory issues as dust; several are corrosive to containers and poorly biodegradable. Studies on PCMs show heterogeneous behavior: some organometallic PCMs and some organic solid </w:t>
      </w:r>
      <w:r w:rsidRPr="007670FA">
        <w:rPr>
          <w:lang w:val="en-US"/>
        </w:rPr>
        <w:lastRenderedPageBreak/>
        <w:t>PCMs are non-toxic for specific applications. In general, organic SS-PCMs have low toxicity, while polymeric SS-PCMs are considered minimally toxic, although attention is needed because of reactive chains and the isocyanates used in synthesis. Among layered perovskites, mercury-based systems are disadvantaged because they are toxic and also have lower enthalpies; manganese-based perovskites offer high enthalpy, but their toxicity remains a limitation; cobalt-based perovskites combine high enthalpy and high transition temperatures, yet toxicity is still a major drawback</w:t>
      </w:r>
      <w:r>
        <w:rPr>
          <w:lang w:val="en-US"/>
        </w:rPr>
        <w:t xml:space="preserve"> </w:t>
      </w:r>
      <w:sdt>
        <w:sdtPr>
          <w:rPr>
            <w:lang w:val="en-US"/>
          </w:rPr>
          <w:id w:val="1724483520"/>
          <w:citation/>
        </w:sdtPr>
        <w:sdtContent>
          <w:r>
            <w:rPr>
              <w:lang w:val="en-US"/>
            </w:rPr>
            <w:fldChar w:fldCharType="begin"/>
          </w:r>
          <w:r w:rsidRPr="007670FA">
            <w:rPr>
              <w:lang w:val="en-US"/>
            </w:rPr>
            <w:instrText xml:space="preserve"> CITATION Placeholder30 \l 1040 </w:instrText>
          </w:r>
          <w:r>
            <w:rPr>
              <w:lang w:val="en-US"/>
            </w:rPr>
            <w:fldChar w:fldCharType="separate"/>
          </w:r>
          <w:r w:rsidR="00855396" w:rsidRPr="00855396">
            <w:rPr>
              <w:noProof/>
              <w:lang w:val="en-US"/>
            </w:rPr>
            <w:t>[24]</w:t>
          </w:r>
          <w:r>
            <w:rPr>
              <w:lang w:val="en-US"/>
            </w:rPr>
            <w:fldChar w:fldCharType="end"/>
          </w:r>
        </w:sdtContent>
      </w:sdt>
      <w:r>
        <w:rPr>
          <w:lang w:val="en-US"/>
        </w:rPr>
        <w:t>.</w:t>
      </w:r>
    </w:p>
    <w:p w14:paraId="2FD6FC29" w14:textId="60D8E7E2" w:rsidR="007670FA" w:rsidRDefault="007670FA" w:rsidP="007670FA">
      <w:pPr>
        <w:pStyle w:val="Heading4"/>
        <w:rPr>
          <w:lang w:val="en-US"/>
        </w:rPr>
      </w:pPr>
      <w:r>
        <w:rPr>
          <w:lang w:val="en-US"/>
        </w:rPr>
        <w:t>Flammability and fire retardation</w:t>
      </w:r>
    </w:p>
    <w:p w14:paraId="6BC22AF4" w14:textId="77777777" w:rsidR="007670FA" w:rsidRPr="007670FA" w:rsidRDefault="007670FA" w:rsidP="007670FA">
      <w:pPr>
        <w:rPr>
          <w:rFonts w:cs="Times New Roman"/>
        </w:rPr>
      </w:pPr>
      <w:r w:rsidRPr="007670FA">
        <w:rPr>
          <w:rFonts w:cs="Times New Roman"/>
          <w:lang w:val="en-US"/>
        </w:rPr>
        <w:t xml:space="preserve">Flammability is one of the main factors limiting the application of PCMs, especially in the building sector. Flame retardants must be carefully selected so as not to significantly affect the latent heat capacity and must remain chemically compatible with the PCM material. </w:t>
      </w:r>
      <w:r w:rsidRPr="007670FA">
        <w:rPr>
          <w:rFonts w:cs="Times New Roman"/>
        </w:rPr>
        <w:t>Their action mechanisms include:</w:t>
      </w:r>
    </w:p>
    <w:p w14:paraId="12F6CA61" w14:textId="77777777" w:rsidR="007670FA" w:rsidRPr="007670FA" w:rsidRDefault="007670FA">
      <w:pPr>
        <w:pStyle w:val="ListParagraph"/>
        <w:numPr>
          <w:ilvl w:val="0"/>
          <w:numId w:val="5"/>
        </w:numPr>
        <w:spacing w:before="0" w:after="160" w:line="259" w:lineRule="auto"/>
        <w:rPr>
          <w:rFonts w:cs="Times New Roman"/>
        </w:rPr>
      </w:pPr>
      <w:r w:rsidRPr="007670FA">
        <w:rPr>
          <w:rFonts w:cs="Times New Roman"/>
        </w:rPr>
        <w:t>Endothermic decomposition, preventing PCM combustion</w:t>
      </w:r>
    </w:p>
    <w:p w14:paraId="20BEA8E8" w14:textId="77777777" w:rsidR="007670FA" w:rsidRPr="007670FA" w:rsidRDefault="007670FA">
      <w:pPr>
        <w:pStyle w:val="ListParagraph"/>
        <w:numPr>
          <w:ilvl w:val="0"/>
          <w:numId w:val="5"/>
        </w:numPr>
        <w:spacing w:before="0" w:after="160" w:line="259" w:lineRule="auto"/>
        <w:rPr>
          <w:rFonts w:cs="Times New Roman"/>
          <w:lang w:val="en-US"/>
        </w:rPr>
      </w:pPr>
      <w:r w:rsidRPr="007670FA">
        <w:rPr>
          <w:rFonts w:cs="Times New Roman"/>
          <w:lang w:val="en-US"/>
        </w:rPr>
        <w:t>Dilution of the gas phase below the minimum oxygen concentration (MOC) by forming inert gases</w:t>
      </w:r>
    </w:p>
    <w:p w14:paraId="4D629290" w14:textId="77777777" w:rsidR="007670FA" w:rsidRPr="007670FA" w:rsidRDefault="007670FA">
      <w:pPr>
        <w:pStyle w:val="ListParagraph"/>
        <w:numPr>
          <w:ilvl w:val="0"/>
          <w:numId w:val="5"/>
        </w:numPr>
        <w:spacing w:before="0" w:after="160" w:line="259" w:lineRule="auto"/>
        <w:rPr>
          <w:rFonts w:cs="Times New Roman"/>
          <w:lang w:val="en-US"/>
        </w:rPr>
      </w:pPr>
      <w:r w:rsidRPr="007670FA">
        <w:rPr>
          <w:rFonts w:cs="Times New Roman"/>
          <w:lang w:val="en-US"/>
        </w:rPr>
        <w:t>Release of radicals (e.g., Cl and Br) that interrupt combustion chain reactions</w:t>
      </w:r>
    </w:p>
    <w:p w14:paraId="599D86B0" w14:textId="77777777" w:rsidR="007670FA" w:rsidRPr="007670FA" w:rsidRDefault="007670FA">
      <w:pPr>
        <w:pStyle w:val="ListParagraph"/>
        <w:numPr>
          <w:ilvl w:val="0"/>
          <w:numId w:val="5"/>
        </w:numPr>
        <w:spacing w:before="0" w:after="160" w:line="259" w:lineRule="auto"/>
        <w:rPr>
          <w:rFonts w:cs="Times New Roman"/>
          <w:lang w:val="en-US"/>
        </w:rPr>
      </w:pPr>
      <w:r w:rsidRPr="007670FA">
        <w:rPr>
          <w:rFonts w:cs="Times New Roman"/>
          <w:lang w:val="en-US"/>
        </w:rPr>
        <w:t>Separation of the flame from the surface through charring</w:t>
      </w:r>
    </w:p>
    <w:p w14:paraId="0B44E8C1" w14:textId="59EA34C0" w:rsidR="007670FA" w:rsidRPr="007670FA" w:rsidRDefault="007670FA" w:rsidP="007670FA">
      <w:pPr>
        <w:rPr>
          <w:rFonts w:cs="Times New Roman"/>
          <w:lang w:val="en-US"/>
        </w:rPr>
      </w:pPr>
      <w:r w:rsidRPr="007670FA">
        <w:rPr>
          <w:rFonts w:cs="Times New Roman"/>
          <w:lang w:val="en-US"/>
        </w:rPr>
        <w:t xml:space="preserve">Volatile phosphorus-based compounds are among the most effective flame inhibitors, being about five times more effective than bromine and ten times more effective than chlorine in stopping chain reactions. However, external charring agents are required if the chain lacks oxygen and nitrogen atoms. Fire resistance of PCMs is usually assessed by ignition time, mass loss, thermal stability, and smoke generation. An important parameter is the Peak Heat Release Rate (PHRR), while the cone calorimeter is commonly used to evaluate PCM combustibility </w:t>
      </w:r>
      <w:sdt>
        <w:sdtPr>
          <w:rPr>
            <w:rFonts w:cs="Times New Roman"/>
            <w:lang w:val="en-US"/>
          </w:rPr>
          <w:id w:val="-345178814"/>
          <w:citation/>
        </w:sdtPr>
        <w:sdtContent>
          <w:r>
            <w:rPr>
              <w:rFonts w:cs="Times New Roman"/>
              <w:lang w:val="en-US"/>
            </w:rPr>
            <w:fldChar w:fldCharType="begin"/>
          </w:r>
          <w:r w:rsidRPr="007670FA">
            <w:rPr>
              <w:rFonts w:cs="Times New Roman"/>
              <w:lang w:val="en-US"/>
            </w:rPr>
            <w:instrText xml:space="preserve"> CITATION Placeholder31 \l 1040 </w:instrText>
          </w:r>
          <w:r>
            <w:rPr>
              <w:rFonts w:cs="Times New Roman"/>
              <w:lang w:val="en-US"/>
            </w:rPr>
            <w:fldChar w:fldCharType="separate"/>
          </w:r>
          <w:r w:rsidR="00855396" w:rsidRPr="00855396">
            <w:rPr>
              <w:rFonts w:cs="Times New Roman"/>
              <w:noProof/>
              <w:lang w:val="en-US"/>
            </w:rPr>
            <w:t>[25]</w:t>
          </w:r>
          <w:r>
            <w:rPr>
              <w:rFonts w:cs="Times New Roman"/>
              <w:lang w:val="en-US"/>
            </w:rPr>
            <w:fldChar w:fldCharType="end"/>
          </w:r>
        </w:sdtContent>
      </w:sdt>
      <w:r w:rsidRPr="007670FA">
        <w:rPr>
          <w:rFonts w:cs="Times New Roman"/>
          <w:lang w:val="en-US"/>
        </w:rPr>
        <w:t xml:space="preserve">. </w:t>
      </w:r>
    </w:p>
    <w:tbl>
      <w:tblPr>
        <w:tblStyle w:val="TableGrid"/>
        <w:tblW w:w="9067" w:type="dxa"/>
        <w:tblLook w:val="04A0" w:firstRow="1" w:lastRow="0" w:firstColumn="1" w:lastColumn="0" w:noHBand="0" w:noVBand="1"/>
      </w:tblPr>
      <w:tblGrid>
        <w:gridCol w:w="1973"/>
        <w:gridCol w:w="4543"/>
        <w:gridCol w:w="2551"/>
      </w:tblGrid>
      <w:tr w:rsidR="007670FA" w:rsidRPr="007670FA" w14:paraId="676748C6" w14:textId="77777777" w:rsidTr="007670FA">
        <w:trPr>
          <w:trHeight w:val="502"/>
        </w:trPr>
        <w:tc>
          <w:tcPr>
            <w:tcW w:w="1973" w:type="dxa"/>
            <w:shd w:val="clear" w:color="auto" w:fill="8EA5B6"/>
            <w:vAlign w:val="center"/>
          </w:tcPr>
          <w:p w14:paraId="6DA1ED48" w14:textId="77777777" w:rsidR="007670FA" w:rsidRPr="007670FA" w:rsidRDefault="007670FA" w:rsidP="007670FA">
            <w:pPr>
              <w:jc w:val="center"/>
              <w:rPr>
                <w:rFonts w:cs="Times New Roman"/>
                <w:b/>
                <w:bCs/>
                <w:sz w:val="22"/>
              </w:rPr>
            </w:pPr>
            <w:bookmarkStart w:id="34" w:name="_Hlk210383581"/>
            <w:r w:rsidRPr="007670FA">
              <w:rPr>
                <w:rFonts w:cs="Times New Roman"/>
                <w:b/>
                <w:bCs/>
                <w:sz w:val="22"/>
              </w:rPr>
              <w:t>Common Flame Retardants</w:t>
            </w:r>
          </w:p>
        </w:tc>
        <w:tc>
          <w:tcPr>
            <w:tcW w:w="4543" w:type="dxa"/>
            <w:shd w:val="clear" w:color="auto" w:fill="8EA5B6"/>
            <w:vAlign w:val="center"/>
          </w:tcPr>
          <w:p w14:paraId="7818D3B2" w14:textId="77777777" w:rsidR="007670FA" w:rsidRPr="007670FA" w:rsidRDefault="007670FA" w:rsidP="007670FA">
            <w:pPr>
              <w:jc w:val="center"/>
              <w:rPr>
                <w:rFonts w:cs="Times New Roman"/>
                <w:b/>
                <w:bCs/>
                <w:sz w:val="22"/>
              </w:rPr>
            </w:pPr>
            <w:r w:rsidRPr="007670FA">
              <w:rPr>
                <w:rFonts w:cs="Times New Roman"/>
                <w:b/>
                <w:bCs/>
                <w:sz w:val="22"/>
              </w:rPr>
              <w:t>Working principle</w:t>
            </w:r>
          </w:p>
        </w:tc>
        <w:tc>
          <w:tcPr>
            <w:tcW w:w="2551" w:type="dxa"/>
            <w:shd w:val="clear" w:color="auto" w:fill="8EA5B6"/>
            <w:vAlign w:val="center"/>
          </w:tcPr>
          <w:p w14:paraId="6B7E4D45" w14:textId="77777777" w:rsidR="007670FA" w:rsidRPr="007670FA" w:rsidRDefault="007670FA" w:rsidP="007670FA">
            <w:pPr>
              <w:jc w:val="center"/>
              <w:rPr>
                <w:rFonts w:cs="Times New Roman"/>
                <w:b/>
                <w:bCs/>
                <w:sz w:val="22"/>
              </w:rPr>
            </w:pPr>
            <w:r w:rsidRPr="007670FA">
              <w:rPr>
                <w:rFonts w:cs="Times New Roman"/>
                <w:b/>
                <w:bCs/>
                <w:sz w:val="22"/>
              </w:rPr>
              <w:t>Material tested</w:t>
            </w:r>
          </w:p>
        </w:tc>
      </w:tr>
      <w:tr w:rsidR="007670FA" w:rsidRPr="007670FA" w14:paraId="2C90D7CC" w14:textId="77777777" w:rsidTr="007670FA">
        <w:trPr>
          <w:trHeight w:val="1005"/>
        </w:trPr>
        <w:tc>
          <w:tcPr>
            <w:tcW w:w="1973" w:type="dxa"/>
            <w:vAlign w:val="center"/>
          </w:tcPr>
          <w:p w14:paraId="005FC5C0" w14:textId="77777777" w:rsidR="007670FA" w:rsidRPr="007670FA" w:rsidRDefault="007670FA" w:rsidP="007670FA">
            <w:pPr>
              <w:jc w:val="center"/>
              <w:rPr>
                <w:rFonts w:cs="Times New Roman"/>
                <w:sz w:val="22"/>
              </w:rPr>
            </w:pPr>
            <w:r w:rsidRPr="007670FA">
              <w:rPr>
                <w:rFonts w:cs="Times New Roman"/>
                <w:sz w:val="22"/>
              </w:rPr>
              <w:t>Ammonium Polyphosphate</w:t>
            </w:r>
          </w:p>
        </w:tc>
        <w:tc>
          <w:tcPr>
            <w:tcW w:w="4543" w:type="dxa"/>
            <w:vAlign w:val="center"/>
          </w:tcPr>
          <w:p w14:paraId="753206DA" w14:textId="77777777" w:rsidR="007670FA" w:rsidRPr="007670FA" w:rsidRDefault="007670FA" w:rsidP="007670FA">
            <w:pPr>
              <w:jc w:val="center"/>
              <w:rPr>
                <w:rFonts w:cs="Times New Roman"/>
                <w:sz w:val="22"/>
                <w:lang w:val="en-US"/>
              </w:rPr>
            </w:pPr>
            <w:r w:rsidRPr="007670FA">
              <w:rPr>
                <w:rFonts w:cs="Times New Roman"/>
                <w:sz w:val="22"/>
                <w:lang w:val="en-US"/>
              </w:rPr>
              <w:t>Results in char formation, which separates the flame from the material; Releases vapors of water, which acts as a diluting agent; Sometimes used with PER</w:t>
            </w:r>
          </w:p>
        </w:tc>
        <w:tc>
          <w:tcPr>
            <w:tcW w:w="2551" w:type="dxa"/>
            <w:vAlign w:val="center"/>
          </w:tcPr>
          <w:p w14:paraId="1B3DCA91" w14:textId="77777777" w:rsidR="007670FA" w:rsidRPr="007670FA" w:rsidRDefault="007670FA" w:rsidP="007670FA">
            <w:pPr>
              <w:jc w:val="center"/>
              <w:rPr>
                <w:rFonts w:cs="Times New Roman"/>
                <w:sz w:val="22"/>
              </w:rPr>
            </w:pPr>
            <w:r w:rsidRPr="007670FA">
              <w:rPr>
                <w:rFonts w:cs="Times New Roman"/>
                <w:sz w:val="22"/>
              </w:rPr>
              <w:t>Paraffin/HDPE</w:t>
            </w:r>
          </w:p>
        </w:tc>
      </w:tr>
      <w:tr w:rsidR="007670FA" w:rsidRPr="00736B36" w14:paraId="2AC3BF2D" w14:textId="77777777" w:rsidTr="007670FA">
        <w:trPr>
          <w:trHeight w:val="766"/>
        </w:trPr>
        <w:tc>
          <w:tcPr>
            <w:tcW w:w="1973" w:type="dxa"/>
            <w:vAlign w:val="center"/>
          </w:tcPr>
          <w:p w14:paraId="4BB36CA6" w14:textId="77777777" w:rsidR="007670FA" w:rsidRPr="007670FA" w:rsidRDefault="007670FA" w:rsidP="007670FA">
            <w:pPr>
              <w:jc w:val="center"/>
              <w:rPr>
                <w:rFonts w:cs="Times New Roman"/>
                <w:sz w:val="22"/>
              </w:rPr>
            </w:pPr>
            <w:r w:rsidRPr="007670FA">
              <w:rPr>
                <w:rFonts w:cs="Times New Roman"/>
                <w:sz w:val="22"/>
              </w:rPr>
              <w:t>Montmorillonite</w:t>
            </w:r>
          </w:p>
        </w:tc>
        <w:tc>
          <w:tcPr>
            <w:tcW w:w="4543" w:type="dxa"/>
            <w:vAlign w:val="center"/>
          </w:tcPr>
          <w:p w14:paraId="3D5BF758" w14:textId="77777777" w:rsidR="007670FA" w:rsidRPr="007670FA" w:rsidRDefault="007670FA" w:rsidP="007670FA">
            <w:pPr>
              <w:jc w:val="center"/>
              <w:rPr>
                <w:rFonts w:cs="Times New Roman"/>
                <w:sz w:val="22"/>
                <w:lang w:val="en-US"/>
              </w:rPr>
            </w:pPr>
            <w:r w:rsidRPr="007670FA">
              <w:rPr>
                <w:rFonts w:cs="Times New Roman"/>
                <w:sz w:val="22"/>
                <w:lang w:val="en-US"/>
              </w:rPr>
              <w:t>As the temperature rises, a rigid layer of ceramic forms on the surface, acting as char</w:t>
            </w:r>
          </w:p>
        </w:tc>
        <w:tc>
          <w:tcPr>
            <w:tcW w:w="2551" w:type="dxa"/>
            <w:vAlign w:val="center"/>
          </w:tcPr>
          <w:p w14:paraId="0C2CB90C" w14:textId="77777777" w:rsidR="007670FA" w:rsidRPr="007670FA" w:rsidRDefault="007670FA" w:rsidP="007670FA">
            <w:pPr>
              <w:jc w:val="center"/>
              <w:rPr>
                <w:rFonts w:cs="Times New Roman"/>
                <w:sz w:val="22"/>
                <w:lang w:val="en-US"/>
              </w:rPr>
            </w:pPr>
            <w:r w:rsidRPr="007670FA">
              <w:rPr>
                <w:rFonts w:cs="Times New Roman"/>
                <w:sz w:val="22"/>
                <w:lang w:val="en-US"/>
              </w:rPr>
              <w:t>n-octadecane/HDPE-polyethylene co-vinyl acetate</w:t>
            </w:r>
          </w:p>
        </w:tc>
      </w:tr>
      <w:tr w:rsidR="007670FA" w:rsidRPr="007670FA" w14:paraId="73F15806" w14:textId="77777777" w:rsidTr="007670FA">
        <w:trPr>
          <w:trHeight w:val="502"/>
        </w:trPr>
        <w:tc>
          <w:tcPr>
            <w:tcW w:w="1973" w:type="dxa"/>
            <w:vAlign w:val="center"/>
          </w:tcPr>
          <w:p w14:paraId="3289F591" w14:textId="77777777" w:rsidR="007670FA" w:rsidRPr="007670FA" w:rsidRDefault="007670FA" w:rsidP="007670FA">
            <w:pPr>
              <w:jc w:val="center"/>
              <w:rPr>
                <w:rFonts w:cs="Times New Roman"/>
                <w:sz w:val="22"/>
              </w:rPr>
            </w:pPr>
            <w:r w:rsidRPr="007670FA">
              <w:rPr>
                <w:rFonts w:cs="Times New Roman"/>
                <w:sz w:val="22"/>
              </w:rPr>
              <w:t>Melamine</w:t>
            </w:r>
          </w:p>
        </w:tc>
        <w:tc>
          <w:tcPr>
            <w:tcW w:w="4543" w:type="dxa"/>
            <w:vAlign w:val="center"/>
          </w:tcPr>
          <w:p w14:paraId="6CCC2FC2" w14:textId="3F7A50F7" w:rsidR="007670FA" w:rsidRPr="007670FA" w:rsidRDefault="007670FA" w:rsidP="007670FA">
            <w:pPr>
              <w:jc w:val="center"/>
              <w:rPr>
                <w:rFonts w:cs="Times New Roman"/>
                <w:sz w:val="22"/>
                <w:lang w:val="en-US"/>
              </w:rPr>
            </w:pPr>
            <w:r w:rsidRPr="007670FA">
              <w:rPr>
                <w:rFonts w:cs="Times New Roman"/>
                <w:sz w:val="22"/>
                <w:lang w:val="en-US"/>
              </w:rPr>
              <w:t>Interferes with combustion due to the formation of ammonia vapors</w:t>
            </w:r>
          </w:p>
        </w:tc>
        <w:tc>
          <w:tcPr>
            <w:tcW w:w="2551" w:type="dxa"/>
            <w:vAlign w:val="center"/>
          </w:tcPr>
          <w:p w14:paraId="7051247A" w14:textId="77777777" w:rsidR="007670FA" w:rsidRPr="007670FA" w:rsidRDefault="007670FA" w:rsidP="007670FA">
            <w:pPr>
              <w:jc w:val="center"/>
              <w:rPr>
                <w:rFonts w:cs="Times New Roman"/>
                <w:sz w:val="22"/>
              </w:rPr>
            </w:pPr>
            <w:r w:rsidRPr="007670FA">
              <w:rPr>
                <w:rFonts w:cs="Times New Roman"/>
                <w:sz w:val="22"/>
              </w:rPr>
              <w:t>Paraffin/HDPE</w:t>
            </w:r>
          </w:p>
        </w:tc>
      </w:tr>
      <w:tr w:rsidR="007670FA" w:rsidRPr="007670FA" w14:paraId="6ECA7E3E" w14:textId="77777777" w:rsidTr="007670FA">
        <w:trPr>
          <w:trHeight w:val="754"/>
        </w:trPr>
        <w:tc>
          <w:tcPr>
            <w:tcW w:w="1973" w:type="dxa"/>
            <w:vAlign w:val="center"/>
          </w:tcPr>
          <w:p w14:paraId="0CCADA31" w14:textId="77777777" w:rsidR="007670FA" w:rsidRPr="007670FA" w:rsidRDefault="007670FA" w:rsidP="007670FA">
            <w:pPr>
              <w:jc w:val="center"/>
              <w:rPr>
                <w:rFonts w:cs="Times New Roman"/>
                <w:sz w:val="22"/>
              </w:rPr>
            </w:pPr>
            <w:r w:rsidRPr="007670FA">
              <w:rPr>
                <w:rFonts w:cs="Times New Roman"/>
                <w:sz w:val="22"/>
              </w:rPr>
              <w:lastRenderedPageBreak/>
              <w:t>Metallic hydroxides</w:t>
            </w:r>
          </w:p>
        </w:tc>
        <w:tc>
          <w:tcPr>
            <w:tcW w:w="4543" w:type="dxa"/>
            <w:vAlign w:val="center"/>
          </w:tcPr>
          <w:p w14:paraId="5D0537D0" w14:textId="4F105BDC" w:rsidR="007670FA" w:rsidRPr="007670FA" w:rsidRDefault="007670FA" w:rsidP="007670FA">
            <w:pPr>
              <w:jc w:val="center"/>
              <w:rPr>
                <w:rFonts w:cs="Times New Roman"/>
                <w:sz w:val="22"/>
                <w:lang w:val="en-US"/>
              </w:rPr>
            </w:pPr>
            <w:r w:rsidRPr="007670FA">
              <w:rPr>
                <w:rFonts w:cs="Times New Roman"/>
                <w:sz w:val="22"/>
                <w:lang w:val="en-US"/>
              </w:rPr>
              <w:t>Break endothermically; Releases water at high temperature; Dilutes combustible vapors; Lowers the PCM temperature</w:t>
            </w:r>
          </w:p>
        </w:tc>
        <w:tc>
          <w:tcPr>
            <w:tcW w:w="2551" w:type="dxa"/>
            <w:vAlign w:val="center"/>
          </w:tcPr>
          <w:p w14:paraId="2C3B020D" w14:textId="77777777" w:rsidR="007670FA" w:rsidRPr="007670FA" w:rsidRDefault="007670FA" w:rsidP="007670FA">
            <w:pPr>
              <w:jc w:val="center"/>
              <w:rPr>
                <w:rFonts w:cs="Times New Roman"/>
                <w:sz w:val="22"/>
              </w:rPr>
            </w:pPr>
            <w:r w:rsidRPr="007670FA">
              <w:rPr>
                <w:rFonts w:cs="Times New Roman"/>
                <w:sz w:val="22"/>
              </w:rPr>
              <w:t>RT21/HDPE</w:t>
            </w:r>
          </w:p>
        </w:tc>
      </w:tr>
      <w:tr w:rsidR="007670FA" w:rsidRPr="007670FA" w14:paraId="4E8195FB" w14:textId="77777777" w:rsidTr="007670FA">
        <w:trPr>
          <w:trHeight w:val="754"/>
        </w:trPr>
        <w:tc>
          <w:tcPr>
            <w:tcW w:w="1973" w:type="dxa"/>
            <w:vAlign w:val="center"/>
          </w:tcPr>
          <w:p w14:paraId="695A0256" w14:textId="77777777" w:rsidR="007670FA" w:rsidRPr="007670FA" w:rsidRDefault="007670FA" w:rsidP="007670FA">
            <w:pPr>
              <w:jc w:val="center"/>
              <w:rPr>
                <w:rFonts w:cs="Times New Roman"/>
                <w:sz w:val="22"/>
              </w:rPr>
            </w:pPr>
            <w:r w:rsidRPr="007670FA">
              <w:rPr>
                <w:rFonts w:cs="Times New Roman"/>
                <w:sz w:val="22"/>
              </w:rPr>
              <w:t>Red Phosphorous</w:t>
            </w:r>
          </w:p>
        </w:tc>
        <w:tc>
          <w:tcPr>
            <w:tcW w:w="4543" w:type="dxa"/>
            <w:vAlign w:val="center"/>
          </w:tcPr>
          <w:p w14:paraId="73DE75C6" w14:textId="6F905A86" w:rsidR="007670FA" w:rsidRPr="007670FA" w:rsidRDefault="007670FA" w:rsidP="007670FA">
            <w:pPr>
              <w:jc w:val="center"/>
              <w:rPr>
                <w:rFonts w:cs="Times New Roman"/>
                <w:sz w:val="22"/>
                <w:lang w:val="en-US"/>
              </w:rPr>
            </w:pPr>
            <w:r w:rsidRPr="007670FA">
              <w:rPr>
                <w:rFonts w:cs="Times New Roman"/>
                <w:sz w:val="22"/>
                <w:lang w:val="en-US"/>
              </w:rPr>
              <w:t>Mechanism is not very clear; Researchers suggest it is due to char formation or formation of PO radicals, which deactivate the reaction</w:t>
            </w:r>
          </w:p>
        </w:tc>
        <w:tc>
          <w:tcPr>
            <w:tcW w:w="2551" w:type="dxa"/>
            <w:vAlign w:val="center"/>
          </w:tcPr>
          <w:p w14:paraId="38592231" w14:textId="77777777" w:rsidR="007670FA" w:rsidRPr="007670FA" w:rsidRDefault="007670FA" w:rsidP="007670FA">
            <w:pPr>
              <w:jc w:val="center"/>
              <w:rPr>
                <w:rFonts w:cs="Times New Roman"/>
                <w:sz w:val="22"/>
              </w:rPr>
            </w:pPr>
            <w:r w:rsidRPr="007670FA">
              <w:rPr>
                <w:rFonts w:cs="Times New Roman"/>
                <w:sz w:val="22"/>
              </w:rPr>
              <w:t>-</w:t>
            </w:r>
          </w:p>
        </w:tc>
      </w:tr>
      <w:tr w:rsidR="007670FA" w:rsidRPr="007670FA" w14:paraId="42747CAA" w14:textId="77777777" w:rsidTr="007670FA">
        <w:trPr>
          <w:trHeight w:val="754"/>
        </w:trPr>
        <w:tc>
          <w:tcPr>
            <w:tcW w:w="1973" w:type="dxa"/>
            <w:vAlign w:val="center"/>
          </w:tcPr>
          <w:p w14:paraId="5C639267" w14:textId="77777777" w:rsidR="007670FA" w:rsidRPr="007670FA" w:rsidRDefault="007670FA" w:rsidP="007670FA">
            <w:pPr>
              <w:jc w:val="center"/>
              <w:rPr>
                <w:rFonts w:cs="Times New Roman"/>
                <w:sz w:val="22"/>
              </w:rPr>
            </w:pPr>
            <w:r w:rsidRPr="007670FA">
              <w:rPr>
                <w:rFonts w:cs="Times New Roman"/>
                <w:sz w:val="22"/>
              </w:rPr>
              <w:t>Halogenated compounds</w:t>
            </w:r>
          </w:p>
        </w:tc>
        <w:tc>
          <w:tcPr>
            <w:tcW w:w="4543" w:type="dxa"/>
            <w:vAlign w:val="center"/>
          </w:tcPr>
          <w:p w14:paraId="231C51CA" w14:textId="7E32655D" w:rsidR="007670FA" w:rsidRPr="007670FA" w:rsidRDefault="007670FA" w:rsidP="007670FA">
            <w:pPr>
              <w:jc w:val="center"/>
              <w:rPr>
                <w:rFonts w:cs="Times New Roman"/>
                <w:sz w:val="22"/>
                <w:lang w:val="en-US"/>
              </w:rPr>
            </w:pPr>
            <w:r w:rsidRPr="007670FA">
              <w:rPr>
                <w:rFonts w:cs="Times New Roman"/>
                <w:sz w:val="22"/>
                <w:lang w:val="en-US"/>
              </w:rPr>
              <w:t>Forms inactive halogen radicals, which terminate the chain reactions; Antimony oxides act as synergists for them</w:t>
            </w:r>
          </w:p>
        </w:tc>
        <w:tc>
          <w:tcPr>
            <w:tcW w:w="2551" w:type="dxa"/>
            <w:vAlign w:val="center"/>
          </w:tcPr>
          <w:p w14:paraId="107A64AA" w14:textId="77777777" w:rsidR="007670FA" w:rsidRPr="007670FA" w:rsidRDefault="007670FA" w:rsidP="007670FA">
            <w:pPr>
              <w:jc w:val="center"/>
              <w:rPr>
                <w:rFonts w:cs="Times New Roman"/>
                <w:sz w:val="22"/>
              </w:rPr>
            </w:pPr>
            <w:r w:rsidRPr="007670FA">
              <w:rPr>
                <w:rFonts w:cs="Times New Roman"/>
                <w:sz w:val="22"/>
              </w:rPr>
              <w:t>Chlorinated paraffin+10% Antimony oxide</w:t>
            </w:r>
          </w:p>
        </w:tc>
      </w:tr>
      <w:tr w:rsidR="007670FA" w:rsidRPr="007670FA" w14:paraId="129DA32D" w14:textId="77777777" w:rsidTr="007670FA">
        <w:trPr>
          <w:trHeight w:val="80"/>
        </w:trPr>
        <w:tc>
          <w:tcPr>
            <w:tcW w:w="1973" w:type="dxa"/>
            <w:vAlign w:val="center"/>
          </w:tcPr>
          <w:p w14:paraId="09DF545C" w14:textId="77777777" w:rsidR="007670FA" w:rsidRPr="007670FA" w:rsidRDefault="007670FA" w:rsidP="007670FA">
            <w:pPr>
              <w:jc w:val="center"/>
              <w:rPr>
                <w:rFonts w:cs="Times New Roman"/>
                <w:sz w:val="22"/>
              </w:rPr>
            </w:pPr>
            <w:r w:rsidRPr="007670FA">
              <w:rPr>
                <w:rFonts w:cs="Times New Roman"/>
                <w:sz w:val="22"/>
              </w:rPr>
              <w:t>Expandable graphite</w:t>
            </w:r>
          </w:p>
        </w:tc>
        <w:tc>
          <w:tcPr>
            <w:tcW w:w="4543" w:type="dxa"/>
            <w:vAlign w:val="center"/>
          </w:tcPr>
          <w:p w14:paraId="57B415A7" w14:textId="6B9B2C97" w:rsidR="007670FA" w:rsidRPr="007670FA" w:rsidRDefault="007670FA" w:rsidP="007670FA">
            <w:pPr>
              <w:jc w:val="center"/>
              <w:rPr>
                <w:rFonts w:cs="Times New Roman"/>
                <w:sz w:val="22"/>
                <w:lang w:val="en-US"/>
              </w:rPr>
            </w:pPr>
            <w:r w:rsidRPr="007670FA">
              <w:rPr>
                <w:rFonts w:cs="Times New Roman"/>
                <w:sz w:val="22"/>
                <w:lang w:val="en-US"/>
              </w:rPr>
              <w:t xml:space="preserve">When exposed to heat, it expands several times, acting as a charring and insulating agent due to </w:t>
            </w:r>
            <w:r w:rsidR="00D02B65">
              <w:rPr>
                <w:rFonts w:cs="Times New Roman"/>
                <w:sz w:val="22"/>
                <w:lang w:val="en-US"/>
              </w:rPr>
              <w:t xml:space="preserve">the </w:t>
            </w:r>
            <w:r w:rsidRPr="007670FA">
              <w:rPr>
                <w:rFonts w:cs="Times New Roman"/>
                <w:sz w:val="22"/>
                <w:lang w:val="en-US"/>
              </w:rPr>
              <w:t>minute air spaces in them</w:t>
            </w:r>
          </w:p>
        </w:tc>
        <w:tc>
          <w:tcPr>
            <w:tcW w:w="2551" w:type="dxa"/>
            <w:vAlign w:val="center"/>
          </w:tcPr>
          <w:p w14:paraId="32AF8568" w14:textId="77777777" w:rsidR="007670FA" w:rsidRPr="007670FA" w:rsidRDefault="007670FA" w:rsidP="0060138A">
            <w:pPr>
              <w:keepNext/>
              <w:jc w:val="center"/>
              <w:rPr>
                <w:rFonts w:cs="Times New Roman"/>
                <w:sz w:val="22"/>
              </w:rPr>
            </w:pPr>
            <w:r w:rsidRPr="007670FA">
              <w:rPr>
                <w:rFonts w:cs="Times New Roman"/>
                <w:sz w:val="22"/>
              </w:rPr>
              <w:t>-</w:t>
            </w:r>
          </w:p>
        </w:tc>
      </w:tr>
    </w:tbl>
    <w:p w14:paraId="4F90A346" w14:textId="2605618D" w:rsidR="007670FA" w:rsidRDefault="0060138A" w:rsidP="0060138A">
      <w:pPr>
        <w:pStyle w:val="Caption"/>
      </w:pPr>
      <w:bookmarkStart w:id="35" w:name="_Toc214362612"/>
      <w:bookmarkEnd w:id="34"/>
      <w:r>
        <w:t xml:space="preserve">Table </w:t>
      </w:r>
      <w:r w:rsidR="00F43E9A">
        <w:fldChar w:fldCharType="begin"/>
      </w:r>
      <w:r w:rsidR="00F43E9A">
        <w:instrText xml:space="preserve"> STYLEREF 1 \s </w:instrText>
      </w:r>
      <w:r w:rsidR="00F43E9A">
        <w:fldChar w:fldCharType="separate"/>
      </w:r>
      <w:r w:rsidR="000412CE">
        <w:rPr>
          <w:noProof/>
        </w:rPr>
        <w:t>1</w:t>
      </w:r>
      <w:r w:rsidR="00F43E9A">
        <w:fldChar w:fldCharType="end"/>
      </w:r>
      <w:r w:rsidR="00F43E9A">
        <w:t>.</w:t>
      </w:r>
      <w:r w:rsidR="00F43E9A">
        <w:fldChar w:fldCharType="begin"/>
      </w:r>
      <w:r w:rsidR="00F43E9A">
        <w:instrText xml:space="preserve"> SEQ Table \* ARABIC \s 1 </w:instrText>
      </w:r>
      <w:r w:rsidR="00F43E9A">
        <w:fldChar w:fldCharType="separate"/>
      </w:r>
      <w:r w:rsidR="000412CE">
        <w:rPr>
          <w:noProof/>
        </w:rPr>
        <w:t>7</w:t>
      </w:r>
      <w:r w:rsidR="00F43E9A">
        <w:fldChar w:fldCharType="end"/>
      </w:r>
      <w:r w:rsidR="005A414B">
        <w:t>.</w:t>
      </w:r>
      <w:r>
        <w:t xml:space="preserve"> </w:t>
      </w:r>
      <w:r w:rsidRPr="0084189E">
        <w:t>Common flame retardants for PCMs</w:t>
      </w:r>
      <w:r w:rsidR="00A165BA">
        <w:t>.</w:t>
      </w:r>
      <w:bookmarkEnd w:id="35"/>
    </w:p>
    <w:p w14:paraId="0E3D176E" w14:textId="2EDA66B8" w:rsidR="0060138A" w:rsidRDefault="0060138A" w:rsidP="0060138A">
      <w:pPr>
        <w:pStyle w:val="Heading4"/>
        <w:rPr>
          <w:lang w:val="en-US"/>
        </w:rPr>
      </w:pPr>
      <w:r>
        <w:rPr>
          <w:lang w:val="en-US"/>
        </w:rPr>
        <w:t>Corrosion and container requirements</w:t>
      </w:r>
    </w:p>
    <w:tbl>
      <w:tblPr>
        <w:tblStyle w:val="TableGrid"/>
        <w:tblW w:w="9060" w:type="dxa"/>
        <w:tblLook w:val="04A0" w:firstRow="1" w:lastRow="0" w:firstColumn="1" w:lastColumn="0" w:noHBand="0" w:noVBand="1"/>
      </w:tblPr>
      <w:tblGrid>
        <w:gridCol w:w="4530"/>
        <w:gridCol w:w="4530"/>
      </w:tblGrid>
      <w:tr w:rsidR="0060138A" w14:paraId="6A1EF591" w14:textId="77777777" w:rsidTr="0060138A">
        <w:tc>
          <w:tcPr>
            <w:tcW w:w="4530" w:type="dxa"/>
            <w:shd w:val="clear" w:color="auto" w:fill="8EA5B6"/>
            <w:vAlign w:val="center"/>
          </w:tcPr>
          <w:p w14:paraId="21B7782F" w14:textId="03592443" w:rsidR="0060138A" w:rsidRPr="0060138A" w:rsidRDefault="0060138A" w:rsidP="0060138A">
            <w:pPr>
              <w:jc w:val="center"/>
              <w:rPr>
                <w:b/>
                <w:bCs/>
                <w:lang w:val="en-US"/>
              </w:rPr>
            </w:pPr>
            <w:r w:rsidRPr="0060138A">
              <w:rPr>
                <w:rFonts w:ascii="Times New Roman" w:hAnsi="Times New Roman" w:cs="Times New Roman"/>
                <w:b/>
                <w:bCs/>
              </w:rPr>
              <w:t>PCM</w:t>
            </w:r>
          </w:p>
        </w:tc>
        <w:tc>
          <w:tcPr>
            <w:tcW w:w="4530" w:type="dxa"/>
            <w:shd w:val="clear" w:color="auto" w:fill="8EA5B6"/>
            <w:vAlign w:val="center"/>
          </w:tcPr>
          <w:p w14:paraId="168A7041" w14:textId="0DD0CA1A" w:rsidR="0060138A" w:rsidRPr="0060138A" w:rsidRDefault="0060138A" w:rsidP="0060138A">
            <w:pPr>
              <w:jc w:val="center"/>
              <w:rPr>
                <w:b/>
                <w:bCs/>
                <w:lang w:val="en-US"/>
              </w:rPr>
            </w:pPr>
            <w:r w:rsidRPr="0060138A">
              <w:rPr>
                <w:rFonts w:ascii="Times New Roman" w:hAnsi="Times New Roman" w:cs="Times New Roman"/>
                <w:b/>
                <w:bCs/>
              </w:rPr>
              <w:t>Suitable container materials</w:t>
            </w:r>
          </w:p>
        </w:tc>
      </w:tr>
      <w:tr w:rsidR="0060138A" w:rsidRPr="00736B36" w14:paraId="57D8FA58" w14:textId="77777777" w:rsidTr="0060138A">
        <w:tc>
          <w:tcPr>
            <w:tcW w:w="4530" w:type="dxa"/>
            <w:vAlign w:val="center"/>
          </w:tcPr>
          <w:p w14:paraId="3EE37B14" w14:textId="1DE5FDEC" w:rsidR="0060138A" w:rsidRDefault="0060138A" w:rsidP="0060138A">
            <w:pPr>
              <w:jc w:val="center"/>
              <w:rPr>
                <w:lang w:val="en-US"/>
              </w:rPr>
            </w:pPr>
            <w:r w:rsidRPr="00FE5764">
              <w:rPr>
                <w:rFonts w:ascii="Times New Roman" w:hAnsi="Times New Roman" w:cs="Times New Roman"/>
              </w:rPr>
              <w:t>Paraffin’s</w:t>
            </w:r>
          </w:p>
        </w:tc>
        <w:tc>
          <w:tcPr>
            <w:tcW w:w="4530" w:type="dxa"/>
            <w:vAlign w:val="center"/>
          </w:tcPr>
          <w:p w14:paraId="37F589E7" w14:textId="5C8D7D3B" w:rsidR="0060138A" w:rsidRDefault="0060138A" w:rsidP="0060138A">
            <w:pPr>
              <w:jc w:val="center"/>
              <w:rPr>
                <w:lang w:val="en-US"/>
              </w:rPr>
            </w:pPr>
            <w:r w:rsidRPr="0060138A">
              <w:rPr>
                <w:rFonts w:ascii="Times New Roman" w:hAnsi="Times New Roman" w:cs="Times New Roman"/>
                <w:lang w:val="en-US"/>
              </w:rPr>
              <w:t>All materials are suitable; Care has to be taken with plastics</w:t>
            </w:r>
          </w:p>
        </w:tc>
      </w:tr>
      <w:tr w:rsidR="0060138A" w:rsidRPr="00736B36" w14:paraId="7F30A06B" w14:textId="77777777" w:rsidTr="0060138A">
        <w:tc>
          <w:tcPr>
            <w:tcW w:w="4530" w:type="dxa"/>
            <w:vAlign w:val="center"/>
          </w:tcPr>
          <w:p w14:paraId="74D74672" w14:textId="26BB57CD" w:rsidR="0060138A" w:rsidRDefault="0060138A" w:rsidP="0060138A">
            <w:pPr>
              <w:jc w:val="center"/>
              <w:rPr>
                <w:lang w:val="en-US"/>
              </w:rPr>
            </w:pPr>
            <w:r w:rsidRPr="00FE5764">
              <w:rPr>
                <w:rFonts w:ascii="Times New Roman" w:hAnsi="Times New Roman" w:cs="Times New Roman"/>
              </w:rPr>
              <w:t>CaCl₂·6H₂O</w:t>
            </w:r>
          </w:p>
        </w:tc>
        <w:tc>
          <w:tcPr>
            <w:tcW w:w="4530" w:type="dxa"/>
            <w:vAlign w:val="center"/>
          </w:tcPr>
          <w:p w14:paraId="01B680FF" w14:textId="66B5DE8E" w:rsidR="0060138A" w:rsidRDefault="0060138A" w:rsidP="0060138A">
            <w:pPr>
              <w:jc w:val="center"/>
              <w:rPr>
                <w:lang w:val="en-US"/>
              </w:rPr>
            </w:pPr>
            <w:r w:rsidRPr="0060138A">
              <w:rPr>
                <w:rFonts w:ascii="Times New Roman" w:hAnsi="Times New Roman" w:cs="Times New Roman"/>
                <w:lang w:val="en-US"/>
              </w:rPr>
              <w:t>Aluminum is not to be used; Stainless steel is a good choice</w:t>
            </w:r>
          </w:p>
        </w:tc>
      </w:tr>
      <w:tr w:rsidR="0060138A" w14:paraId="50D9BE1F" w14:textId="77777777" w:rsidTr="0060138A">
        <w:tc>
          <w:tcPr>
            <w:tcW w:w="4530" w:type="dxa"/>
            <w:vAlign w:val="center"/>
          </w:tcPr>
          <w:p w14:paraId="228F0FC3" w14:textId="0DACC422" w:rsidR="0060138A" w:rsidRDefault="0060138A" w:rsidP="0060138A">
            <w:pPr>
              <w:jc w:val="center"/>
              <w:rPr>
                <w:lang w:val="en-US"/>
              </w:rPr>
            </w:pPr>
            <w:r w:rsidRPr="00FE5764">
              <w:rPr>
                <w:rFonts w:ascii="Times New Roman" w:hAnsi="Times New Roman" w:cs="Times New Roman"/>
              </w:rPr>
              <w:t>Na₂SO₄·10H₂O</w:t>
            </w:r>
          </w:p>
        </w:tc>
        <w:tc>
          <w:tcPr>
            <w:tcW w:w="4530" w:type="dxa"/>
            <w:vAlign w:val="center"/>
          </w:tcPr>
          <w:p w14:paraId="655C5D97" w14:textId="3503769F" w:rsidR="0060138A" w:rsidRDefault="0060138A" w:rsidP="0060138A">
            <w:pPr>
              <w:jc w:val="center"/>
              <w:rPr>
                <w:lang w:val="en-US"/>
              </w:rPr>
            </w:pPr>
            <w:r w:rsidRPr="00FE5764">
              <w:rPr>
                <w:rFonts w:ascii="Times New Roman" w:hAnsi="Times New Roman" w:cs="Times New Roman"/>
              </w:rPr>
              <w:t>Stainless steel</w:t>
            </w:r>
          </w:p>
        </w:tc>
      </w:tr>
      <w:tr w:rsidR="0060138A" w14:paraId="5FA3EA31" w14:textId="77777777" w:rsidTr="0060138A">
        <w:tc>
          <w:tcPr>
            <w:tcW w:w="4530" w:type="dxa"/>
            <w:vAlign w:val="center"/>
          </w:tcPr>
          <w:p w14:paraId="67D5ACFC" w14:textId="1B052F58" w:rsidR="0060138A" w:rsidRDefault="0060138A" w:rsidP="0060138A">
            <w:pPr>
              <w:jc w:val="center"/>
              <w:rPr>
                <w:lang w:val="en-US"/>
              </w:rPr>
            </w:pPr>
            <w:r w:rsidRPr="00FE5764">
              <w:rPr>
                <w:rFonts w:ascii="Times New Roman" w:hAnsi="Times New Roman" w:cs="Times New Roman"/>
              </w:rPr>
              <w:t>Na₂S₂O₃·5H₂O</w:t>
            </w:r>
          </w:p>
        </w:tc>
        <w:tc>
          <w:tcPr>
            <w:tcW w:w="4530" w:type="dxa"/>
            <w:vAlign w:val="center"/>
          </w:tcPr>
          <w:p w14:paraId="0B5A2B86" w14:textId="3D3F8326" w:rsidR="0060138A" w:rsidRDefault="0060138A" w:rsidP="0060138A">
            <w:pPr>
              <w:jc w:val="center"/>
              <w:rPr>
                <w:lang w:val="en-US"/>
              </w:rPr>
            </w:pPr>
            <w:r w:rsidRPr="00FE5764">
              <w:rPr>
                <w:rFonts w:ascii="Times New Roman" w:hAnsi="Times New Roman" w:cs="Times New Roman"/>
              </w:rPr>
              <w:t>Carbon steel</w:t>
            </w:r>
          </w:p>
        </w:tc>
      </w:tr>
      <w:tr w:rsidR="0060138A" w14:paraId="03A32922" w14:textId="77777777" w:rsidTr="0060138A">
        <w:tc>
          <w:tcPr>
            <w:tcW w:w="4530" w:type="dxa"/>
            <w:vAlign w:val="center"/>
          </w:tcPr>
          <w:p w14:paraId="62BDAC25" w14:textId="6940EAF6" w:rsidR="0060138A" w:rsidRDefault="0060138A" w:rsidP="0060138A">
            <w:pPr>
              <w:jc w:val="center"/>
              <w:rPr>
                <w:lang w:val="en-US"/>
              </w:rPr>
            </w:pPr>
            <w:r w:rsidRPr="00FE5764">
              <w:rPr>
                <w:rFonts w:ascii="Times New Roman" w:hAnsi="Times New Roman" w:cs="Times New Roman"/>
              </w:rPr>
              <w:t>MgSO₄·7H₂O</w:t>
            </w:r>
          </w:p>
        </w:tc>
        <w:tc>
          <w:tcPr>
            <w:tcW w:w="4530" w:type="dxa"/>
            <w:vAlign w:val="center"/>
          </w:tcPr>
          <w:p w14:paraId="2181E39B" w14:textId="6457E173" w:rsidR="0060138A" w:rsidRDefault="0060138A" w:rsidP="0060138A">
            <w:pPr>
              <w:keepNext/>
              <w:jc w:val="center"/>
              <w:rPr>
                <w:lang w:val="en-US"/>
              </w:rPr>
            </w:pPr>
            <w:r w:rsidRPr="00FE5764">
              <w:rPr>
                <w:rFonts w:ascii="Times New Roman" w:hAnsi="Times New Roman" w:cs="Times New Roman"/>
              </w:rPr>
              <w:t>Aluminum; Iron</w:t>
            </w:r>
          </w:p>
        </w:tc>
      </w:tr>
    </w:tbl>
    <w:p w14:paraId="7F6B97DB" w14:textId="62283E54" w:rsidR="0060138A" w:rsidRDefault="0060138A" w:rsidP="0060138A">
      <w:pPr>
        <w:pStyle w:val="Caption"/>
      </w:pPr>
      <w:bookmarkStart w:id="36" w:name="_Toc214362613"/>
      <w:r>
        <w:t xml:space="preserve">Table </w:t>
      </w:r>
      <w:r w:rsidR="00F43E9A">
        <w:fldChar w:fldCharType="begin"/>
      </w:r>
      <w:r w:rsidR="00F43E9A">
        <w:instrText xml:space="preserve"> STYLEREF 1 \s </w:instrText>
      </w:r>
      <w:r w:rsidR="00F43E9A">
        <w:fldChar w:fldCharType="separate"/>
      </w:r>
      <w:r w:rsidR="000412CE">
        <w:rPr>
          <w:noProof/>
        </w:rPr>
        <w:t>1</w:t>
      </w:r>
      <w:r w:rsidR="00F43E9A">
        <w:fldChar w:fldCharType="end"/>
      </w:r>
      <w:r w:rsidR="00F43E9A">
        <w:t>.</w:t>
      </w:r>
      <w:r w:rsidR="00F43E9A">
        <w:fldChar w:fldCharType="begin"/>
      </w:r>
      <w:r w:rsidR="00F43E9A">
        <w:instrText xml:space="preserve"> SEQ Table \* ARABIC \s 1 </w:instrText>
      </w:r>
      <w:r w:rsidR="00F43E9A">
        <w:fldChar w:fldCharType="separate"/>
      </w:r>
      <w:r w:rsidR="000412CE">
        <w:rPr>
          <w:noProof/>
        </w:rPr>
        <w:t>8</w:t>
      </w:r>
      <w:r w:rsidR="00F43E9A">
        <w:fldChar w:fldCharType="end"/>
      </w:r>
      <w:r w:rsidR="005A414B">
        <w:t>.</w:t>
      </w:r>
      <w:r>
        <w:t xml:space="preserve"> </w:t>
      </w:r>
      <w:r w:rsidRPr="0060138A">
        <w:t>Suitable container materials for important PCMs</w:t>
      </w:r>
      <w:r w:rsidR="00A165BA">
        <w:t>.</w:t>
      </w:r>
      <w:bookmarkEnd w:id="36"/>
    </w:p>
    <w:p w14:paraId="7B497AE3" w14:textId="6786A9D9" w:rsidR="0060138A" w:rsidRDefault="0060138A" w:rsidP="0060138A">
      <w:pPr>
        <w:rPr>
          <w:lang w:val="en-US"/>
        </w:rPr>
      </w:pPr>
      <w:r w:rsidRPr="0060138A">
        <w:rPr>
          <w:lang w:val="en-US"/>
        </w:rPr>
        <w:t xml:space="preserve">Table </w:t>
      </w:r>
      <w:r>
        <w:rPr>
          <w:lang w:val="en-US"/>
        </w:rPr>
        <w:t>1.</w:t>
      </w:r>
      <w:r w:rsidRPr="0060138A">
        <w:rPr>
          <w:lang w:val="en-US"/>
        </w:rPr>
        <w:t xml:space="preserve">8 summarizes suitable container materials for representative PCMs. The selection of appropriate materials for the containment of PCMs is important, as they can cause different types of metal corrosion. The most common forms of corrosion include pitting, crevice corrosion, erosion, wear, and oxidation. Pitting corrosion is particularly dangerous when the PCM is in direct contact with metals such as aluminum, and its rate increases when copper is present due to the galvanic effect, which may lead to structural failure. Possible prevention methods include coating the container with a more reactive metal that decomposes first, thereby protecting the container material. Another solution is galvanizing the container with zinc, although </w:t>
      </w:r>
      <w:r w:rsidRPr="0060138A">
        <w:rPr>
          <w:lang w:val="en-US"/>
        </w:rPr>
        <w:lastRenderedPageBreak/>
        <w:t>care must be taken to avoid cracks or crevices that could promote pitting corrosion. Paraffins are generally considered non-corrosive, but they can still cause swelling of plastic containers. In contrast, fatty acids and salt hydrates are corrosive and therefore require more resistant containers. Stainless steel and carbon steel are corrosion-resistant for most of the materials tested. However, no studies in the literature have specifically examined the suitability of iron as a container, even though it is one of the most commonly used metals.</w:t>
      </w:r>
    </w:p>
    <w:p w14:paraId="5C5551BE" w14:textId="65D29465" w:rsidR="0060138A" w:rsidRDefault="0060138A" w:rsidP="0060138A">
      <w:pPr>
        <w:pStyle w:val="Heading4"/>
        <w:rPr>
          <w:lang w:val="en-US"/>
        </w:rPr>
      </w:pPr>
      <w:r>
        <w:rPr>
          <w:lang w:val="en-US"/>
        </w:rPr>
        <w:t>Encapsulation technique</w:t>
      </w:r>
    </w:p>
    <w:p w14:paraId="2C577724" w14:textId="4F9D209F" w:rsidR="0060138A" w:rsidRDefault="0060138A" w:rsidP="0060138A">
      <w:pPr>
        <w:rPr>
          <w:rFonts w:cs="Times New Roman"/>
          <w:lang w:val="en-US"/>
        </w:rPr>
      </w:pPr>
      <w:r w:rsidRPr="0060138A">
        <w:rPr>
          <w:rFonts w:cs="Times New Roman"/>
          <w:lang w:val="en-US"/>
        </w:rPr>
        <w:t xml:space="preserve">Encapsulation is a technique that provides a supporting structure to the PCM in order to prevent its interaction with the external environment, increase the surface area available for heat transfer, eliminate leakage, and ensure compatibility between the PCM and its surroundings. PCMs can be encapsulated in either macro or micro form. Macro-encapsulation consists of containing the PCM in pouches, shells, tubes, thin plates, or spheres. This method allows for an easy integration of PCMs into buildings, offering volume control and protection against environmental degradation. However, this form of containment is often limited by problems such as leakage, poor heat transfer performance, and thermal stratification. For these reasons, micro-encapsulation is generally considered the preferred technique. Micro-encapsulation is the technique of forming micrometer-sized capsules by coating PCM materials with a very thin layer of a substance, often a polymer. This method is designed to overcome several issues, such as leakage, volumetric changes during melting–solidification cycles, reactivity with the environment, and to improve both strength and compatibility with building materials. In addition, micro-encapsulation increases the surface area available for heat transfer, thereby enhancing thermal performance. Table </w:t>
      </w:r>
      <w:r>
        <w:rPr>
          <w:rFonts w:cs="Times New Roman"/>
          <w:lang w:val="en-US"/>
        </w:rPr>
        <w:t>1.</w:t>
      </w:r>
      <w:r w:rsidRPr="0060138A">
        <w:rPr>
          <w:rFonts w:cs="Times New Roman"/>
          <w:lang w:val="en-US"/>
        </w:rPr>
        <w:t>9 summarizes the advantages and disadvantages of both encapsulation approaches.</w:t>
      </w:r>
    </w:p>
    <w:p w14:paraId="37E52A49" w14:textId="77777777" w:rsidR="00D02B65" w:rsidRPr="0060138A" w:rsidRDefault="00D02B65" w:rsidP="0060138A">
      <w:pPr>
        <w:rPr>
          <w:rFonts w:cs="Times New Roman"/>
          <w:lang w:val="en-US"/>
        </w:rPr>
      </w:pPr>
    </w:p>
    <w:tbl>
      <w:tblPr>
        <w:tblStyle w:val="TableGrid"/>
        <w:tblW w:w="8926" w:type="dxa"/>
        <w:tblLook w:val="04A0" w:firstRow="1" w:lastRow="0" w:firstColumn="1" w:lastColumn="0" w:noHBand="0" w:noVBand="1"/>
      </w:tblPr>
      <w:tblGrid>
        <w:gridCol w:w="1653"/>
        <w:gridCol w:w="3464"/>
        <w:gridCol w:w="3809"/>
      </w:tblGrid>
      <w:tr w:rsidR="0060138A" w:rsidRPr="0060138A" w14:paraId="5533A697" w14:textId="77777777" w:rsidTr="0060138A">
        <w:tc>
          <w:tcPr>
            <w:tcW w:w="1616" w:type="dxa"/>
            <w:shd w:val="clear" w:color="auto" w:fill="8EA5B6"/>
            <w:vAlign w:val="center"/>
          </w:tcPr>
          <w:p w14:paraId="32827486" w14:textId="77777777" w:rsidR="0060138A" w:rsidRPr="0060138A" w:rsidRDefault="0060138A" w:rsidP="0060138A">
            <w:pPr>
              <w:jc w:val="center"/>
              <w:rPr>
                <w:rFonts w:cs="Times New Roman"/>
                <w:b/>
                <w:bCs/>
                <w:sz w:val="22"/>
              </w:rPr>
            </w:pPr>
            <w:r w:rsidRPr="0060138A">
              <w:rPr>
                <w:rFonts w:cs="Times New Roman"/>
                <w:b/>
                <w:bCs/>
                <w:sz w:val="22"/>
              </w:rPr>
              <w:t>Category</w:t>
            </w:r>
          </w:p>
        </w:tc>
        <w:tc>
          <w:tcPr>
            <w:tcW w:w="3482" w:type="dxa"/>
            <w:shd w:val="clear" w:color="auto" w:fill="8EA5B6"/>
            <w:vAlign w:val="center"/>
          </w:tcPr>
          <w:p w14:paraId="51BD075B" w14:textId="77777777" w:rsidR="0060138A" w:rsidRPr="0060138A" w:rsidRDefault="0060138A" w:rsidP="0060138A">
            <w:pPr>
              <w:jc w:val="center"/>
              <w:rPr>
                <w:rFonts w:cs="Times New Roman"/>
                <w:b/>
                <w:bCs/>
                <w:sz w:val="22"/>
              </w:rPr>
            </w:pPr>
            <w:r w:rsidRPr="0060138A">
              <w:rPr>
                <w:rFonts w:cs="Times New Roman"/>
                <w:b/>
                <w:bCs/>
                <w:sz w:val="22"/>
              </w:rPr>
              <w:t>Micro-encapsulation</w:t>
            </w:r>
          </w:p>
        </w:tc>
        <w:tc>
          <w:tcPr>
            <w:tcW w:w="3828" w:type="dxa"/>
            <w:shd w:val="clear" w:color="auto" w:fill="8EA5B6"/>
            <w:vAlign w:val="center"/>
          </w:tcPr>
          <w:p w14:paraId="5BCFFD42" w14:textId="77777777" w:rsidR="0060138A" w:rsidRPr="0060138A" w:rsidRDefault="0060138A" w:rsidP="0060138A">
            <w:pPr>
              <w:jc w:val="center"/>
              <w:rPr>
                <w:rFonts w:cs="Times New Roman"/>
                <w:b/>
                <w:bCs/>
                <w:sz w:val="22"/>
              </w:rPr>
            </w:pPr>
            <w:r w:rsidRPr="0060138A">
              <w:rPr>
                <w:rFonts w:cs="Times New Roman"/>
                <w:b/>
                <w:bCs/>
                <w:sz w:val="22"/>
              </w:rPr>
              <w:t>Macro-encapsulation</w:t>
            </w:r>
          </w:p>
        </w:tc>
      </w:tr>
      <w:tr w:rsidR="0060138A" w:rsidRPr="0060138A" w14:paraId="3ABEE231" w14:textId="77777777" w:rsidTr="0060138A">
        <w:tc>
          <w:tcPr>
            <w:tcW w:w="1616" w:type="dxa"/>
            <w:vAlign w:val="center"/>
          </w:tcPr>
          <w:p w14:paraId="398AD1FC" w14:textId="77777777" w:rsidR="0060138A" w:rsidRPr="0060138A" w:rsidRDefault="0060138A" w:rsidP="0060138A">
            <w:pPr>
              <w:jc w:val="center"/>
              <w:rPr>
                <w:rFonts w:cs="Times New Roman"/>
                <w:sz w:val="22"/>
              </w:rPr>
            </w:pPr>
            <w:r w:rsidRPr="0060138A">
              <w:rPr>
                <w:rFonts w:cs="Times New Roman"/>
                <w:sz w:val="22"/>
              </w:rPr>
              <w:t>Advantages</w:t>
            </w:r>
          </w:p>
        </w:tc>
        <w:tc>
          <w:tcPr>
            <w:tcW w:w="3482" w:type="dxa"/>
            <w:vAlign w:val="center"/>
          </w:tcPr>
          <w:p w14:paraId="1DA6964D" w14:textId="77777777" w:rsidR="0060138A" w:rsidRPr="0060138A" w:rsidRDefault="0060138A" w:rsidP="0060138A">
            <w:pPr>
              <w:jc w:val="center"/>
              <w:rPr>
                <w:rFonts w:cs="Times New Roman"/>
                <w:sz w:val="22"/>
                <w:lang w:val="en-US"/>
              </w:rPr>
            </w:pPr>
            <w:r w:rsidRPr="0060138A">
              <w:rPr>
                <w:rFonts w:cs="Times New Roman"/>
                <w:sz w:val="22"/>
                <w:lang w:val="en-US"/>
              </w:rPr>
              <w:t>• Good control of volume change when phase change occurs.</w:t>
            </w:r>
          </w:p>
          <w:p w14:paraId="3E5B1038" w14:textId="0BE21895" w:rsidR="0060138A" w:rsidRPr="0060138A" w:rsidRDefault="0060138A" w:rsidP="0060138A">
            <w:pPr>
              <w:jc w:val="center"/>
              <w:rPr>
                <w:rFonts w:cs="Times New Roman"/>
                <w:sz w:val="22"/>
                <w:lang w:val="en-US"/>
              </w:rPr>
            </w:pPr>
            <w:r w:rsidRPr="0060138A">
              <w:rPr>
                <w:rFonts w:cs="Times New Roman"/>
                <w:sz w:val="22"/>
                <w:lang w:val="en-US"/>
              </w:rPr>
              <w:t>• Easily incorporable into conventional building materials.</w:t>
            </w:r>
            <w:r w:rsidRPr="0060138A">
              <w:rPr>
                <w:rFonts w:cs="Times New Roman"/>
                <w:sz w:val="22"/>
                <w:lang w:val="en-US"/>
              </w:rPr>
              <w:br/>
              <w:t>• Thermal reliability is considerably improved.</w:t>
            </w:r>
            <w:r w:rsidRPr="0060138A">
              <w:rPr>
                <w:rFonts w:cs="Times New Roman"/>
                <w:sz w:val="22"/>
                <w:lang w:val="en-US"/>
              </w:rPr>
              <w:br/>
              <w:t>• Enhancing conductive heat transfer between PCM and the surrounding material.</w:t>
            </w:r>
            <w:r w:rsidRPr="0060138A">
              <w:rPr>
                <w:rFonts w:cs="Times New Roman"/>
                <w:sz w:val="22"/>
                <w:lang w:val="en-US"/>
              </w:rPr>
              <w:br/>
              <w:t xml:space="preserve">• Prevent PCM leakage by acting </w:t>
            </w:r>
            <w:r w:rsidRPr="0060138A">
              <w:rPr>
                <w:rFonts w:cs="Times New Roman"/>
                <w:sz w:val="22"/>
                <w:lang w:val="en-US"/>
              </w:rPr>
              <w:lastRenderedPageBreak/>
              <w:t>as a barrier.</w:t>
            </w:r>
            <w:r w:rsidRPr="0060138A">
              <w:rPr>
                <w:rFonts w:cs="Times New Roman"/>
                <w:sz w:val="22"/>
                <w:lang w:val="en-US"/>
              </w:rPr>
              <w:br/>
              <w:t>• Chemical stability is improved.</w:t>
            </w:r>
          </w:p>
        </w:tc>
        <w:tc>
          <w:tcPr>
            <w:tcW w:w="3828" w:type="dxa"/>
            <w:vAlign w:val="center"/>
          </w:tcPr>
          <w:p w14:paraId="468A17C6" w14:textId="0199FE5C" w:rsidR="0060138A" w:rsidRPr="0060138A" w:rsidRDefault="0060138A" w:rsidP="0060138A">
            <w:pPr>
              <w:jc w:val="center"/>
              <w:rPr>
                <w:rFonts w:cs="Times New Roman"/>
                <w:sz w:val="22"/>
              </w:rPr>
            </w:pPr>
            <w:r w:rsidRPr="0060138A">
              <w:rPr>
                <w:rFonts w:cs="Times New Roman"/>
                <w:sz w:val="22"/>
                <w:lang w:val="en-US"/>
              </w:rPr>
              <w:lastRenderedPageBreak/>
              <w:t>• Improved material compatible with the surrounding material.</w:t>
            </w:r>
            <w:r w:rsidRPr="0060138A">
              <w:rPr>
                <w:rFonts w:cs="Times New Roman"/>
                <w:sz w:val="22"/>
                <w:lang w:val="en-US"/>
              </w:rPr>
              <w:br/>
              <w:t>• External volume changes effects are mitigated.</w:t>
            </w:r>
            <w:r w:rsidRPr="0060138A">
              <w:rPr>
                <w:rFonts w:cs="Times New Roman"/>
                <w:sz w:val="22"/>
                <w:lang w:val="en-US"/>
              </w:rPr>
              <w:br/>
              <w:t>• Improves PCM handling during production.</w:t>
            </w:r>
            <w:r w:rsidRPr="0060138A">
              <w:rPr>
                <w:rFonts w:cs="Times New Roman"/>
                <w:sz w:val="22"/>
                <w:lang w:val="en-US"/>
              </w:rPr>
              <w:br/>
              <w:t xml:space="preserve">• Preventing changes in its composition through contact with </w:t>
            </w:r>
            <w:r w:rsidR="00D02B65">
              <w:rPr>
                <w:rFonts w:cs="Times New Roman"/>
                <w:sz w:val="22"/>
                <w:lang w:val="en-US"/>
              </w:rPr>
              <w:t xml:space="preserve">the </w:t>
            </w:r>
            <w:r w:rsidRPr="0060138A">
              <w:rPr>
                <w:rFonts w:cs="Times New Roman"/>
                <w:sz w:val="22"/>
                <w:lang w:val="en-US"/>
              </w:rPr>
              <w:t>environment.</w:t>
            </w:r>
            <w:r w:rsidRPr="0060138A">
              <w:rPr>
                <w:rFonts w:cs="Times New Roman"/>
                <w:sz w:val="22"/>
                <w:lang w:val="en-US"/>
              </w:rPr>
              <w:br/>
            </w:r>
            <w:r w:rsidRPr="0060138A">
              <w:rPr>
                <w:rFonts w:cs="Times New Roman"/>
                <w:sz w:val="22"/>
              </w:rPr>
              <w:t>• Can serve directly as heat exchangers.</w:t>
            </w:r>
          </w:p>
        </w:tc>
      </w:tr>
      <w:tr w:rsidR="0060138A" w:rsidRPr="0060138A" w14:paraId="179FAE9C" w14:textId="77777777" w:rsidTr="0060138A">
        <w:tc>
          <w:tcPr>
            <w:tcW w:w="1616" w:type="dxa"/>
            <w:vAlign w:val="center"/>
          </w:tcPr>
          <w:p w14:paraId="47F854C8" w14:textId="77777777" w:rsidR="0060138A" w:rsidRPr="0060138A" w:rsidRDefault="0060138A" w:rsidP="0060138A">
            <w:pPr>
              <w:jc w:val="center"/>
              <w:rPr>
                <w:rFonts w:cs="Times New Roman"/>
                <w:sz w:val="22"/>
              </w:rPr>
            </w:pPr>
            <w:r w:rsidRPr="0060138A">
              <w:rPr>
                <w:rFonts w:cs="Times New Roman"/>
                <w:sz w:val="22"/>
              </w:rPr>
              <w:t>Disadvantages</w:t>
            </w:r>
          </w:p>
        </w:tc>
        <w:tc>
          <w:tcPr>
            <w:tcW w:w="3482" w:type="dxa"/>
            <w:vAlign w:val="center"/>
          </w:tcPr>
          <w:p w14:paraId="588A7B4D" w14:textId="679B2B9E" w:rsidR="0060138A" w:rsidRPr="0060138A" w:rsidRDefault="0060138A" w:rsidP="0060138A">
            <w:pPr>
              <w:jc w:val="center"/>
              <w:rPr>
                <w:rFonts w:cs="Times New Roman"/>
                <w:sz w:val="22"/>
              </w:rPr>
            </w:pPr>
            <w:r w:rsidRPr="0060138A">
              <w:rPr>
                <w:rFonts w:cs="Times New Roman"/>
                <w:sz w:val="22"/>
                <w:lang w:val="en-US"/>
              </w:rPr>
              <w:t>• Can affect the strength of the material.</w:t>
            </w:r>
            <w:r w:rsidRPr="0060138A">
              <w:rPr>
                <w:rFonts w:cs="Times New Roman"/>
                <w:sz w:val="22"/>
                <w:lang w:val="en-US"/>
              </w:rPr>
              <w:br/>
              <w:t>• Lead to super-cooling effects.</w:t>
            </w:r>
            <w:r w:rsidRPr="0060138A">
              <w:rPr>
                <w:rFonts w:cs="Times New Roman"/>
                <w:sz w:val="22"/>
                <w:lang w:val="en-US"/>
              </w:rPr>
              <w:br/>
            </w:r>
            <w:r w:rsidRPr="0060138A">
              <w:rPr>
                <w:rFonts w:cs="Times New Roman"/>
                <w:sz w:val="22"/>
              </w:rPr>
              <w:t>• Natural convection is interrupted, affecting solidification phenomena.</w:t>
            </w:r>
            <w:r w:rsidRPr="0060138A">
              <w:rPr>
                <w:rFonts w:cs="Times New Roman"/>
                <w:sz w:val="22"/>
              </w:rPr>
              <w:br/>
              <w:t>• Costly process.</w:t>
            </w:r>
          </w:p>
        </w:tc>
        <w:tc>
          <w:tcPr>
            <w:tcW w:w="3828" w:type="dxa"/>
            <w:vAlign w:val="center"/>
          </w:tcPr>
          <w:p w14:paraId="53A90E8A" w14:textId="77777777" w:rsidR="0060138A" w:rsidRPr="0060138A" w:rsidRDefault="0060138A" w:rsidP="0060138A">
            <w:pPr>
              <w:keepNext/>
              <w:jc w:val="center"/>
              <w:rPr>
                <w:rFonts w:cs="Times New Roman"/>
                <w:sz w:val="22"/>
                <w:lang w:val="en-US"/>
              </w:rPr>
            </w:pPr>
            <w:r w:rsidRPr="0060138A">
              <w:rPr>
                <w:rFonts w:cs="Times New Roman"/>
                <w:sz w:val="22"/>
                <w:lang w:val="en-US"/>
              </w:rPr>
              <w:t>• Poor thermal conductivity/heat transfer characteristics.</w:t>
            </w:r>
            <w:r w:rsidRPr="0060138A">
              <w:rPr>
                <w:rFonts w:cs="Times New Roman"/>
                <w:sz w:val="22"/>
                <w:lang w:val="en-US"/>
              </w:rPr>
              <w:br/>
              <w:t>• Solidification at the edges.</w:t>
            </w:r>
          </w:p>
        </w:tc>
      </w:tr>
    </w:tbl>
    <w:p w14:paraId="18FCD5A5" w14:textId="67D743ED" w:rsidR="0060138A" w:rsidRDefault="0060138A">
      <w:pPr>
        <w:pStyle w:val="Caption"/>
      </w:pPr>
      <w:bookmarkStart w:id="37" w:name="_Toc214362614"/>
      <w:r>
        <w:t xml:space="preserve">Table </w:t>
      </w:r>
      <w:r w:rsidR="00F43E9A">
        <w:fldChar w:fldCharType="begin"/>
      </w:r>
      <w:r w:rsidR="00F43E9A">
        <w:instrText xml:space="preserve"> STYLEREF 1 \s </w:instrText>
      </w:r>
      <w:r w:rsidR="00F43E9A">
        <w:fldChar w:fldCharType="separate"/>
      </w:r>
      <w:r w:rsidR="000412CE">
        <w:rPr>
          <w:noProof/>
        </w:rPr>
        <w:t>1</w:t>
      </w:r>
      <w:r w:rsidR="00F43E9A">
        <w:fldChar w:fldCharType="end"/>
      </w:r>
      <w:r w:rsidR="00F43E9A">
        <w:t>.</w:t>
      </w:r>
      <w:r w:rsidR="00F43E9A">
        <w:fldChar w:fldCharType="begin"/>
      </w:r>
      <w:r w:rsidR="00F43E9A">
        <w:instrText xml:space="preserve"> SEQ Table \* ARABIC \s 1 </w:instrText>
      </w:r>
      <w:r w:rsidR="00F43E9A">
        <w:fldChar w:fldCharType="separate"/>
      </w:r>
      <w:r w:rsidR="000412CE">
        <w:rPr>
          <w:noProof/>
        </w:rPr>
        <w:t>9</w:t>
      </w:r>
      <w:r w:rsidR="00F43E9A">
        <w:fldChar w:fldCharType="end"/>
      </w:r>
      <w:r w:rsidR="005A414B">
        <w:t>.</w:t>
      </w:r>
      <w:r>
        <w:t xml:space="preserve"> </w:t>
      </w:r>
      <w:r w:rsidRPr="00EE2E89">
        <w:t>Advantages and disadvantages of various encapsulation techniques.</w:t>
      </w:r>
      <w:bookmarkEnd w:id="37"/>
    </w:p>
    <w:p w14:paraId="149F3E1C" w14:textId="4DE6D51C" w:rsidR="0060138A" w:rsidRDefault="0060138A" w:rsidP="0060138A">
      <w:pPr>
        <w:rPr>
          <w:rFonts w:cs="Times New Roman"/>
          <w:lang w:val="en-US"/>
        </w:rPr>
      </w:pPr>
      <w:r w:rsidRPr="0060138A">
        <w:rPr>
          <w:rFonts w:cs="Times New Roman"/>
          <w:lang w:val="en-US"/>
        </w:rPr>
        <w:t>The encapsulating material should be compatible with the PCM, should not melt together with it, and must remain stable under pressure changes caused by melt–freeze cycles. It should also maintain thermal stability and provide sufficient mechanical strength. An effective stabilizing agent is required to properly bind the PCM with the shell material. In addition, the encapsulating material should be thermally conductive; otherwise, it may degrade over time, reducing the overall performance of the system. This is one of the main reasons why many PCMs show a decrease in heat capacity after encapsulation. Several factors play a crucial role in determining the effectiveness and properties of fabricated microcapsules. For example, the proper choice of co-agent can improve the size distribution of the microcapsules, although it does not affect the core size itself. Microcapsules synthesized with urea–formaldehyde and formaldehyde resins have shown promising results, while gelatin-based microcapsules displayed higher mechanical strength compared to MF and UF resins. Urea and melamine–formaldehyde also provide good mechanical resistance, thermal stability, and low water absorption, but they release formaldehyde vapors when burned, which pose significant health hazards. Polyurea, on the other hand, appears to be an optimal material because of its good physical and chemical properties and the absence of environmental or health risks. It is important to highlight that no studies in the literature have reported on the microencapsulation of salt hydrates, even though these materials would benefit from this technique more than organic PCMs. Likewise, no studies have established clear criteria for selecting the most suitable encapsulating material for a given PCM. Structural similarity between the PCM and the shell material is expected to provide the best results.</w:t>
      </w:r>
    </w:p>
    <w:p w14:paraId="786352A7" w14:textId="50D21A3F" w:rsidR="0060138A" w:rsidRDefault="0060138A" w:rsidP="0060138A">
      <w:pPr>
        <w:pStyle w:val="Heading3"/>
        <w:rPr>
          <w:lang w:val="en-US"/>
        </w:rPr>
      </w:pPr>
      <w:bookmarkStart w:id="38" w:name="_Toc214356276"/>
      <w:r>
        <w:rPr>
          <w:lang w:val="en-US"/>
        </w:rPr>
        <w:t>Supercooling</w:t>
      </w:r>
      <w:bookmarkEnd w:id="38"/>
    </w:p>
    <w:p w14:paraId="5EA59282" w14:textId="61C5E750" w:rsidR="0060138A" w:rsidRPr="00AF6EF9" w:rsidRDefault="0060138A" w:rsidP="0060138A">
      <w:pPr>
        <w:rPr>
          <w:rFonts w:cs="Times New Roman"/>
          <w:lang w:val="en-US"/>
        </w:rPr>
      </w:pPr>
      <w:r w:rsidRPr="0060138A">
        <w:rPr>
          <w:rFonts w:cs="Times New Roman"/>
          <w:lang w:val="en-US"/>
        </w:rPr>
        <w:t xml:space="preserve">Supercooling is a natural phenomenon that keeps a </w:t>
      </w:r>
      <w:r w:rsidR="00784D2D">
        <w:rPr>
          <w:rFonts w:cs="Times New Roman"/>
          <w:lang w:val="en-US"/>
        </w:rPr>
        <w:t>PCM</w:t>
      </w:r>
      <w:r w:rsidRPr="0060138A">
        <w:rPr>
          <w:rFonts w:cs="Times New Roman"/>
          <w:lang w:val="en-US"/>
        </w:rPr>
        <w:t xml:space="preserve"> in its liquid state at a temperature lower than its solidification temperature</w:t>
      </w:r>
      <w:r>
        <w:rPr>
          <w:rFonts w:cs="Times New Roman"/>
          <w:lang w:val="en-US"/>
        </w:rPr>
        <w:t xml:space="preserve"> </w:t>
      </w:r>
      <w:sdt>
        <w:sdtPr>
          <w:rPr>
            <w:rFonts w:cs="Times New Roman"/>
            <w:lang w:val="en-US"/>
          </w:rPr>
          <w:id w:val="-227141883"/>
          <w:citation/>
        </w:sdtPr>
        <w:sdtContent>
          <w:r>
            <w:rPr>
              <w:rFonts w:cs="Times New Roman"/>
              <w:lang w:val="en-US"/>
            </w:rPr>
            <w:fldChar w:fldCharType="begin"/>
          </w:r>
          <w:r w:rsidRPr="0060138A">
            <w:rPr>
              <w:rFonts w:cs="Times New Roman"/>
              <w:lang w:val="en-US"/>
            </w:rPr>
            <w:instrText xml:space="preserve"> CITATION Placeholder32 \l 1040 </w:instrText>
          </w:r>
          <w:r>
            <w:rPr>
              <w:rFonts w:cs="Times New Roman"/>
              <w:lang w:val="en-US"/>
            </w:rPr>
            <w:fldChar w:fldCharType="separate"/>
          </w:r>
          <w:r w:rsidR="00855396" w:rsidRPr="00855396">
            <w:rPr>
              <w:rFonts w:cs="Times New Roman"/>
              <w:noProof/>
              <w:lang w:val="en-US"/>
            </w:rPr>
            <w:t>[26]</w:t>
          </w:r>
          <w:r>
            <w:rPr>
              <w:rFonts w:cs="Times New Roman"/>
              <w:lang w:val="en-US"/>
            </w:rPr>
            <w:fldChar w:fldCharType="end"/>
          </w:r>
        </w:sdtContent>
      </w:sdt>
      <w:r w:rsidRPr="0060138A">
        <w:rPr>
          <w:rFonts w:cs="Times New Roman"/>
          <w:lang w:val="en-US"/>
        </w:rPr>
        <w:t xml:space="preserve">. During supercooling, the material is in a metastable state, and several factors can trigger solidification. The onset of solidification leads to the release of latent heat, which causes an increase in </w:t>
      </w:r>
      <w:r w:rsidRPr="0060138A">
        <w:rPr>
          <w:rFonts w:cs="Times New Roman"/>
          <w:lang w:val="en-US"/>
        </w:rPr>
        <w:lastRenderedPageBreak/>
        <w:t xml:space="preserve">temperature within the material. If the energy stored in the liquid is sufficient, the temperature of the liquid will rise until it reaches its melting temperature, as shown in Figure </w:t>
      </w:r>
      <w:r w:rsidR="000716BA">
        <w:rPr>
          <w:rFonts w:cs="Times New Roman"/>
          <w:lang w:val="en-US"/>
        </w:rPr>
        <w:t>1.8</w:t>
      </w:r>
      <w:r w:rsidRPr="0060138A">
        <w:rPr>
          <w:rFonts w:cs="Times New Roman"/>
          <w:lang w:val="en-US"/>
        </w:rPr>
        <w:t>b</w:t>
      </w:r>
      <w:r>
        <w:rPr>
          <w:rFonts w:cs="Times New Roman"/>
          <w:lang w:val="en-US"/>
        </w:rPr>
        <w:t xml:space="preserve"> </w:t>
      </w:r>
      <w:sdt>
        <w:sdtPr>
          <w:rPr>
            <w:rFonts w:cs="Times New Roman"/>
            <w:lang w:val="en-US"/>
          </w:rPr>
          <w:id w:val="1586500434"/>
          <w:citation/>
        </w:sdtPr>
        <w:sdtContent>
          <w:r>
            <w:rPr>
              <w:rFonts w:cs="Times New Roman"/>
              <w:lang w:val="en-US"/>
            </w:rPr>
            <w:fldChar w:fldCharType="begin"/>
          </w:r>
          <w:r w:rsidRPr="0060138A">
            <w:rPr>
              <w:rFonts w:cs="Times New Roman"/>
              <w:lang w:val="en-US"/>
            </w:rPr>
            <w:instrText xml:space="preserve"> CITATION Placeholder33 \l 1040 </w:instrText>
          </w:r>
          <w:r>
            <w:rPr>
              <w:rFonts w:cs="Times New Roman"/>
              <w:lang w:val="en-US"/>
            </w:rPr>
            <w:fldChar w:fldCharType="separate"/>
          </w:r>
          <w:r w:rsidR="00855396" w:rsidRPr="00855396">
            <w:rPr>
              <w:rFonts w:cs="Times New Roman"/>
              <w:noProof/>
              <w:lang w:val="en-US"/>
            </w:rPr>
            <w:t>[27]</w:t>
          </w:r>
          <w:r>
            <w:rPr>
              <w:rFonts w:cs="Times New Roman"/>
              <w:lang w:val="en-US"/>
            </w:rPr>
            <w:fldChar w:fldCharType="end"/>
          </w:r>
        </w:sdtContent>
      </w:sdt>
      <w:r w:rsidRPr="0060138A">
        <w:rPr>
          <w:rFonts w:cs="Times New Roman"/>
          <w:lang w:val="en-US"/>
        </w:rPr>
        <w:t xml:space="preserve">. Figure </w:t>
      </w:r>
      <w:r w:rsidR="000716BA">
        <w:rPr>
          <w:rFonts w:cs="Times New Roman"/>
          <w:lang w:val="en-US"/>
        </w:rPr>
        <w:t>1.8a</w:t>
      </w:r>
      <w:r w:rsidRPr="0060138A">
        <w:rPr>
          <w:rFonts w:cs="Times New Roman"/>
          <w:lang w:val="en-US"/>
        </w:rPr>
        <w:t xml:space="preserve"> shows the r</w:t>
      </w:r>
      <w:r w:rsidR="00D02B65">
        <w:rPr>
          <w:rFonts w:cs="Times New Roman"/>
          <w:lang w:val="en-US"/>
        </w:rPr>
        <w:t>e</w:t>
      </w:r>
      <w:r w:rsidRPr="0060138A">
        <w:rPr>
          <w:rFonts w:cs="Times New Roman"/>
          <w:lang w:val="en-US"/>
        </w:rPr>
        <w:t xml:space="preserve">presentation of </w:t>
      </w:r>
      <w:r w:rsidR="00D02B65">
        <w:rPr>
          <w:rFonts w:cs="Times New Roman"/>
          <w:lang w:val="en-US"/>
        </w:rPr>
        <w:t xml:space="preserve">the </w:t>
      </w:r>
      <w:r w:rsidRPr="0060138A">
        <w:rPr>
          <w:rFonts w:cs="Times New Roman"/>
          <w:lang w:val="en-US"/>
        </w:rPr>
        <w:t>supercooling degree. The degree of supercooling is defined as the difference between the theoretical melting temperature and the lowest temperature reached by the liquid phase, known as the nucleation temperature, indicated as T</w:t>
      </w:r>
      <w:r w:rsidRPr="0060138A">
        <w:rPr>
          <w:rFonts w:cs="Times New Roman"/>
          <w:vertAlign w:val="subscript"/>
          <w:lang w:val="en-US"/>
        </w:rPr>
        <w:t>n</w:t>
      </w:r>
      <w:r w:rsidRPr="0060138A">
        <w:rPr>
          <w:rFonts w:cs="Times New Roman"/>
          <w:lang w:val="en-US"/>
        </w:rPr>
        <w:t xml:space="preserve">. Supercooling in PCMs is influenced by factors related to the container, the material, the cooling conditions, and external stimuli. </w:t>
      </w:r>
      <w:r w:rsidRPr="00AF6EF9">
        <w:rPr>
          <w:rFonts w:cs="Times New Roman"/>
          <w:lang w:val="en-US"/>
        </w:rPr>
        <w:t xml:space="preserve">These elements are summarized in Table </w:t>
      </w:r>
      <w:r w:rsidR="00D02B65" w:rsidRPr="00AF6EF9">
        <w:rPr>
          <w:rFonts w:cs="Times New Roman"/>
          <w:lang w:val="en-US"/>
        </w:rPr>
        <w:t>1.8.</w:t>
      </w:r>
    </w:p>
    <w:p w14:paraId="291162D8" w14:textId="77777777" w:rsidR="000716BA" w:rsidRDefault="0060138A" w:rsidP="000716BA">
      <w:pPr>
        <w:keepNext/>
      </w:pPr>
      <w:r w:rsidRPr="00C516F8">
        <w:rPr>
          <w:rFonts w:ascii="Times New Roman" w:hAnsi="Times New Roman" w:cs="Times New Roman"/>
          <w:noProof/>
        </w:rPr>
        <w:drawing>
          <wp:inline distT="0" distB="0" distL="0" distR="0" wp14:anchorId="706706A5" wp14:editId="3B76D5DD">
            <wp:extent cx="6120130" cy="2092325"/>
            <wp:effectExtent l="0" t="0" r="0" b="3175"/>
            <wp:docPr id="1209343357" name="Picture 1" descr="A diagram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9343357" name="Picture 1" descr="A diagram of a graph&#10;&#10;AI-generated content may be incorrect."/>
                    <pic:cNvPicPr/>
                  </pic:nvPicPr>
                  <pic:blipFill>
                    <a:blip r:embed="rId46"/>
                    <a:stretch>
                      <a:fillRect/>
                    </a:stretch>
                  </pic:blipFill>
                  <pic:spPr>
                    <a:xfrm>
                      <a:off x="0" y="0"/>
                      <a:ext cx="6120130" cy="2092325"/>
                    </a:xfrm>
                    <a:prstGeom prst="rect">
                      <a:avLst/>
                    </a:prstGeom>
                  </pic:spPr>
                </pic:pic>
              </a:graphicData>
            </a:graphic>
          </wp:inline>
        </w:drawing>
      </w:r>
    </w:p>
    <w:p w14:paraId="0EAFAE65" w14:textId="4C078E2A" w:rsidR="000716BA" w:rsidRPr="00304BA2" w:rsidRDefault="000716BA" w:rsidP="000716BA">
      <w:pPr>
        <w:pStyle w:val="Caption"/>
        <w:jc w:val="both"/>
        <w:rPr>
          <w:rFonts w:ascii="Times New Roman" w:hAnsi="Times New Roman" w:cs="Times New Roman"/>
        </w:rPr>
      </w:pPr>
      <w:bookmarkStart w:id="39" w:name="_Toc214357717"/>
      <w:r>
        <w:t xml:space="preserve">Figure </w:t>
      </w:r>
      <w:r w:rsidR="00F824A5">
        <w:fldChar w:fldCharType="begin"/>
      </w:r>
      <w:r w:rsidR="00F824A5">
        <w:instrText xml:space="preserve"> STYLEREF 1 \s </w:instrText>
      </w:r>
      <w:r w:rsidR="00F824A5">
        <w:fldChar w:fldCharType="separate"/>
      </w:r>
      <w:r w:rsidR="000412CE">
        <w:rPr>
          <w:noProof/>
        </w:rPr>
        <w:t>1</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8</w:t>
      </w:r>
      <w:r w:rsidR="00F824A5">
        <w:fldChar w:fldCharType="end"/>
      </w:r>
      <w:r w:rsidRPr="00304BA2">
        <w:rPr>
          <w:rFonts w:ascii="Times New Roman" w:hAnsi="Times New Roman" w:cs="Times New Roman"/>
        </w:rPr>
        <w:t>. (a)</w:t>
      </w:r>
      <w:r>
        <w:rPr>
          <w:rFonts w:ascii="Times New Roman" w:hAnsi="Times New Roman" w:cs="Times New Roman"/>
        </w:rPr>
        <w:t xml:space="preserve"> </w:t>
      </w:r>
      <w:r w:rsidRPr="00304BA2">
        <w:rPr>
          <w:rFonts w:ascii="Times New Roman" w:hAnsi="Times New Roman" w:cs="Times New Roman"/>
        </w:rPr>
        <w:t xml:space="preserve">The changing curve of latent heat value in </w:t>
      </w:r>
      <w:r w:rsidR="00D02B65">
        <w:rPr>
          <w:rFonts w:ascii="Times New Roman" w:hAnsi="Times New Roman" w:cs="Times New Roman"/>
        </w:rPr>
        <w:t xml:space="preserve">the </w:t>
      </w:r>
      <w:r w:rsidRPr="00304BA2">
        <w:rPr>
          <w:rFonts w:ascii="Times New Roman" w:hAnsi="Times New Roman" w:cs="Times New Roman"/>
        </w:rPr>
        <w:t>practical phase change transition</w:t>
      </w:r>
      <w:r w:rsidR="00736714">
        <w:rPr>
          <w:rFonts w:ascii="Times New Roman" w:hAnsi="Times New Roman" w:cs="Times New Roman"/>
        </w:rPr>
        <w:t xml:space="preserve"> [26]</w:t>
      </w:r>
      <w:r w:rsidRPr="00304BA2">
        <w:rPr>
          <w:rFonts w:ascii="Times New Roman" w:hAnsi="Times New Roman" w:cs="Times New Roman"/>
        </w:rPr>
        <w:t>. (b) Plot of liquid undergoing supercooling upon cooling</w:t>
      </w:r>
      <w:r w:rsidR="00736714">
        <w:rPr>
          <w:rFonts w:ascii="Times New Roman" w:hAnsi="Times New Roman" w:cs="Times New Roman"/>
        </w:rPr>
        <w:t xml:space="preserve"> [27]</w:t>
      </w:r>
      <w:r w:rsidR="00A165BA">
        <w:rPr>
          <w:rFonts w:ascii="Times New Roman" w:hAnsi="Times New Roman" w:cs="Times New Roman"/>
        </w:rPr>
        <w:t>.</w:t>
      </w:r>
      <w:bookmarkEnd w:id="39"/>
    </w:p>
    <w:p w14:paraId="3E77D25D" w14:textId="1BED91A7" w:rsidR="0060138A" w:rsidRPr="00304BA2" w:rsidRDefault="0060138A" w:rsidP="0060138A">
      <w:pPr>
        <w:pStyle w:val="Caption"/>
        <w:jc w:val="both"/>
        <w:rPr>
          <w:rFonts w:ascii="Times New Roman" w:hAnsi="Times New Roman" w:cs="Times New Roman"/>
        </w:rPr>
      </w:pPr>
    </w:p>
    <w:tbl>
      <w:tblPr>
        <w:tblStyle w:val="TableGrid"/>
        <w:tblW w:w="0" w:type="auto"/>
        <w:jc w:val="center"/>
        <w:tblLook w:val="04A0" w:firstRow="1" w:lastRow="0" w:firstColumn="1" w:lastColumn="0" w:noHBand="0" w:noVBand="1"/>
      </w:tblPr>
      <w:tblGrid>
        <w:gridCol w:w="4320"/>
        <w:gridCol w:w="4320"/>
      </w:tblGrid>
      <w:tr w:rsidR="0060138A" w:rsidRPr="000716BA" w14:paraId="6371FBE7" w14:textId="77777777" w:rsidTr="000716BA">
        <w:trPr>
          <w:jc w:val="center"/>
        </w:trPr>
        <w:tc>
          <w:tcPr>
            <w:tcW w:w="4320" w:type="dxa"/>
            <w:shd w:val="clear" w:color="auto" w:fill="8EA5B6"/>
            <w:vAlign w:val="center"/>
          </w:tcPr>
          <w:p w14:paraId="15CE11FB" w14:textId="77777777" w:rsidR="0060138A" w:rsidRPr="00924318" w:rsidRDefault="0060138A" w:rsidP="000716BA">
            <w:pPr>
              <w:jc w:val="center"/>
              <w:rPr>
                <w:rFonts w:cs="Times New Roman"/>
                <w:b/>
                <w:bCs/>
                <w:sz w:val="18"/>
                <w:szCs w:val="18"/>
              </w:rPr>
            </w:pPr>
            <w:bookmarkStart w:id="40" w:name="_Hlk210464717"/>
            <w:r w:rsidRPr="00924318">
              <w:rPr>
                <w:rFonts w:cs="Times New Roman"/>
                <w:b/>
                <w:bCs/>
                <w:sz w:val="18"/>
                <w:szCs w:val="18"/>
              </w:rPr>
              <w:t>Category</w:t>
            </w:r>
          </w:p>
        </w:tc>
        <w:tc>
          <w:tcPr>
            <w:tcW w:w="4320" w:type="dxa"/>
            <w:shd w:val="clear" w:color="auto" w:fill="8EA5B6"/>
            <w:vAlign w:val="center"/>
          </w:tcPr>
          <w:p w14:paraId="1D9475A5" w14:textId="77777777" w:rsidR="0060138A" w:rsidRPr="00924318" w:rsidRDefault="0060138A" w:rsidP="000716BA">
            <w:pPr>
              <w:jc w:val="center"/>
              <w:rPr>
                <w:rFonts w:cs="Times New Roman"/>
                <w:b/>
                <w:bCs/>
                <w:sz w:val="18"/>
                <w:szCs w:val="18"/>
              </w:rPr>
            </w:pPr>
            <w:r w:rsidRPr="00924318">
              <w:rPr>
                <w:rFonts w:cs="Times New Roman"/>
                <w:b/>
                <w:bCs/>
                <w:sz w:val="18"/>
                <w:szCs w:val="18"/>
              </w:rPr>
              <w:t>Factors</w:t>
            </w:r>
          </w:p>
        </w:tc>
      </w:tr>
      <w:tr w:rsidR="0060138A" w:rsidRPr="00736B36" w14:paraId="1FD85C80" w14:textId="77777777" w:rsidTr="000716BA">
        <w:trPr>
          <w:jc w:val="center"/>
        </w:trPr>
        <w:tc>
          <w:tcPr>
            <w:tcW w:w="4320" w:type="dxa"/>
            <w:vAlign w:val="center"/>
          </w:tcPr>
          <w:p w14:paraId="26D9B944" w14:textId="77777777" w:rsidR="0060138A" w:rsidRPr="00924318" w:rsidRDefault="0060138A" w:rsidP="000716BA">
            <w:pPr>
              <w:jc w:val="center"/>
              <w:rPr>
                <w:rFonts w:cs="Times New Roman"/>
                <w:sz w:val="18"/>
                <w:szCs w:val="18"/>
              </w:rPr>
            </w:pPr>
            <w:r w:rsidRPr="00924318">
              <w:rPr>
                <w:rFonts w:cs="Times New Roman"/>
                <w:sz w:val="18"/>
                <w:szCs w:val="18"/>
              </w:rPr>
              <w:t>Container</w:t>
            </w:r>
          </w:p>
        </w:tc>
        <w:tc>
          <w:tcPr>
            <w:tcW w:w="4320" w:type="dxa"/>
            <w:vAlign w:val="center"/>
          </w:tcPr>
          <w:p w14:paraId="09A53235" w14:textId="77777777" w:rsidR="0060138A" w:rsidRPr="00924318" w:rsidRDefault="0060138A" w:rsidP="000716BA">
            <w:pPr>
              <w:jc w:val="center"/>
              <w:rPr>
                <w:rFonts w:cs="Times New Roman"/>
                <w:sz w:val="18"/>
                <w:szCs w:val="18"/>
                <w:lang w:val="en-US"/>
              </w:rPr>
            </w:pPr>
            <w:r w:rsidRPr="00924318">
              <w:rPr>
                <w:rFonts w:cs="Times New Roman"/>
                <w:sz w:val="18"/>
                <w:szCs w:val="18"/>
                <w:lang w:val="en-US"/>
              </w:rPr>
              <w:t>Surface Roughness</w:t>
            </w:r>
          </w:p>
          <w:p w14:paraId="2183E031" w14:textId="77777777" w:rsidR="0060138A" w:rsidRPr="00924318" w:rsidRDefault="0060138A" w:rsidP="000716BA">
            <w:pPr>
              <w:jc w:val="center"/>
              <w:rPr>
                <w:rFonts w:cs="Times New Roman"/>
                <w:sz w:val="18"/>
                <w:szCs w:val="18"/>
                <w:lang w:val="en-US"/>
              </w:rPr>
            </w:pPr>
            <w:r w:rsidRPr="00924318">
              <w:rPr>
                <w:rFonts w:cs="Times New Roman"/>
                <w:sz w:val="18"/>
                <w:szCs w:val="18"/>
                <w:lang w:val="en-US"/>
              </w:rPr>
              <w:t>Volume</w:t>
            </w:r>
          </w:p>
          <w:p w14:paraId="388D4D39" w14:textId="03BA403D" w:rsidR="0060138A" w:rsidRPr="00924318" w:rsidRDefault="0060138A" w:rsidP="000716BA">
            <w:pPr>
              <w:jc w:val="center"/>
              <w:rPr>
                <w:rFonts w:cs="Times New Roman"/>
                <w:sz w:val="18"/>
                <w:szCs w:val="18"/>
                <w:lang w:val="en-US"/>
              </w:rPr>
            </w:pPr>
            <w:r w:rsidRPr="00924318">
              <w:rPr>
                <w:rFonts w:cs="Times New Roman"/>
                <w:sz w:val="18"/>
                <w:szCs w:val="18"/>
                <w:lang w:val="en-US"/>
              </w:rPr>
              <w:t>Thermal history</w:t>
            </w:r>
          </w:p>
        </w:tc>
      </w:tr>
      <w:tr w:rsidR="0060138A" w:rsidRPr="000716BA" w14:paraId="029248A1" w14:textId="77777777" w:rsidTr="000716BA">
        <w:trPr>
          <w:jc w:val="center"/>
        </w:trPr>
        <w:tc>
          <w:tcPr>
            <w:tcW w:w="4320" w:type="dxa"/>
            <w:vAlign w:val="center"/>
          </w:tcPr>
          <w:p w14:paraId="4A615757" w14:textId="77777777" w:rsidR="0060138A" w:rsidRPr="00924318" w:rsidRDefault="0060138A" w:rsidP="000716BA">
            <w:pPr>
              <w:jc w:val="center"/>
              <w:rPr>
                <w:rFonts w:cs="Times New Roman"/>
                <w:sz w:val="18"/>
                <w:szCs w:val="18"/>
              </w:rPr>
            </w:pPr>
            <w:r w:rsidRPr="00924318">
              <w:rPr>
                <w:rFonts w:cs="Times New Roman"/>
                <w:sz w:val="18"/>
                <w:szCs w:val="18"/>
              </w:rPr>
              <w:t>PCM</w:t>
            </w:r>
          </w:p>
        </w:tc>
        <w:tc>
          <w:tcPr>
            <w:tcW w:w="4320" w:type="dxa"/>
            <w:vAlign w:val="center"/>
          </w:tcPr>
          <w:p w14:paraId="13609154" w14:textId="77777777" w:rsidR="0060138A" w:rsidRPr="00924318" w:rsidRDefault="0060138A" w:rsidP="000716BA">
            <w:pPr>
              <w:jc w:val="center"/>
              <w:rPr>
                <w:rFonts w:cs="Times New Roman"/>
                <w:sz w:val="18"/>
                <w:szCs w:val="18"/>
              </w:rPr>
            </w:pPr>
            <w:r w:rsidRPr="00924318">
              <w:rPr>
                <w:rFonts w:cs="Times New Roman"/>
                <w:sz w:val="18"/>
                <w:szCs w:val="18"/>
              </w:rPr>
              <w:t>Thermal conductivity</w:t>
            </w:r>
          </w:p>
          <w:p w14:paraId="7AB40C7E" w14:textId="77777777" w:rsidR="0060138A" w:rsidRPr="00924318" w:rsidRDefault="0060138A" w:rsidP="000716BA">
            <w:pPr>
              <w:jc w:val="center"/>
              <w:rPr>
                <w:rFonts w:cs="Times New Roman"/>
                <w:sz w:val="18"/>
                <w:szCs w:val="18"/>
              </w:rPr>
            </w:pPr>
            <w:r w:rsidRPr="00924318">
              <w:rPr>
                <w:rFonts w:cs="Times New Roman"/>
                <w:sz w:val="18"/>
                <w:szCs w:val="18"/>
              </w:rPr>
              <w:t>Composition</w:t>
            </w:r>
          </w:p>
          <w:p w14:paraId="68EDB6FF" w14:textId="00F23633" w:rsidR="0060138A" w:rsidRPr="00924318" w:rsidRDefault="0060138A" w:rsidP="000716BA">
            <w:pPr>
              <w:jc w:val="center"/>
              <w:rPr>
                <w:rFonts w:cs="Times New Roman"/>
                <w:sz w:val="18"/>
                <w:szCs w:val="18"/>
              </w:rPr>
            </w:pPr>
            <w:r w:rsidRPr="00924318">
              <w:rPr>
                <w:rFonts w:cs="Times New Roman"/>
                <w:sz w:val="18"/>
                <w:szCs w:val="18"/>
              </w:rPr>
              <w:t>Type</w:t>
            </w:r>
          </w:p>
        </w:tc>
      </w:tr>
      <w:tr w:rsidR="0060138A" w:rsidRPr="00736B36" w14:paraId="4F0CD650" w14:textId="77777777" w:rsidTr="000716BA">
        <w:trPr>
          <w:jc w:val="center"/>
        </w:trPr>
        <w:tc>
          <w:tcPr>
            <w:tcW w:w="4320" w:type="dxa"/>
            <w:vAlign w:val="center"/>
          </w:tcPr>
          <w:p w14:paraId="40F902DC" w14:textId="77777777" w:rsidR="0060138A" w:rsidRPr="00924318" w:rsidRDefault="0060138A" w:rsidP="000716BA">
            <w:pPr>
              <w:jc w:val="center"/>
              <w:rPr>
                <w:rFonts w:cs="Times New Roman"/>
                <w:sz w:val="18"/>
                <w:szCs w:val="18"/>
              </w:rPr>
            </w:pPr>
            <w:r w:rsidRPr="00924318">
              <w:rPr>
                <w:rFonts w:cs="Times New Roman"/>
                <w:sz w:val="18"/>
                <w:szCs w:val="18"/>
              </w:rPr>
              <w:t>Cooling</w:t>
            </w:r>
          </w:p>
        </w:tc>
        <w:tc>
          <w:tcPr>
            <w:tcW w:w="4320" w:type="dxa"/>
            <w:vAlign w:val="center"/>
          </w:tcPr>
          <w:p w14:paraId="2BEF7882" w14:textId="77777777" w:rsidR="0060138A" w:rsidRPr="00924318" w:rsidRDefault="0060138A" w:rsidP="000716BA">
            <w:pPr>
              <w:jc w:val="center"/>
              <w:rPr>
                <w:rFonts w:cs="Times New Roman"/>
                <w:sz w:val="18"/>
                <w:szCs w:val="18"/>
                <w:lang w:val="en-US"/>
              </w:rPr>
            </w:pPr>
            <w:r w:rsidRPr="00924318">
              <w:rPr>
                <w:rFonts w:cs="Times New Roman"/>
                <w:sz w:val="18"/>
                <w:szCs w:val="18"/>
                <w:lang w:val="en-US"/>
              </w:rPr>
              <w:t>Area of heat transfer</w:t>
            </w:r>
          </w:p>
          <w:p w14:paraId="1CEEE1C1" w14:textId="77777777" w:rsidR="0060138A" w:rsidRPr="00924318" w:rsidRDefault="0060138A" w:rsidP="000716BA">
            <w:pPr>
              <w:jc w:val="center"/>
              <w:rPr>
                <w:rFonts w:cs="Times New Roman"/>
                <w:sz w:val="18"/>
                <w:szCs w:val="18"/>
                <w:lang w:val="en-US"/>
              </w:rPr>
            </w:pPr>
            <w:r w:rsidRPr="00924318">
              <w:rPr>
                <w:rFonts w:cs="Times New Roman"/>
                <w:sz w:val="18"/>
                <w:szCs w:val="18"/>
                <w:lang w:val="en-US"/>
              </w:rPr>
              <w:t>Rate</w:t>
            </w:r>
          </w:p>
          <w:p w14:paraId="1B98C6BC" w14:textId="01502A45" w:rsidR="0060138A" w:rsidRPr="00924318" w:rsidRDefault="0060138A" w:rsidP="000716BA">
            <w:pPr>
              <w:jc w:val="center"/>
              <w:rPr>
                <w:rFonts w:cs="Times New Roman"/>
                <w:sz w:val="18"/>
                <w:szCs w:val="18"/>
                <w:lang w:val="en-US"/>
              </w:rPr>
            </w:pPr>
            <w:r w:rsidRPr="00924318">
              <w:rPr>
                <w:rFonts w:cs="Times New Roman"/>
                <w:sz w:val="18"/>
                <w:szCs w:val="18"/>
                <w:lang w:val="en-US"/>
              </w:rPr>
              <w:t>Temperature</w:t>
            </w:r>
          </w:p>
        </w:tc>
      </w:tr>
      <w:tr w:rsidR="0060138A" w:rsidRPr="000716BA" w14:paraId="4A5F9230" w14:textId="77777777" w:rsidTr="000716BA">
        <w:trPr>
          <w:jc w:val="center"/>
        </w:trPr>
        <w:tc>
          <w:tcPr>
            <w:tcW w:w="4320" w:type="dxa"/>
            <w:vAlign w:val="center"/>
          </w:tcPr>
          <w:p w14:paraId="3A86A7DC" w14:textId="77777777" w:rsidR="0060138A" w:rsidRPr="00924318" w:rsidRDefault="0060138A" w:rsidP="000716BA">
            <w:pPr>
              <w:jc w:val="center"/>
              <w:rPr>
                <w:rFonts w:cs="Times New Roman"/>
                <w:sz w:val="18"/>
                <w:szCs w:val="18"/>
              </w:rPr>
            </w:pPr>
            <w:r w:rsidRPr="00924318">
              <w:rPr>
                <w:rFonts w:cs="Times New Roman"/>
                <w:sz w:val="18"/>
                <w:szCs w:val="18"/>
              </w:rPr>
              <w:t>Others</w:t>
            </w:r>
          </w:p>
        </w:tc>
        <w:tc>
          <w:tcPr>
            <w:tcW w:w="4320" w:type="dxa"/>
            <w:vAlign w:val="center"/>
          </w:tcPr>
          <w:p w14:paraId="5AE272DE" w14:textId="77777777" w:rsidR="0060138A" w:rsidRPr="00924318" w:rsidRDefault="0060138A" w:rsidP="000716BA">
            <w:pPr>
              <w:jc w:val="center"/>
              <w:rPr>
                <w:rFonts w:cs="Times New Roman"/>
                <w:sz w:val="18"/>
                <w:szCs w:val="18"/>
                <w:lang w:val="en-US"/>
              </w:rPr>
            </w:pPr>
            <w:r w:rsidRPr="00924318">
              <w:rPr>
                <w:rFonts w:cs="Times New Roman"/>
                <w:sz w:val="18"/>
                <w:szCs w:val="18"/>
                <w:lang w:val="en-US"/>
              </w:rPr>
              <w:t>Mechanical shocks</w:t>
            </w:r>
          </w:p>
          <w:p w14:paraId="3C5DA795" w14:textId="77777777" w:rsidR="0060138A" w:rsidRPr="00924318" w:rsidRDefault="0060138A" w:rsidP="000716BA">
            <w:pPr>
              <w:jc w:val="center"/>
              <w:rPr>
                <w:rFonts w:cs="Times New Roman"/>
                <w:sz w:val="18"/>
                <w:szCs w:val="18"/>
                <w:lang w:val="en-US"/>
              </w:rPr>
            </w:pPr>
            <w:r w:rsidRPr="00924318">
              <w:rPr>
                <w:rFonts w:cs="Times New Roman"/>
                <w:sz w:val="18"/>
                <w:szCs w:val="18"/>
                <w:lang w:val="en-US"/>
              </w:rPr>
              <w:t>Electric field</w:t>
            </w:r>
          </w:p>
          <w:p w14:paraId="6FF2DF69" w14:textId="77777777" w:rsidR="0060138A" w:rsidRPr="00924318" w:rsidRDefault="0060138A" w:rsidP="000716BA">
            <w:pPr>
              <w:jc w:val="center"/>
              <w:rPr>
                <w:rFonts w:cs="Times New Roman"/>
                <w:sz w:val="18"/>
                <w:szCs w:val="18"/>
                <w:lang w:val="en-US"/>
              </w:rPr>
            </w:pPr>
            <w:r w:rsidRPr="00924318">
              <w:rPr>
                <w:rFonts w:cs="Times New Roman"/>
                <w:sz w:val="18"/>
                <w:szCs w:val="18"/>
                <w:lang w:val="en-US"/>
              </w:rPr>
              <w:t>Applied voltage</w:t>
            </w:r>
          </w:p>
          <w:p w14:paraId="5371A8A5" w14:textId="77777777" w:rsidR="0060138A" w:rsidRPr="00924318" w:rsidRDefault="0060138A" w:rsidP="003D5AC9">
            <w:pPr>
              <w:keepNext/>
              <w:jc w:val="center"/>
              <w:rPr>
                <w:rFonts w:cs="Times New Roman"/>
                <w:sz w:val="18"/>
                <w:szCs w:val="18"/>
              </w:rPr>
            </w:pPr>
            <w:r w:rsidRPr="00924318">
              <w:rPr>
                <w:rFonts w:cs="Times New Roman"/>
                <w:sz w:val="18"/>
                <w:szCs w:val="18"/>
              </w:rPr>
              <w:t>Magnetic field</w:t>
            </w:r>
          </w:p>
        </w:tc>
      </w:tr>
    </w:tbl>
    <w:p w14:paraId="561F64D3" w14:textId="52CAF332" w:rsidR="003D5AC9" w:rsidRDefault="003D5AC9">
      <w:pPr>
        <w:pStyle w:val="Caption"/>
      </w:pPr>
      <w:bookmarkStart w:id="41" w:name="_Toc214362615"/>
      <w:bookmarkEnd w:id="40"/>
      <w:r>
        <w:lastRenderedPageBreak/>
        <w:t xml:space="preserve">Table </w:t>
      </w:r>
      <w:r w:rsidR="00F43E9A">
        <w:fldChar w:fldCharType="begin"/>
      </w:r>
      <w:r w:rsidR="00F43E9A">
        <w:instrText xml:space="preserve"> STYLEREF 1 \s </w:instrText>
      </w:r>
      <w:r w:rsidR="00F43E9A">
        <w:fldChar w:fldCharType="separate"/>
      </w:r>
      <w:r w:rsidR="000412CE">
        <w:rPr>
          <w:noProof/>
        </w:rPr>
        <w:t>1</w:t>
      </w:r>
      <w:r w:rsidR="00F43E9A">
        <w:fldChar w:fldCharType="end"/>
      </w:r>
      <w:r w:rsidR="00F43E9A">
        <w:t>.</w:t>
      </w:r>
      <w:r w:rsidR="00F43E9A">
        <w:fldChar w:fldCharType="begin"/>
      </w:r>
      <w:r w:rsidR="00F43E9A">
        <w:instrText xml:space="preserve"> SEQ Table \* ARABIC \s 1 </w:instrText>
      </w:r>
      <w:r w:rsidR="00F43E9A">
        <w:fldChar w:fldCharType="separate"/>
      </w:r>
      <w:r w:rsidR="000412CE">
        <w:rPr>
          <w:noProof/>
        </w:rPr>
        <w:t>10</w:t>
      </w:r>
      <w:r w:rsidR="00F43E9A">
        <w:fldChar w:fldCharType="end"/>
      </w:r>
      <w:r w:rsidR="005A414B">
        <w:t>.</w:t>
      </w:r>
      <w:r>
        <w:t xml:space="preserve"> </w:t>
      </w:r>
      <w:r w:rsidRPr="00D67862">
        <w:t>Factors influencing the phase-change behavior of PCMs, grouped by container, PCM, cooling, and other</w:t>
      </w:r>
      <w:r w:rsidR="00A165BA">
        <w:t>.</w:t>
      </w:r>
      <w:bookmarkEnd w:id="41"/>
    </w:p>
    <w:p w14:paraId="4FEB92E6" w14:textId="7EDB9F92" w:rsidR="0060138A" w:rsidRPr="00AC6DA0" w:rsidRDefault="003D5AC9" w:rsidP="0060138A">
      <w:pPr>
        <w:rPr>
          <w:rFonts w:ascii="Times New Roman" w:hAnsi="Times New Roman" w:cs="Times New Roman"/>
          <w:lang w:val="en-US"/>
        </w:rPr>
      </w:pPr>
      <w:r>
        <w:rPr>
          <w:noProof/>
        </w:rPr>
        <mc:AlternateContent>
          <mc:Choice Requires="wps">
            <w:drawing>
              <wp:anchor distT="0" distB="0" distL="114300" distR="114300" simplePos="0" relativeHeight="251675648" behindDoc="0" locked="0" layoutInCell="1" allowOverlap="1" wp14:anchorId="13FDFCD6" wp14:editId="034F9904">
                <wp:simplePos x="0" y="0"/>
                <wp:positionH relativeFrom="column">
                  <wp:posOffset>2969260</wp:posOffset>
                </wp:positionH>
                <wp:positionV relativeFrom="paragraph">
                  <wp:posOffset>2001520</wp:posOffset>
                </wp:positionV>
                <wp:extent cx="2790190" cy="635"/>
                <wp:effectExtent l="0" t="0" r="0" b="0"/>
                <wp:wrapSquare wrapText="bothSides"/>
                <wp:docPr id="524443315" name="Text Box 1"/>
                <wp:cNvGraphicFramePr/>
                <a:graphic xmlns:a="http://schemas.openxmlformats.org/drawingml/2006/main">
                  <a:graphicData uri="http://schemas.microsoft.com/office/word/2010/wordprocessingShape">
                    <wps:wsp>
                      <wps:cNvSpPr txBox="1"/>
                      <wps:spPr>
                        <a:xfrm>
                          <a:off x="0" y="0"/>
                          <a:ext cx="2790190" cy="635"/>
                        </a:xfrm>
                        <a:prstGeom prst="rect">
                          <a:avLst/>
                        </a:prstGeom>
                        <a:solidFill>
                          <a:prstClr val="white"/>
                        </a:solidFill>
                        <a:ln>
                          <a:noFill/>
                        </a:ln>
                      </wps:spPr>
                      <wps:txbx>
                        <w:txbxContent>
                          <w:p w14:paraId="7C830891" w14:textId="25E8D16D" w:rsidR="003D5AC9" w:rsidRPr="000317DA" w:rsidRDefault="003D5AC9" w:rsidP="003D5AC9">
                            <w:pPr>
                              <w:pStyle w:val="Caption"/>
                              <w:rPr>
                                <w:rFonts w:ascii="Times New Roman" w:hAnsi="Times New Roman" w:cs="Times New Roman"/>
                                <w:noProof/>
                                <w:szCs w:val="22"/>
                              </w:rPr>
                            </w:pPr>
                            <w:bookmarkStart w:id="42" w:name="_Toc214357718"/>
                            <w:r w:rsidRPr="00736714">
                              <w:rPr>
                                <w:sz w:val="20"/>
                                <w:szCs w:val="16"/>
                              </w:rPr>
                              <w:t xml:space="preserve">Figure </w:t>
                            </w:r>
                            <w:r w:rsidR="00F824A5">
                              <w:rPr>
                                <w:sz w:val="20"/>
                                <w:szCs w:val="16"/>
                              </w:rPr>
                              <w:fldChar w:fldCharType="begin"/>
                            </w:r>
                            <w:r w:rsidR="00F824A5">
                              <w:rPr>
                                <w:sz w:val="20"/>
                                <w:szCs w:val="16"/>
                              </w:rPr>
                              <w:instrText xml:space="preserve"> STYLEREF 1 \s </w:instrText>
                            </w:r>
                            <w:r w:rsidR="00F824A5">
                              <w:rPr>
                                <w:sz w:val="20"/>
                                <w:szCs w:val="16"/>
                              </w:rPr>
                              <w:fldChar w:fldCharType="separate"/>
                            </w:r>
                            <w:r w:rsidR="000412CE">
                              <w:rPr>
                                <w:noProof/>
                                <w:sz w:val="20"/>
                                <w:szCs w:val="16"/>
                              </w:rPr>
                              <w:t>1</w:t>
                            </w:r>
                            <w:r w:rsidR="00F824A5">
                              <w:rPr>
                                <w:sz w:val="20"/>
                                <w:szCs w:val="16"/>
                              </w:rPr>
                              <w:fldChar w:fldCharType="end"/>
                            </w:r>
                            <w:r w:rsidR="00F824A5">
                              <w:rPr>
                                <w:sz w:val="20"/>
                                <w:szCs w:val="16"/>
                              </w:rPr>
                              <w:t>.</w:t>
                            </w:r>
                            <w:r w:rsidR="00F824A5">
                              <w:rPr>
                                <w:sz w:val="20"/>
                                <w:szCs w:val="16"/>
                              </w:rPr>
                              <w:fldChar w:fldCharType="begin"/>
                            </w:r>
                            <w:r w:rsidR="00F824A5">
                              <w:rPr>
                                <w:sz w:val="20"/>
                                <w:szCs w:val="16"/>
                              </w:rPr>
                              <w:instrText xml:space="preserve"> SEQ Figure \* ARABIC \s 1 </w:instrText>
                            </w:r>
                            <w:r w:rsidR="00F824A5">
                              <w:rPr>
                                <w:sz w:val="20"/>
                                <w:szCs w:val="16"/>
                              </w:rPr>
                              <w:fldChar w:fldCharType="separate"/>
                            </w:r>
                            <w:r w:rsidR="000412CE">
                              <w:rPr>
                                <w:noProof/>
                                <w:sz w:val="20"/>
                                <w:szCs w:val="16"/>
                              </w:rPr>
                              <w:t>9</w:t>
                            </w:r>
                            <w:r w:rsidR="00F824A5">
                              <w:rPr>
                                <w:sz w:val="20"/>
                                <w:szCs w:val="16"/>
                              </w:rPr>
                              <w:fldChar w:fldCharType="end"/>
                            </w:r>
                            <w:r w:rsidR="005A414B" w:rsidRPr="00736714">
                              <w:rPr>
                                <w:sz w:val="20"/>
                                <w:szCs w:val="16"/>
                              </w:rPr>
                              <w:t xml:space="preserve">. </w:t>
                            </w:r>
                            <w:r w:rsidRPr="00736714">
                              <w:rPr>
                                <w:sz w:val="20"/>
                                <w:szCs w:val="16"/>
                              </w:rPr>
                              <w:t>Enthalpy–temperature diagram  without supercooling (black) and with supercooling (green)</w:t>
                            </w:r>
                            <w:r w:rsidR="00736714" w:rsidRPr="00736714">
                              <w:rPr>
                                <w:sz w:val="20"/>
                                <w:szCs w:val="16"/>
                              </w:rPr>
                              <w:t xml:space="preserve"> </w:t>
                            </w:r>
                            <w:r w:rsidR="00736714">
                              <w:t>[17]</w:t>
                            </w:r>
                            <w:r w:rsidR="00A165BA">
                              <w:t>.</w:t>
                            </w:r>
                            <w:bookmarkEnd w:id="4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3FDFCD6" id="_x0000_s1029" type="#_x0000_t202" style="position:absolute;left:0;text-align:left;margin-left:233.8pt;margin-top:157.6pt;width:219.7pt;height:.05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" stroked="f">
                <v:textbox style="mso-fit-shape-to-text:t" inset="0,0,0,0">
                  <w:txbxContent>
                    <w:p w14:paraId="7C830891" w14:textId="25E8D16D" w:rsidR="003D5AC9" w:rsidRPr="000317DA" w:rsidRDefault="003D5AC9" w:rsidP="003D5AC9">
                      <w:pPr>
                        <w:pStyle w:val="Caption"/>
                        <w:rPr>
                          <w:rFonts w:ascii="Times New Roman" w:hAnsi="Times New Roman" w:cs="Times New Roman"/>
                          <w:noProof/>
                          <w:szCs w:val="22"/>
                        </w:rPr>
                      </w:pPr>
                      <w:bookmarkStart w:id="43" w:name="_Toc214357718"/>
                      <w:r w:rsidRPr="00736714">
                        <w:rPr>
                          <w:sz w:val="20"/>
                          <w:szCs w:val="16"/>
                        </w:rPr>
                        <w:t xml:space="preserve">Figure </w:t>
                      </w:r>
                      <w:r w:rsidR="00F824A5">
                        <w:rPr>
                          <w:sz w:val="20"/>
                          <w:szCs w:val="16"/>
                        </w:rPr>
                        <w:fldChar w:fldCharType="begin"/>
                      </w:r>
                      <w:r w:rsidR="00F824A5">
                        <w:rPr>
                          <w:sz w:val="20"/>
                          <w:szCs w:val="16"/>
                        </w:rPr>
                        <w:instrText xml:space="preserve"> STYLEREF 1 \s </w:instrText>
                      </w:r>
                      <w:r w:rsidR="00F824A5">
                        <w:rPr>
                          <w:sz w:val="20"/>
                          <w:szCs w:val="16"/>
                        </w:rPr>
                        <w:fldChar w:fldCharType="separate"/>
                      </w:r>
                      <w:r w:rsidR="000412CE">
                        <w:rPr>
                          <w:noProof/>
                          <w:sz w:val="20"/>
                          <w:szCs w:val="16"/>
                        </w:rPr>
                        <w:t>1</w:t>
                      </w:r>
                      <w:r w:rsidR="00F824A5">
                        <w:rPr>
                          <w:sz w:val="20"/>
                          <w:szCs w:val="16"/>
                        </w:rPr>
                        <w:fldChar w:fldCharType="end"/>
                      </w:r>
                      <w:r w:rsidR="00F824A5">
                        <w:rPr>
                          <w:sz w:val="20"/>
                          <w:szCs w:val="16"/>
                        </w:rPr>
                        <w:t>.</w:t>
                      </w:r>
                      <w:r w:rsidR="00F824A5">
                        <w:rPr>
                          <w:sz w:val="20"/>
                          <w:szCs w:val="16"/>
                        </w:rPr>
                        <w:fldChar w:fldCharType="begin"/>
                      </w:r>
                      <w:r w:rsidR="00F824A5">
                        <w:rPr>
                          <w:sz w:val="20"/>
                          <w:szCs w:val="16"/>
                        </w:rPr>
                        <w:instrText xml:space="preserve"> SEQ Figure \* ARABIC \s 1 </w:instrText>
                      </w:r>
                      <w:r w:rsidR="00F824A5">
                        <w:rPr>
                          <w:sz w:val="20"/>
                          <w:szCs w:val="16"/>
                        </w:rPr>
                        <w:fldChar w:fldCharType="separate"/>
                      </w:r>
                      <w:r w:rsidR="000412CE">
                        <w:rPr>
                          <w:noProof/>
                          <w:sz w:val="20"/>
                          <w:szCs w:val="16"/>
                        </w:rPr>
                        <w:t>9</w:t>
                      </w:r>
                      <w:r w:rsidR="00F824A5">
                        <w:rPr>
                          <w:sz w:val="20"/>
                          <w:szCs w:val="16"/>
                        </w:rPr>
                        <w:fldChar w:fldCharType="end"/>
                      </w:r>
                      <w:r w:rsidR="005A414B" w:rsidRPr="00736714">
                        <w:rPr>
                          <w:sz w:val="20"/>
                          <w:szCs w:val="16"/>
                        </w:rPr>
                        <w:t xml:space="preserve">. </w:t>
                      </w:r>
                      <w:r w:rsidRPr="00736714">
                        <w:rPr>
                          <w:sz w:val="20"/>
                          <w:szCs w:val="16"/>
                        </w:rPr>
                        <w:t>Enthalpy–temperature diagram  without supercooling (black) and with supercooling (green)</w:t>
                      </w:r>
                      <w:r w:rsidR="00736714" w:rsidRPr="00736714">
                        <w:rPr>
                          <w:sz w:val="20"/>
                          <w:szCs w:val="16"/>
                        </w:rPr>
                        <w:t xml:space="preserve"> </w:t>
                      </w:r>
                      <w:r w:rsidR="00736714">
                        <w:t>[17]</w:t>
                      </w:r>
                      <w:r w:rsidR="00A165BA">
                        <w:t>.</w:t>
                      </w:r>
                      <w:bookmarkEnd w:id="43"/>
                    </w:p>
                  </w:txbxContent>
                </v:textbox>
                <w10:wrap type="square"/>
              </v:shape>
            </w:pict>
          </mc:Fallback>
        </mc:AlternateContent>
      </w:r>
      <w:r w:rsidR="0060138A" w:rsidRPr="00FA4A81">
        <w:rPr>
          <w:rFonts w:ascii="Times New Roman" w:hAnsi="Times New Roman" w:cs="Times New Roman"/>
          <w:noProof/>
        </w:rPr>
        <w:drawing>
          <wp:anchor distT="0" distB="0" distL="114300" distR="114300" simplePos="0" relativeHeight="251671552" behindDoc="0" locked="0" layoutInCell="1" allowOverlap="1" wp14:anchorId="40E5A4BD" wp14:editId="5ADE539A">
            <wp:simplePos x="0" y="0"/>
            <wp:positionH relativeFrom="margin">
              <wp:align>right</wp:align>
            </wp:positionH>
            <wp:positionV relativeFrom="paragraph">
              <wp:posOffset>35560</wp:posOffset>
            </wp:positionV>
            <wp:extent cx="2790190" cy="1908810"/>
            <wp:effectExtent l="0" t="0" r="0" b="0"/>
            <wp:wrapSquare wrapText="bothSides"/>
            <wp:docPr id="158165123" name="Immagine 1" descr="A diagram of a temperatu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165123" name="Immagine 1" descr="A diagram of a temperature&#10;&#10;AI-generated content may be incorrect."/>
                    <pic:cNvPicPr/>
                  </pic:nvPicPr>
                  <pic:blipFill>
                    <a:blip r:embed="rId47">
                      <a:extLst>
                        <a:ext uri="{28A0092B-C50C-407E-A947-70E740481C1C}">
                          <a14:useLocalDpi xmlns:a14="http://schemas.microsoft.com/office/drawing/2010/main" val="0"/>
                        </a:ext>
                      </a:extLst>
                    </a:blip>
                    <a:stretch>
                      <a:fillRect/>
                    </a:stretch>
                  </pic:blipFill>
                  <pic:spPr>
                    <a:xfrm>
                      <a:off x="0" y="0"/>
                      <a:ext cx="2790190" cy="1908810"/>
                    </a:xfrm>
                    <a:prstGeom prst="rect">
                      <a:avLst/>
                    </a:prstGeom>
                  </pic:spPr>
                </pic:pic>
              </a:graphicData>
            </a:graphic>
            <wp14:sizeRelH relativeFrom="margin">
              <wp14:pctWidth>0</wp14:pctWidth>
            </wp14:sizeRelH>
            <wp14:sizeRelV relativeFrom="margin">
              <wp14:pctHeight>0</wp14:pctHeight>
            </wp14:sizeRelV>
          </wp:anchor>
        </w:drawing>
      </w:r>
      <w:r w:rsidR="0060138A">
        <w:rPr>
          <w:rFonts w:ascii="Times New Roman" w:hAnsi="Times New Roman" w:cs="Times New Roman"/>
          <w:lang w:val="en-US"/>
        </w:rPr>
        <w:t xml:space="preserve">Figure </w:t>
      </w:r>
      <w:r>
        <w:rPr>
          <w:rFonts w:ascii="Times New Roman" w:hAnsi="Times New Roman" w:cs="Times New Roman"/>
          <w:lang w:val="en-US"/>
        </w:rPr>
        <w:t xml:space="preserve">1.9 </w:t>
      </w:r>
      <w:r w:rsidR="0060138A" w:rsidRPr="00AC6DA0">
        <w:rPr>
          <w:rFonts w:ascii="Times New Roman" w:hAnsi="Times New Roman" w:cs="Times New Roman"/>
          <w:lang w:val="en-US"/>
        </w:rPr>
        <w:t xml:space="preserve">shows the variation of enthalpy as a function of temperature. It can differ depending on the presence of supercooling. The case of no supercooling is represented in black, the case of supercooling is represented in green </w:t>
      </w:r>
      <w:sdt>
        <w:sdtPr>
          <w:rPr>
            <w:rFonts w:ascii="Times New Roman" w:hAnsi="Times New Roman" w:cs="Times New Roman"/>
            <w:lang w:val="en-US"/>
          </w:rPr>
          <w:id w:val="982038497"/>
          <w:citation/>
        </w:sdtPr>
        <w:sdtContent>
          <w:r>
            <w:rPr>
              <w:rFonts w:ascii="Times New Roman" w:hAnsi="Times New Roman" w:cs="Times New Roman"/>
              <w:lang w:val="en-US"/>
            </w:rPr>
            <w:fldChar w:fldCharType="begin"/>
          </w:r>
          <w:r w:rsidRPr="003D5AC9">
            <w:rPr>
              <w:rFonts w:ascii="Times New Roman" w:hAnsi="Times New Roman" w:cs="Times New Roman"/>
              <w:lang w:val="en-US"/>
            </w:rPr>
            <w:instrText xml:space="preserve"> CITATION Placeholder23 \l 1040 </w:instrText>
          </w:r>
          <w:r>
            <w:rPr>
              <w:rFonts w:ascii="Times New Roman" w:hAnsi="Times New Roman" w:cs="Times New Roman"/>
              <w:lang w:val="en-US"/>
            </w:rPr>
            <w:fldChar w:fldCharType="separate"/>
          </w:r>
          <w:r w:rsidR="00855396" w:rsidRPr="00855396">
            <w:rPr>
              <w:rFonts w:ascii="Times New Roman" w:hAnsi="Times New Roman" w:cs="Times New Roman"/>
              <w:noProof/>
              <w:lang w:val="en-US"/>
            </w:rPr>
            <w:t>[17]</w:t>
          </w:r>
          <w:r>
            <w:rPr>
              <w:rFonts w:ascii="Times New Roman" w:hAnsi="Times New Roman" w:cs="Times New Roman"/>
              <w:lang w:val="en-US"/>
            </w:rPr>
            <w:fldChar w:fldCharType="end"/>
          </w:r>
        </w:sdtContent>
      </w:sdt>
      <w:r w:rsidR="0060138A" w:rsidRPr="00AC6DA0">
        <w:rPr>
          <w:rFonts w:ascii="Times New Roman" w:hAnsi="Times New Roman" w:cs="Times New Roman"/>
          <w:lang w:val="en-US"/>
        </w:rPr>
        <w:t>. As highlighted in green, when supercooling occurs, solidification is delayed and the temperature of the liquid PCM continues to decrease until it reaches the nucleation temperature Tₙ, where the phase change finally begins. If a PCM with melting temperature Tₘ is expected to operate between T₁ and T₂, instead of undergoing a phase transition during cooling, it will remain in a supercooled state. In this condition, the release of latent heat does not occur at the expected melting temperature but only once nucleation starts. For this reason, supercooling is considered an unwanted effect in most thermal energy storage systems, as it alters the normal solidification–melting cycle. Consequently, specific approaches are studied and applied to minimize this phenomenon and ensure stable and reliable PCM performance.</w:t>
      </w:r>
    </w:p>
    <w:p w14:paraId="1B6F6C8E" w14:textId="3951A345" w:rsidR="0060138A" w:rsidRDefault="0060138A">
      <w:pPr>
        <w:pStyle w:val="ListParagraph"/>
        <w:numPr>
          <w:ilvl w:val="0"/>
          <w:numId w:val="6"/>
        </w:numPr>
        <w:spacing w:before="0" w:after="160" w:line="259" w:lineRule="auto"/>
        <w:rPr>
          <w:rFonts w:ascii="Times New Roman" w:hAnsi="Times New Roman" w:cs="Times New Roman"/>
        </w:rPr>
      </w:pPr>
      <w:r w:rsidRPr="00AC6DA0">
        <w:rPr>
          <w:rFonts w:ascii="Times New Roman" w:hAnsi="Times New Roman" w:cs="Times New Roman"/>
          <w:lang w:val="en-US"/>
        </w:rPr>
        <w:t xml:space="preserve">The container volume and surface roughness significantly affect supercooling in PCMs. Rough surfaces and larger volumes promote nucleation, as shown in </w:t>
      </w:r>
      <w:r>
        <w:rPr>
          <w:rFonts w:ascii="Times New Roman" w:hAnsi="Times New Roman" w:cs="Times New Roman"/>
          <w:lang w:val="en-US"/>
        </w:rPr>
        <w:t xml:space="preserve">Figure </w:t>
      </w:r>
      <w:r w:rsidR="003D5AC9">
        <w:rPr>
          <w:rFonts w:ascii="Times New Roman" w:hAnsi="Times New Roman" w:cs="Times New Roman"/>
          <w:lang w:val="en-US"/>
        </w:rPr>
        <w:t>1.10</w:t>
      </w:r>
      <w:r w:rsidRPr="00AC6DA0">
        <w:rPr>
          <w:rFonts w:ascii="Times New Roman" w:hAnsi="Times New Roman" w:cs="Times New Roman"/>
          <w:lang w:val="en-US"/>
        </w:rPr>
        <w:t xml:space="preserve">, thereby reducing the degree of supercooling. Studies </w:t>
      </w:r>
      <w:sdt>
        <w:sdtPr>
          <w:rPr>
            <w:rFonts w:ascii="Times New Roman" w:hAnsi="Times New Roman" w:cs="Times New Roman"/>
            <w:lang w:val="en-US"/>
          </w:rPr>
          <w:id w:val="1656884674"/>
          <w:citation/>
        </w:sdtPr>
        <w:sdtContent>
          <w:r w:rsidR="003D5AC9">
            <w:rPr>
              <w:rFonts w:ascii="Times New Roman" w:hAnsi="Times New Roman" w:cs="Times New Roman"/>
              <w:lang w:val="en-US"/>
            </w:rPr>
            <w:fldChar w:fldCharType="begin"/>
          </w:r>
          <w:r w:rsidR="003D5AC9" w:rsidRPr="003D5AC9">
            <w:rPr>
              <w:rFonts w:ascii="Times New Roman" w:hAnsi="Times New Roman" w:cs="Times New Roman"/>
              <w:lang w:val="en-US"/>
            </w:rPr>
            <w:instrText xml:space="preserve"> CITATION Placeholder34 \l 1040 </w:instrText>
          </w:r>
          <w:r w:rsidR="003D5AC9">
            <w:rPr>
              <w:rFonts w:ascii="Times New Roman" w:hAnsi="Times New Roman" w:cs="Times New Roman"/>
              <w:lang w:val="en-US"/>
            </w:rPr>
            <w:fldChar w:fldCharType="separate"/>
          </w:r>
          <w:r w:rsidR="00855396" w:rsidRPr="00855396">
            <w:rPr>
              <w:rFonts w:ascii="Times New Roman" w:hAnsi="Times New Roman" w:cs="Times New Roman"/>
              <w:noProof/>
              <w:lang w:val="en-US"/>
            </w:rPr>
            <w:t>[28]</w:t>
          </w:r>
          <w:r w:rsidR="003D5AC9">
            <w:rPr>
              <w:rFonts w:ascii="Times New Roman" w:hAnsi="Times New Roman" w:cs="Times New Roman"/>
              <w:lang w:val="en-US"/>
            </w:rPr>
            <w:fldChar w:fldCharType="end"/>
          </w:r>
        </w:sdtContent>
      </w:sdt>
      <w:r w:rsidRPr="00AC6DA0">
        <w:rPr>
          <w:rFonts w:ascii="Times New Roman" w:hAnsi="Times New Roman" w:cs="Times New Roman"/>
          <w:lang w:val="en-US"/>
        </w:rPr>
        <w:t xml:space="preserve"> </w:t>
      </w:r>
      <w:sdt>
        <w:sdtPr>
          <w:rPr>
            <w:rFonts w:ascii="Times New Roman" w:hAnsi="Times New Roman" w:cs="Times New Roman"/>
            <w:lang w:val="en-US"/>
          </w:rPr>
          <w:id w:val="-1977059812"/>
          <w:citation/>
        </w:sdtPr>
        <w:sdtContent>
          <w:r w:rsidR="003D5AC9">
            <w:rPr>
              <w:rFonts w:ascii="Times New Roman" w:hAnsi="Times New Roman" w:cs="Times New Roman"/>
              <w:lang w:val="en-US"/>
            </w:rPr>
            <w:fldChar w:fldCharType="begin"/>
          </w:r>
          <w:r w:rsidR="003D5AC9" w:rsidRPr="003D5AC9">
            <w:rPr>
              <w:rFonts w:ascii="Times New Roman" w:hAnsi="Times New Roman" w:cs="Times New Roman"/>
              <w:lang w:val="en-US"/>
            </w:rPr>
            <w:instrText xml:space="preserve"> CITATION Placeholder35 \l 1040 </w:instrText>
          </w:r>
          <w:r w:rsidR="003D5AC9">
            <w:rPr>
              <w:rFonts w:ascii="Times New Roman" w:hAnsi="Times New Roman" w:cs="Times New Roman"/>
              <w:lang w:val="en-US"/>
            </w:rPr>
            <w:fldChar w:fldCharType="separate"/>
          </w:r>
          <w:r w:rsidR="00855396" w:rsidRPr="00855396">
            <w:rPr>
              <w:rFonts w:ascii="Times New Roman" w:hAnsi="Times New Roman" w:cs="Times New Roman"/>
              <w:noProof/>
              <w:lang w:val="en-US"/>
            </w:rPr>
            <w:t>[29]</w:t>
          </w:r>
          <w:r w:rsidR="003D5AC9">
            <w:rPr>
              <w:rFonts w:ascii="Times New Roman" w:hAnsi="Times New Roman" w:cs="Times New Roman"/>
              <w:lang w:val="en-US"/>
            </w:rPr>
            <w:fldChar w:fldCharType="end"/>
          </w:r>
        </w:sdtContent>
      </w:sdt>
      <w:r w:rsidR="003D5AC9">
        <w:rPr>
          <w:rFonts w:ascii="Times New Roman" w:hAnsi="Times New Roman" w:cs="Times New Roman"/>
          <w:lang w:val="en-US"/>
        </w:rPr>
        <w:t xml:space="preserve"> </w:t>
      </w:r>
      <w:r w:rsidRPr="00AC6DA0">
        <w:rPr>
          <w:rFonts w:ascii="Times New Roman" w:hAnsi="Times New Roman" w:cs="Times New Roman"/>
          <w:lang w:val="en-US"/>
        </w:rPr>
        <w:t xml:space="preserve">have shown that increasing the PCM volume from very small values (0.025 cm³) to larger ones (16 cm³) decreases supercooling considerably. However, storing PCM in reduced volumes, as in encapsulation, is also beneficial because it increases the heat transfer surface, improving thermal exchange. On the other hand, the solidification of large volumes of supercooled PCM can release a significant amount of energy in a short time. </w:t>
      </w:r>
      <w:r w:rsidRPr="00BE2888">
        <w:rPr>
          <w:rFonts w:ascii="Times New Roman" w:hAnsi="Times New Roman" w:cs="Times New Roman"/>
        </w:rPr>
        <w:t xml:space="preserve">The cooling method strongly influences PCM supercooling. </w:t>
      </w:r>
    </w:p>
    <w:p w14:paraId="7A409FC1" w14:textId="77777777" w:rsidR="003D5AC9" w:rsidRDefault="0060138A" w:rsidP="003D5AC9">
      <w:pPr>
        <w:keepNext/>
        <w:jc w:val="center"/>
      </w:pPr>
      <w:r w:rsidRPr="00BE2888">
        <w:rPr>
          <w:rFonts w:ascii="Times New Roman" w:hAnsi="Times New Roman" w:cs="Times New Roman"/>
          <w:noProof/>
          <w:szCs w:val="24"/>
        </w:rPr>
        <w:drawing>
          <wp:inline distT="0" distB="0" distL="0" distR="0" wp14:anchorId="5BF89282" wp14:editId="2CE4EF86">
            <wp:extent cx="2556751" cy="1273628"/>
            <wp:effectExtent l="0" t="0" r="0" b="3175"/>
            <wp:docPr id="686515791" name="Immagine 1" descr="Immagine che contiene diagramma, cerchio, linea, schizz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6515791" name="Immagine 1" descr="Immagine che contiene diagramma, cerchio, linea, schizzo&#10;&#10;Il contenuto generato dall'IA potrebbe non essere corretto."/>
                    <pic:cNvPicPr/>
                  </pic:nvPicPr>
                  <pic:blipFill>
                    <a:blip r:embed="rId48">
                      <a:extLst>
                        <a:ext uri="{28A0092B-C50C-407E-A947-70E740481C1C}">
                          <a14:useLocalDpi xmlns:a14="http://schemas.microsoft.com/office/drawing/2010/main" val="0"/>
                        </a:ext>
                      </a:extLst>
                    </a:blip>
                    <a:stretch>
                      <a:fillRect/>
                    </a:stretch>
                  </pic:blipFill>
                  <pic:spPr>
                    <a:xfrm>
                      <a:off x="0" y="0"/>
                      <a:ext cx="2578967" cy="1284695"/>
                    </a:xfrm>
                    <a:prstGeom prst="rect">
                      <a:avLst/>
                    </a:prstGeom>
                  </pic:spPr>
                </pic:pic>
              </a:graphicData>
            </a:graphic>
          </wp:inline>
        </w:drawing>
      </w:r>
    </w:p>
    <w:p w14:paraId="3097FFA1" w14:textId="635C89D5" w:rsidR="003D5AC9" w:rsidRPr="004704CC" w:rsidRDefault="003D5AC9" w:rsidP="003D5AC9">
      <w:pPr>
        <w:pStyle w:val="Caption"/>
        <w:rPr>
          <w:rFonts w:ascii="Times New Roman" w:hAnsi="Times New Roman" w:cs="Times New Roman"/>
          <w:noProof/>
        </w:rPr>
      </w:pPr>
      <w:bookmarkStart w:id="44" w:name="_Toc214357719"/>
      <w:r>
        <w:t xml:space="preserve">Figure </w:t>
      </w:r>
      <w:r w:rsidR="00F824A5">
        <w:fldChar w:fldCharType="begin"/>
      </w:r>
      <w:r w:rsidR="00F824A5">
        <w:instrText xml:space="preserve"> STYLEREF 1 \s </w:instrText>
      </w:r>
      <w:r w:rsidR="00F824A5">
        <w:fldChar w:fldCharType="separate"/>
      </w:r>
      <w:r w:rsidR="000412CE">
        <w:rPr>
          <w:noProof/>
        </w:rPr>
        <w:t>1</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10</w:t>
      </w:r>
      <w:r w:rsidR="00F824A5">
        <w:fldChar w:fldCharType="end"/>
      </w:r>
      <w:r w:rsidR="005A414B">
        <w:t>.</w:t>
      </w:r>
      <w:r>
        <w:t xml:space="preserve"> </w:t>
      </w:r>
      <w:r w:rsidRPr="004704CC">
        <w:rPr>
          <w:rFonts w:ascii="Times New Roman" w:hAnsi="Times New Roman" w:cs="Times New Roman"/>
        </w:rPr>
        <w:t>The position of solidification initiation for three different volumes having a measured degree of supercooling for the same PCM of a) 88 °C, b)</w:t>
      </w:r>
      <w:r w:rsidR="00D02B65">
        <w:rPr>
          <w:rFonts w:ascii="Times New Roman" w:hAnsi="Times New Roman" w:cs="Times New Roman"/>
        </w:rPr>
        <w:t xml:space="preserve"> </w:t>
      </w:r>
      <w:r w:rsidRPr="004704CC">
        <w:rPr>
          <w:rFonts w:ascii="Times New Roman" w:hAnsi="Times New Roman" w:cs="Times New Roman"/>
        </w:rPr>
        <w:t>58 °C</w:t>
      </w:r>
      <w:r w:rsidR="00D02B65">
        <w:rPr>
          <w:rFonts w:ascii="Times New Roman" w:hAnsi="Times New Roman" w:cs="Times New Roman"/>
        </w:rPr>
        <w:t>,</w:t>
      </w:r>
      <w:r w:rsidRPr="004704CC">
        <w:rPr>
          <w:rFonts w:ascii="Times New Roman" w:hAnsi="Times New Roman" w:cs="Times New Roman"/>
        </w:rPr>
        <w:t xml:space="preserve"> and c) 48 °C</w:t>
      </w:r>
      <w:r w:rsidR="00736714">
        <w:rPr>
          <w:rFonts w:ascii="Times New Roman" w:hAnsi="Times New Roman" w:cs="Times New Roman"/>
        </w:rPr>
        <w:t xml:space="preserve"> [28]</w:t>
      </w:r>
      <w:r w:rsidR="00A165BA">
        <w:rPr>
          <w:rFonts w:ascii="Times New Roman" w:hAnsi="Times New Roman" w:cs="Times New Roman"/>
        </w:rPr>
        <w:t>.</w:t>
      </w:r>
      <w:bookmarkEnd w:id="44"/>
    </w:p>
    <w:p w14:paraId="1CA445C0" w14:textId="52368413" w:rsidR="0060138A" w:rsidRDefault="0060138A" w:rsidP="003D5AC9">
      <w:pPr>
        <w:pStyle w:val="Caption"/>
        <w:rPr>
          <w:rFonts w:ascii="Times New Roman" w:hAnsi="Times New Roman" w:cs="Times New Roman"/>
        </w:rPr>
      </w:pPr>
    </w:p>
    <w:p w14:paraId="11B19716" w14:textId="77777777" w:rsidR="0060138A" w:rsidRPr="003D5AC9" w:rsidRDefault="0060138A">
      <w:pPr>
        <w:pStyle w:val="ListParagraph"/>
        <w:numPr>
          <w:ilvl w:val="0"/>
          <w:numId w:val="6"/>
        </w:numPr>
        <w:spacing w:before="0" w:after="160" w:line="259" w:lineRule="auto"/>
        <w:rPr>
          <w:rFonts w:cs="Times New Roman"/>
          <w:lang w:val="en-US"/>
        </w:rPr>
      </w:pPr>
      <w:r w:rsidRPr="003D5AC9">
        <w:rPr>
          <w:rFonts w:cs="Times New Roman"/>
          <w:lang w:val="en-US"/>
        </w:rPr>
        <w:t xml:space="preserve">A higher cooling rate, achieved by lowering the cooling fluid temperature, increases the degree of supercooling but shortens the time spent in the </w:t>
      </w:r>
      <w:r w:rsidRPr="003D5AC9">
        <w:rPr>
          <w:rFonts w:cs="Times New Roman"/>
          <w:lang w:val="en-US"/>
        </w:rPr>
        <w:lastRenderedPageBreak/>
        <w:t xml:space="preserve">supercooled state. Conversely, a lower cooling rate reduces the degree of supercooling but extends the duration of the supercooled state. </w:t>
      </w:r>
    </w:p>
    <w:p w14:paraId="64FDE87A" w14:textId="23D0ECB5" w:rsidR="0060138A" w:rsidRPr="003D5AC9" w:rsidRDefault="0060138A">
      <w:pPr>
        <w:pStyle w:val="ListParagraph"/>
        <w:numPr>
          <w:ilvl w:val="0"/>
          <w:numId w:val="6"/>
        </w:numPr>
        <w:spacing w:before="0" w:after="160" w:line="259" w:lineRule="auto"/>
        <w:rPr>
          <w:rFonts w:cs="Times New Roman"/>
          <w:lang w:val="en-US"/>
        </w:rPr>
      </w:pPr>
      <w:r w:rsidRPr="003D5AC9">
        <w:rPr>
          <w:rFonts w:cs="Times New Roman"/>
          <w:lang w:val="en-US"/>
        </w:rPr>
        <w:t>Two main methods are used to induce crystallization in supercooled PCMs. Manual seeding adds seed particles to the liquid, triggering immediate crystallization and latent heat release. Dynamic stimulation involves external actions such as mechanical shocks, ultrasonic vibrations, friction, agitation, or magnetic fields, which can also initiate solidification</w:t>
      </w:r>
      <w:r w:rsidR="003D5AC9">
        <w:rPr>
          <w:rFonts w:cs="Times New Roman"/>
          <w:lang w:val="en-US"/>
        </w:rPr>
        <w:t xml:space="preserve"> </w:t>
      </w:r>
      <w:sdt>
        <w:sdtPr>
          <w:rPr>
            <w:rFonts w:cs="Times New Roman"/>
            <w:lang w:val="en-US"/>
          </w:rPr>
          <w:id w:val="1767420693"/>
          <w:citation/>
        </w:sdtPr>
        <w:sdtContent>
          <w:r w:rsidR="003D5AC9">
            <w:rPr>
              <w:rFonts w:cs="Times New Roman"/>
              <w:lang w:val="en-US"/>
            </w:rPr>
            <w:fldChar w:fldCharType="begin"/>
          </w:r>
          <w:r w:rsidR="003D5AC9" w:rsidRPr="003D5AC9">
            <w:rPr>
              <w:rFonts w:cs="Times New Roman"/>
              <w:lang w:val="en-US"/>
            </w:rPr>
            <w:instrText xml:space="preserve"> CITATION Placeholder36 \l 1040 </w:instrText>
          </w:r>
          <w:r w:rsidR="003D5AC9">
            <w:rPr>
              <w:rFonts w:cs="Times New Roman"/>
              <w:lang w:val="en-US"/>
            </w:rPr>
            <w:fldChar w:fldCharType="separate"/>
          </w:r>
          <w:r w:rsidR="00855396" w:rsidRPr="00855396">
            <w:rPr>
              <w:rFonts w:cs="Times New Roman"/>
              <w:noProof/>
              <w:lang w:val="en-US"/>
            </w:rPr>
            <w:t>[30]</w:t>
          </w:r>
          <w:r w:rsidR="003D5AC9">
            <w:rPr>
              <w:rFonts w:cs="Times New Roman"/>
              <w:lang w:val="en-US"/>
            </w:rPr>
            <w:fldChar w:fldCharType="end"/>
          </w:r>
        </w:sdtContent>
      </w:sdt>
      <w:sdt>
        <w:sdtPr>
          <w:rPr>
            <w:rFonts w:cs="Times New Roman"/>
            <w:lang w:val="en-US"/>
          </w:rPr>
          <w:id w:val="1730423838"/>
          <w:citation/>
        </w:sdtPr>
        <w:sdtContent>
          <w:r w:rsidR="003D5AC9">
            <w:rPr>
              <w:rFonts w:cs="Times New Roman"/>
              <w:lang w:val="en-US"/>
            </w:rPr>
            <w:fldChar w:fldCharType="begin"/>
          </w:r>
          <w:r w:rsidR="003D5AC9" w:rsidRPr="003D5AC9">
            <w:rPr>
              <w:rFonts w:cs="Times New Roman"/>
              <w:lang w:val="en-US"/>
            </w:rPr>
            <w:instrText xml:space="preserve"> CITATION Placeholder37 \l 1040 </w:instrText>
          </w:r>
          <w:r w:rsidR="003D5AC9">
            <w:rPr>
              <w:rFonts w:cs="Times New Roman"/>
              <w:lang w:val="en-US"/>
            </w:rPr>
            <w:fldChar w:fldCharType="separate"/>
          </w:r>
          <w:r w:rsidR="00855396">
            <w:rPr>
              <w:rFonts w:cs="Times New Roman"/>
              <w:noProof/>
              <w:lang w:val="en-US"/>
            </w:rPr>
            <w:t xml:space="preserve"> </w:t>
          </w:r>
          <w:r w:rsidR="00855396" w:rsidRPr="00855396">
            <w:rPr>
              <w:rFonts w:cs="Times New Roman"/>
              <w:noProof/>
              <w:lang w:val="en-US"/>
            </w:rPr>
            <w:t>[31]</w:t>
          </w:r>
          <w:r w:rsidR="003D5AC9">
            <w:rPr>
              <w:rFonts w:cs="Times New Roman"/>
              <w:lang w:val="en-US"/>
            </w:rPr>
            <w:fldChar w:fldCharType="end"/>
          </w:r>
        </w:sdtContent>
      </w:sdt>
      <w:r w:rsidR="003D5AC9">
        <w:rPr>
          <w:rFonts w:cs="Times New Roman"/>
          <w:lang w:val="en-US"/>
        </w:rPr>
        <w:t>.</w:t>
      </w:r>
    </w:p>
    <w:p w14:paraId="7BCC8714" w14:textId="4BE35211" w:rsidR="0060138A" w:rsidRDefault="0060138A">
      <w:pPr>
        <w:pStyle w:val="ListParagraph"/>
        <w:numPr>
          <w:ilvl w:val="0"/>
          <w:numId w:val="6"/>
        </w:numPr>
        <w:spacing w:before="0" w:after="160" w:line="259" w:lineRule="auto"/>
        <w:rPr>
          <w:rFonts w:cs="Times New Roman"/>
          <w:lang w:val="en-US"/>
        </w:rPr>
      </w:pPr>
      <w:r w:rsidRPr="003D5AC9">
        <w:rPr>
          <w:rFonts w:cs="Times New Roman"/>
          <w:lang w:val="en-US"/>
        </w:rPr>
        <w:t xml:space="preserve">The composition of PCM and the use of additives strongly influence supercooling. Heterogeneous nucleation starts from rough surfaces, impurities, or additives, while homogeneous nucleation occurs spontaneously in the liquid. Additives can reduce supercooling to very low values, but beyond a certain concentration, they may increase it again due to molecular clustering. Even small amounts (e.g., 1%) are often enough to almost eliminate supercooling, though the exact loading is difficult to define since additives also modify the PCM’s chemical composition </w:t>
      </w:r>
      <w:sdt>
        <w:sdtPr>
          <w:rPr>
            <w:rFonts w:cs="Times New Roman"/>
            <w:lang w:val="en-US"/>
          </w:rPr>
          <w:id w:val="-1750030917"/>
          <w:citation/>
        </w:sdtPr>
        <w:sdtContent>
          <w:r w:rsidR="003D5AC9">
            <w:rPr>
              <w:rFonts w:cs="Times New Roman"/>
              <w:lang w:val="en-US"/>
            </w:rPr>
            <w:fldChar w:fldCharType="begin"/>
          </w:r>
          <w:r w:rsidR="003D5AC9" w:rsidRPr="003D5AC9">
            <w:rPr>
              <w:rFonts w:cs="Times New Roman"/>
              <w:lang w:val="en-US"/>
            </w:rPr>
            <w:instrText xml:space="preserve"> CITATION Placeholder38 \l 1040 </w:instrText>
          </w:r>
          <w:r w:rsidR="003D5AC9">
            <w:rPr>
              <w:rFonts w:cs="Times New Roman"/>
              <w:lang w:val="en-US"/>
            </w:rPr>
            <w:fldChar w:fldCharType="separate"/>
          </w:r>
          <w:r w:rsidR="00855396" w:rsidRPr="00855396">
            <w:rPr>
              <w:rFonts w:cs="Times New Roman"/>
              <w:noProof/>
              <w:lang w:val="en-US"/>
            </w:rPr>
            <w:t>[32]</w:t>
          </w:r>
          <w:r w:rsidR="003D5AC9">
            <w:rPr>
              <w:rFonts w:cs="Times New Roman"/>
              <w:lang w:val="en-US"/>
            </w:rPr>
            <w:fldChar w:fldCharType="end"/>
          </w:r>
        </w:sdtContent>
      </w:sdt>
      <w:r w:rsidRPr="003D5AC9">
        <w:rPr>
          <w:rFonts w:cs="Times New Roman"/>
          <w:lang w:val="en-US"/>
        </w:rPr>
        <w:t>.</w:t>
      </w:r>
    </w:p>
    <w:p w14:paraId="259CAB50" w14:textId="64647071" w:rsidR="003D5AC9" w:rsidRDefault="003D5AC9" w:rsidP="003D5AC9">
      <w:pPr>
        <w:pStyle w:val="Heading3"/>
        <w:rPr>
          <w:lang w:val="en-US"/>
        </w:rPr>
      </w:pPr>
      <w:bookmarkStart w:id="45" w:name="_Toc214356277"/>
      <w:r>
        <w:rPr>
          <w:lang w:val="en-US"/>
        </w:rPr>
        <w:t>Hysteresis</w:t>
      </w:r>
      <w:bookmarkEnd w:id="45"/>
    </w:p>
    <w:p w14:paraId="786A9A21" w14:textId="302EB50E" w:rsidR="003D5AC9" w:rsidRPr="003D5AC9" w:rsidRDefault="003D5AC9" w:rsidP="003D5AC9">
      <w:pPr>
        <w:rPr>
          <w:rFonts w:cs="Times New Roman"/>
          <w:lang w:val="en-US"/>
        </w:rPr>
      </w:pPr>
      <w:r>
        <w:rPr>
          <w:noProof/>
        </w:rPr>
        <mc:AlternateContent>
          <mc:Choice Requires="wps">
            <w:drawing>
              <wp:anchor distT="0" distB="0" distL="114300" distR="114300" simplePos="0" relativeHeight="251679744" behindDoc="0" locked="0" layoutInCell="1" allowOverlap="1" wp14:anchorId="30F5F776" wp14:editId="633619BF">
                <wp:simplePos x="0" y="0"/>
                <wp:positionH relativeFrom="column">
                  <wp:posOffset>4098925</wp:posOffset>
                </wp:positionH>
                <wp:positionV relativeFrom="paragraph">
                  <wp:posOffset>2840355</wp:posOffset>
                </wp:positionV>
                <wp:extent cx="1660525" cy="635"/>
                <wp:effectExtent l="0" t="0" r="0" b="0"/>
                <wp:wrapSquare wrapText="bothSides"/>
                <wp:docPr id="825586110" name="Text Box 1"/>
                <wp:cNvGraphicFramePr/>
                <a:graphic xmlns:a="http://schemas.openxmlformats.org/drawingml/2006/main">
                  <a:graphicData uri="http://schemas.microsoft.com/office/word/2010/wordprocessingShape">
                    <wps:wsp>
                      <wps:cNvSpPr txBox="1"/>
                      <wps:spPr>
                        <a:xfrm>
                          <a:off x="0" y="0"/>
                          <a:ext cx="1660525" cy="635"/>
                        </a:xfrm>
                        <a:prstGeom prst="rect">
                          <a:avLst/>
                        </a:prstGeom>
                        <a:solidFill>
                          <a:prstClr val="white"/>
                        </a:solidFill>
                        <a:ln>
                          <a:noFill/>
                        </a:ln>
                      </wps:spPr>
                      <wps:txbx>
                        <w:txbxContent>
                          <w:p w14:paraId="10D3043E" w14:textId="530BF1D3" w:rsidR="003D5AC9" w:rsidRPr="00E227C5" w:rsidRDefault="003D5AC9" w:rsidP="003D5AC9">
                            <w:pPr>
                              <w:pStyle w:val="Caption"/>
                              <w:rPr>
                                <w:rFonts w:cs="Times New Roman"/>
                                <w:noProof/>
                                <w:szCs w:val="22"/>
                              </w:rPr>
                            </w:pPr>
                            <w:bookmarkStart w:id="46" w:name="_Toc214357720"/>
                            <w:r>
                              <w:t xml:space="preserve">Figure </w:t>
                            </w:r>
                            <w:r w:rsidR="00F824A5">
                              <w:fldChar w:fldCharType="begin"/>
                            </w:r>
                            <w:r w:rsidR="00F824A5">
                              <w:instrText xml:space="preserve"> STYLEREF 1 \s </w:instrText>
                            </w:r>
                            <w:r w:rsidR="00F824A5">
                              <w:fldChar w:fldCharType="separate"/>
                            </w:r>
                            <w:r w:rsidR="000412CE">
                              <w:rPr>
                                <w:noProof/>
                              </w:rPr>
                              <w:t>1</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11</w:t>
                            </w:r>
                            <w:r w:rsidR="00F824A5">
                              <w:fldChar w:fldCharType="end"/>
                            </w:r>
                            <w:r w:rsidR="005A414B">
                              <w:t>.</w:t>
                            </w:r>
                            <w:r>
                              <w:t xml:space="preserve"> </w:t>
                            </w:r>
                            <w:r w:rsidRPr="00E54B64">
                              <w:t>Top: DSC curve of ideal phase change transition</w:t>
                            </w:r>
                            <w:r w:rsidR="00736714">
                              <w:t xml:space="preserve"> [33]</w:t>
                            </w:r>
                            <w:r w:rsidRPr="00E54B64">
                              <w:t>. Bottom: Difference in phase change temperature range of the PCM during solidification and melting</w:t>
                            </w:r>
                            <w:r w:rsidR="00736714">
                              <w:t xml:space="preserve"> [34]</w:t>
                            </w:r>
                            <w:r w:rsidRPr="00E54B64">
                              <w:t>.</w:t>
                            </w:r>
                            <w:bookmarkEnd w:id="4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0F5F776" id="_x0000_s1030" type="#_x0000_t202" style="position:absolute;left:0;text-align:left;margin-left:322.75pt;margin-top:223.65pt;width:130.75pt;height:.05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" stroked="f">
                <v:textbox style="mso-fit-shape-to-text:t" inset="0,0,0,0">
                  <w:txbxContent>
                    <w:p w14:paraId="10D3043E" w14:textId="530BF1D3" w:rsidR="003D5AC9" w:rsidRPr="00E227C5" w:rsidRDefault="003D5AC9" w:rsidP="003D5AC9">
                      <w:pPr>
                        <w:pStyle w:val="Caption"/>
                        <w:rPr>
                          <w:rFonts w:cs="Times New Roman"/>
                          <w:noProof/>
                          <w:szCs w:val="22"/>
                        </w:rPr>
                      </w:pPr>
                      <w:bookmarkStart w:id="47" w:name="_Toc214357720"/>
                      <w:r>
                        <w:t xml:space="preserve">Figure </w:t>
                      </w:r>
                      <w:r w:rsidR="00F824A5">
                        <w:fldChar w:fldCharType="begin"/>
                      </w:r>
                      <w:r w:rsidR="00F824A5">
                        <w:instrText xml:space="preserve"> STYLEREF 1 \s </w:instrText>
                      </w:r>
                      <w:r w:rsidR="00F824A5">
                        <w:fldChar w:fldCharType="separate"/>
                      </w:r>
                      <w:r w:rsidR="000412CE">
                        <w:rPr>
                          <w:noProof/>
                        </w:rPr>
                        <w:t>1</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11</w:t>
                      </w:r>
                      <w:r w:rsidR="00F824A5">
                        <w:fldChar w:fldCharType="end"/>
                      </w:r>
                      <w:r w:rsidR="005A414B">
                        <w:t>.</w:t>
                      </w:r>
                      <w:r>
                        <w:t xml:space="preserve"> </w:t>
                      </w:r>
                      <w:r w:rsidRPr="00E54B64">
                        <w:t>Top: DSC curve of ideal phase change transition</w:t>
                      </w:r>
                      <w:r w:rsidR="00736714">
                        <w:t xml:space="preserve"> [33]</w:t>
                      </w:r>
                      <w:r w:rsidRPr="00E54B64">
                        <w:t>. Bottom: Difference in phase change temperature range of the PCM during solidification and melting</w:t>
                      </w:r>
                      <w:r w:rsidR="00736714">
                        <w:t xml:space="preserve"> [34]</w:t>
                      </w:r>
                      <w:r w:rsidRPr="00E54B64">
                        <w:t>.</w:t>
                      </w:r>
                      <w:bookmarkEnd w:id="47"/>
                    </w:p>
                  </w:txbxContent>
                </v:textbox>
                <w10:wrap type="square"/>
              </v:shape>
            </w:pict>
          </mc:Fallback>
        </mc:AlternateContent>
      </w:r>
      <w:r w:rsidRPr="003D5AC9">
        <w:rPr>
          <w:rFonts w:cs="Times New Roman"/>
          <w:noProof/>
          <w:lang w:val="en-US"/>
        </w:rPr>
        <w:drawing>
          <wp:anchor distT="0" distB="0" distL="114300" distR="114300" simplePos="0" relativeHeight="251677696" behindDoc="0" locked="0" layoutInCell="1" allowOverlap="1" wp14:anchorId="3E38488B" wp14:editId="72AEEECF">
            <wp:simplePos x="0" y="0"/>
            <wp:positionH relativeFrom="margin">
              <wp:align>right</wp:align>
            </wp:positionH>
            <wp:positionV relativeFrom="paragraph">
              <wp:posOffset>36830</wp:posOffset>
            </wp:positionV>
            <wp:extent cx="1660525" cy="2746375"/>
            <wp:effectExtent l="0" t="0" r="0" b="0"/>
            <wp:wrapSquare wrapText="bothSides"/>
            <wp:docPr id="1478272177" name="Picture 1" descr="A diagram of a heat flow&#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8272177" name="Picture 1" descr="A diagram of a heat flow&#10;&#10;AI-generated content may be incorrect."/>
                    <pic:cNvPicPr/>
                  </pic:nvPicPr>
                  <pic:blipFill>
                    <a:blip r:embed="rId49" cstate="print">
                      <a:extLst>
                        <a:ext uri="{28A0092B-C50C-407E-A947-70E740481C1C}">
                          <a14:useLocalDpi xmlns:a14="http://schemas.microsoft.com/office/drawing/2010/main" val="0"/>
                        </a:ext>
                      </a:extLst>
                    </a:blip>
                    <a:stretch>
                      <a:fillRect/>
                    </a:stretch>
                  </pic:blipFill>
                  <pic:spPr>
                    <a:xfrm>
                      <a:off x="0" y="0"/>
                      <a:ext cx="1660525" cy="2746375"/>
                    </a:xfrm>
                    <a:prstGeom prst="rect">
                      <a:avLst/>
                    </a:prstGeom>
                  </pic:spPr>
                </pic:pic>
              </a:graphicData>
            </a:graphic>
            <wp14:sizeRelH relativeFrom="margin">
              <wp14:pctWidth>0</wp14:pctWidth>
            </wp14:sizeRelH>
            <wp14:sizeRelV relativeFrom="margin">
              <wp14:pctHeight>0</wp14:pctHeight>
            </wp14:sizeRelV>
          </wp:anchor>
        </w:drawing>
      </w:r>
      <w:r w:rsidRPr="003D5AC9">
        <w:rPr>
          <w:rFonts w:cs="Times New Roman"/>
          <w:lang w:val="en-US"/>
        </w:rPr>
        <w:t>Phase change hysteresis is the temperature delay between the melting and the solidification process</w:t>
      </w:r>
      <w:r>
        <w:rPr>
          <w:rFonts w:cs="Times New Roman"/>
          <w:lang w:val="en-US"/>
        </w:rPr>
        <w:t xml:space="preserve"> </w:t>
      </w:r>
      <w:sdt>
        <w:sdtPr>
          <w:rPr>
            <w:rFonts w:cs="Times New Roman"/>
            <w:lang w:val="en-US"/>
          </w:rPr>
          <w:id w:val="-782579535"/>
          <w:citation/>
        </w:sdtPr>
        <w:sdtContent>
          <w:r>
            <w:rPr>
              <w:rFonts w:cs="Times New Roman"/>
              <w:lang w:val="en-US"/>
            </w:rPr>
            <w:fldChar w:fldCharType="begin"/>
          </w:r>
          <w:r w:rsidRPr="003D5AC9">
            <w:rPr>
              <w:rFonts w:cs="Times New Roman"/>
              <w:lang w:val="en-US"/>
            </w:rPr>
            <w:instrText xml:space="preserve"> CITATION Placeholder39 \l 1040 </w:instrText>
          </w:r>
          <w:r>
            <w:rPr>
              <w:rFonts w:cs="Times New Roman"/>
              <w:lang w:val="en-US"/>
            </w:rPr>
            <w:fldChar w:fldCharType="separate"/>
          </w:r>
          <w:r w:rsidR="00855396" w:rsidRPr="00855396">
            <w:rPr>
              <w:rFonts w:cs="Times New Roman"/>
              <w:noProof/>
              <w:lang w:val="en-US"/>
            </w:rPr>
            <w:t>[33]</w:t>
          </w:r>
          <w:r>
            <w:rPr>
              <w:rFonts w:cs="Times New Roman"/>
              <w:lang w:val="en-US"/>
            </w:rPr>
            <w:fldChar w:fldCharType="end"/>
          </w:r>
        </w:sdtContent>
      </w:sdt>
      <w:r w:rsidRPr="003D5AC9">
        <w:rPr>
          <w:rFonts w:cs="Times New Roman"/>
          <w:lang w:val="en-US"/>
        </w:rPr>
        <w:t>. PCMs can undergo both solid–solid (S–S) and solid–liquid (S–L) phase transitions, but most of them experience the melting process (from solid to liquid) and the solidification process (from liquid to solid). As shown in Figure 1</w:t>
      </w:r>
      <w:r>
        <w:rPr>
          <w:rFonts w:cs="Times New Roman"/>
          <w:lang w:val="en-US"/>
        </w:rPr>
        <w:t>.11</w:t>
      </w:r>
      <w:r w:rsidRPr="003D5AC9">
        <w:rPr>
          <w:rFonts w:cs="Times New Roman"/>
          <w:lang w:val="en-US"/>
        </w:rPr>
        <w:t xml:space="preserve"> (Top), the solid–liquid phase transition is often considered an isothermal process. However, this condition is valid only for most pure materials, but the actual solidification temperature of most PCMs is lower than the melting temperature. The phase change hysteresis can be defined by the difference between the actual melting temperature and the solidification temperature. This difference can be used to measure the energy loss of a system.  Simply speaking, we can say that the phase change hysteresis causes the melting and the solidification not to follow the same c(T) or h(T) </w:t>
      </w:r>
      <w:sdt>
        <w:sdtPr>
          <w:rPr>
            <w:rFonts w:cs="Times New Roman"/>
            <w:lang w:val="en-US"/>
          </w:rPr>
          <w:id w:val="879818700"/>
          <w:citation/>
        </w:sdtPr>
        <w:sdtContent>
          <w:r>
            <w:rPr>
              <w:rFonts w:cs="Times New Roman"/>
              <w:lang w:val="en-US"/>
            </w:rPr>
            <w:fldChar w:fldCharType="begin"/>
          </w:r>
          <w:r w:rsidRPr="003D5AC9">
            <w:rPr>
              <w:rFonts w:cs="Times New Roman"/>
              <w:lang w:val="en-US"/>
            </w:rPr>
            <w:instrText xml:space="preserve"> CITATION Placeholder40 \l 1040 </w:instrText>
          </w:r>
          <w:r>
            <w:rPr>
              <w:rFonts w:cs="Times New Roman"/>
              <w:lang w:val="en-US"/>
            </w:rPr>
            <w:fldChar w:fldCharType="separate"/>
          </w:r>
          <w:r w:rsidR="00855396" w:rsidRPr="00855396">
            <w:rPr>
              <w:rFonts w:cs="Times New Roman"/>
              <w:noProof/>
              <w:lang w:val="en-US"/>
            </w:rPr>
            <w:t>[34]</w:t>
          </w:r>
          <w:r>
            <w:rPr>
              <w:rFonts w:cs="Times New Roman"/>
              <w:lang w:val="en-US"/>
            </w:rPr>
            <w:fldChar w:fldCharType="end"/>
          </w:r>
        </w:sdtContent>
      </w:sdt>
      <w:r w:rsidRPr="003D5AC9">
        <w:rPr>
          <w:rFonts w:cs="Times New Roman"/>
          <w:lang w:val="en-US"/>
        </w:rPr>
        <w:t>. The curves are rather shifted with respect to the temperature, which also causes a difference in the phase change temperature range of the process, as shown in Figure 1</w:t>
      </w:r>
      <w:r>
        <w:rPr>
          <w:rFonts w:cs="Times New Roman"/>
          <w:lang w:val="en-US"/>
        </w:rPr>
        <w:t>.11</w:t>
      </w:r>
      <w:r w:rsidRPr="003D5AC9">
        <w:rPr>
          <w:rFonts w:cs="Times New Roman"/>
          <w:lang w:val="en-US"/>
        </w:rPr>
        <w:t xml:space="preserve"> (Bottom). </w:t>
      </w:r>
    </w:p>
    <w:p w14:paraId="296FFB61" w14:textId="77777777" w:rsidR="003D5AC9" w:rsidRDefault="003D5AC9" w:rsidP="003D5AC9">
      <w:pPr>
        <w:rPr>
          <w:rFonts w:ascii="Times New Roman" w:hAnsi="Times New Roman" w:cs="Times New Roman"/>
          <w:lang w:val="en-US"/>
        </w:rPr>
      </w:pPr>
    </w:p>
    <w:p w14:paraId="3223F070" w14:textId="27E8F7C0" w:rsidR="003D5AC9" w:rsidRPr="003D5AC9" w:rsidRDefault="003D5AC9" w:rsidP="003D5AC9">
      <w:pPr>
        <w:rPr>
          <w:rFonts w:cs="Times New Roman"/>
          <w:lang w:val="en-US"/>
        </w:rPr>
      </w:pPr>
      <w:r w:rsidRPr="003D5AC9">
        <w:rPr>
          <w:rFonts w:cs="Times New Roman"/>
          <w:lang w:val="en-US"/>
        </w:rPr>
        <w:lastRenderedPageBreak/>
        <w:t>Let us consider the figure below. Figure 1</w:t>
      </w:r>
      <w:r>
        <w:rPr>
          <w:rFonts w:cs="Times New Roman"/>
          <w:lang w:val="en-US"/>
        </w:rPr>
        <w:t>.12</w:t>
      </w:r>
      <w:r w:rsidRPr="003D5AC9">
        <w:rPr>
          <w:rFonts w:cs="Times New Roman"/>
          <w:lang w:val="en-US"/>
        </w:rPr>
        <w:t>a shows a typical h(T) curve of a PCM. When the solid PCM starts from the initial state 1, it follows the h(T) curve until it reaches state m. At this point, corresponding to the melting temperature (T</w:t>
      </w:r>
      <w:r w:rsidRPr="003D5AC9">
        <w:rPr>
          <w:rFonts w:cs="Times New Roman"/>
          <w:vertAlign w:val="subscript"/>
          <w:lang w:val="en-US"/>
        </w:rPr>
        <w:t>m</w:t>
      </w:r>
      <w:r w:rsidRPr="003D5AC9">
        <w:rPr>
          <w:rFonts w:cs="Times New Roman"/>
          <w:lang w:val="en-US"/>
        </w:rPr>
        <w:t xml:space="preserve">), melting begins, and the phase change takes place over the temperature interval </w:t>
      </w:r>
      <w:r w:rsidRPr="003D5AC9">
        <w:rPr>
          <w:rFonts w:cs="Times New Roman"/>
        </w:rPr>
        <w:t>Δ</w:t>
      </w:r>
      <w:r w:rsidRPr="003D5AC9">
        <w:rPr>
          <w:rFonts w:cs="Times New Roman"/>
          <w:lang w:val="en-US"/>
        </w:rPr>
        <w:t>T. The process is completed at states, where the latent heat of fusion is fully absorbed. Beyond points, heat is stored in the material as sensible heat. The reverse process, cooling, follows the same h(T) curve as heating. This means that solidification begins at point s, with the solidification temperature (T</w:t>
      </w:r>
      <w:r w:rsidRPr="003D5AC9">
        <w:rPr>
          <w:rFonts w:cs="Times New Roman"/>
          <w:vertAlign w:val="subscript"/>
          <w:lang w:val="en-US"/>
        </w:rPr>
        <w:t>s</w:t>
      </w:r>
      <w:r w:rsidRPr="003D5AC9">
        <w:rPr>
          <w:rFonts w:cs="Times New Roman"/>
          <w:lang w:val="en-US"/>
        </w:rPr>
        <w:t xml:space="preserve">), and proceeds over the same </w:t>
      </w:r>
      <w:r w:rsidRPr="003D5AC9">
        <w:rPr>
          <w:rFonts w:cs="Times New Roman"/>
        </w:rPr>
        <w:t>Δ</w:t>
      </w:r>
      <w:r w:rsidRPr="003D5AC9">
        <w:rPr>
          <w:rFonts w:cs="Times New Roman"/>
          <w:lang w:val="en-US"/>
        </w:rPr>
        <w:t xml:space="preserve">T interval until it is completed at state m. Since melting and solidification are considered exactly opposite processes, they are described as symmetric and follow an identical h(T) curve. </w:t>
      </w:r>
    </w:p>
    <w:p w14:paraId="3F0630D5" w14:textId="074B6CE3" w:rsidR="003D5AC9" w:rsidRDefault="003D5AC9" w:rsidP="003D5AC9">
      <w:pPr>
        <w:keepNext/>
        <w:jc w:val="center"/>
      </w:pPr>
      <w:r w:rsidRPr="004131A6">
        <w:rPr>
          <w:rFonts w:ascii="Times New Roman" w:hAnsi="Times New Roman" w:cs="Times New Roman"/>
          <w:noProof/>
        </w:rPr>
        <w:drawing>
          <wp:inline distT="0" distB="0" distL="0" distR="0" wp14:anchorId="739CE481" wp14:editId="0692D2B9">
            <wp:extent cx="4071257" cy="1324147"/>
            <wp:effectExtent l="0" t="0" r="5715" b="9525"/>
            <wp:docPr id="698430721" name="Immagine 1" descr="Immagine che contiene testo, linea, diagramm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8430721" name="Immagine 1" descr="Immagine che contiene testo, linea, diagramma, Diagramma&#10;&#10;Il contenuto generato dall'IA potrebbe non essere corretto."/>
                    <pic:cNvPicPr/>
                  </pic:nvPicPr>
                  <pic:blipFill>
                    <a:blip r:embed="rId50">
                      <a:extLst>
                        <a:ext uri="{28A0092B-C50C-407E-A947-70E740481C1C}">
                          <a14:useLocalDpi xmlns:a14="http://schemas.microsoft.com/office/drawing/2010/main" val="0"/>
                        </a:ext>
                      </a:extLst>
                    </a:blip>
                    <a:stretch>
                      <a:fillRect/>
                    </a:stretch>
                  </pic:blipFill>
                  <pic:spPr>
                    <a:xfrm>
                      <a:off x="0" y="0"/>
                      <a:ext cx="4100251" cy="1333577"/>
                    </a:xfrm>
                    <a:prstGeom prst="rect">
                      <a:avLst/>
                    </a:prstGeom>
                  </pic:spPr>
                </pic:pic>
              </a:graphicData>
            </a:graphic>
          </wp:inline>
        </w:drawing>
      </w:r>
    </w:p>
    <w:p w14:paraId="27CBC20B" w14:textId="042EA607" w:rsidR="003D5AC9" w:rsidRDefault="003D5AC9" w:rsidP="003D5AC9">
      <w:pPr>
        <w:pStyle w:val="Caption"/>
      </w:pPr>
      <w:bookmarkStart w:id="48" w:name="_Toc214357721"/>
      <w:r>
        <w:t xml:space="preserve">Figure </w:t>
      </w:r>
      <w:r w:rsidR="00F824A5">
        <w:fldChar w:fldCharType="begin"/>
      </w:r>
      <w:r w:rsidR="00F824A5">
        <w:instrText xml:space="preserve"> STYLEREF 1 \s </w:instrText>
      </w:r>
      <w:r w:rsidR="00F824A5">
        <w:fldChar w:fldCharType="separate"/>
      </w:r>
      <w:r w:rsidR="000412CE">
        <w:rPr>
          <w:noProof/>
        </w:rPr>
        <w:t>1</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12</w:t>
      </w:r>
      <w:r w:rsidR="00F824A5">
        <w:fldChar w:fldCharType="end"/>
      </w:r>
      <w:r w:rsidR="005A414B">
        <w:t>.</w:t>
      </w:r>
      <w:r>
        <w:t xml:space="preserve"> </w:t>
      </w:r>
      <w:r w:rsidRPr="00C63413">
        <w:t>Enthalpy-temperature curve for (a) symmetric model with no phase change hysteresis, and for (b) asymmetric model considering phase change hysteresis</w:t>
      </w:r>
      <w:r w:rsidR="00736714">
        <w:t xml:space="preserve"> [34]</w:t>
      </w:r>
      <w:r w:rsidRPr="00C63413">
        <w:t>.</w:t>
      </w:r>
      <w:bookmarkEnd w:id="48"/>
    </w:p>
    <w:p w14:paraId="008083EE" w14:textId="118086B7" w:rsidR="003D5AC9" w:rsidRPr="003D5AC9" w:rsidRDefault="003D5AC9" w:rsidP="003D5AC9">
      <w:pPr>
        <w:rPr>
          <w:rFonts w:cs="Times New Roman"/>
          <w:lang w:val="en-US"/>
        </w:rPr>
      </w:pPr>
      <w:r w:rsidRPr="003D5AC9">
        <w:rPr>
          <w:rFonts w:cs="Times New Roman"/>
          <w:lang w:val="en-US"/>
        </w:rPr>
        <w:t xml:space="preserve">On the other hand, phase hysteresis introduces a significant change in the behavior of h(T) curves, as shown </w:t>
      </w:r>
      <w:r w:rsidR="00D02B65">
        <w:rPr>
          <w:rFonts w:cs="Times New Roman"/>
          <w:lang w:val="en-US"/>
        </w:rPr>
        <w:t xml:space="preserve">in </w:t>
      </w:r>
      <w:r w:rsidRPr="003D5AC9">
        <w:rPr>
          <w:rFonts w:cs="Times New Roman"/>
          <w:lang w:val="en-US"/>
        </w:rPr>
        <w:t>Figure 1.12b. When the liquid PCM in state 2 is cooled, solidification does not begin at point s′, which corresponds to the melting curve, but instead starts at point t on the solidification curve, where Tt &lt; T</w:t>
      </w:r>
      <w:r w:rsidRPr="003D5AC9">
        <w:rPr>
          <w:rFonts w:cs="Times New Roman"/>
          <w:vertAlign w:val="subscript"/>
          <w:lang w:val="en-US"/>
        </w:rPr>
        <w:t>s</w:t>
      </w:r>
      <w:r w:rsidRPr="003D5AC9">
        <w:rPr>
          <w:rFonts w:cs="Times New Roman"/>
          <w:lang w:val="en-US"/>
        </w:rPr>
        <w:t>. As a result, the melting and solidification curves are shifted relative to each other. A similar temperature shift, but in the opposite direction, occurs during the heating of solid PCM when T</w:t>
      </w:r>
      <w:r w:rsidRPr="003D5AC9">
        <w:rPr>
          <w:rFonts w:cs="Times New Roman"/>
          <w:vertAlign w:val="subscript"/>
          <w:lang w:val="en-US"/>
        </w:rPr>
        <w:t>2</w:t>
      </w:r>
      <w:r w:rsidRPr="003D5AC9">
        <w:rPr>
          <w:rFonts w:cs="Times New Roman"/>
          <w:lang w:val="en-US"/>
        </w:rPr>
        <w:t xml:space="preserve"> &gt; Tm. Consequently, the melting range </w:t>
      </w:r>
      <w:r w:rsidRPr="003D5AC9">
        <w:rPr>
          <w:rFonts w:cs="Times New Roman"/>
        </w:rPr>
        <w:t>Δ</w:t>
      </w:r>
      <w:r w:rsidRPr="003D5AC9">
        <w:rPr>
          <w:rFonts w:cs="Times New Roman"/>
          <w:lang w:val="en-US"/>
        </w:rPr>
        <w:t>T</w:t>
      </w:r>
      <w:r w:rsidRPr="003D5AC9">
        <w:rPr>
          <w:rFonts w:cs="Times New Roman"/>
          <w:vertAlign w:val="subscript"/>
          <w:lang w:val="en-US"/>
        </w:rPr>
        <w:t>m</w:t>
      </w:r>
      <w:r w:rsidRPr="003D5AC9">
        <w:rPr>
          <w:rFonts w:cs="Times New Roman"/>
          <w:lang w:val="en-US"/>
        </w:rPr>
        <w:t xml:space="preserve"> does not coincide with the solidification range </w:t>
      </w:r>
      <w:r w:rsidRPr="003D5AC9">
        <w:rPr>
          <w:rFonts w:cs="Times New Roman"/>
        </w:rPr>
        <w:t>Δ</w:t>
      </w:r>
      <w:r w:rsidRPr="003D5AC9">
        <w:rPr>
          <w:rFonts w:cs="Times New Roman"/>
          <w:lang w:val="en-US"/>
        </w:rPr>
        <w:t>T</w:t>
      </w:r>
      <w:r w:rsidRPr="003D5AC9">
        <w:rPr>
          <w:rFonts w:cs="Times New Roman"/>
          <w:vertAlign w:val="subscript"/>
          <w:lang w:val="en-US"/>
        </w:rPr>
        <w:t>s</w:t>
      </w:r>
      <w:r w:rsidRPr="003D5AC9">
        <w:rPr>
          <w:rFonts w:cs="Times New Roman"/>
          <w:lang w:val="en-US"/>
        </w:rPr>
        <w:t>.  A model that accounts for it is considered asymmetric, since solidification is not an exact reverse process of melting.</w:t>
      </w:r>
    </w:p>
    <w:p w14:paraId="5D51E3A0" w14:textId="77777777" w:rsidR="003D5AC9" w:rsidRPr="003D5AC9" w:rsidRDefault="003D5AC9" w:rsidP="003D5AC9">
      <w:pPr>
        <w:rPr>
          <w:rFonts w:cs="Times New Roman"/>
          <w:lang w:val="en-US"/>
        </w:rPr>
      </w:pPr>
      <w:r w:rsidRPr="003D5AC9">
        <w:rPr>
          <w:rFonts w:cs="Times New Roman"/>
          <w:lang w:val="en-US"/>
        </w:rPr>
        <w:t xml:space="preserve">Several studies have shown that hysteresis is strongly dependent on temperature and operating conditions. </w:t>
      </w:r>
    </w:p>
    <w:p w14:paraId="29966ABD" w14:textId="7B89CCD2" w:rsidR="003D5AC9" w:rsidRPr="003D5AC9" w:rsidRDefault="003D5AC9">
      <w:pPr>
        <w:pStyle w:val="ListParagraph"/>
        <w:numPr>
          <w:ilvl w:val="0"/>
          <w:numId w:val="7"/>
        </w:numPr>
        <w:spacing w:before="0" w:after="160" w:line="259" w:lineRule="auto"/>
        <w:rPr>
          <w:rFonts w:cs="Times New Roman"/>
          <w:lang w:val="en-US"/>
        </w:rPr>
      </w:pPr>
      <w:r w:rsidRPr="003D5AC9">
        <w:rPr>
          <w:rFonts w:cs="Times New Roman"/>
          <w:lang w:val="en-US"/>
        </w:rPr>
        <w:t xml:space="preserve">Zhou et al. </w:t>
      </w:r>
      <w:sdt>
        <w:sdtPr>
          <w:rPr>
            <w:rFonts w:cs="Times New Roman"/>
            <w:lang w:val="en-US"/>
          </w:rPr>
          <w:id w:val="-1884325639"/>
          <w:citation/>
        </w:sdtPr>
        <w:sdtContent>
          <w:r>
            <w:rPr>
              <w:rFonts w:cs="Times New Roman"/>
              <w:lang w:val="en-US"/>
            </w:rPr>
            <w:fldChar w:fldCharType="begin"/>
          </w:r>
          <w:r w:rsidRPr="007F692E">
            <w:rPr>
              <w:rFonts w:cs="Times New Roman"/>
              <w:lang w:val="en-US"/>
            </w:rPr>
            <w:instrText xml:space="preserve"> CITATION Placeholder41 \l 1040 </w:instrText>
          </w:r>
          <w:r>
            <w:rPr>
              <w:rFonts w:cs="Times New Roman"/>
              <w:lang w:val="en-US"/>
            </w:rPr>
            <w:fldChar w:fldCharType="separate"/>
          </w:r>
          <w:r w:rsidR="00855396" w:rsidRPr="00855396">
            <w:rPr>
              <w:rFonts w:cs="Times New Roman"/>
              <w:noProof/>
              <w:lang w:val="en-US"/>
            </w:rPr>
            <w:t>[35]</w:t>
          </w:r>
          <w:r>
            <w:rPr>
              <w:rFonts w:cs="Times New Roman"/>
              <w:lang w:val="en-US"/>
            </w:rPr>
            <w:fldChar w:fldCharType="end"/>
          </w:r>
        </w:sdtContent>
      </w:sdt>
      <w:r w:rsidRPr="003D5AC9">
        <w:rPr>
          <w:rFonts w:cs="Times New Roman"/>
          <w:lang w:val="en-US"/>
        </w:rPr>
        <w:t xml:space="preserve"> investigated a cryogenic organic microencapsulated PCM and observed that, as the core-to-shell ratio increases, the energy storage capacity progressively improves, while the crystallization temperature decreases. This highlights a direct link between geometry and the PCH phenomenon. </w:t>
      </w:r>
    </w:p>
    <w:p w14:paraId="0A898C09" w14:textId="515C4BAF" w:rsidR="003D5AC9" w:rsidRPr="003D5AC9" w:rsidRDefault="003D5AC9">
      <w:pPr>
        <w:pStyle w:val="ListParagraph"/>
        <w:numPr>
          <w:ilvl w:val="0"/>
          <w:numId w:val="7"/>
        </w:numPr>
        <w:spacing w:before="0" w:after="160" w:line="259" w:lineRule="auto"/>
        <w:rPr>
          <w:rFonts w:cs="Times New Roman"/>
          <w:lang w:val="en-US"/>
        </w:rPr>
      </w:pPr>
      <w:r w:rsidRPr="003D5AC9">
        <w:rPr>
          <w:rFonts w:cs="Times New Roman"/>
          <w:lang w:val="en-US"/>
        </w:rPr>
        <w:t xml:space="preserve">Noel et al. </w:t>
      </w:r>
      <w:sdt>
        <w:sdtPr>
          <w:rPr>
            <w:rFonts w:cs="Times New Roman"/>
            <w:lang w:val="en-US"/>
          </w:rPr>
          <w:id w:val="-302931069"/>
          <w:citation/>
        </w:sdtPr>
        <w:sdtContent>
          <w:r>
            <w:rPr>
              <w:rFonts w:cs="Times New Roman"/>
              <w:lang w:val="en-US"/>
            </w:rPr>
            <w:fldChar w:fldCharType="begin"/>
          </w:r>
          <w:r w:rsidRPr="007F692E">
            <w:rPr>
              <w:rFonts w:cs="Times New Roman"/>
              <w:lang w:val="en-US"/>
            </w:rPr>
            <w:instrText xml:space="preserve"> CITATION Placeholder42 \l 1040 </w:instrText>
          </w:r>
          <w:r>
            <w:rPr>
              <w:rFonts w:cs="Times New Roman"/>
              <w:lang w:val="en-US"/>
            </w:rPr>
            <w:fldChar w:fldCharType="separate"/>
          </w:r>
          <w:r w:rsidR="00855396" w:rsidRPr="00855396">
            <w:rPr>
              <w:rFonts w:cs="Times New Roman"/>
              <w:noProof/>
              <w:lang w:val="en-US"/>
            </w:rPr>
            <w:t>[36]</w:t>
          </w:r>
          <w:r>
            <w:rPr>
              <w:rFonts w:cs="Times New Roman"/>
              <w:lang w:val="en-US"/>
            </w:rPr>
            <w:fldChar w:fldCharType="end"/>
          </w:r>
        </w:sdtContent>
      </w:sdt>
      <w:r w:rsidRPr="003D5AC9">
        <w:rPr>
          <w:rFonts w:cs="Times New Roman"/>
          <w:lang w:val="en-US"/>
        </w:rPr>
        <w:t xml:space="preserve"> found that hysteresis varies with the heat transfer rate: as the rate of heat exchange increases, the degree of PCH also tends to rise. </w:t>
      </w:r>
    </w:p>
    <w:p w14:paraId="59CDF1A9" w14:textId="71A28F85" w:rsidR="003D5AC9" w:rsidRPr="003D5AC9" w:rsidRDefault="003D5AC9">
      <w:pPr>
        <w:pStyle w:val="ListParagraph"/>
        <w:numPr>
          <w:ilvl w:val="0"/>
          <w:numId w:val="7"/>
        </w:numPr>
        <w:spacing w:before="0" w:after="160" w:line="259" w:lineRule="auto"/>
        <w:rPr>
          <w:rFonts w:cs="Times New Roman"/>
          <w:lang w:val="en-US"/>
        </w:rPr>
      </w:pPr>
      <w:r w:rsidRPr="003D5AC9">
        <w:rPr>
          <w:rFonts w:cs="Times New Roman"/>
          <w:lang w:val="en-US"/>
        </w:rPr>
        <w:lastRenderedPageBreak/>
        <w:t xml:space="preserve">Further experimental investigations, such as those conducted by Delcroix et al. </w:t>
      </w:r>
      <w:sdt>
        <w:sdtPr>
          <w:rPr>
            <w:rFonts w:cs="Times New Roman"/>
            <w:lang w:val="en-US"/>
          </w:rPr>
          <w:id w:val="-266231854"/>
          <w:citation/>
        </w:sdtPr>
        <w:sdtContent>
          <w:r>
            <w:rPr>
              <w:rFonts w:cs="Times New Roman"/>
              <w:lang w:val="en-US"/>
            </w:rPr>
            <w:fldChar w:fldCharType="begin"/>
          </w:r>
          <w:r w:rsidRPr="007F692E">
            <w:rPr>
              <w:rFonts w:cs="Times New Roman"/>
              <w:lang w:val="en-US"/>
            </w:rPr>
            <w:instrText xml:space="preserve"> CITATION Placeholder43 \l 1040 </w:instrText>
          </w:r>
          <w:r>
            <w:rPr>
              <w:rFonts w:cs="Times New Roman"/>
              <w:lang w:val="en-US"/>
            </w:rPr>
            <w:fldChar w:fldCharType="separate"/>
          </w:r>
          <w:r w:rsidR="00855396" w:rsidRPr="00855396">
            <w:rPr>
              <w:rFonts w:cs="Times New Roman"/>
              <w:noProof/>
              <w:lang w:val="en-US"/>
            </w:rPr>
            <w:t>[37]</w:t>
          </w:r>
          <w:r>
            <w:rPr>
              <w:rFonts w:cs="Times New Roman"/>
              <w:lang w:val="en-US"/>
            </w:rPr>
            <w:fldChar w:fldCharType="end"/>
          </w:r>
        </w:sdtContent>
      </w:sdt>
      <w:r w:rsidRPr="003D5AC9">
        <w:rPr>
          <w:rFonts w:cs="Times New Roman"/>
          <w:lang w:val="en-US"/>
        </w:rPr>
        <w:t xml:space="preserve">, confirmed that heating and cooling rates have a significant effect on the enthalpy curve of PCMs, shifting the transition temperature to lower values. </w:t>
      </w:r>
    </w:p>
    <w:p w14:paraId="4CBCC9AB" w14:textId="5CE8E128" w:rsidR="003D5AC9" w:rsidRPr="003D5AC9" w:rsidRDefault="003D5AC9">
      <w:pPr>
        <w:pStyle w:val="ListParagraph"/>
        <w:numPr>
          <w:ilvl w:val="0"/>
          <w:numId w:val="7"/>
        </w:numPr>
        <w:spacing w:before="0" w:after="160" w:line="259" w:lineRule="auto"/>
        <w:rPr>
          <w:rFonts w:cs="Times New Roman"/>
          <w:lang w:val="en-US"/>
        </w:rPr>
      </w:pPr>
      <w:r w:rsidRPr="003D5AC9">
        <w:rPr>
          <w:rFonts w:cs="Times New Roman"/>
          <w:lang w:val="en-US"/>
        </w:rPr>
        <w:t xml:space="preserve">Hus et al. </w:t>
      </w:r>
      <w:sdt>
        <w:sdtPr>
          <w:rPr>
            <w:rFonts w:cs="Times New Roman"/>
            <w:lang w:val="en-US"/>
          </w:rPr>
          <w:id w:val="-992013795"/>
          <w:citation/>
        </w:sdtPr>
        <w:sdtContent>
          <w:r>
            <w:rPr>
              <w:rFonts w:cs="Times New Roman"/>
              <w:lang w:val="en-US"/>
            </w:rPr>
            <w:fldChar w:fldCharType="begin"/>
          </w:r>
          <w:r w:rsidRPr="007F692E">
            <w:rPr>
              <w:rFonts w:cs="Times New Roman"/>
              <w:lang w:val="en-US"/>
            </w:rPr>
            <w:instrText xml:space="preserve"> CITATION Placeholder44 \l 1040 </w:instrText>
          </w:r>
          <w:r>
            <w:rPr>
              <w:rFonts w:cs="Times New Roman"/>
              <w:lang w:val="en-US"/>
            </w:rPr>
            <w:fldChar w:fldCharType="separate"/>
          </w:r>
          <w:r w:rsidR="00855396" w:rsidRPr="00855396">
            <w:rPr>
              <w:rFonts w:cs="Times New Roman"/>
              <w:noProof/>
              <w:lang w:val="en-US"/>
            </w:rPr>
            <w:t>[38]</w:t>
          </w:r>
          <w:r>
            <w:rPr>
              <w:rFonts w:cs="Times New Roman"/>
              <w:lang w:val="en-US"/>
            </w:rPr>
            <w:fldChar w:fldCharType="end"/>
          </w:r>
        </w:sdtContent>
      </w:sdt>
      <w:r w:rsidRPr="003D5AC9">
        <w:rPr>
          <w:rFonts w:cs="Times New Roman"/>
          <w:lang w:val="en-US"/>
        </w:rPr>
        <w:t xml:space="preserve">, analyzing microencapsulated PCMs (based on TiO₂, Al₂O₃, and SiO₂), also demonstrated that the degree of PCH increases with shell thickness and solidification temperature, emphasizing the important role of both chemical and morphological properties. An important aspect concerns the methods used to study hysteresis. </w:t>
      </w:r>
    </w:p>
    <w:p w14:paraId="12532B30" w14:textId="7E68D17E" w:rsidR="00702398" w:rsidRDefault="003D5AC9">
      <w:pPr>
        <w:pStyle w:val="ListParagraph"/>
        <w:numPr>
          <w:ilvl w:val="0"/>
          <w:numId w:val="7"/>
        </w:numPr>
        <w:spacing w:before="0" w:after="160" w:line="259" w:lineRule="auto"/>
        <w:rPr>
          <w:rFonts w:cs="Times New Roman"/>
          <w:lang w:val="en-US"/>
        </w:rPr>
      </w:pPr>
      <w:r w:rsidRPr="003D5AC9">
        <w:rPr>
          <w:rFonts w:cs="Times New Roman"/>
          <w:lang w:val="en-US"/>
        </w:rPr>
        <w:t>M</w:t>
      </w:r>
      <w:r w:rsidR="00181A8D">
        <w:rPr>
          <w:rFonts w:cs="Times New Roman"/>
          <w:lang w:val="en-US"/>
        </w:rPr>
        <w:t xml:space="preserve">ehdaoui </w:t>
      </w:r>
      <w:r w:rsidRPr="003D5AC9">
        <w:rPr>
          <w:rFonts w:cs="Times New Roman"/>
          <w:lang w:val="en-US"/>
        </w:rPr>
        <w:t xml:space="preserve">et al. </w:t>
      </w:r>
      <w:sdt>
        <w:sdtPr>
          <w:rPr>
            <w:rFonts w:cs="Times New Roman"/>
            <w:lang w:val="en-US"/>
          </w:rPr>
          <w:id w:val="1816531532"/>
          <w:citation/>
        </w:sdtPr>
        <w:sdtContent>
          <w:r>
            <w:rPr>
              <w:rFonts w:cs="Times New Roman"/>
              <w:lang w:val="en-US"/>
            </w:rPr>
            <w:fldChar w:fldCharType="begin"/>
          </w:r>
          <w:r w:rsidRPr="007F692E">
            <w:rPr>
              <w:rFonts w:cs="Times New Roman"/>
              <w:lang w:val="en-US"/>
            </w:rPr>
            <w:instrText xml:space="preserve"> CITATION Placeholder45 \l 1040 </w:instrText>
          </w:r>
          <w:r>
            <w:rPr>
              <w:rFonts w:cs="Times New Roman"/>
              <w:lang w:val="en-US"/>
            </w:rPr>
            <w:fldChar w:fldCharType="separate"/>
          </w:r>
          <w:r w:rsidR="00855396" w:rsidRPr="00855396">
            <w:rPr>
              <w:rFonts w:cs="Times New Roman"/>
              <w:noProof/>
              <w:lang w:val="en-US"/>
            </w:rPr>
            <w:t>[39]</w:t>
          </w:r>
          <w:r>
            <w:rPr>
              <w:rFonts w:cs="Times New Roman"/>
              <w:lang w:val="en-US"/>
            </w:rPr>
            <w:fldChar w:fldCharType="end"/>
          </w:r>
        </w:sdtContent>
      </w:sdt>
      <w:r w:rsidRPr="003D5AC9">
        <w:rPr>
          <w:rFonts w:cs="Times New Roman"/>
          <w:lang w:val="en-US"/>
        </w:rPr>
        <w:t xml:space="preserve"> applied a one-dimensional heat conduction model and enthalpy–temperature curves to demonstrate that PCH enhances the overall performance of PCMs, particularly in terms of latent heat storage and release. Other researchers have employed techniques such as Differential Scanning Calorimetry (DSC) or enthalpy-based models combined with numerical simulations and duration.</w:t>
      </w:r>
    </w:p>
    <w:p w14:paraId="50E201E2" w14:textId="77777777" w:rsidR="00702398" w:rsidRDefault="003D5AC9" w:rsidP="00702398">
      <w:pPr>
        <w:spacing w:before="0" w:after="160" w:line="259" w:lineRule="auto"/>
        <w:ind w:left="360"/>
        <w:rPr>
          <w:rFonts w:cs="Times New Roman"/>
          <w:lang w:val="en-US"/>
        </w:rPr>
      </w:pPr>
      <w:r w:rsidRPr="00702398">
        <w:rPr>
          <w:rFonts w:cs="Times New Roman"/>
          <w:lang w:val="en-US"/>
        </w:rPr>
        <w:t>In general, the main factors influencing hysteresis include latent enthalpy, density, thermal conductivity, geometry, and shell thickness of PCMs (especially in microencapsulated systems), as well as the presence of nucleating additives. These same factors, in addition to affecting hysteresis, also play a key role in related phenomena such as supercooling.</w:t>
      </w:r>
    </w:p>
    <w:p w14:paraId="011E4EB8" w14:textId="01BD2932" w:rsidR="003D5AC9" w:rsidRDefault="007F692E" w:rsidP="00702398">
      <w:pPr>
        <w:pStyle w:val="Heading2"/>
        <w:rPr>
          <w:lang w:val="en-US"/>
        </w:rPr>
      </w:pPr>
      <w:bookmarkStart w:id="49" w:name="_Toc214356278"/>
      <w:r w:rsidRPr="007F692E">
        <w:rPr>
          <w:lang w:val="en-US"/>
        </w:rPr>
        <w:t>Methods for the determination of thermophysical properties.</w:t>
      </w:r>
      <w:bookmarkEnd w:id="49"/>
    </w:p>
    <w:p w14:paraId="7D330E1E" w14:textId="77777777" w:rsidR="007F692E" w:rsidRPr="007F692E" w:rsidRDefault="007F692E" w:rsidP="007F692E">
      <w:pPr>
        <w:rPr>
          <w:lang w:val="en-US"/>
        </w:rPr>
      </w:pPr>
      <w:r w:rsidRPr="007F692E">
        <w:rPr>
          <w:lang w:val="en-US"/>
        </w:rPr>
        <w:t>When selecting a PCM for a thermal energy storage system, it is essential to consider suitable thermophysical, kinetic, and chemical properties, while also taking into account economic and safety aspects.</w:t>
      </w:r>
    </w:p>
    <w:p w14:paraId="2AB18C30" w14:textId="3C17B575" w:rsidR="007F692E" w:rsidRPr="007F692E" w:rsidRDefault="007F692E" w:rsidP="007F692E">
      <w:pPr>
        <w:rPr>
          <w:lang w:val="en-US"/>
        </w:rPr>
      </w:pPr>
      <w:r w:rsidRPr="007F692E">
        <w:rPr>
          <w:lang w:val="en-US"/>
        </w:rPr>
        <w:t xml:space="preserve">The focus here is on thermophysical properties, as they are the most relevant for choosing the appropriate PCM for the design and simulation of storage equipment. To be effective, a PCM should meet the following conditions </w:t>
      </w:r>
      <w:sdt>
        <w:sdtPr>
          <w:rPr>
            <w:lang w:val="en-US"/>
          </w:rPr>
          <w:id w:val="1518737197"/>
          <w:citation/>
        </w:sdtPr>
        <w:sdtContent>
          <w:r>
            <w:rPr>
              <w:lang w:val="en-US"/>
            </w:rPr>
            <w:fldChar w:fldCharType="begin"/>
          </w:r>
          <w:r w:rsidRPr="007F692E">
            <w:rPr>
              <w:lang w:val="en-US"/>
            </w:rPr>
            <w:instrText xml:space="preserve"> CITATION Placeholder46 \l 1040 </w:instrText>
          </w:r>
          <w:r>
            <w:rPr>
              <w:lang w:val="en-US"/>
            </w:rPr>
            <w:fldChar w:fldCharType="separate"/>
          </w:r>
          <w:r w:rsidR="00855396" w:rsidRPr="00855396">
            <w:rPr>
              <w:noProof/>
              <w:lang w:val="en-US"/>
            </w:rPr>
            <w:t>[40]</w:t>
          </w:r>
          <w:r>
            <w:rPr>
              <w:lang w:val="en-US"/>
            </w:rPr>
            <w:fldChar w:fldCharType="end"/>
          </w:r>
        </w:sdtContent>
      </w:sdt>
      <w:sdt>
        <w:sdtPr>
          <w:rPr>
            <w:lang w:val="en-US"/>
          </w:rPr>
          <w:id w:val="-914469712"/>
          <w:citation/>
        </w:sdtPr>
        <w:sdtContent>
          <w:r>
            <w:rPr>
              <w:lang w:val="en-US"/>
            </w:rPr>
            <w:fldChar w:fldCharType="begin"/>
          </w:r>
          <w:r w:rsidRPr="007F692E">
            <w:rPr>
              <w:lang w:val="en-US"/>
            </w:rPr>
            <w:instrText xml:space="preserve"> CITATION Placeholder47 \l 1040 </w:instrText>
          </w:r>
          <w:r>
            <w:rPr>
              <w:lang w:val="en-US"/>
            </w:rPr>
            <w:fldChar w:fldCharType="separate"/>
          </w:r>
          <w:r w:rsidR="00855396">
            <w:rPr>
              <w:noProof/>
              <w:lang w:val="en-US"/>
            </w:rPr>
            <w:t xml:space="preserve"> </w:t>
          </w:r>
          <w:r w:rsidR="00855396" w:rsidRPr="00855396">
            <w:rPr>
              <w:noProof/>
              <w:lang w:val="en-US"/>
            </w:rPr>
            <w:t>[41]</w:t>
          </w:r>
          <w:r>
            <w:rPr>
              <w:lang w:val="en-US"/>
            </w:rPr>
            <w:fldChar w:fldCharType="end"/>
          </w:r>
        </w:sdtContent>
      </w:sdt>
      <w:sdt>
        <w:sdtPr>
          <w:rPr>
            <w:lang w:val="en-US"/>
          </w:rPr>
          <w:id w:val="197437342"/>
          <w:citation/>
        </w:sdtPr>
        <w:sdtContent>
          <w:r>
            <w:rPr>
              <w:lang w:val="en-US"/>
            </w:rPr>
            <w:fldChar w:fldCharType="begin"/>
          </w:r>
          <w:r w:rsidRPr="007F692E">
            <w:rPr>
              <w:lang w:val="en-US"/>
            </w:rPr>
            <w:instrText xml:space="preserve"> CITATION Placeholder48 \l 1040 </w:instrText>
          </w:r>
          <w:r>
            <w:rPr>
              <w:lang w:val="en-US"/>
            </w:rPr>
            <w:fldChar w:fldCharType="separate"/>
          </w:r>
          <w:r w:rsidR="00855396">
            <w:rPr>
              <w:noProof/>
              <w:lang w:val="en-US"/>
            </w:rPr>
            <w:t xml:space="preserve"> </w:t>
          </w:r>
          <w:r w:rsidR="00855396" w:rsidRPr="00855396">
            <w:rPr>
              <w:noProof/>
              <w:lang w:val="en-US"/>
            </w:rPr>
            <w:t>[42]</w:t>
          </w:r>
          <w:r>
            <w:rPr>
              <w:lang w:val="en-US"/>
            </w:rPr>
            <w:fldChar w:fldCharType="end"/>
          </w:r>
        </w:sdtContent>
      </w:sdt>
      <w:r w:rsidRPr="007F692E">
        <w:rPr>
          <w:lang w:val="en-US"/>
        </w:rPr>
        <w:t>:</w:t>
      </w:r>
    </w:p>
    <w:p w14:paraId="785BC781" w14:textId="77777777" w:rsidR="007F692E" w:rsidRPr="007F692E" w:rsidRDefault="007F692E" w:rsidP="007F692E">
      <w:pPr>
        <w:rPr>
          <w:lang w:val="en-US"/>
        </w:rPr>
      </w:pPr>
      <w:r w:rsidRPr="007F692E">
        <w:rPr>
          <w:lang w:val="en-US"/>
        </w:rPr>
        <w:t>1)</w:t>
      </w:r>
      <w:r w:rsidRPr="007F692E">
        <w:rPr>
          <w:lang w:val="en-US"/>
        </w:rPr>
        <w:tab/>
        <w:t xml:space="preserve">Have a melting temperature within the desired operating temperature range. </w:t>
      </w:r>
    </w:p>
    <w:p w14:paraId="7401974C" w14:textId="77777777" w:rsidR="007F692E" w:rsidRPr="007F692E" w:rsidRDefault="007F692E" w:rsidP="007F692E">
      <w:pPr>
        <w:rPr>
          <w:lang w:val="en-US"/>
        </w:rPr>
      </w:pPr>
      <w:r w:rsidRPr="007F692E">
        <w:rPr>
          <w:lang w:val="en-US"/>
        </w:rPr>
        <w:t>2)</w:t>
      </w:r>
      <w:r w:rsidRPr="007F692E">
        <w:rPr>
          <w:lang w:val="en-US"/>
        </w:rPr>
        <w:tab/>
        <w:t>Possess a high latent heat of fusion per unit volume, allowing smaller container sizes for a given amount of stored energy.</w:t>
      </w:r>
    </w:p>
    <w:p w14:paraId="7C162D20" w14:textId="77777777" w:rsidR="007F692E" w:rsidRPr="007F692E" w:rsidRDefault="007F692E" w:rsidP="007F692E">
      <w:pPr>
        <w:rPr>
          <w:lang w:val="en-US"/>
        </w:rPr>
      </w:pPr>
      <w:r w:rsidRPr="007F692E">
        <w:rPr>
          <w:lang w:val="en-US"/>
        </w:rPr>
        <w:t>3)</w:t>
      </w:r>
      <w:r w:rsidRPr="007F692E">
        <w:rPr>
          <w:lang w:val="en-US"/>
        </w:rPr>
        <w:tab/>
        <w:t>Exhibit a high specific heat to provide additional sensible heat storage.</w:t>
      </w:r>
    </w:p>
    <w:p w14:paraId="79CE21D4" w14:textId="77777777" w:rsidR="007F692E" w:rsidRPr="007F692E" w:rsidRDefault="007F692E" w:rsidP="007F692E">
      <w:pPr>
        <w:rPr>
          <w:lang w:val="en-US"/>
        </w:rPr>
      </w:pPr>
      <w:r w:rsidRPr="007F692E">
        <w:rPr>
          <w:lang w:val="en-US"/>
        </w:rPr>
        <w:t>4)</w:t>
      </w:r>
      <w:r w:rsidRPr="007F692E">
        <w:rPr>
          <w:lang w:val="en-US"/>
        </w:rPr>
        <w:tab/>
        <w:t>Have high thermal conductivity in both solid and liquid phases to facilitate charging and discharging processes.</w:t>
      </w:r>
    </w:p>
    <w:p w14:paraId="73F4AFEF" w14:textId="77777777" w:rsidR="007F692E" w:rsidRPr="007F692E" w:rsidRDefault="007F692E" w:rsidP="007F692E">
      <w:pPr>
        <w:rPr>
          <w:lang w:val="en-US"/>
        </w:rPr>
      </w:pPr>
      <w:r w:rsidRPr="007F692E">
        <w:rPr>
          <w:lang w:val="en-US"/>
        </w:rPr>
        <w:lastRenderedPageBreak/>
        <w:t>5)</w:t>
      </w:r>
      <w:r w:rsidRPr="007F692E">
        <w:rPr>
          <w:lang w:val="en-US"/>
        </w:rPr>
        <w:tab/>
        <w:t>Undergo minimal volume change during phase transition and maintain low vapor pressure at the operating temperature to avoid containment problems.</w:t>
      </w:r>
    </w:p>
    <w:p w14:paraId="0D0E4FA6" w14:textId="77777777" w:rsidR="007F692E" w:rsidRPr="007F692E" w:rsidRDefault="007F692E" w:rsidP="007F692E">
      <w:pPr>
        <w:rPr>
          <w:lang w:val="en-US"/>
        </w:rPr>
      </w:pPr>
      <w:r w:rsidRPr="007F692E">
        <w:rPr>
          <w:lang w:val="en-US"/>
        </w:rPr>
        <w:t>6)</w:t>
      </w:r>
      <w:r w:rsidRPr="007F692E">
        <w:rPr>
          <w:lang w:val="en-US"/>
        </w:rPr>
        <w:tab/>
        <w:t>Display congruent melting behavior to ensure a constant storage capacity over repeated melting and solidification cycles.</w:t>
      </w:r>
    </w:p>
    <w:p w14:paraId="79125577" w14:textId="7AD5CCDE" w:rsidR="007F692E" w:rsidRDefault="007F692E" w:rsidP="007F692E">
      <w:pPr>
        <w:rPr>
          <w:lang w:val="en-US"/>
        </w:rPr>
      </w:pPr>
      <w:r w:rsidRPr="007F692E">
        <w:rPr>
          <w:lang w:val="en-US"/>
        </w:rPr>
        <w:t>Both thermal analysis (TA) and calorimetric techniques provide data that can be further analyzed to determine the key thermophysical properties of PCMs, such as phase change temperature (T</w:t>
      </w:r>
      <w:r>
        <w:rPr>
          <w:vertAlign w:val="subscript"/>
          <w:lang w:val="en-US"/>
        </w:rPr>
        <w:t>m</w:t>
      </w:r>
      <w:r w:rsidRPr="007F692E">
        <w:rPr>
          <w:lang w:val="en-US"/>
        </w:rPr>
        <w:t>), enthalpy (H</w:t>
      </w:r>
      <w:r>
        <w:rPr>
          <w:vertAlign w:val="subscript"/>
          <w:lang w:val="en-US"/>
        </w:rPr>
        <w:t>m</w:t>
      </w:r>
      <w:r w:rsidRPr="007F692E">
        <w:rPr>
          <w:lang w:val="en-US"/>
        </w:rPr>
        <w:t>), and the specific heats of solid and liquid phases (c</w:t>
      </w:r>
      <w:r>
        <w:rPr>
          <w:vertAlign w:val="subscript"/>
          <w:lang w:val="en-US"/>
        </w:rPr>
        <w:t>p</w:t>
      </w:r>
      <w:r w:rsidRPr="007F692E">
        <w:rPr>
          <w:lang w:val="en-US"/>
        </w:rPr>
        <w:t>).</w:t>
      </w:r>
    </w:p>
    <w:p w14:paraId="0E074357" w14:textId="1A9F5057" w:rsidR="007F692E" w:rsidRPr="007F692E" w:rsidRDefault="00703A54" w:rsidP="007F692E">
      <w:pPr>
        <w:pStyle w:val="Heading3"/>
        <w:rPr>
          <w:lang w:val="en-US"/>
        </w:rPr>
      </w:pPr>
      <w:bookmarkStart w:id="50" w:name="_Toc214356279"/>
      <w:r>
        <w:rPr>
          <w:lang w:val="en-US"/>
        </w:rPr>
        <w:t>DSC</w:t>
      </w:r>
      <w:bookmarkEnd w:id="50"/>
    </w:p>
    <w:p w14:paraId="05ECCFFA" w14:textId="29864A83" w:rsidR="007F692E" w:rsidRPr="007F692E" w:rsidRDefault="007F692E" w:rsidP="007F692E">
      <w:pPr>
        <w:rPr>
          <w:rFonts w:cs="Times New Roman"/>
          <w:szCs w:val="24"/>
          <w:lang w:val="en-US"/>
        </w:rPr>
      </w:pPr>
      <w:r w:rsidRPr="007F692E">
        <w:rPr>
          <w:rFonts w:cs="Times New Roman"/>
          <w:szCs w:val="24"/>
          <w:lang w:val="en-US"/>
        </w:rPr>
        <w:t xml:space="preserve">Conventionally, the thermal characterization of materials is carried out using thermal analysis techniques, among which </w:t>
      </w:r>
      <w:r>
        <w:rPr>
          <w:rFonts w:cs="Times New Roman"/>
          <w:szCs w:val="24"/>
          <w:lang w:val="en-US"/>
        </w:rPr>
        <w:t>DSC</w:t>
      </w:r>
      <w:r w:rsidR="00D02B65">
        <w:rPr>
          <w:rFonts w:cs="Times New Roman"/>
          <w:szCs w:val="24"/>
          <w:lang w:val="en-US"/>
        </w:rPr>
        <w:t xml:space="preserve"> </w:t>
      </w:r>
      <w:r w:rsidRPr="007F692E">
        <w:rPr>
          <w:rFonts w:cs="Times New Roman"/>
          <w:szCs w:val="24"/>
          <w:lang w:val="en-US"/>
        </w:rPr>
        <w:t>is the most widely used. This technique allows for the analysis of the thermal behavior of a PCM by determining its melting and solidification enthalpies, melting and solidification temperatures, and the specific heat of the material as a function of temperature. However, DSC presents some limitations: the small sample mass (typically less than 90 mg) can influence the thermal response; repeatability may not be achieved when analyzing heterogeneous samples; and, in the case of composite materials, the main component can interfere with the DSC curve. Calorimetry is a method universally used to measure the heat inflow and outflow of a sample. It investigates the generation or consumption of heat resulting from chemical reactions involving endothermic and exothermic processes. This technique measures the heat flow associated with transitions occurring within the same phase of a material or during a phase change, as a function of both time and temperature. The main purpose of</w:t>
      </w:r>
      <w:r>
        <w:rPr>
          <w:rFonts w:cs="Times New Roman"/>
          <w:szCs w:val="24"/>
          <w:lang w:val="en-US"/>
        </w:rPr>
        <w:t xml:space="preserve"> DSC</w:t>
      </w:r>
      <w:r w:rsidRPr="007F692E">
        <w:rPr>
          <w:rFonts w:cs="Times New Roman"/>
          <w:szCs w:val="24"/>
          <w:lang w:val="en-US"/>
        </w:rPr>
        <w:t xml:space="preserve"> is to measure the amount of heat that can be attributed to thermal exchange </w:t>
      </w:r>
      <w:sdt>
        <w:sdtPr>
          <w:rPr>
            <w:rFonts w:cs="Times New Roman"/>
            <w:szCs w:val="24"/>
            <w:lang w:val="en-US"/>
          </w:rPr>
          <w:id w:val="354853472"/>
          <w:citation/>
        </w:sdtPr>
        <w:sdtContent>
          <w:r>
            <w:rPr>
              <w:rFonts w:cs="Times New Roman"/>
              <w:szCs w:val="24"/>
              <w:lang w:val="en-US"/>
            </w:rPr>
            <w:fldChar w:fldCharType="begin"/>
          </w:r>
          <w:r w:rsidRPr="007F692E">
            <w:rPr>
              <w:rFonts w:cs="Times New Roman"/>
              <w:szCs w:val="24"/>
              <w:lang w:val="en-US"/>
            </w:rPr>
            <w:instrText xml:space="preserve"> CITATION Placeholder49 \l 1040 </w:instrText>
          </w:r>
          <w:r>
            <w:rPr>
              <w:rFonts w:cs="Times New Roman"/>
              <w:szCs w:val="24"/>
              <w:lang w:val="en-US"/>
            </w:rPr>
            <w:fldChar w:fldCharType="separate"/>
          </w:r>
          <w:r w:rsidR="00855396" w:rsidRPr="00855396">
            <w:rPr>
              <w:rFonts w:cs="Times New Roman"/>
              <w:noProof/>
              <w:szCs w:val="24"/>
              <w:lang w:val="en-US"/>
            </w:rPr>
            <w:t>[43]</w:t>
          </w:r>
          <w:r>
            <w:rPr>
              <w:rFonts w:cs="Times New Roman"/>
              <w:szCs w:val="24"/>
              <w:lang w:val="en-US"/>
            </w:rPr>
            <w:fldChar w:fldCharType="end"/>
          </w:r>
        </w:sdtContent>
      </w:sdt>
      <w:r w:rsidRPr="007F692E">
        <w:rPr>
          <w:rFonts w:cs="Times New Roman"/>
          <w:szCs w:val="24"/>
          <w:lang w:val="en-US"/>
        </w:rPr>
        <w:t xml:space="preserve">. According to Höhne et al. </w:t>
      </w:r>
      <w:sdt>
        <w:sdtPr>
          <w:rPr>
            <w:rFonts w:cs="Times New Roman"/>
            <w:szCs w:val="24"/>
            <w:lang w:val="en-US"/>
          </w:rPr>
          <w:id w:val="-1819028440"/>
          <w:citation/>
        </w:sdtPr>
        <w:sdtContent>
          <w:r>
            <w:rPr>
              <w:rFonts w:cs="Times New Roman"/>
              <w:szCs w:val="24"/>
              <w:lang w:val="en-US"/>
            </w:rPr>
            <w:fldChar w:fldCharType="begin"/>
          </w:r>
          <w:r w:rsidRPr="007F692E">
            <w:rPr>
              <w:rFonts w:cs="Times New Roman"/>
              <w:szCs w:val="24"/>
              <w:lang w:val="en-US"/>
            </w:rPr>
            <w:instrText xml:space="preserve"> CITATION Placeholder50 \l 1040 </w:instrText>
          </w:r>
          <w:r>
            <w:rPr>
              <w:rFonts w:cs="Times New Roman"/>
              <w:szCs w:val="24"/>
              <w:lang w:val="en-US"/>
            </w:rPr>
            <w:fldChar w:fldCharType="separate"/>
          </w:r>
          <w:r w:rsidR="00855396" w:rsidRPr="00855396">
            <w:rPr>
              <w:rFonts w:cs="Times New Roman"/>
              <w:noProof/>
              <w:szCs w:val="24"/>
              <w:lang w:val="en-US"/>
            </w:rPr>
            <w:t>[44]</w:t>
          </w:r>
          <w:r>
            <w:rPr>
              <w:rFonts w:cs="Times New Roman"/>
              <w:szCs w:val="24"/>
              <w:lang w:val="en-US"/>
            </w:rPr>
            <w:fldChar w:fldCharType="end"/>
          </w:r>
        </w:sdtContent>
      </w:sdt>
      <w:r w:rsidRPr="007F692E">
        <w:rPr>
          <w:rFonts w:cs="Times New Roman"/>
          <w:szCs w:val="24"/>
          <w:lang w:val="en-US"/>
        </w:rPr>
        <w:t>, DSC is defined as “the measurement of the change in the difference of heat flow between a sample and a reference sample while both are subjected to a controlled temperature program.” DSC records only the variation in the sample’s temperature; when no temperature change occurs, there is no variation in the heat flow difference. There are two main categories of DSC: the heat flux DSC and the power compensation DSC.</w:t>
      </w:r>
    </w:p>
    <w:p w14:paraId="5B4302F4" w14:textId="4F6E9282" w:rsidR="007F692E" w:rsidRDefault="007F692E" w:rsidP="007F692E">
      <w:pPr>
        <w:pStyle w:val="Heading4"/>
        <w:rPr>
          <w:lang w:val="en-US"/>
        </w:rPr>
      </w:pPr>
      <w:r>
        <w:rPr>
          <w:lang w:val="en-US"/>
        </w:rPr>
        <w:lastRenderedPageBreak/>
        <w:t>Heat flux DSC</w:t>
      </w:r>
    </w:p>
    <w:p w14:paraId="348B73FF" w14:textId="77777777" w:rsidR="007F692E" w:rsidRDefault="007F692E" w:rsidP="007F692E">
      <w:pPr>
        <w:keepNext/>
      </w:pPr>
      <w:r w:rsidRPr="00F45E85">
        <w:rPr>
          <w:rFonts w:ascii="Times New Roman" w:hAnsi="Times New Roman" w:cs="Times New Roman"/>
          <w:i/>
          <w:iCs/>
          <w:noProof/>
        </w:rPr>
        <mc:AlternateContent>
          <mc:Choice Requires="wps">
            <w:drawing>
              <wp:inline distT="0" distB="0" distL="0" distR="0" wp14:anchorId="4A9CED45" wp14:editId="30AE848B">
                <wp:extent cx="2590800" cy="1534886"/>
                <wp:effectExtent l="0" t="0" r="0" b="8255"/>
                <wp:docPr id="21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0" cy="1534886"/>
                        </a:xfrm>
                        <a:prstGeom prst="rect">
                          <a:avLst/>
                        </a:prstGeom>
                        <a:solidFill>
                          <a:srgbClr val="FFFFFF"/>
                        </a:solidFill>
                        <a:ln w="9525">
                          <a:noFill/>
                          <a:miter lim="800000"/>
                          <a:headEnd/>
                          <a:tailEnd/>
                        </a:ln>
                      </wps:spPr>
                      <wps:txbx>
                        <w:txbxContent>
                          <w:p w14:paraId="7961A6AF" w14:textId="77777777" w:rsidR="007F692E" w:rsidRDefault="007F692E">
                            <w:pPr>
                              <w:pStyle w:val="ListParagraph"/>
                              <w:numPr>
                                <w:ilvl w:val="0"/>
                                <w:numId w:val="8"/>
                              </w:numPr>
                              <w:spacing w:before="0" w:after="160" w:line="259" w:lineRule="auto"/>
                              <w:jc w:val="left"/>
                              <w:rPr>
                                <w:rFonts w:ascii="Times New Roman" w:hAnsi="Times New Roman" w:cs="Times New Roman"/>
                              </w:rPr>
                            </w:pPr>
                            <w:r>
                              <w:rPr>
                                <w:rFonts w:ascii="Times New Roman" w:hAnsi="Times New Roman" w:cs="Times New Roman"/>
                              </w:rPr>
                              <w:t>Disk</w:t>
                            </w:r>
                          </w:p>
                          <w:p w14:paraId="32449364" w14:textId="77777777" w:rsidR="007F692E" w:rsidRDefault="007F692E">
                            <w:pPr>
                              <w:pStyle w:val="ListParagraph"/>
                              <w:numPr>
                                <w:ilvl w:val="0"/>
                                <w:numId w:val="8"/>
                              </w:numPr>
                              <w:spacing w:before="0" w:after="160" w:line="259" w:lineRule="auto"/>
                              <w:jc w:val="left"/>
                              <w:rPr>
                                <w:rFonts w:ascii="Times New Roman" w:hAnsi="Times New Roman" w:cs="Times New Roman"/>
                              </w:rPr>
                            </w:pPr>
                            <w:r>
                              <w:rPr>
                                <w:rFonts w:ascii="Times New Roman" w:hAnsi="Times New Roman" w:cs="Times New Roman"/>
                              </w:rPr>
                              <w:t>Furnace</w:t>
                            </w:r>
                          </w:p>
                          <w:p w14:paraId="0BD73B13" w14:textId="77777777" w:rsidR="007F692E" w:rsidRDefault="007F692E">
                            <w:pPr>
                              <w:pStyle w:val="ListParagraph"/>
                              <w:numPr>
                                <w:ilvl w:val="0"/>
                                <w:numId w:val="8"/>
                              </w:numPr>
                              <w:spacing w:before="0" w:after="160" w:line="259" w:lineRule="auto"/>
                              <w:jc w:val="left"/>
                              <w:rPr>
                                <w:rFonts w:ascii="Times New Roman" w:hAnsi="Times New Roman" w:cs="Times New Roman"/>
                              </w:rPr>
                            </w:pPr>
                            <w:r>
                              <w:rPr>
                                <w:rFonts w:ascii="Times New Roman" w:hAnsi="Times New Roman" w:cs="Times New Roman"/>
                              </w:rPr>
                              <w:t>Lid</w:t>
                            </w:r>
                          </w:p>
                          <w:p w14:paraId="5B01EFEA" w14:textId="03B488DE" w:rsidR="007F692E" w:rsidRDefault="007F692E">
                            <w:pPr>
                              <w:pStyle w:val="ListParagraph"/>
                              <w:numPr>
                                <w:ilvl w:val="0"/>
                                <w:numId w:val="8"/>
                              </w:numPr>
                              <w:spacing w:before="0" w:after="160" w:line="259" w:lineRule="auto"/>
                              <w:jc w:val="left"/>
                              <w:rPr>
                                <w:rFonts w:ascii="Times New Roman" w:hAnsi="Times New Roman" w:cs="Times New Roman"/>
                              </w:rPr>
                            </w:pPr>
                            <w:r>
                              <w:rPr>
                                <w:rFonts w:ascii="Times New Roman" w:hAnsi="Times New Roman" w:cs="Times New Roman"/>
                              </w:rPr>
                              <w:t xml:space="preserve">Differential </w:t>
                            </w:r>
                            <w:r w:rsidR="004C4E06">
                              <w:rPr>
                                <w:rFonts w:ascii="Times New Roman" w:hAnsi="Times New Roman" w:cs="Times New Roman"/>
                              </w:rPr>
                              <w:t>thermocouple</w:t>
                            </w:r>
                          </w:p>
                          <w:p w14:paraId="745DBDB2" w14:textId="77777777" w:rsidR="007F692E" w:rsidRDefault="007F692E">
                            <w:pPr>
                              <w:pStyle w:val="ListParagraph"/>
                              <w:numPr>
                                <w:ilvl w:val="0"/>
                                <w:numId w:val="8"/>
                              </w:numPr>
                              <w:spacing w:before="0" w:after="160" w:line="259" w:lineRule="auto"/>
                              <w:jc w:val="left"/>
                              <w:rPr>
                                <w:rFonts w:ascii="Times New Roman" w:hAnsi="Times New Roman" w:cs="Times New Roman"/>
                              </w:rPr>
                            </w:pPr>
                            <w:r>
                              <w:rPr>
                                <w:rFonts w:ascii="Times New Roman" w:hAnsi="Times New Roman" w:cs="Times New Roman"/>
                              </w:rPr>
                              <w:t>Programmer and controller</w:t>
                            </w:r>
                          </w:p>
                          <w:p w14:paraId="4B433FC3" w14:textId="77777777" w:rsidR="007F692E" w:rsidRPr="00AC6DA0" w:rsidRDefault="007F692E" w:rsidP="007F692E">
                            <w:pPr>
                              <w:ind w:left="360"/>
                              <w:rPr>
                                <w:rFonts w:ascii="Times New Roman" w:hAnsi="Times New Roman" w:cs="Times New Roman"/>
                                <w:lang w:val="en-US"/>
                              </w:rPr>
                            </w:pPr>
                            <w:r w:rsidRPr="00AC6DA0">
                              <w:rPr>
                                <w:rFonts w:ascii="Times New Roman" w:hAnsi="Times New Roman" w:cs="Times New Roman"/>
                                <w:lang w:val="en-US"/>
                              </w:rPr>
                              <w:t>S- crucible with sample material</w:t>
                            </w:r>
                            <w:r w:rsidRPr="00AC6DA0">
                              <w:rPr>
                                <w:rFonts w:ascii="Times New Roman" w:hAnsi="Times New Roman" w:cs="Times New Roman"/>
                                <w:lang w:val="en-US"/>
                              </w:rPr>
                              <w:br/>
                              <w:t>R- crucible with reference material</w:t>
                            </w:r>
                          </w:p>
                        </w:txbxContent>
                      </wps:txbx>
                      <wps:bodyPr rot="0" vert="horz" wrap="square" lIns="91440" tIns="45720" rIns="91440" bIns="45720" anchor="t" anchorCtr="0">
                        <a:noAutofit/>
                      </wps:bodyPr>
                    </wps:wsp>
                  </a:graphicData>
                </a:graphic>
              </wp:inline>
            </w:drawing>
          </mc:Choice>
          <mc:Fallback>
            <w:pict>
              <v:shape w14:anchorId="4A9CED45" id="Casella di testo 2" o:spid="_x0000_s1031" type="#_x0000_t202" style="width:204pt;height:120.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" stroked="f">
                <v:textbox>
                  <w:txbxContent>
                    <w:p w14:paraId="7961A6AF" w14:textId="77777777" w:rsidR="007F692E" w:rsidRDefault="007F692E">
                      <w:pPr>
                        <w:pStyle w:val="ListParagraph"/>
                        <w:numPr>
                          <w:ilvl w:val="0"/>
                          <w:numId w:val="8"/>
                        </w:numPr>
                        <w:spacing w:before="0" w:after="160" w:line="259" w:lineRule="auto"/>
                        <w:jc w:val="left"/>
                        <w:rPr>
                          <w:rFonts w:ascii="Times New Roman" w:hAnsi="Times New Roman" w:cs="Times New Roman"/>
                        </w:rPr>
                      </w:pPr>
                      <w:r>
                        <w:rPr>
                          <w:rFonts w:ascii="Times New Roman" w:hAnsi="Times New Roman" w:cs="Times New Roman"/>
                        </w:rPr>
                        <w:t>Disk</w:t>
                      </w:r>
                    </w:p>
                    <w:p w14:paraId="32449364" w14:textId="77777777" w:rsidR="007F692E" w:rsidRDefault="007F692E">
                      <w:pPr>
                        <w:pStyle w:val="ListParagraph"/>
                        <w:numPr>
                          <w:ilvl w:val="0"/>
                          <w:numId w:val="8"/>
                        </w:numPr>
                        <w:spacing w:before="0" w:after="160" w:line="259" w:lineRule="auto"/>
                        <w:jc w:val="left"/>
                        <w:rPr>
                          <w:rFonts w:ascii="Times New Roman" w:hAnsi="Times New Roman" w:cs="Times New Roman"/>
                        </w:rPr>
                      </w:pPr>
                      <w:r>
                        <w:rPr>
                          <w:rFonts w:ascii="Times New Roman" w:hAnsi="Times New Roman" w:cs="Times New Roman"/>
                        </w:rPr>
                        <w:t>Furnace</w:t>
                      </w:r>
                    </w:p>
                    <w:p w14:paraId="0BD73B13" w14:textId="77777777" w:rsidR="007F692E" w:rsidRDefault="007F692E">
                      <w:pPr>
                        <w:pStyle w:val="ListParagraph"/>
                        <w:numPr>
                          <w:ilvl w:val="0"/>
                          <w:numId w:val="8"/>
                        </w:numPr>
                        <w:spacing w:before="0" w:after="160" w:line="259" w:lineRule="auto"/>
                        <w:jc w:val="left"/>
                        <w:rPr>
                          <w:rFonts w:ascii="Times New Roman" w:hAnsi="Times New Roman" w:cs="Times New Roman"/>
                        </w:rPr>
                      </w:pPr>
                      <w:r>
                        <w:rPr>
                          <w:rFonts w:ascii="Times New Roman" w:hAnsi="Times New Roman" w:cs="Times New Roman"/>
                        </w:rPr>
                        <w:t>Lid</w:t>
                      </w:r>
                    </w:p>
                    <w:p w14:paraId="5B01EFEA" w14:textId="03B488DE" w:rsidR="007F692E" w:rsidRDefault="007F692E">
                      <w:pPr>
                        <w:pStyle w:val="ListParagraph"/>
                        <w:numPr>
                          <w:ilvl w:val="0"/>
                          <w:numId w:val="8"/>
                        </w:numPr>
                        <w:spacing w:before="0" w:after="160" w:line="259" w:lineRule="auto"/>
                        <w:jc w:val="left"/>
                        <w:rPr>
                          <w:rFonts w:ascii="Times New Roman" w:hAnsi="Times New Roman" w:cs="Times New Roman"/>
                        </w:rPr>
                      </w:pPr>
                      <w:r>
                        <w:rPr>
                          <w:rFonts w:ascii="Times New Roman" w:hAnsi="Times New Roman" w:cs="Times New Roman"/>
                        </w:rPr>
                        <w:t xml:space="preserve">Differential </w:t>
                      </w:r>
                      <w:r w:rsidR="004C4E06">
                        <w:rPr>
                          <w:rFonts w:ascii="Times New Roman" w:hAnsi="Times New Roman" w:cs="Times New Roman"/>
                        </w:rPr>
                        <w:t>thermocouple</w:t>
                      </w:r>
                    </w:p>
                    <w:p w14:paraId="745DBDB2" w14:textId="77777777" w:rsidR="007F692E" w:rsidRDefault="007F692E">
                      <w:pPr>
                        <w:pStyle w:val="ListParagraph"/>
                        <w:numPr>
                          <w:ilvl w:val="0"/>
                          <w:numId w:val="8"/>
                        </w:numPr>
                        <w:spacing w:before="0" w:after="160" w:line="259" w:lineRule="auto"/>
                        <w:jc w:val="left"/>
                        <w:rPr>
                          <w:rFonts w:ascii="Times New Roman" w:hAnsi="Times New Roman" w:cs="Times New Roman"/>
                        </w:rPr>
                      </w:pPr>
                      <w:r>
                        <w:rPr>
                          <w:rFonts w:ascii="Times New Roman" w:hAnsi="Times New Roman" w:cs="Times New Roman"/>
                        </w:rPr>
                        <w:t>Programmer and controller</w:t>
                      </w:r>
                    </w:p>
                    <w:p w14:paraId="4B433FC3" w14:textId="77777777" w:rsidR="007F692E" w:rsidRPr="00AC6DA0" w:rsidRDefault="007F692E" w:rsidP="007F692E">
                      <w:pPr>
                        <w:ind w:left="360"/>
                        <w:rPr>
                          <w:rFonts w:ascii="Times New Roman" w:hAnsi="Times New Roman" w:cs="Times New Roman"/>
                          <w:lang w:val="en-US"/>
                        </w:rPr>
                      </w:pPr>
                      <w:r w:rsidRPr="00AC6DA0">
                        <w:rPr>
                          <w:rFonts w:ascii="Times New Roman" w:hAnsi="Times New Roman" w:cs="Times New Roman"/>
                          <w:lang w:val="en-US"/>
                        </w:rPr>
                        <w:t>S- crucible with sample material</w:t>
                      </w:r>
                      <w:r w:rsidRPr="00AC6DA0">
                        <w:rPr>
                          <w:rFonts w:ascii="Times New Roman" w:hAnsi="Times New Roman" w:cs="Times New Roman"/>
                          <w:lang w:val="en-US"/>
                        </w:rPr>
                        <w:br/>
                        <w:t>R- crucible with reference material</w:t>
                      </w:r>
                    </w:p>
                  </w:txbxContent>
                </v:textbox>
                <w10:anchorlock/>
              </v:shape>
            </w:pict>
          </mc:Fallback>
        </mc:AlternateContent>
      </w:r>
      <w:r w:rsidRPr="00F45E85">
        <w:rPr>
          <w:rFonts w:ascii="Times New Roman" w:hAnsi="Times New Roman" w:cs="Times New Roman"/>
          <w:i/>
          <w:iCs/>
          <w:noProof/>
        </w:rPr>
        <w:drawing>
          <wp:inline distT="0" distB="0" distL="0" distR="0" wp14:anchorId="1BF205CD" wp14:editId="32957F1D">
            <wp:extent cx="2861945" cy="1541145"/>
            <wp:effectExtent l="0" t="0" r="0" b="1905"/>
            <wp:docPr id="1070235297" name="Immagine 1" descr="Immagine che contiene schizzo, diagramma, disegno, Disegno tecnic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0235297" name="Immagine 1" descr="Immagine che contiene schizzo, diagramma, disegno, Disegno tecnico&#10;&#10;Il contenuto generato dall'IA potrebbe non essere corretto."/>
                    <pic:cNvPicPr/>
                  </pic:nvPicPr>
                  <pic:blipFill>
                    <a:blip r:embed="rId51">
                      <a:extLst>
                        <a:ext uri="{28A0092B-C50C-407E-A947-70E740481C1C}">
                          <a14:useLocalDpi xmlns:a14="http://schemas.microsoft.com/office/drawing/2010/main" val="0"/>
                        </a:ext>
                      </a:extLst>
                    </a:blip>
                    <a:stretch>
                      <a:fillRect/>
                    </a:stretch>
                  </pic:blipFill>
                  <pic:spPr>
                    <a:xfrm>
                      <a:off x="0" y="0"/>
                      <a:ext cx="2861945" cy="1541145"/>
                    </a:xfrm>
                    <a:prstGeom prst="rect">
                      <a:avLst/>
                    </a:prstGeom>
                  </pic:spPr>
                </pic:pic>
              </a:graphicData>
            </a:graphic>
          </wp:inline>
        </w:drawing>
      </w:r>
    </w:p>
    <w:p w14:paraId="1B47963F" w14:textId="79C2FD55" w:rsidR="007F692E" w:rsidRDefault="007F692E" w:rsidP="007F692E">
      <w:pPr>
        <w:pStyle w:val="Caption"/>
        <w:jc w:val="both"/>
        <w:rPr>
          <w:rFonts w:ascii="Times New Roman" w:hAnsi="Times New Roman" w:cs="Times New Roman"/>
        </w:rPr>
      </w:pPr>
      <w:bookmarkStart w:id="51" w:name="_Toc214357722"/>
      <w:r>
        <w:t xml:space="preserve">Figure </w:t>
      </w:r>
      <w:r w:rsidR="00F824A5">
        <w:fldChar w:fldCharType="begin"/>
      </w:r>
      <w:r w:rsidR="00F824A5">
        <w:instrText xml:space="preserve"> STYLEREF 1 \s </w:instrText>
      </w:r>
      <w:r w:rsidR="00F824A5">
        <w:fldChar w:fldCharType="separate"/>
      </w:r>
      <w:r w:rsidR="000412CE">
        <w:rPr>
          <w:noProof/>
        </w:rPr>
        <w:t>1</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13</w:t>
      </w:r>
      <w:r w:rsidR="00F824A5">
        <w:fldChar w:fldCharType="end"/>
      </w:r>
      <w:r w:rsidR="005A414B">
        <w:t>.</w:t>
      </w:r>
      <w:r>
        <w:t xml:space="preserve"> </w:t>
      </w:r>
      <w:r w:rsidRPr="004704CC">
        <w:rPr>
          <w:rFonts w:ascii="Times New Roman" w:hAnsi="Times New Roman" w:cs="Times New Roman"/>
        </w:rPr>
        <w:t>Typical heat flux DSC system</w:t>
      </w:r>
      <w:r w:rsidR="005C3319">
        <w:rPr>
          <w:rFonts w:ascii="Times New Roman" w:hAnsi="Times New Roman" w:cs="Times New Roman"/>
        </w:rPr>
        <w:t xml:space="preserve"> [43]</w:t>
      </w:r>
      <w:r w:rsidR="00A165BA">
        <w:rPr>
          <w:rFonts w:ascii="Times New Roman" w:hAnsi="Times New Roman" w:cs="Times New Roman"/>
        </w:rPr>
        <w:t>.</w:t>
      </w:r>
      <w:bookmarkEnd w:id="51"/>
    </w:p>
    <w:p w14:paraId="431F7343" w14:textId="28B15AC7" w:rsidR="007F692E" w:rsidRPr="007F692E" w:rsidRDefault="007F692E" w:rsidP="007F692E">
      <w:pPr>
        <w:rPr>
          <w:rFonts w:cs="Times New Roman"/>
          <w:lang w:val="en-US"/>
        </w:rPr>
      </w:pPr>
      <w:r w:rsidRPr="007F692E">
        <w:rPr>
          <w:rFonts w:cs="Times New Roman"/>
          <w:lang w:val="en-US"/>
        </w:rPr>
        <w:t xml:space="preserve">Figure </w:t>
      </w:r>
      <w:r>
        <w:rPr>
          <w:rFonts w:cs="Times New Roman"/>
          <w:lang w:val="en-US"/>
        </w:rPr>
        <w:t>1.13</w:t>
      </w:r>
      <w:r w:rsidRPr="007F692E">
        <w:rPr>
          <w:rFonts w:cs="Times New Roman"/>
          <w:lang w:val="en-US"/>
        </w:rPr>
        <w:t xml:space="preserve"> shows a typical heat flux DSC system. The disk is made of metals, quartz, or ceramics and is equipped with integrated temperature sensors. During heating, the heat flow passes through the sample disks, which initially have a temperature difference (</w:t>
      </w:r>
      <w:r w:rsidRPr="007F692E">
        <w:rPr>
          <w:rFonts w:cs="Times New Roman"/>
        </w:rPr>
        <w:t>Δ</w:t>
      </w:r>
      <w:r w:rsidRPr="007F692E">
        <w:rPr>
          <w:rFonts w:cs="Times New Roman"/>
          <w:lang w:val="en-US"/>
        </w:rPr>
        <w:t xml:space="preserve">T) equal to zero under steady-state conditions. If the state of the disk is disturbed, a temperature difference is generated, producing an electrical voltage that is expressed as power (in </w:t>
      </w:r>
      <w:r w:rsidRPr="007F692E">
        <w:rPr>
          <w:rFonts w:cs="Times New Roman"/>
        </w:rPr>
        <w:t>μ</w:t>
      </w:r>
      <w:r w:rsidRPr="007F692E">
        <w:rPr>
          <w:rFonts w:cs="Times New Roman"/>
          <w:lang w:val="en-US"/>
        </w:rPr>
        <w:t>W or mW) in accordance with Eq</w:t>
      </w:r>
      <w:r w:rsidR="00E02518">
        <w:rPr>
          <w:rFonts w:cs="Times New Roman"/>
          <w:lang w:val="en-US"/>
        </w:rPr>
        <w:t>. (</w:t>
      </w:r>
      <w:r w:rsidRPr="007F692E">
        <w:rPr>
          <w:rFonts w:cs="Times New Roman"/>
          <w:lang w:val="en-US"/>
        </w:rPr>
        <w:t>2).</w:t>
      </w:r>
    </w:p>
    <w:p w14:paraId="2895A975" w14:textId="1F1B850E" w:rsidR="007F692E" w:rsidRPr="00D64288" w:rsidRDefault="00000000" w:rsidP="007F692E">
      <w:pPr>
        <w:rPr>
          <w:rFonts w:ascii="Times New Roman" w:eastAsiaTheme="minorEastAsia" w:hAnsi="Times New Roman" w:cs="Times New Roman"/>
          <w:lang w:val="nb-NO"/>
        </w:rPr>
      </w:pPr>
      <m:oMathPara>
        <m:oMathParaPr>
          <m:jc m:val="right"/>
        </m:oMathParaPr>
        <m:oMath>
          <m:sSub>
            <m:sSubPr>
              <m:ctrlPr>
                <w:rPr>
                  <w:rFonts w:ascii="Cambria Math" w:hAnsi="Cambria Math" w:cs="Times New Roman"/>
                  <w:i/>
                  <w:lang w:val="nb-NO"/>
                </w:rPr>
              </m:ctrlPr>
            </m:sSubPr>
            <m:e>
              <m:r>
                <w:rPr>
                  <w:rFonts w:ascii="Cambria Math" w:hAnsi="Cambria Math" w:cs="Times New Roman"/>
                  <w:lang w:val="nb-NO"/>
                </w:rPr>
                <m:t>ϕ</m:t>
              </m:r>
            </m:e>
            <m:sub>
              <m:r>
                <w:rPr>
                  <w:rFonts w:ascii="Cambria Math" w:hAnsi="Cambria Math" w:cs="Times New Roman"/>
                  <w:lang w:val="nb-NO"/>
                </w:rPr>
                <m:t>m</m:t>
              </m:r>
            </m:sub>
          </m:sSub>
          <m:r>
            <w:rPr>
              <w:rFonts w:ascii="Cambria Math" w:hAnsi="Cambria Math" w:cs="Times New Roman"/>
              <w:lang w:val="nb-NO"/>
            </w:rPr>
            <m:t>=-</m:t>
          </m:r>
          <m:sSup>
            <m:sSupPr>
              <m:ctrlPr>
                <w:rPr>
                  <w:rFonts w:ascii="Cambria Math" w:hAnsi="Cambria Math" w:cs="Times New Roman"/>
                  <w:i/>
                  <w:lang w:val="nb-NO"/>
                </w:rPr>
              </m:ctrlPr>
            </m:sSupPr>
            <m:e>
              <m:r>
                <w:rPr>
                  <w:rFonts w:ascii="Cambria Math" w:hAnsi="Cambria Math" w:cs="Times New Roman"/>
                  <w:lang w:val="nb-NO"/>
                </w:rPr>
                <m:t>k</m:t>
              </m:r>
            </m:e>
            <m:sup>
              <m:r>
                <w:rPr>
                  <w:rFonts w:ascii="Cambria Math" w:hAnsi="Cambria Math" w:cs="Times New Roman"/>
                  <w:lang w:val="nb-NO"/>
                </w:rPr>
                <m:t>'</m:t>
              </m:r>
            </m:sup>
          </m:sSup>
          <m:r>
            <w:rPr>
              <w:rFonts w:ascii="Cambria Math" w:hAnsi="Cambria Math" w:cs="Times New Roman"/>
              <w:lang w:val="nb-NO"/>
            </w:rPr>
            <m:t>ΔT</m:t>
          </m:r>
          <w:bookmarkStart w:id="52" w:name="_Hlk213327265"/>
          <m:r>
            <w:rPr>
              <w:rFonts w:ascii="Cambria Math" w:hAnsi="Cambria Math" w:cs="Times New Roman"/>
              <w:lang w:val="nb-NO"/>
            </w:rPr>
            <m:t xml:space="preserve">                                                                               </m:t>
          </m:r>
          <w:bookmarkEnd w:id="52"/>
          <m:r>
            <w:rPr>
              <w:rFonts w:ascii="Cambria Math" w:hAnsi="Cambria Math" w:cs="Times New Roman"/>
              <w:lang w:val="nb-NO"/>
            </w:rPr>
            <m:t>(2)</m:t>
          </m:r>
        </m:oMath>
      </m:oMathPara>
    </w:p>
    <w:p w14:paraId="1092B85C" w14:textId="4DF7D098" w:rsidR="007F692E" w:rsidRPr="007F692E" w:rsidRDefault="007F692E" w:rsidP="007F692E">
      <w:pPr>
        <w:rPr>
          <w:rFonts w:eastAsiaTheme="minorEastAsia" w:cs="Times New Roman"/>
          <w:lang w:val="en-US"/>
        </w:rPr>
      </w:pPr>
      <w:r w:rsidRPr="007F692E">
        <w:rPr>
          <w:rFonts w:eastAsiaTheme="minorEastAsia" w:cs="Times New Roman"/>
          <w:lang w:val="en-US"/>
        </w:rPr>
        <w:t xml:space="preserve">Where, </w:t>
      </w:r>
      <m:oMath>
        <m:sSub>
          <m:sSubPr>
            <m:ctrlPr>
              <w:rPr>
                <w:rFonts w:ascii="Cambria Math" w:hAnsi="Cambria Math" w:cs="Times New Roman"/>
                <w:i/>
                <w:lang w:val="nb-NO"/>
              </w:rPr>
            </m:ctrlPr>
          </m:sSubPr>
          <m:e>
            <m:r>
              <w:rPr>
                <w:rFonts w:ascii="Cambria Math" w:hAnsi="Cambria Math" w:cs="Times New Roman"/>
                <w:lang w:val="nb-NO"/>
              </w:rPr>
              <m:t>ϕ</m:t>
            </m:r>
          </m:e>
          <m:sub>
            <m:r>
              <w:rPr>
                <w:rFonts w:ascii="Cambria Math" w:hAnsi="Cambria Math" w:cs="Times New Roman"/>
                <w:lang w:val="nb-NO"/>
              </w:rPr>
              <m:t>m</m:t>
            </m:r>
          </m:sub>
        </m:sSub>
      </m:oMath>
      <w:r w:rsidRPr="007F692E">
        <w:rPr>
          <w:rFonts w:eastAsiaTheme="minorEastAsia" w:cs="Times New Roman"/>
          <w:lang w:val="en-US"/>
        </w:rPr>
        <w:t xml:space="preserve"> is the measured heat flow rate</w:t>
      </w:r>
      <w:r w:rsidR="00D02B65">
        <w:rPr>
          <w:rFonts w:eastAsiaTheme="minorEastAsia" w:cs="Times New Roman"/>
          <w:lang w:val="en-US"/>
        </w:rPr>
        <w:t>,</w:t>
      </w:r>
      <w:r w:rsidRPr="007F692E">
        <w:rPr>
          <w:rFonts w:eastAsiaTheme="minorEastAsia" w:cs="Times New Roman"/>
          <w:lang w:val="en-US"/>
        </w:rPr>
        <w:t xml:space="preserve"> and k is th</w:t>
      </w:r>
      <w:r w:rsidR="00D02B65">
        <w:rPr>
          <w:rFonts w:eastAsiaTheme="minorEastAsia" w:cs="Times New Roman"/>
          <w:lang w:val="en-US"/>
        </w:rPr>
        <w:t>e ca</w:t>
      </w:r>
      <w:r w:rsidRPr="007F692E">
        <w:rPr>
          <w:rFonts w:eastAsiaTheme="minorEastAsia" w:cs="Times New Roman"/>
          <w:lang w:val="en-US"/>
        </w:rPr>
        <w:t xml:space="preserve">libration factor. </w:t>
      </w:r>
      <w:r w:rsidR="003028DD">
        <w:rPr>
          <w:rFonts w:eastAsiaTheme="minorEastAsia" w:cs="Times New Roman"/>
          <w:lang w:val="en-US"/>
        </w:rPr>
        <w:t>T</w:t>
      </w:r>
      <w:r w:rsidRPr="007F692E">
        <w:rPr>
          <w:rFonts w:eastAsiaTheme="minorEastAsia" w:cs="Times New Roman"/>
          <w:lang w:val="en-US"/>
        </w:rPr>
        <w:t>he r</w:t>
      </w:r>
      <w:r w:rsidR="00D02B65">
        <w:rPr>
          <w:rFonts w:eastAsiaTheme="minorEastAsia" w:cs="Times New Roman"/>
          <w:lang w:val="en-US"/>
        </w:rPr>
        <w:t>elation estab</w:t>
      </w:r>
      <w:r w:rsidRPr="007F692E">
        <w:rPr>
          <w:rFonts w:eastAsiaTheme="minorEastAsia" w:cs="Times New Roman"/>
          <w:lang w:val="en-US"/>
        </w:rPr>
        <w:t>lished in Eq</w:t>
      </w:r>
      <w:r w:rsidR="00E02518">
        <w:rPr>
          <w:rFonts w:eastAsiaTheme="minorEastAsia" w:cs="Times New Roman"/>
          <w:lang w:val="en-US"/>
        </w:rPr>
        <w:t>. (</w:t>
      </w:r>
      <w:r w:rsidRPr="007F692E">
        <w:rPr>
          <w:rFonts w:eastAsiaTheme="minorEastAsia" w:cs="Times New Roman"/>
          <w:lang w:val="en-US"/>
        </w:rPr>
        <w:t>3)</w:t>
      </w:r>
      <w:r w:rsidR="003028DD">
        <w:rPr>
          <w:rFonts w:eastAsiaTheme="minorEastAsia" w:cs="Times New Roman"/>
          <w:lang w:val="en-US"/>
        </w:rPr>
        <w:t xml:space="preserve"> </w:t>
      </w:r>
      <w:r w:rsidR="003028DD" w:rsidRPr="007F692E">
        <w:rPr>
          <w:rFonts w:eastAsiaTheme="minorEastAsia" w:cs="Times New Roman"/>
          <w:lang w:val="en-US"/>
        </w:rPr>
        <w:t>is valid</w:t>
      </w:r>
      <w:r w:rsidR="003028DD">
        <w:rPr>
          <w:rFonts w:eastAsiaTheme="minorEastAsia" w:cs="Times New Roman"/>
          <w:lang w:val="en-US"/>
        </w:rPr>
        <w:t>.</w:t>
      </w:r>
    </w:p>
    <w:p w14:paraId="67B76681" w14:textId="56A894B1" w:rsidR="007F692E" w:rsidRPr="00885142" w:rsidRDefault="00000000" w:rsidP="007F692E">
      <w:pPr>
        <w:rPr>
          <w:rFonts w:ascii="Times New Roman" w:eastAsiaTheme="minorEastAsia" w:hAnsi="Times New Roman" w:cs="Times New Roman"/>
          <w:i/>
          <w:lang w:val="nb-NO"/>
        </w:rPr>
      </w:pPr>
      <m:oMathPara>
        <m:oMathParaPr>
          <m:jc m:val="right"/>
        </m:oMathParaPr>
        <m:oMath>
          <m:sSub>
            <m:sSubPr>
              <m:ctrlPr>
                <w:rPr>
                  <w:rFonts w:ascii="Cambria Math" w:hAnsi="Cambria Math" w:cs="Times New Roman"/>
                  <w:i/>
                  <w:lang w:val="nb-NO"/>
                </w:rPr>
              </m:ctrlPr>
            </m:sSubPr>
            <m:e>
              <m:r>
                <w:rPr>
                  <w:rFonts w:ascii="Cambria Math" w:hAnsi="Cambria Math" w:cs="Times New Roman"/>
                  <w:lang w:val="nb-NO"/>
                </w:rPr>
                <m:t>ϕ</m:t>
              </m:r>
            </m:e>
            <m:sub>
              <m:r>
                <w:rPr>
                  <w:rFonts w:ascii="Cambria Math" w:hAnsi="Cambria Math" w:cs="Times New Roman"/>
                  <w:lang w:val="nb-NO"/>
                </w:rPr>
                <m:t>FS</m:t>
              </m:r>
            </m:sub>
          </m:sSub>
          <m:r>
            <w:rPr>
              <w:rFonts w:ascii="Cambria Math" w:hAnsi="Cambria Math" w:cs="Times New Roman"/>
              <w:lang w:val="nb-NO"/>
            </w:rPr>
            <m:t>-</m:t>
          </m:r>
          <m:sSub>
            <m:sSubPr>
              <m:ctrlPr>
                <w:rPr>
                  <w:rFonts w:ascii="Cambria Math" w:hAnsi="Cambria Math" w:cs="Times New Roman"/>
                  <w:i/>
                  <w:lang w:val="nb-NO"/>
                </w:rPr>
              </m:ctrlPr>
            </m:sSubPr>
            <m:e>
              <m:r>
                <w:rPr>
                  <w:rFonts w:ascii="Cambria Math" w:hAnsi="Cambria Math" w:cs="Times New Roman"/>
                  <w:lang w:val="nb-NO"/>
                </w:rPr>
                <m:t>ϕ</m:t>
              </m:r>
            </m:e>
            <m:sub>
              <m:r>
                <w:rPr>
                  <w:rFonts w:ascii="Cambria Math" w:hAnsi="Cambria Math" w:cs="Times New Roman"/>
                  <w:lang w:val="nb-NO"/>
                </w:rPr>
                <m:t>FR</m:t>
              </m:r>
            </m:sub>
          </m:sSub>
          <m:r>
            <w:rPr>
              <w:rFonts w:ascii="Cambria Math" w:hAnsi="Cambria Math" w:cs="Times New Roman"/>
              <w:lang w:val="nb-NO"/>
            </w:rPr>
            <m:t>~ΔT                                                                               (3)</m:t>
          </m:r>
          <m:r>
            <m:rPr>
              <m:sty m:val="p"/>
            </m:rPr>
            <w:rPr>
              <w:rFonts w:ascii="Cambria Math" w:hAnsi="Cambria Math" w:cs="Times New Roman"/>
              <w:lang w:val="nb-NO"/>
            </w:rPr>
            <w:br/>
          </m:r>
        </m:oMath>
      </m:oMathPara>
    </w:p>
    <w:p w14:paraId="01E44ED7" w14:textId="2BE6668F" w:rsidR="007F692E" w:rsidRPr="007F692E" w:rsidRDefault="007F692E" w:rsidP="007F692E">
      <w:pPr>
        <w:rPr>
          <w:rFonts w:cs="Times New Roman"/>
          <w:iCs/>
          <w:lang w:val="en-US"/>
        </w:rPr>
      </w:pPr>
      <w:r w:rsidRPr="007F692E">
        <w:rPr>
          <w:rFonts w:cs="Times New Roman"/>
          <w:iCs/>
          <w:lang w:val="en-US"/>
        </w:rPr>
        <w:t xml:space="preserve">Where </w:t>
      </w:r>
      <m:oMath>
        <m:sSub>
          <m:sSubPr>
            <m:ctrlPr>
              <w:rPr>
                <w:rFonts w:ascii="Cambria Math" w:hAnsi="Cambria Math" w:cs="Times New Roman"/>
                <w:iCs/>
                <w:lang w:val="nb-NO"/>
              </w:rPr>
            </m:ctrlPr>
          </m:sSubPr>
          <m:e>
            <m:r>
              <m:rPr>
                <m:sty m:val="p"/>
              </m:rPr>
              <w:rPr>
                <w:rFonts w:ascii="Cambria Math" w:hAnsi="Cambria Math" w:cs="Times New Roman"/>
                <w:lang w:val="nb-NO"/>
              </w:rPr>
              <m:t>ϕ</m:t>
            </m:r>
          </m:e>
          <m:sub>
            <m:r>
              <m:rPr>
                <m:sty m:val="p"/>
              </m:rPr>
              <w:rPr>
                <w:rFonts w:ascii="Cambria Math" w:hAnsi="Cambria Math" w:cs="Times New Roman"/>
                <w:lang w:val="en-US"/>
              </w:rPr>
              <m:t>FS</m:t>
            </m:r>
          </m:sub>
        </m:sSub>
      </m:oMath>
      <w:r w:rsidRPr="007F692E">
        <w:rPr>
          <w:rFonts w:eastAsiaTheme="minorEastAsia" w:cs="Times New Roman"/>
          <w:iCs/>
          <w:lang w:val="en-US"/>
        </w:rPr>
        <w:t xml:space="preserve"> is the heat flow rate from </w:t>
      </w:r>
      <w:r w:rsidR="00D02B65">
        <w:rPr>
          <w:rFonts w:eastAsiaTheme="minorEastAsia" w:cs="Times New Roman"/>
          <w:iCs/>
          <w:lang w:val="en-US"/>
        </w:rPr>
        <w:t xml:space="preserve">the </w:t>
      </w:r>
      <w:r w:rsidRPr="007F692E">
        <w:rPr>
          <w:rFonts w:eastAsiaTheme="minorEastAsia" w:cs="Times New Roman"/>
          <w:iCs/>
          <w:lang w:val="en-US"/>
        </w:rPr>
        <w:t xml:space="preserve">furnace to </w:t>
      </w:r>
      <w:r w:rsidR="00D02B65">
        <w:rPr>
          <w:rFonts w:eastAsiaTheme="minorEastAsia" w:cs="Times New Roman"/>
          <w:iCs/>
          <w:lang w:val="en-US"/>
        </w:rPr>
        <w:t xml:space="preserve">the </w:t>
      </w:r>
      <w:r w:rsidRPr="007F692E">
        <w:rPr>
          <w:rFonts w:eastAsiaTheme="minorEastAsia" w:cs="Times New Roman"/>
          <w:iCs/>
          <w:lang w:val="en-US"/>
        </w:rPr>
        <w:t xml:space="preserve">sample crucible, </w:t>
      </w:r>
      <m:oMath>
        <m:sSub>
          <m:sSubPr>
            <m:ctrlPr>
              <w:rPr>
                <w:rFonts w:ascii="Cambria Math" w:hAnsi="Cambria Math" w:cs="Times New Roman"/>
                <w:iCs/>
                <w:lang w:val="nb-NO"/>
              </w:rPr>
            </m:ctrlPr>
          </m:sSubPr>
          <m:e>
            <m:r>
              <m:rPr>
                <m:sty m:val="p"/>
              </m:rPr>
              <w:rPr>
                <w:rFonts w:ascii="Cambria Math" w:hAnsi="Cambria Math" w:cs="Times New Roman"/>
                <w:lang w:val="nb-NO"/>
              </w:rPr>
              <m:t>ϕ</m:t>
            </m:r>
          </m:e>
          <m:sub>
            <m:r>
              <m:rPr>
                <m:sty m:val="p"/>
              </m:rPr>
              <w:rPr>
                <w:rFonts w:ascii="Cambria Math" w:hAnsi="Cambria Math" w:cs="Times New Roman"/>
                <w:lang w:val="en-US"/>
              </w:rPr>
              <m:t>FR</m:t>
            </m:r>
          </m:sub>
        </m:sSub>
      </m:oMath>
      <w:r w:rsidRPr="007F692E">
        <w:rPr>
          <w:rFonts w:eastAsiaTheme="minorEastAsia" w:cs="Times New Roman"/>
          <w:iCs/>
          <w:lang w:val="en-US"/>
        </w:rPr>
        <w:t xml:space="preserve"> is the heat flow rate from furnace to reference crucible and </w:t>
      </w:r>
      <m:oMath>
        <m:r>
          <m:rPr>
            <m:sty m:val="p"/>
          </m:rPr>
          <w:rPr>
            <w:rFonts w:ascii="Cambria Math" w:hAnsi="Cambria Math" w:cs="Times New Roman"/>
            <w:lang w:val="nb-NO"/>
          </w:rPr>
          <m:t>Δ</m:t>
        </m:r>
        <m:r>
          <m:rPr>
            <m:sty m:val="p"/>
          </m:rPr>
          <w:rPr>
            <w:rFonts w:ascii="Cambria Math" w:hAnsi="Cambria Math" w:cs="Times New Roman"/>
            <w:lang w:val="en-US"/>
          </w:rPr>
          <m:t>T=</m:t>
        </m:r>
        <m:sSub>
          <m:sSubPr>
            <m:ctrlPr>
              <w:rPr>
                <w:rFonts w:ascii="Cambria Math" w:hAnsi="Cambria Math" w:cs="Times New Roman"/>
                <w:iCs/>
                <w:lang w:val="nb-NO"/>
              </w:rPr>
            </m:ctrlPr>
          </m:sSubPr>
          <m:e>
            <m:r>
              <m:rPr>
                <m:sty m:val="p"/>
              </m:rPr>
              <w:rPr>
                <w:rFonts w:ascii="Cambria Math" w:hAnsi="Cambria Math" w:cs="Times New Roman"/>
                <w:lang w:val="en-US"/>
              </w:rPr>
              <m:t>T</m:t>
            </m:r>
          </m:e>
          <m:sub>
            <m:r>
              <m:rPr>
                <m:sty m:val="p"/>
              </m:rPr>
              <w:rPr>
                <w:rFonts w:ascii="Cambria Math" w:hAnsi="Cambria Math" w:cs="Times New Roman"/>
                <w:lang w:val="en-US"/>
              </w:rPr>
              <m:t>S</m:t>
            </m:r>
          </m:sub>
        </m:sSub>
        <m:r>
          <m:rPr>
            <m:sty m:val="p"/>
          </m:rPr>
          <w:rPr>
            <w:rFonts w:ascii="Cambria Math" w:hAnsi="Cambria Math" w:cs="Times New Roman"/>
            <w:lang w:val="en-US"/>
          </w:rPr>
          <m:t>-</m:t>
        </m:r>
        <m:sSub>
          <m:sSubPr>
            <m:ctrlPr>
              <w:rPr>
                <w:rFonts w:ascii="Cambria Math" w:hAnsi="Cambria Math" w:cs="Times New Roman"/>
                <w:iCs/>
                <w:lang w:val="nb-NO"/>
              </w:rPr>
            </m:ctrlPr>
          </m:sSubPr>
          <m:e>
            <m:r>
              <m:rPr>
                <m:sty m:val="p"/>
              </m:rPr>
              <w:rPr>
                <w:rFonts w:ascii="Cambria Math" w:hAnsi="Cambria Math" w:cs="Times New Roman"/>
                <w:lang w:val="en-US"/>
              </w:rPr>
              <m:t>T</m:t>
            </m:r>
          </m:e>
          <m:sub>
            <m:r>
              <m:rPr>
                <m:sty m:val="p"/>
              </m:rPr>
              <w:rPr>
                <w:rFonts w:ascii="Cambria Math" w:hAnsi="Cambria Math" w:cs="Times New Roman"/>
                <w:lang w:val="en-US"/>
              </w:rPr>
              <m:t>R</m:t>
            </m:r>
          </m:sub>
        </m:sSub>
      </m:oMath>
    </w:p>
    <w:p w14:paraId="7C475317" w14:textId="695672D3" w:rsidR="007F692E" w:rsidRDefault="007F692E" w:rsidP="007F692E">
      <w:pPr>
        <w:pStyle w:val="Heading4"/>
        <w:rPr>
          <w:lang w:val="en-US"/>
        </w:rPr>
      </w:pPr>
      <w:r>
        <w:rPr>
          <w:lang w:val="en-US"/>
        </w:rPr>
        <w:t>Power compensation DSC</w:t>
      </w:r>
    </w:p>
    <w:p w14:paraId="22E480E2" w14:textId="65433949" w:rsidR="007F692E" w:rsidRDefault="007F692E" w:rsidP="007F692E">
      <w:pPr>
        <w:keepNext/>
      </w:pPr>
      <w:r>
        <w:rPr>
          <w:noProof/>
          <w:lang w:val="en-US"/>
        </w:rPr>
        <w:drawing>
          <wp:anchor distT="0" distB="0" distL="114300" distR="114300" simplePos="0" relativeHeight="251680768" behindDoc="0" locked="0" layoutInCell="1" allowOverlap="1" wp14:anchorId="15195AEF" wp14:editId="700BD31D">
            <wp:simplePos x="0" y="0"/>
            <wp:positionH relativeFrom="column">
              <wp:posOffset>3138170</wp:posOffset>
            </wp:positionH>
            <wp:positionV relativeFrom="paragraph">
              <wp:posOffset>25166</wp:posOffset>
            </wp:positionV>
            <wp:extent cx="2459990" cy="1480185"/>
            <wp:effectExtent l="0" t="0" r="0" b="5715"/>
            <wp:wrapSquare wrapText="bothSides"/>
            <wp:docPr id="38758636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52">
                      <a:extLst>
                        <a:ext uri="{28A0092B-C50C-407E-A947-70E740481C1C}">
                          <a14:useLocalDpi xmlns:a14="http://schemas.microsoft.com/office/drawing/2010/main" val="0"/>
                        </a:ext>
                      </a:extLst>
                    </a:blip>
                    <a:srcRect b="2143"/>
                    <a:stretch>
                      <a:fillRect/>
                    </a:stretch>
                  </pic:blipFill>
                  <pic:spPr bwMode="auto">
                    <a:xfrm>
                      <a:off x="0" y="0"/>
                      <a:ext cx="2459990" cy="1480185"/>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Pr="00610AA3">
        <w:rPr>
          <w:rFonts w:ascii="Times New Roman" w:hAnsi="Times New Roman" w:cs="Times New Roman"/>
          <w:noProof/>
          <w:lang w:val="nb-NO"/>
        </w:rPr>
        <w:drawing>
          <wp:inline distT="0" distB="0" distL="0" distR="0" wp14:anchorId="7E10DBAB" wp14:editId="2807835B">
            <wp:extent cx="2921635" cy="1632857"/>
            <wp:effectExtent l="0" t="0" r="0" b="5715"/>
            <wp:docPr id="692255716" name="Immagine 1" descr="Immagine che contiene schizzo, disegno, Rettangolo, illustrazion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2255716" name="Immagine 1" descr="Immagine che contiene schizzo, disegno, Rettangolo, illustrazione&#10;&#10;Il contenuto generato dall'IA potrebbe non essere corretto."/>
                    <pic:cNvPicPr/>
                  </pic:nvPicPr>
                  <pic:blipFill>
                    <a:blip r:embed="rId53" cstate="print">
                      <a:extLst>
                        <a:ext uri="{28A0092B-C50C-407E-A947-70E740481C1C}">
                          <a14:useLocalDpi xmlns:a14="http://schemas.microsoft.com/office/drawing/2010/main" val="0"/>
                        </a:ext>
                      </a:extLst>
                    </a:blip>
                    <a:stretch>
                      <a:fillRect/>
                    </a:stretch>
                  </pic:blipFill>
                  <pic:spPr>
                    <a:xfrm>
                      <a:off x="0" y="0"/>
                      <a:ext cx="2952367" cy="1650033"/>
                    </a:xfrm>
                    <a:prstGeom prst="rect">
                      <a:avLst/>
                    </a:prstGeom>
                  </pic:spPr>
                </pic:pic>
              </a:graphicData>
            </a:graphic>
          </wp:inline>
        </w:drawing>
      </w:r>
    </w:p>
    <w:p w14:paraId="333118FF" w14:textId="7846B2E5" w:rsidR="007F692E" w:rsidRDefault="007F692E" w:rsidP="007F692E">
      <w:pPr>
        <w:pStyle w:val="Caption"/>
        <w:jc w:val="both"/>
        <w:rPr>
          <w:rFonts w:ascii="Times New Roman" w:hAnsi="Times New Roman" w:cs="Times New Roman"/>
        </w:rPr>
      </w:pPr>
      <w:bookmarkStart w:id="53" w:name="_Toc214357723"/>
      <w:r>
        <w:t xml:space="preserve">Figure </w:t>
      </w:r>
      <w:r w:rsidR="00F824A5">
        <w:fldChar w:fldCharType="begin"/>
      </w:r>
      <w:r w:rsidR="00F824A5">
        <w:instrText xml:space="preserve"> STYLEREF 1 \s </w:instrText>
      </w:r>
      <w:r w:rsidR="00F824A5">
        <w:fldChar w:fldCharType="separate"/>
      </w:r>
      <w:r w:rsidR="000412CE">
        <w:rPr>
          <w:noProof/>
        </w:rPr>
        <w:t>1</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14</w:t>
      </w:r>
      <w:r w:rsidR="00F824A5">
        <w:fldChar w:fldCharType="end"/>
      </w:r>
      <w:r w:rsidR="005A414B">
        <w:t>.</w:t>
      </w:r>
      <w:r>
        <w:t xml:space="preserve"> </w:t>
      </w:r>
      <w:r w:rsidRPr="0066340E">
        <w:rPr>
          <w:rFonts w:ascii="Times New Roman" w:hAnsi="Times New Roman" w:cs="Times New Roman"/>
        </w:rPr>
        <w:t>Power compensation DSC system</w:t>
      </w:r>
      <w:r w:rsidR="005C3319">
        <w:rPr>
          <w:rFonts w:ascii="Times New Roman" w:hAnsi="Times New Roman" w:cs="Times New Roman"/>
        </w:rPr>
        <w:t xml:space="preserve"> [45]</w:t>
      </w:r>
      <w:r w:rsidR="00A165BA">
        <w:rPr>
          <w:rFonts w:ascii="Times New Roman" w:hAnsi="Times New Roman" w:cs="Times New Roman"/>
        </w:rPr>
        <w:t>.</w:t>
      </w:r>
      <w:bookmarkEnd w:id="53"/>
    </w:p>
    <w:p w14:paraId="5F57CE43" w14:textId="757DCBC6" w:rsidR="007F692E" w:rsidRPr="007F692E" w:rsidRDefault="007F692E" w:rsidP="007F692E">
      <w:pPr>
        <w:rPr>
          <w:rFonts w:cs="Times New Roman"/>
          <w:lang w:val="en-US"/>
        </w:rPr>
      </w:pPr>
      <w:r w:rsidRPr="007F692E">
        <w:rPr>
          <w:rFonts w:cs="Times New Roman"/>
          <w:lang w:val="en-US"/>
        </w:rPr>
        <w:t xml:space="preserve">Another type of DSC is the power compensation DSC, which belongs to the category of heat-compensating calorimeters, where electrical energy is used to balance the Joule heating power. The operation of this DSC type is illustrated in Figure </w:t>
      </w:r>
      <w:r>
        <w:rPr>
          <w:rFonts w:cs="Times New Roman"/>
          <w:lang w:val="en-US"/>
        </w:rPr>
        <w:t>1.14</w:t>
      </w:r>
      <w:r w:rsidRPr="007F692E">
        <w:rPr>
          <w:rFonts w:cs="Times New Roman"/>
          <w:lang w:val="en-US"/>
        </w:rPr>
        <w:t xml:space="preserve">, representing an isoperibolic system. This system consists of two identical </w:t>
      </w:r>
      <w:r w:rsidRPr="007F692E">
        <w:rPr>
          <w:rFonts w:cs="Times New Roman"/>
          <w:lang w:val="en-US"/>
        </w:rPr>
        <w:lastRenderedPageBreak/>
        <w:t xml:space="preserve">microfurnaces mounted inside a thermostatic aluminum block </w:t>
      </w:r>
      <w:sdt>
        <w:sdtPr>
          <w:rPr>
            <w:rFonts w:cs="Times New Roman"/>
            <w:lang w:val="en-US"/>
          </w:rPr>
          <w:id w:val="1359392820"/>
          <w:citation/>
        </w:sdtPr>
        <w:sdtContent>
          <w:r>
            <w:rPr>
              <w:rFonts w:cs="Times New Roman"/>
              <w:lang w:val="en-US"/>
            </w:rPr>
            <w:fldChar w:fldCharType="begin"/>
          </w:r>
          <w:r w:rsidRPr="007F692E">
            <w:rPr>
              <w:rFonts w:cs="Times New Roman"/>
              <w:lang w:val="en-US"/>
            </w:rPr>
            <w:instrText xml:space="preserve"> CITATION Placeholder51 \l 1040 </w:instrText>
          </w:r>
          <w:r>
            <w:rPr>
              <w:rFonts w:cs="Times New Roman"/>
              <w:lang w:val="en-US"/>
            </w:rPr>
            <w:fldChar w:fldCharType="separate"/>
          </w:r>
          <w:r w:rsidR="00855396" w:rsidRPr="00855396">
            <w:rPr>
              <w:rFonts w:cs="Times New Roman"/>
              <w:noProof/>
              <w:lang w:val="en-US"/>
            </w:rPr>
            <w:t>[45]</w:t>
          </w:r>
          <w:r>
            <w:rPr>
              <w:rFonts w:cs="Times New Roman"/>
              <w:lang w:val="en-US"/>
            </w:rPr>
            <w:fldChar w:fldCharType="end"/>
          </w:r>
        </w:sdtContent>
      </w:sdt>
      <w:r w:rsidRPr="007F692E">
        <w:rPr>
          <w:rFonts w:cs="Times New Roman"/>
          <w:lang w:val="en-US"/>
        </w:rPr>
        <w:t xml:space="preserve">. Platinum–iridium is commonly used to manufacture these furnaces, each equipped with its own temperature sensor and heating resistor. The microfurnaces are approximately 9 mm in diameter, 6 mm in height, and have a mass of about 2 grams. This DSC operates with an isothermal noise of around 0.2 </w:t>
      </w:r>
      <w:r w:rsidRPr="007F692E">
        <w:rPr>
          <w:rFonts w:cs="Times New Roman"/>
        </w:rPr>
        <w:t>μ</w:t>
      </w:r>
      <w:r w:rsidRPr="007F692E">
        <w:rPr>
          <w:rFonts w:cs="Times New Roman"/>
          <w:lang w:val="en-US"/>
        </w:rPr>
        <w:t>W and a time constant of 1.5 seconds. The microfurnaces can reach heating powers of up to 15 W, with a maximum heating rate of 500 K/min. During heating, an equal amount of power is supplied to both microfurnaces through a control circuit that regulates the average temperature according to the preset heating rate Eq</w:t>
      </w:r>
      <w:r w:rsidR="001D0C2A">
        <w:rPr>
          <w:rFonts w:cs="Times New Roman"/>
          <w:lang w:val="en-US"/>
        </w:rPr>
        <w:t xml:space="preserve">. </w:t>
      </w:r>
      <w:r w:rsidR="00E02518">
        <w:rPr>
          <w:rFonts w:cs="Times New Roman"/>
          <w:lang w:val="en-US"/>
        </w:rPr>
        <w:t>(</w:t>
      </w:r>
      <w:r w:rsidRPr="007F692E">
        <w:rPr>
          <w:rFonts w:cs="Times New Roman"/>
          <w:lang w:val="en-US"/>
        </w:rPr>
        <w:t>4).</w:t>
      </w:r>
    </w:p>
    <w:p w14:paraId="4690CCE9" w14:textId="77777777" w:rsidR="007F692E" w:rsidRPr="007F692E" w:rsidRDefault="007F692E" w:rsidP="007F692E">
      <w:pPr>
        <w:rPr>
          <w:rFonts w:eastAsiaTheme="minorEastAsia" w:cs="Times New Roman"/>
        </w:rPr>
      </w:pPr>
      <m:oMathPara>
        <m:oMathParaPr>
          <m:jc m:val="right"/>
        </m:oMathParaPr>
        <m:oMath>
          <m:r>
            <w:rPr>
              <w:rFonts w:ascii="Cambria Math" w:hAnsi="Cambria Math" w:cs="Times New Roman"/>
            </w:rPr>
            <m:t>ΔP=-</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m:t>
              </m:r>
            </m:sub>
          </m:sSub>
          <m:r>
            <w:rPr>
              <w:rFonts w:ascii="Cambria Math" w:hAnsi="Cambria Math" w:cs="Times New Roman"/>
            </w:rPr>
            <m:t>ΔT</m:t>
          </m:r>
          <m:r>
            <w:rPr>
              <w:rFonts w:ascii="Cambria Math" w:hAnsi="Cambria Math" w:cs="Times New Roman"/>
              <w:lang w:val="nb-NO"/>
            </w:rPr>
            <m:t xml:space="preserve">                                                                                    (4)</m:t>
          </m:r>
        </m:oMath>
      </m:oMathPara>
    </w:p>
    <w:p w14:paraId="761266D9" w14:textId="77777777" w:rsidR="007F692E" w:rsidRDefault="007F692E" w:rsidP="007F692E">
      <w:pPr>
        <w:rPr>
          <w:rFonts w:eastAsiaTheme="minorEastAsia" w:cs="Times New Roman"/>
          <w:lang w:val="en-US"/>
        </w:rPr>
      </w:pPr>
      <w:r w:rsidRPr="007F692E">
        <w:rPr>
          <w:rFonts w:eastAsiaTheme="minorEastAsia" w:cs="Times New Roman"/>
          <w:lang w:val="en-US"/>
        </w:rPr>
        <w:t xml:space="preserve">Where </w:t>
      </w:r>
      <m:oMath>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lang w:val="en-US"/>
              </w:rPr>
              <m:t>1</m:t>
            </m:r>
          </m:sub>
        </m:sSub>
      </m:oMath>
      <w:r w:rsidRPr="007F692E">
        <w:rPr>
          <w:rFonts w:eastAsiaTheme="minorEastAsia" w:cs="Times New Roman"/>
          <w:lang w:val="en-US"/>
        </w:rPr>
        <w:t xml:space="preserve"> is a constant fixed by the manufacturer.</w:t>
      </w:r>
    </w:p>
    <w:p w14:paraId="749B6575" w14:textId="1A31320F" w:rsidR="007F692E" w:rsidRDefault="007F692E" w:rsidP="007F692E">
      <w:pPr>
        <w:pStyle w:val="Heading3"/>
        <w:rPr>
          <w:rFonts w:eastAsiaTheme="minorEastAsia"/>
          <w:lang w:val="en-US"/>
        </w:rPr>
      </w:pPr>
      <w:bookmarkStart w:id="54" w:name="_Toc214356280"/>
      <w:r>
        <w:rPr>
          <w:rFonts w:eastAsiaTheme="minorEastAsia"/>
          <w:lang w:val="en-US"/>
        </w:rPr>
        <w:t>T-H</w:t>
      </w:r>
      <w:r w:rsidR="003028DD">
        <w:rPr>
          <w:rFonts w:eastAsiaTheme="minorEastAsia"/>
          <w:lang w:val="en-US"/>
        </w:rPr>
        <w:t>i</w:t>
      </w:r>
      <w:r>
        <w:rPr>
          <w:rFonts w:eastAsiaTheme="minorEastAsia"/>
          <w:lang w:val="en-US"/>
        </w:rPr>
        <w:t>story method</w:t>
      </w:r>
      <w:bookmarkEnd w:id="54"/>
    </w:p>
    <w:p w14:paraId="17638A08" w14:textId="77777777" w:rsidR="00DC6716" w:rsidRDefault="00DC6716" w:rsidP="00DC6716">
      <w:pPr>
        <w:keepNext/>
        <w:jc w:val="center"/>
      </w:pPr>
      <w:r>
        <w:rPr>
          <w:noProof/>
          <w:lang w:val="en-US"/>
        </w:rPr>
        <w:drawing>
          <wp:inline distT="0" distB="0" distL="0" distR="0" wp14:anchorId="4B0DFAAA" wp14:editId="440A708B">
            <wp:extent cx="3963035" cy="1920240"/>
            <wp:effectExtent l="0" t="0" r="0" b="3810"/>
            <wp:docPr id="131366809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963035" cy="1920240"/>
                    </a:xfrm>
                    <a:prstGeom prst="rect">
                      <a:avLst/>
                    </a:prstGeom>
                    <a:noFill/>
                  </pic:spPr>
                </pic:pic>
              </a:graphicData>
            </a:graphic>
          </wp:inline>
        </w:drawing>
      </w:r>
    </w:p>
    <w:p w14:paraId="328BF4AB" w14:textId="2F3C1BB5" w:rsidR="007F692E" w:rsidRPr="007F692E" w:rsidRDefault="00DC6716" w:rsidP="00DC6716">
      <w:pPr>
        <w:pStyle w:val="Caption"/>
      </w:pPr>
      <w:bookmarkStart w:id="55" w:name="_Toc214357724"/>
      <w:r>
        <w:t xml:space="preserve">Figure </w:t>
      </w:r>
      <w:r w:rsidR="00F824A5">
        <w:fldChar w:fldCharType="begin"/>
      </w:r>
      <w:r w:rsidR="00F824A5">
        <w:instrText xml:space="preserve"> STYLEREF 1 \s </w:instrText>
      </w:r>
      <w:r w:rsidR="00F824A5">
        <w:fldChar w:fldCharType="separate"/>
      </w:r>
      <w:r w:rsidR="000412CE">
        <w:rPr>
          <w:noProof/>
        </w:rPr>
        <w:t>1</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15</w:t>
      </w:r>
      <w:r w:rsidR="00F824A5">
        <w:fldChar w:fldCharType="end"/>
      </w:r>
      <w:r w:rsidR="005A414B">
        <w:t>.</w:t>
      </w:r>
      <w:r>
        <w:t xml:space="preserve"> </w:t>
      </w:r>
      <w:r w:rsidRPr="001603D6">
        <w:t xml:space="preserve">Setup for </w:t>
      </w:r>
      <w:r w:rsidR="004C4E06">
        <w:t>T-hystory</w:t>
      </w:r>
      <w:r w:rsidRPr="001603D6">
        <w:t xml:space="preserve"> method</w:t>
      </w:r>
      <w:r w:rsidR="005C3319">
        <w:t xml:space="preserve"> [47]</w:t>
      </w:r>
      <w:r w:rsidR="00A165BA">
        <w:t>.</w:t>
      </w:r>
      <w:bookmarkEnd w:id="55"/>
    </w:p>
    <w:p w14:paraId="72C64DD1" w14:textId="41AEC7C1" w:rsidR="00DC6716" w:rsidRPr="00DC6716" w:rsidRDefault="00DC6716" w:rsidP="00DC6716">
      <w:pPr>
        <w:rPr>
          <w:rFonts w:eastAsiaTheme="minorEastAsia" w:cs="Times New Roman"/>
          <w:lang w:val="en-US"/>
        </w:rPr>
      </w:pPr>
      <w:r w:rsidRPr="00DC6716">
        <w:rPr>
          <w:rFonts w:eastAsiaTheme="minorEastAsia" w:cs="Times New Roman"/>
          <w:lang w:val="en-US"/>
        </w:rPr>
        <w:t xml:space="preserve">This method was first developed by Yinping et al. in 1999 </w:t>
      </w:r>
      <w:sdt>
        <w:sdtPr>
          <w:rPr>
            <w:rFonts w:eastAsiaTheme="minorEastAsia" w:cs="Times New Roman"/>
            <w:lang w:val="en-US"/>
          </w:rPr>
          <w:id w:val="1753704724"/>
          <w:citation/>
        </w:sdtPr>
        <w:sdtContent>
          <w:r>
            <w:rPr>
              <w:rFonts w:eastAsiaTheme="minorEastAsia" w:cs="Times New Roman"/>
              <w:lang w:val="en-US"/>
            </w:rPr>
            <w:fldChar w:fldCharType="begin"/>
          </w:r>
          <w:r w:rsidRPr="00DC6716">
            <w:rPr>
              <w:rFonts w:eastAsiaTheme="minorEastAsia" w:cs="Times New Roman"/>
              <w:lang w:val="en-US"/>
            </w:rPr>
            <w:instrText xml:space="preserve"> CITATION Placeholder52 \l 1040 </w:instrText>
          </w:r>
          <w:r>
            <w:rPr>
              <w:rFonts w:eastAsiaTheme="minorEastAsia" w:cs="Times New Roman"/>
              <w:lang w:val="en-US"/>
            </w:rPr>
            <w:fldChar w:fldCharType="separate"/>
          </w:r>
          <w:r w:rsidR="00855396" w:rsidRPr="00855396">
            <w:rPr>
              <w:rFonts w:eastAsiaTheme="minorEastAsia" w:cs="Times New Roman"/>
              <w:noProof/>
              <w:lang w:val="en-US"/>
            </w:rPr>
            <w:t>[46]</w:t>
          </w:r>
          <w:r>
            <w:rPr>
              <w:rFonts w:eastAsiaTheme="minorEastAsia" w:cs="Times New Roman"/>
              <w:lang w:val="en-US"/>
            </w:rPr>
            <w:fldChar w:fldCharType="end"/>
          </w:r>
        </w:sdtContent>
      </w:sdt>
      <w:r>
        <w:rPr>
          <w:rFonts w:eastAsiaTheme="minorEastAsia" w:cs="Times New Roman"/>
          <w:lang w:val="en-US"/>
        </w:rPr>
        <w:t xml:space="preserve"> </w:t>
      </w:r>
      <w:r w:rsidRPr="00DC6716">
        <w:rPr>
          <w:rFonts w:eastAsiaTheme="minorEastAsia" w:cs="Times New Roman"/>
          <w:lang w:val="en-US"/>
        </w:rPr>
        <w:t xml:space="preserve">and is capable of simultaneously measuring the thermal conductivity, melting temperature, latent heat of fusion, specific heat, and degree of supercooling of several </w:t>
      </w:r>
      <w:r w:rsidR="00784D2D">
        <w:rPr>
          <w:rFonts w:eastAsiaTheme="minorEastAsia" w:cs="Times New Roman"/>
          <w:lang w:val="en-US"/>
        </w:rPr>
        <w:t>PCM</w:t>
      </w:r>
      <w:r w:rsidRPr="00DC6716">
        <w:rPr>
          <w:rFonts w:eastAsiaTheme="minorEastAsia" w:cs="Times New Roman"/>
          <w:lang w:val="en-US"/>
        </w:rPr>
        <w:t xml:space="preserve"> samples.</w:t>
      </w:r>
      <w:r w:rsidRPr="00DC6716">
        <w:rPr>
          <w:rFonts w:eastAsiaTheme="minorEastAsia" w:cs="Times New Roman"/>
          <w:b/>
          <w:bCs/>
          <w:lang w:val="en-US"/>
        </w:rPr>
        <w:t xml:space="preserve"> </w:t>
      </w:r>
      <w:r w:rsidRPr="00DC6716">
        <w:rPr>
          <w:rFonts w:eastAsiaTheme="minorEastAsia" w:cs="Times New Roman"/>
          <w:lang w:val="en-US"/>
        </w:rPr>
        <w:t xml:space="preserve">Figure </w:t>
      </w:r>
      <w:r>
        <w:rPr>
          <w:rFonts w:eastAsiaTheme="minorEastAsia" w:cs="Times New Roman"/>
          <w:lang w:val="en-US"/>
        </w:rPr>
        <w:t xml:space="preserve">1.15 </w:t>
      </w:r>
      <w:r w:rsidRPr="00DC6716">
        <w:rPr>
          <w:rFonts w:eastAsiaTheme="minorEastAsia" w:cs="Times New Roman"/>
          <w:lang w:val="en-US"/>
        </w:rPr>
        <w:t xml:space="preserve"> illustrates the first setup of this method </w:t>
      </w:r>
      <w:sdt>
        <w:sdtPr>
          <w:rPr>
            <w:rFonts w:eastAsiaTheme="minorEastAsia" w:cs="Times New Roman"/>
            <w:lang w:val="en-US"/>
          </w:rPr>
          <w:id w:val="-882634313"/>
          <w:citation/>
        </w:sdtPr>
        <w:sdtContent>
          <w:r>
            <w:rPr>
              <w:rFonts w:eastAsiaTheme="minorEastAsia" w:cs="Times New Roman"/>
              <w:lang w:val="en-US"/>
            </w:rPr>
            <w:fldChar w:fldCharType="begin"/>
          </w:r>
          <w:r w:rsidRPr="00DC6716">
            <w:rPr>
              <w:rFonts w:eastAsiaTheme="minorEastAsia" w:cs="Times New Roman"/>
              <w:lang w:val="en-US"/>
            </w:rPr>
            <w:instrText xml:space="preserve"> CITATION Placeholder53 \l 1040 </w:instrText>
          </w:r>
          <w:r>
            <w:rPr>
              <w:rFonts w:eastAsiaTheme="minorEastAsia" w:cs="Times New Roman"/>
              <w:lang w:val="en-US"/>
            </w:rPr>
            <w:fldChar w:fldCharType="separate"/>
          </w:r>
          <w:r w:rsidR="00855396" w:rsidRPr="00855396">
            <w:rPr>
              <w:rFonts w:eastAsiaTheme="minorEastAsia" w:cs="Times New Roman"/>
              <w:noProof/>
              <w:lang w:val="en-US"/>
            </w:rPr>
            <w:t>[47]</w:t>
          </w:r>
          <w:r>
            <w:rPr>
              <w:rFonts w:eastAsiaTheme="minorEastAsia" w:cs="Times New Roman"/>
              <w:lang w:val="en-US"/>
            </w:rPr>
            <w:fldChar w:fldCharType="end"/>
          </w:r>
        </w:sdtContent>
      </w:sdt>
      <w:r w:rsidRPr="00DC6716">
        <w:rPr>
          <w:rFonts w:eastAsiaTheme="minorEastAsia" w:cs="Times New Roman"/>
          <w:lang w:val="en-US"/>
        </w:rPr>
        <w:t xml:space="preserve">. In this configuration, glass test tubes are filled with the </w:t>
      </w:r>
      <w:r w:rsidR="00784D2D">
        <w:rPr>
          <w:rFonts w:eastAsiaTheme="minorEastAsia" w:cs="Times New Roman"/>
          <w:lang w:val="en-US"/>
        </w:rPr>
        <w:t>PCM</w:t>
      </w:r>
      <w:r w:rsidRPr="00DC6716">
        <w:rPr>
          <w:rFonts w:eastAsiaTheme="minorEastAsia" w:cs="Times New Roman"/>
          <w:lang w:val="en-US"/>
        </w:rPr>
        <w:t>s to be tested, together with a reference tube, which is generally filled with water due to its well-known thermal properties. Both the sample and reference tubes are preheated in a water bath to a temperature higher than the melting point of the PCM. Then, all the tubes are simultaneously subjected to an instantaneous temperature change by exposing them to the ambient temperature (T∞). During the cooling process, temperature history curves (temperature versus time) are plotted for both the reference material and the PCM samples. Figures 1</w:t>
      </w:r>
      <w:r>
        <w:rPr>
          <w:rFonts w:eastAsiaTheme="minorEastAsia" w:cs="Times New Roman"/>
          <w:lang w:val="en-US"/>
        </w:rPr>
        <w:t>.16</w:t>
      </w:r>
      <w:r w:rsidRPr="00DC6716">
        <w:rPr>
          <w:rFonts w:eastAsiaTheme="minorEastAsia" w:cs="Times New Roman"/>
          <w:lang w:val="en-US"/>
        </w:rPr>
        <w:t xml:space="preserve">a illustrate the T-history cooling curves with supercooling, Figure </w:t>
      </w:r>
      <w:r>
        <w:rPr>
          <w:rFonts w:eastAsiaTheme="minorEastAsia" w:cs="Times New Roman"/>
          <w:lang w:val="en-US"/>
        </w:rPr>
        <w:t>1.16</w:t>
      </w:r>
      <w:r w:rsidRPr="00DC6716">
        <w:rPr>
          <w:rFonts w:eastAsiaTheme="minorEastAsia" w:cs="Times New Roman"/>
          <w:lang w:val="en-US"/>
        </w:rPr>
        <w:t>b illustrate</w:t>
      </w:r>
      <w:r w:rsidR="003028DD">
        <w:rPr>
          <w:rFonts w:eastAsiaTheme="minorEastAsia" w:cs="Times New Roman"/>
          <w:lang w:val="en-US"/>
        </w:rPr>
        <w:t>s</w:t>
      </w:r>
      <w:r w:rsidRPr="00DC6716">
        <w:rPr>
          <w:rFonts w:eastAsiaTheme="minorEastAsia" w:cs="Times New Roman"/>
          <w:lang w:val="en-US"/>
        </w:rPr>
        <w:t xml:space="preserve"> the T-history cooling curves </w:t>
      </w:r>
      <w:r w:rsidR="003028DD">
        <w:rPr>
          <w:rFonts w:eastAsiaTheme="minorEastAsia" w:cs="Times New Roman"/>
          <w:lang w:val="en-US"/>
        </w:rPr>
        <w:t xml:space="preserve">of </w:t>
      </w:r>
      <w:r w:rsidRPr="00DC6716">
        <w:rPr>
          <w:rFonts w:eastAsiaTheme="minorEastAsia" w:cs="Times New Roman"/>
          <w:lang w:val="en-US"/>
        </w:rPr>
        <w:t>PCM without supercooling</w:t>
      </w:r>
      <w:r w:rsidR="003028DD">
        <w:rPr>
          <w:rFonts w:eastAsiaTheme="minorEastAsia" w:cs="Times New Roman"/>
          <w:lang w:val="en-US"/>
        </w:rPr>
        <w:t>,</w:t>
      </w:r>
      <w:r w:rsidRPr="00DC6716">
        <w:rPr>
          <w:rFonts w:eastAsiaTheme="minorEastAsia" w:cs="Times New Roman"/>
          <w:lang w:val="en-US"/>
        </w:rPr>
        <w:t xml:space="preserve"> and Figure 1</w:t>
      </w:r>
      <w:r>
        <w:rPr>
          <w:rFonts w:eastAsiaTheme="minorEastAsia" w:cs="Times New Roman"/>
          <w:lang w:val="en-US"/>
        </w:rPr>
        <w:t>.17</w:t>
      </w:r>
      <w:r w:rsidRPr="00DC6716">
        <w:rPr>
          <w:rFonts w:eastAsiaTheme="minorEastAsia" w:cs="Times New Roman"/>
          <w:lang w:val="en-US"/>
        </w:rPr>
        <w:t xml:space="preserve"> illustrate</w:t>
      </w:r>
      <w:r w:rsidR="003028DD">
        <w:rPr>
          <w:rFonts w:eastAsiaTheme="minorEastAsia" w:cs="Times New Roman"/>
          <w:lang w:val="en-US"/>
        </w:rPr>
        <w:t>s</w:t>
      </w:r>
      <w:r w:rsidRPr="00DC6716">
        <w:rPr>
          <w:rFonts w:eastAsiaTheme="minorEastAsia" w:cs="Times New Roman"/>
          <w:lang w:val="en-US"/>
        </w:rPr>
        <w:t xml:space="preserve"> the T-history cooling curves compared to the reference material.</w:t>
      </w:r>
    </w:p>
    <w:p w14:paraId="4308751B" w14:textId="77777777" w:rsidR="00DC6716" w:rsidRDefault="00DC6716" w:rsidP="00DC6716">
      <w:pPr>
        <w:keepNext/>
      </w:pPr>
      <w:r w:rsidRPr="00033555">
        <w:rPr>
          <w:rFonts w:ascii="Times New Roman" w:eastAsiaTheme="minorEastAsia" w:hAnsi="Times New Roman" w:cs="Times New Roman"/>
          <w:noProof/>
          <w:lang w:val="en-US"/>
        </w:rPr>
        <w:lastRenderedPageBreak/>
        <mc:AlternateContent>
          <mc:Choice Requires="wps">
            <w:drawing>
              <wp:anchor distT="45720" distB="45720" distL="114300" distR="114300" simplePos="0" relativeHeight="251683840" behindDoc="0" locked="0" layoutInCell="1" allowOverlap="1" wp14:anchorId="6C331501" wp14:editId="6166D8E0">
                <wp:simplePos x="0" y="0"/>
                <wp:positionH relativeFrom="column">
                  <wp:posOffset>4226378</wp:posOffset>
                </wp:positionH>
                <wp:positionV relativeFrom="paragraph">
                  <wp:posOffset>13244</wp:posOffset>
                </wp:positionV>
                <wp:extent cx="522514" cy="500743"/>
                <wp:effectExtent l="0" t="0" r="0" b="0"/>
                <wp:wrapNone/>
                <wp:docPr id="64891914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2514" cy="500743"/>
                        </a:xfrm>
                        <a:prstGeom prst="rect">
                          <a:avLst/>
                        </a:prstGeom>
                        <a:solidFill>
                          <a:srgbClr val="FFFFFF"/>
                        </a:solidFill>
                        <a:ln w="9525">
                          <a:noFill/>
                          <a:miter lim="800000"/>
                          <a:headEnd/>
                          <a:tailEnd/>
                        </a:ln>
                      </wps:spPr>
                      <wps:txbx>
                        <w:txbxContent>
                          <w:p w14:paraId="03A19D3B" w14:textId="32FBEF3F" w:rsidR="00DC6716" w:rsidRPr="00033555" w:rsidRDefault="00DC6716" w:rsidP="00DC6716">
                            <w:pPr>
                              <w:rPr>
                                <w:lang w:val="en-US"/>
                              </w:rPr>
                            </w:pPr>
                            <w: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331501" id="Text Box 2" o:spid="_x0000_s1032" type="#_x0000_t202" style="position:absolute;left:0;text-align:left;margin-left:332.8pt;margin-top:1.05pt;width:41.15pt;height:39.45pt;z-index:2516838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" stroked="f">
                <v:textbox>
                  <w:txbxContent>
                    <w:p w14:paraId="03A19D3B" w14:textId="32FBEF3F" w:rsidR="00DC6716" w:rsidRPr="00033555" w:rsidRDefault="00DC6716" w:rsidP="00DC6716">
                      <w:pPr>
                        <w:rPr>
                          <w:lang w:val="en-US"/>
                        </w:rPr>
                      </w:pPr>
                      <w:r>
                        <w:t>b)</w:t>
                      </w:r>
                    </w:p>
                  </w:txbxContent>
                </v:textbox>
              </v:shape>
            </w:pict>
          </mc:Fallback>
        </mc:AlternateContent>
      </w:r>
      <w:r w:rsidRPr="00033555">
        <w:rPr>
          <w:rFonts w:ascii="Times New Roman" w:eastAsiaTheme="minorEastAsia" w:hAnsi="Times New Roman" w:cs="Times New Roman"/>
          <w:noProof/>
          <w:lang w:val="en-US"/>
        </w:rPr>
        <mc:AlternateContent>
          <mc:Choice Requires="wps">
            <w:drawing>
              <wp:anchor distT="45720" distB="45720" distL="114300" distR="114300" simplePos="0" relativeHeight="251682816" behindDoc="0" locked="0" layoutInCell="1" allowOverlap="1" wp14:anchorId="238588CF" wp14:editId="13D2131D">
                <wp:simplePos x="0" y="0"/>
                <wp:positionH relativeFrom="column">
                  <wp:posOffset>1870421</wp:posOffset>
                </wp:positionH>
                <wp:positionV relativeFrom="paragraph">
                  <wp:posOffset>8082</wp:posOffset>
                </wp:positionV>
                <wp:extent cx="325120" cy="339090"/>
                <wp:effectExtent l="0" t="0" r="0" b="3810"/>
                <wp:wrapNone/>
                <wp:docPr id="214739747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5120" cy="339090"/>
                        </a:xfrm>
                        <a:prstGeom prst="rect">
                          <a:avLst/>
                        </a:prstGeom>
                        <a:solidFill>
                          <a:srgbClr val="FFFFFF"/>
                        </a:solidFill>
                        <a:ln w="9525">
                          <a:noFill/>
                          <a:miter lim="800000"/>
                          <a:headEnd/>
                          <a:tailEnd/>
                        </a:ln>
                      </wps:spPr>
                      <wps:txbx>
                        <w:txbxContent>
                          <w:p w14:paraId="0FBA92E2" w14:textId="77777777" w:rsidR="00DC6716" w:rsidRPr="00033555" w:rsidRDefault="00DC6716" w:rsidP="00DC6716">
                            <w:pPr>
                              <w:rPr>
                                <w:lang w:val="en-US"/>
                              </w:rPr>
                            </w:pPr>
                            <w: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38588CF" id="_x0000_s1033" type="#_x0000_t202" style="position:absolute;left:0;text-align:left;margin-left:147.3pt;margin-top:.65pt;width:25.6pt;height:26.7pt;z-index:2516828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" stroked="f">
                <v:textbox>
                  <w:txbxContent>
                    <w:p w14:paraId="0FBA92E2" w14:textId="77777777" w:rsidR="00DC6716" w:rsidRPr="00033555" w:rsidRDefault="00DC6716" w:rsidP="00DC6716">
                      <w:pPr>
                        <w:rPr>
                          <w:lang w:val="en-US"/>
                        </w:rPr>
                      </w:pPr>
                      <w:r>
                        <w:t>a)</w:t>
                      </w:r>
                    </w:p>
                  </w:txbxContent>
                </v:textbox>
              </v:shape>
            </w:pict>
          </mc:Fallback>
        </mc:AlternateContent>
      </w:r>
      <w:r w:rsidRPr="00033555">
        <w:rPr>
          <w:rFonts w:ascii="Times New Roman" w:eastAsiaTheme="minorEastAsia" w:hAnsi="Times New Roman" w:cs="Times New Roman"/>
          <w:noProof/>
          <w:lang w:val="en-US"/>
        </w:rPr>
        <w:drawing>
          <wp:inline distT="0" distB="0" distL="0" distR="0" wp14:anchorId="35529838" wp14:editId="4C9697BF">
            <wp:extent cx="6120130" cy="1780540"/>
            <wp:effectExtent l="0" t="0" r="0" b="0"/>
            <wp:docPr id="443080332" name="Picture 1" descr="A graph of a func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3080332" name="Picture 1" descr="A graph of a function&#10;&#10;AI-generated content may be incorrect."/>
                    <pic:cNvPicPr/>
                  </pic:nvPicPr>
                  <pic:blipFill>
                    <a:blip r:embed="rId55"/>
                    <a:stretch>
                      <a:fillRect/>
                    </a:stretch>
                  </pic:blipFill>
                  <pic:spPr>
                    <a:xfrm>
                      <a:off x="0" y="0"/>
                      <a:ext cx="6120130" cy="1780540"/>
                    </a:xfrm>
                    <a:prstGeom prst="rect">
                      <a:avLst/>
                    </a:prstGeom>
                  </pic:spPr>
                </pic:pic>
              </a:graphicData>
            </a:graphic>
          </wp:inline>
        </w:drawing>
      </w:r>
    </w:p>
    <w:p w14:paraId="3CA44835" w14:textId="5DA909B3" w:rsidR="00DC6716" w:rsidRDefault="00DC6716" w:rsidP="00DC6716">
      <w:pPr>
        <w:pStyle w:val="Caption"/>
        <w:jc w:val="both"/>
      </w:pPr>
      <w:bookmarkStart w:id="56" w:name="_Toc214357725"/>
      <w:r>
        <w:t xml:space="preserve">Figure </w:t>
      </w:r>
      <w:r w:rsidR="00F824A5">
        <w:fldChar w:fldCharType="begin"/>
      </w:r>
      <w:r w:rsidR="00F824A5">
        <w:instrText xml:space="preserve"> STYLEREF 1 \s </w:instrText>
      </w:r>
      <w:r w:rsidR="00F824A5">
        <w:fldChar w:fldCharType="separate"/>
      </w:r>
      <w:r w:rsidR="000412CE">
        <w:rPr>
          <w:noProof/>
        </w:rPr>
        <w:t>1</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16</w:t>
      </w:r>
      <w:r w:rsidR="00F824A5">
        <w:fldChar w:fldCharType="end"/>
      </w:r>
      <w:r w:rsidR="005A414B">
        <w:t>.</w:t>
      </w:r>
      <w:r>
        <w:t xml:space="preserve"> </w:t>
      </w:r>
      <w:r w:rsidRPr="00A469E4">
        <w:t>a) Cooling temperature recorded versus time when PCM shows subcooling in the T-history method. b) Cooling temperature recorded versus time when PCM shows no subcooling in the T-history method</w:t>
      </w:r>
      <w:r w:rsidR="00A165BA">
        <w:t xml:space="preserve"> </w:t>
      </w:r>
      <w:r w:rsidRPr="00A469E4">
        <w:t>[47]</w:t>
      </w:r>
      <w:r w:rsidR="00A165BA">
        <w:t>.</w:t>
      </w:r>
      <w:bookmarkEnd w:id="56"/>
    </w:p>
    <w:p w14:paraId="5220AE6F" w14:textId="77777777" w:rsidR="00DC6716" w:rsidRDefault="00DC6716" w:rsidP="00DC6716">
      <w:pPr>
        <w:keepNext/>
        <w:jc w:val="center"/>
      </w:pPr>
      <w:r w:rsidRPr="007F5466">
        <w:rPr>
          <w:rFonts w:ascii="Times New Roman" w:eastAsiaTheme="minorEastAsia" w:hAnsi="Times New Roman" w:cs="Times New Roman"/>
          <w:noProof/>
          <w:lang w:val="nb-NO"/>
        </w:rPr>
        <w:drawing>
          <wp:inline distT="0" distB="0" distL="0" distR="0" wp14:anchorId="565ED9C9" wp14:editId="0FD5C505">
            <wp:extent cx="3493770" cy="1920875"/>
            <wp:effectExtent l="0" t="0" r="0" b="3175"/>
            <wp:docPr id="451740429" name="Immagine 1" descr="Immagine che contiene schizzo, disegno, diagramm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1740429" name="Immagine 1" descr="Immagine che contiene schizzo, disegno, diagramma, linea&#10;&#10;Il contenuto generato dall'IA potrebbe non essere corretto."/>
                    <pic:cNvPicPr/>
                  </pic:nvPicPr>
                  <pic:blipFill>
                    <a:blip r:embed="rId56">
                      <a:extLst>
                        <a:ext uri="{28A0092B-C50C-407E-A947-70E740481C1C}">
                          <a14:useLocalDpi xmlns:a14="http://schemas.microsoft.com/office/drawing/2010/main" val="0"/>
                        </a:ext>
                      </a:extLst>
                    </a:blip>
                    <a:stretch>
                      <a:fillRect/>
                    </a:stretch>
                  </pic:blipFill>
                  <pic:spPr>
                    <a:xfrm>
                      <a:off x="0" y="0"/>
                      <a:ext cx="3493770" cy="1920875"/>
                    </a:xfrm>
                    <a:prstGeom prst="rect">
                      <a:avLst/>
                    </a:prstGeom>
                  </pic:spPr>
                </pic:pic>
              </a:graphicData>
            </a:graphic>
          </wp:inline>
        </w:drawing>
      </w:r>
    </w:p>
    <w:p w14:paraId="242FC50D" w14:textId="00D2825A" w:rsidR="00DC6716" w:rsidRDefault="00DC6716" w:rsidP="00DC6716">
      <w:pPr>
        <w:pStyle w:val="Caption"/>
      </w:pPr>
      <w:bookmarkStart w:id="57" w:name="_Toc214357726"/>
      <w:r>
        <w:t xml:space="preserve">Figure </w:t>
      </w:r>
      <w:r w:rsidR="00F824A5">
        <w:fldChar w:fldCharType="begin"/>
      </w:r>
      <w:r w:rsidR="00F824A5">
        <w:instrText xml:space="preserve"> STYLEREF 1 \s </w:instrText>
      </w:r>
      <w:r w:rsidR="00F824A5">
        <w:fldChar w:fldCharType="separate"/>
      </w:r>
      <w:r w:rsidR="000412CE">
        <w:rPr>
          <w:noProof/>
        </w:rPr>
        <w:t>1</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17</w:t>
      </w:r>
      <w:r w:rsidR="00F824A5">
        <w:fldChar w:fldCharType="end"/>
      </w:r>
      <w:r w:rsidRPr="00A973E5">
        <w:t>. Cooling temperature recorded versus time of the reference substance  (water) in the T-history method [47]</w:t>
      </w:r>
      <w:r w:rsidR="00A165BA">
        <w:t>.</w:t>
      </w:r>
      <w:bookmarkEnd w:id="57"/>
    </w:p>
    <w:p w14:paraId="46CF1C40" w14:textId="454B9443" w:rsidR="00DC6716" w:rsidRPr="00DC6716" w:rsidRDefault="00DC6716" w:rsidP="00DC6716">
      <w:pPr>
        <w:rPr>
          <w:rFonts w:cs="Times New Roman"/>
          <w:lang w:val="en-US"/>
        </w:rPr>
      </w:pPr>
      <w:r w:rsidRPr="00DC6716">
        <w:rPr>
          <w:rFonts w:cs="Times New Roman"/>
          <w:lang w:val="en-US"/>
        </w:rPr>
        <w:t xml:space="preserve">The thermal properties of PCMs are determined by comparing their curves with those of the reference material. The heat transfer coefficient </w:t>
      </w:r>
      <w:r w:rsidRPr="00DC6716">
        <w:rPr>
          <w:rFonts w:cs="Times New Roman"/>
          <w:i/>
          <w:iCs/>
          <w:lang w:val="en-US"/>
        </w:rPr>
        <w:t>h</w:t>
      </w:r>
      <w:r w:rsidRPr="00DC6716">
        <w:rPr>
          <w:rFonts w:cs="Times New Roman"/>
          <w:lang w:val="en-US"/>
        </w:rPr>
        <w:t xml:space="preserve"> is calculated using the following equation Eq</w:t>
      </w:r>
      <w:r w:rsidR="000D40BC">
        <w:rPr>
          <w:rFonts w:cs="Times New Roman"/>
          <w:lang w:val="en-US"/>
        </w:rPr>
        <w:t>.</w:t>
      </w:r>
      <w:r w:rsidR="00E02518">
        <w:rPr>
          <w:rFonts w:cs="Times New Roman"/>
          <w:lang w:val="en-US"/>
        </w:rPr>
        <w:t xml:space="preserve"> (</w:t>
      </w:r>
      <w:r w:rsidRPr="00DC6716">
        <w:rPr>
          <w:rFonts w:cs="Times New Roman"/>
          <w:lang w:val="en-US"/>
        </w:rPr>
        <w:t>5)</w:t>
      </w:r>
      <w:r w:rsidR="003028DD">
        <w:rPr>
          <w:rFonts w:cs="Times New Roman"/>
          <w:lang w:val="en-US"/>
        </w:rPr>
        <w:t>,</w:t>
      </w:r>
      <w:r w:rsidRPr="00DC6716">
        <w:rPr>
          <w:rFonts w:cs="Times New Roman"/>
          <w:lang w:val="en-US"/>
        </w:rPr>
        <w:t xml:space="preserve"> taking into account the recorded temperature–time curve. </w:t>
      </w:r>
    </w:p>
    <w:p w14:paraId="127B8D35" w14:textId="63B07220" w:rsidR="00DC6716" w:rsidRPr="00DC6716" w:rsidRDefault="00DC6716" w:rsidP="00DC6716">
      <w:pPr>
        <w:rPr>
          <w:rFonts w:eastAsiaTheme="minorEastAsia" w:cs="Times New Roman"/>
          <w:lang w:val="nb-NO"/>
        </w:rPr>
      </w:pPr>
      <m:oMathPara>
        <m:oMathParaPr>
          <m:jc m:val="right"/>
        </m:oMathParaPr>
        <m:oMath>
          <m:r>
            <w:rPr>
              <w:rFonts w:ascii="Cambria Math" w:hAnsi="Cambria Math" w:cs="Times New Roman"/>
              <w:lang w:val="nb-NO"/>
            </w:rPr>
            <m:t>h=</m:t>
          </m:r>
          <m:f>
            <m:fPr>
              <m:ctrlPr>
                <w:rPr>
                  <w:rFonts w:ascii="Cambria Math" w:hAnsi="Cambria Math" w:cs="Times New Roman"/>
                  <w:i/>
                  <w:lang w:val="nb-NO"/>
                </w:rPr>
              </m:ctrlPr>
            </m:fPr>
            <m:num>
              <m:sSub>
                <m:sSubPr>
                  <m:ctrlPr>
                    <w:rPr>
                      <w:rFonts w:ascii="Cambria Math" w:hAnsi="Cambria Math" w:cs="Times New Roman"/>
                      <w:i/>
                      <w:lang w:val="nb-NO"/>
                    </w:rPr>
                  </m:ctrlPr>
                </m:sSubPr>
                <m:e>
                  <m:r>
                    <w:rPr>
                      <w:rFonts w:ascii="Cambria Math" w:hAnsi="Cambria Math" w:cs="Times New Roman"/>
                      <w:lang w:val="nb-NO"/>
                    </w:rPr>
                    <m:t>m</m:t>
                  </m:r>
                </m:e>
                <m:sub>
                  <m:r>
                    <w:rPr>
                      <w:rFonts w:ascii="Cambria Math" w:hAnsi="Cambria Math" w:cs="Times New Roman"/>
                      <w:lang w:val="nb-NO"/>
                    </w:rPr>
                    <m:t>W</m:t>
                  </m:r>
                </m:sub>
              </m:sSub>
              <m:sSub>
                <m:sSubPr>
                  <m:ctrlPr>
                    <w:rPr>
                      <w:rFonts w:ascii="Cambria Math" w:hAnsi="Cambria Math" w:cs="Times New Roman"/>
                      <w:i/>
                      <w:lang w:val="nb-NO"/>
                    </w:rPr>
                  </m:ctrlPr>
                </m:sSubPr>
                <m:e>
                  <m:r>
                    <w:rPr>
                      <w:rFonts w:ascii="Cambria Math" w:hAnsi="Cambria Math" w:cs="Times New Roman"/>
                      <w:lang w:val="nb-NO"/>
                    </w:rPr>
                    <m:t>C</m:t>
                  </m:r>
                </m:e>
                <m:sub>
                  <m:r>
                    <w:rPr>
                      <w:rFonts w:ascii="Cambria Math" w:hAnsi="Cambria Math" w:cs="Times New Roman"/>
                      <w:lang w:val="nb-NO"/>
                    </w:rPr>
                    <m:t>p,W</m:t>
                  </m:r>
                </m:sub>
              </m:sSub>
              <m:r>
                <w:rPr>
                  <w:rFonts w:ascii="Cambria Math" w:hAnsi="Cambria Math" w:cs="Times New Roman"/>
                  <w:lang w:val="nb-NO"/>
                </w:rPr>
                <m:t>+</m:t>
              </m:r>
              <m:sSub>
                <m:sSubPr>
                  <m:ctrlPr>
                    <w:rPr>
                      <w:rFonts w:ascii="Cambria Math" w:hAnsi="Cambria Math" w:cs="Times New Roman"/>
                      <w:i/>
                      <w:lang w:val="nb-NO"/>
                    </w:rPr>
                  </m:ctrlPr>
                </m:sSubPr>
                <m:e>
                  <m:r>
                    <w:rPr>
                      <w:rFonts w:ascii="Cambria Math" w:hAnsi="Cambria Math" w:cs="Times New Roman"/>
                      <w:lang w:val="nb-NO"/>
                    </w:rPr>
                    <m:t>m</m:t>
                  </m:r>
                </m:e>
                <m:sub>
                  <m:r>
                    <w:rPr>
                      <w:rFonts w:ascii="Cambria Math" w:hAnsi="Cambria Math" w:cs="Times New Roman"/>
                      <w:lang w:val="nb-NO"/>
                    </w:rPr>
                    <m:t>t</m:t>
                  </m:r>
                </m:sub>
              </m:sSub>
              <m:sSub>
                <m:sSubPr>
                  <m:ctrlPr>
                    <w:rPr>
                      <w:rFonts w:ascii="Cambria Math" w:hAnsi="Cambria Math" w:cs="Times New Roman"/>
                      <w:i/>
                      <w:lang w:val="nb-NO"/>
                    </w:rPr>
                  </m:ctrlPr>
                </m:sSubPr>
                <m:e>
                  <m:r>
                    <w:rPr>
                      <w:rFonts w:ascii="Cambria Math" w:hAnsi="Cambria Math" w:cs="Times New Roman"/>
                      <w:lang w:val="nb-NO"/>
                    </w:rPr>
                    <m:t>C</m:t>
                  </m:r>
                </m:e>
                <m:sub>
                  <m:r>
                    <w:rPr>
                      <w:rFonts w:ascii="Cambria Math" w:hAnsi="Cambria Math" w:cs="Times New Roman"/>
                      <w:lang w:val="nb-NO"/>
                    </w:rPr>
                    <m:t>p,t</m:t>
                  </m:r>
                </m:sub>
              </m:sSub>
            </m:num>
            <m:den>
              <m:sSub>
                <m:sSubPr>
                  <m:ctrlPr>
                    <w:rPr>
                      <w:rFonts w:ascii="Cambria Math" w:hAnsi="Cambria Math" w:cs="Times New Roman"/>
                      <w:i/>
                      <w:lang w:val="nb-NO"/>
                    </w:rPr>
                  </m:ctrlPr>
                </m:sSubPr>
                <m:e>
                  <m:r>
                    <w:rPr>
                      <w:rFonts w:ascii="Cambria Math" w:hAnsi="Cambria Math" w:cs="Times New Roman"/>
                      <w:lang w:val="nb-NO"/>
                    </w:rPr>
                    <m:t>A'</m:t>
                  </m:r>
                </m:e>
                <m:sub>
                  <m:r>
                    <w:rPr>
                      <w:rFonts w:ascii="Cambria Math" w:hAnsi="Cambria Math" w:cs="Times New Roman"/>
                      <w:lang w:val="nb-NO"/>
                    </w:rPr>
                    <m:t>1</m:t>
                  </m:r>
                </m:sub>
              </m:sSub>
              <m:sSub>
                <m:sSubPr>
                  <m:ctrlPr>
                    <w:rPr>
                      <w:rFonts w:ascii="Cambria Math" w:hAnsi="Cambria Math" w:cs="Times New Roman"/>
                      <w:i/>
                      <w:lang w:val="nb-NO"/>
                    </w:rPr>
                  </m:ctrlPr>
                </m:sSubPr>
                <m:e>
                  <m:r>
                    <w:rPr>
                      <w:rFonts w:ascii="Cambria Math" w:hAnsi="Cambria Math" w:cs="Times New Roman"/>
                      <w:lang w:val="nb-NO"/>
                    </w:rPr>
                    <m:t>A</m:t>
                  </m:r>
                </m:e>
                <m:sub>
                  <m:r>
                    <w:rPr>
                      <w:rFonts w:ascii="Cambria Math" w:hAnsi="Cambria Math" w:cs="Times New Roman"/>
                      <w:lang w:val="nb-NO"/>
                    </w:rPr>
                    <m:t>C</m:t>
                  </m:r>
                </m:sub>
              </m:sSub>
            </m:den>
          </m:f>
          <m:r>
            <w:rPr>
              <w:rFonts w:ascii="Cambria Math" w:hAnsi="Cambria Math" w:cs="Times New Roman"/>
              <w:lang w:val="nb-NO"/>
            </w:rPr>
            <m:t>(</m:t>
          </m:r>
          <m:sSub>
            <m:sSubPr>
              <m:ctrlPr>
                <w:rPr>
                  <w:rFonts w:ascii="Cambria Math" w:hAnsi="Cambria Math" w:cs="Times New Roman"/>
                  <w:i/>
                  <w:lang w:val="nb-NO"/>
                </w:rPr>
              </m:ctrlPr>
            </m:sSubPr>
            <m:e>
              <m:r>
                <w:rPr>
                  <w:rFonts w:ascii="Cambria Math" w:hAnsi="Cambria Math" w:cs="Times New Roman"/>
                  <w:lang w:val="nb-NO"/>
                </w:rPr>
                <m:t>T</m:t>
              </m:r>
            </m:e>
            <m:sub>
              <m:r>
                <w:rPr>
                  <w:rFonts w:ascii="Cambria Math" w:hAnsi="Cambria Math" w:cs="Times New Roman"/>
                  <w:lang w:val="nb-NO"/>
                </w:rPr>
                <m:t>i</m:t>
              </m:r>
            </m:sub>
          </m:sSub>
          <m:r>
            <w:rPr>
              <w:rFonts w:ascii="Cambria Math" w:hAnsi="Cambria Math" w:cs="Times New Roman"/>
              <w:lang w:val="nb-NO"/>
            </w:rPr>
            <m:t>-</m:t>
          </m:r>
          <m:sSub>
            <m:sSubPr>
              <m:ctrlPr>
                <w:rPr>
                  <w:rFonts w:ascii="Cambria Math" w:hAnsi="Cambria Math" w:cs="Times New Roman"/>
                  <w:i/>
                  <w:lang w:val="nb-NO"/>
                </w:rPr>
              </m:ctrlPr>
            </m:sSubPr>
            <m:e>
              <m:r>
                <w:rPr>
                  <w:rFonts w:ascii="Cambria Math" w:hAnsi="Cambria Math" w:cs="Times New Roman"/>
                  <w:lang w:val="nb-NO"/>
                </w:rPr>
                <m:t>T</m:t>
              </m:r>
            </m:e>
            <m:sub>
              <m:r>
                <w:rPr>
                  <w:rFonts w:ascii="Cambria Math" w:hAnsi="Cambria Math" w:cs="Times New Roman"/>
                  <w:lang w:val="nb-NO"/>
                </w:rPr>
                <m:t>s</m:t>
              </m:r>
            </m:sub>
          </m:sSub>
          <m:r>
            <w:rPr>
              <w:rFonts w:ascii="Cambria Math" w:hAnsi="Cambria Math" w:cs="Times New Roman"/>
              <w:lang w:val="nb-NO"/>
            </w:rPr>
            <m:t>)                                                                                 (5)</m:t>
          </m:r>
        </m:oMath>
      </m:oMathPara>
    </w:p>
    <w:p w14:paraId="28E4E872" w14:textId="7EB55AAE" w:rsidR="00DC6716" w:rsidRPr="00DC6716" w:rsidRDefault="00DC6716" w:rsidP="00DC6716">
      <w:pPr>
        <w:rPr>
          <w:rFonts w:eastAsiaTheme="minorEastAsia" w:cs="Times New Roman"/>
          <w:lang w:val="en-US"/>
        </w:rPr>
      </w:pPr>
      <w:r w:rsidRPr="00DC6716">
        <w:rPr>
          <w:rFonts w:eastAsiaTheme="minorEastAsia" w:cs="Times New Roman"/>
          <w:lang w:val="en-US"/>
        </w:rPr>
        <w:t xml:space="preserve">where </w:t>
      </w:r>
      <m:oMath>
        <m:sSub>
          <m:sSubPr>
            <m:ctrlPr>
              <w:rPr>
                <w:rFonts w:ascii="Cambria Math" w:eastAsiaTheme="minorEastAsia" w:hAnsi="Cambria Math" w:cs="Times New Roman"/>
                <w:i/>
                <w:lang w:val="nb-NO"/>
              </w:rPr>
            </m:ctrlPr>
          </m:sSubPr>
          <m:e>
            <m:r>
              <w:rPr>
                <w:rFonts w:ascii="Cambria Math" w:eastAsiaTheme="minorEastAsia" w:hAnsi="Cambria Math" w:cs="Times New Roman"/>
                <w:lang w:val="nb-NO"/>
              </w:rPr>
              <m:t>m</m:t>
            </m:r>
          </m:e>
          <m:sub>
            <m:r>
              <w:rPr>
                <w:rFonts w:ascii="Cambria Math" w:eastAsiaTheme="minorEastAsia" w:hAnsi="Cambria Math" w:cs="Times New Roman"/>
                <w:lang w:val="nb-NO"/>
              </w:rPr>
              <m:t>W</m:t>
            </m:r>
          </m:sub>
        </m:sSub>
      </m:oMath>
      <w:r w:rsidRPr="00DC6716">
        <w:rPr>
          <w:rFonts w:eastAsiaTheme="minorEastAsia" w:cs="Times New Roman"/>
          <w:lang w:val="en-US"/>
        </w:rPr>
        <w:t xml:space="preserve"> is the mass of </w:t>
      </w:r>
      <w:r w:rsidR="003028DD">
        <w:rPr>
          <w:rFonts w:eastAsiaTheme="minorEastAsia" w:cs="Times New Roman"/>
          <w:lang w:val="en-US"/>
        </w:rPr>
        <w:t xml:space="preserve">the </w:t>
      </w:r>
      <w:r w:rsidRPr="00DC6716">
        <w:rPr>
          <w:rFonts w:eastAsiaTheme="minorEastAsia" w:cs="Times New Roman"/>
          <w:lang w:val="en-US"/>
        </w:rPr>
        <w:t xml:space="preserve">reference substance, </w:t>
      </w:r>
      <m:oMath>
        <m:sSub>
          <m:sSubPr>
            <m:ctrlPr>
              <w:rPr>
                <w:rFonts w:ascii="Cambria Math" w:eastAsiaTheme="minorEastAsia" w:hAnsi="Cambria Math" w:cs="Times New Roman"/>
                <w:i/>
                <w:lang w:val="nb-NO"/>
              </w:rPr>
            </m:ctrlPr>
          </m:sSubPr>
          <m:e>
            <m:r>
              <w:rPr>
                <w:rFonts w:ascii="Cambria Math" w:eastAsiaTheme="minorEastAsia" w:hAnsi="Cambria Math" w:cs="Times New Roman"/>
                <w:lang w:val="nb-NO"/>
              </w:rPr>
              <m:t>C</m:t>
            </m:r>
          </m:e>
          <m:sub>
            <m:r>
              <w:rPr>
                <w:rFonts w:ascii="Cambria Math" w:eastAsiaTheme="minorEastAsia" w:hAnsi="Cambria Math" w:cs="Times New Roman"/>
                <w:lang w:val="nb-NO"/>
              </w:rPr>
              <m:t>p</m:t>
            </m:r>
            <m:r>
              <w:rPr>
                <w:rFonts w:ascii="Cambria Math" w:eastAsiaTheme="minorEastAsia" w:hAnsi="Cambria Math" w:cs="Times New Roman"/>
                <w:lang w:val="en-US"/>
              </w:rPr>
              <m:t>,</m:t>
            </m:r>
            <m:r>
              <w:rPr>
                <w:rFonts w:ascii="Cambria Math" w:eastAsiaTheme="minorEastAsia" w:hAnsi="Cambria Math" w:cs="Times New Roman"/>
                <w:lang w:val="nb-NO"/>
              </w:rPr>
              <m:t>W</m:t>
            </m:r>
          </m:sub>
        </m:sSub>
      </m:oMath>
      <w:r w:rsidRPr="00DC6716">
        <w:rPr>
          <w:rFonts w:eastAsiaTheme="minorEastAsia" w:cs="Times New Roman"/>
          <w:lang w:val="en-US"/>
        </w:rPr>
        <w:t xml:space="preserve"> is the specific heat of </w:t>
      </w:r>
      <w:r w:rsidR="003028DD">
        <w:rPr>
          <w:rFonts w:eastAsiaTheme="minorEastAsia" w:cs="Times New Roman"/>
          <w:lang w:val="en-US"/>
        </w:rPr>
        <w:t xml:space="preserve">the </w:t>
      </w:r>
      <w:r w:rsidRPr="00DC6716">
        <w:rPr>
          <w:rFonts w:eastAsiaTheme="minorEastAsia" w:cs="Times New Roman"/>
          <w:lang w:val="en-US"/>
        </w:rPr>
        <w:t xml:space="preserve">reference substance, </w:t>
      </w:r>
      <m:oMath>
        <m:sSub>
          <m:sSubPr>
            <m:ctrlPr>
              <w:rPr>
                <w:rFonts w:ascii="Cambria Math" w:eastAsia="Cambria Math" w:hAnsi="Cambria Math" w:cs="Cambria Math"/>
                <w:i/>
                <w:lang w:val="nb-NO"/>
              </w:rPr>
            </m:ctrlPr>
          </m:sSubPr>
          <m:e>
            <m:r>
              <w:rPr>
                <w:rFonts w:ascii="Cambria Math" w:eastAsia="Cambria Math" w:hAnsi="Cambria Math" w:cs="Cambria Math"/>
                <w:lang w:val="nb-NO"/>
              </w:rPr>
              <m:t>m</m:t>
            </m:r>
          </m:e>
          <m:sub>
            <m:r>
              <w:rPr>
                <w:rFonts w:ascii="Cambria Math" w:eastAsia="Cambria Math" w:hAnsi="Cambria Math" w:cs="Cambria Math"/>
                <w:lang w:val="nb-NO"/>
              </w:rPr>
              <m:t>t</m:t>
            </m:r>
          </m:sub>
        </m:sSub>
      </m:oMath>
      <w:r w:rsidRPr="00DC6716">
        <w:rPr>
          <w:rFonts w:eastAsiaTheme="minorEastAsia" w:cs="Times New Roman"/>
          <w:lang w:val="en-US"/>
        </w:rPr>
        <w:t xml:space="preserve"> is the mass test tube, </w:t>
      </w:r>
      <m:oMath>
        <m:sSub>
          <m:sSubPr>
            <m:ctrlPr>
              <w:rPr>
                <w:rFonts w:ascii="Cambria Math" w:eastAsiaTheme="minorEastAsia" w:hAnsi="Cambria Math" w:cs="Times New Roman"/>
                <w:i/>
                <w:lang w:val="nb-NO"/>
              </w:rPr>
            </m:ctrlPr>
          </m:sSubPr>
          <m:e>
            <m:r>
              <w:rPr>
                <w:rFonts w:ascii="Cambria Math" w:eastAsiaTheme="minorEastAsia" w:hAnsi="Cambria Math" w:cs="Times New Roman"/>
                <w:lang w:val="nb-NO"/>
              </w:rPr>
              <m:t>C</m:t>
            </m:r>
          </m:e>
          <m:sub>
            <m:r>
              <w:rPr>
                <w:rFonts w:ascii="Cambria Math" w:eastAsiaTheme="minorEastAsia" w:hAnsi="Cambria Math" w:cs="Times New Roman"/>
                <w:lang w:val="nb-NO"/>
              </w:rPr>
              <m:t>p</m:t>
            </m:r>
            <m:r>
              <w:rPr>
                <w:rFonts w:ascii="Cambria Math" w:eastAsiaTheme="minorEastAsia" w:hAnsi="Cambria Math" w:cs="Times New Roman"/>
                <w:lang w:val="en-US"/>
              </w:rPr>
              <m:t>,</m:t>
            </m:r>
            <m:r>
              <w:rPr>
                <w:rFonts w:ascii="Cambria Math" w:eastAsiaTheme="minorEastAsia" w:hAnsi="Cambria Math" w:cs="Times New Roman"/>
                <w:lang w:val="nb-NO"/>
              </w:rPr>
              <m:t>t</m:t>
            </m:r>
          </m:sub>
        </m:sSub>
      </m:oMath>
      <w:r w:rsidRPr="00DC6716">
        <w:rPr>
          <w:rFonts w:eastAsiaTheme="minorEastAsia" w:cs="Times New Roman"/>
          <w:lang w:val="en-US"/>
        </w:rPr>
        <w:t xml:space="preserve"> is the specific heat of </w:t>
      </w:r>
      <w:r w:rsidR="003028DD">
        <w:rPr>
          <w:rFonts w:eastAsiaTheme="minorEastAsia" w:cs="Times New Roman"/>
          <w:lang w:val="en-US"/>
        </w:rPr>
        <w:t xml:space="preserve">the </w:t>
      </w:r>
      <w:r w:rsidRPr="00DC6716">
        <w:rPr>
          <w:rFonts w:eastAsiaTheme="minorEastAsia" w:cs="Times New Roman"/>
          <w:lang w:val="en-US"/>
        </w:rPr>
        <w:t xml:space="preserve">test tube, </w:t>
      </w:r>
      <m:oMath>
        <m:sSubSup>
          <m:sSubSupPr>
            <m:ctrlPr>
              <w:rPr>
                <w:rFonts w:ascii="Cambria Math" w:eastAsia="Cambria Math" w:hAnsi="Cambria Math" w:cs="Cambria Math"/>
                <w:i/>
                <w:lang w:val="nb-NO"/>
              </w:rPr>
            </m:ctrlPr>
          </m:sSubSupPr>
          <m:e>
            <m:r>
              <w:rPr>
                <w:rFonts w:ascii="Cambria Math" w:eastAsia="Cambria Math" w:hAnsi="Cambria Math" w:cs="Cambria Math"/>
                <w:lang w:val="nb-NO"/>
              </w:rPr>
              <m:t>A</m:t>
            </m:r>
          </m:e>
          <m:sub>
            <m:r>
              <w:rPr>
                <w:rFonts w:ascii="Cambria Math" w:eastAsia="Cambria Math" w:hAnsi="Cambria Math" w:cs="Cambria Math"/>
                <w:lang w:val="en-US"/>
              </w:rPr>
              <m:t>1</m:t>
            </m:r>
          </m:sub>
          <m:sup>
            <m:r>
              <w:rPr>
                <w:rFonts w:ascii="Cambria Math" w:eastAsia="Cambria Math" w:hAnsi="Cambria Math" w:cs="Cambria Math"/>
                <w:lang w:val="en-US"/>
              </w:rPr>
              <m:t>'</m:t>
            </m:r>
          </m:sup>
        </m:sSubSup>
      </m:oMath>
      <w:r w:rsidRPr="00DC6716">
        <w:rPr>
          <w:rFonts w:eastAsiaTheme="minorEastAsia" w:cs="Times New Roman"/>
          <w:lang w:val="en-US"/>
        </w:rPr>
        <w:t xml:space="preserve"> is </w:t>
      </w:r>
      <w:r w:rsidR="003028DD">
        <w:rPr>
          <w:rFonts w:eastAsiaTheme="minorEastAsia" w:cs="Times New Roman"/>
          <w:lang w:val="en-US"/>
        </w:rPr>
        <w:t xml:space="preserve">the </w:t>
      </w:r>
      <w:r w:rsidRPr="00DC6716">
        <w:rPr>
          <w:rFonts w:eastAsiaTheme="minorEastAsia" w:cs="Times New Roman"/>
          <w:lang w:val="en-US"/>
        </w:rPr>
        <w:t xml:space="preserve">integral of the difference in temperature between </w:t>
      </w:r>
      <w:r w:rsidR="003028DD">
        <w:rPr>
          <w:rFonts w:eastAsiaTheme="minorEastAsia" w:cs="Times New Roman"/>
          <w:lang w:val="en-US"/>
        </w:rPr>
        <w:t xml:space="preserve">the </w:t>
      </w:r>
      <w:r w:rsidRPr="00DC6716">
        <w:rPr>
          <w:rFonts w:eastAsiaTheme="minorEastAsia" w:cs="Times New Roman"/>
          <w:lang w:val="en-US"/>
        </w:rPr>
        <w:t>reference and ambient temperature</w:t>
      </w:r>
      <w:r w:rsidR="003028DD">
        <w:rPr>
          <w:rFonts w:eastAsiaTheme="minorEastAsia" w:cs="Times New Roman"/>
          <w:lang w:val="en-US"/>
        </w:rPr>
        <w:t>,</w:t>
      </w:r>
      <w:r w:rsidRPr="00DC6716">
        <w:rPr>
          <w:rFonts w:eastAsiaTheme="minorEastAsia" w:cs="Times New Roman"/>
          <w:lang w:val="en-US"/>
        </w:rPr>
        <w:t xml:space="preserve"> and </w:t>
      </w:r>
      <m:oMath>
        <m:sSub>
          <m:sSubPr>
            <m:ctrlPr>
              <w:rPr>
                <w:rFonts w:ascii="Cambria Math" w:eastAsia="Cambria Math" w:hAnsi="Cambria Math" w:cs="Cambria Math"/>
                <w:i/>
                <w:lang w:val="nb-NO"/>
              </w:rPr>
            </m:ctrlPr>
          </m:sSubPr>
          <m:e>
            <m:r>
              <w:rPr>
                <w:rFonts w:ascii="Cambria Math" w:eastAsia="Cambria Math" w:hAnsi="Cambria Math" w:cs="Cambria Math"/>
                <w:lang w:val="nb-NO"/>
              </w:rPr>
              <m:t>A</m:t>
            </m:r>
          </m:e>
          <m:sub>
            <m:r>
              <w:rPr>
                <w:rFonts w:ascii="Cambria Math" w:eastAsia="Cambria Math" w:hAnsi="Cambria Math" w:cs="Cambria Math"/>
                <w:lang w:val="nb-NO"/>
              </w:rPr>
              <m:t>C</m:t>
            </m:r>
          </m:sub>
        </m:sSub>
      </m:oMath>
      <w:r w:rsidRPr="00DC6716">
        <w:rPr>
          <w:rFonts w:eastAsiaTheme="minorEastAsia" w:cs="Times New Roman"/>
          <w:lang w:val="en-US"/>
        </w:rPr>
        <w:t xml:space="preserve"> is the surface area of </w:t>
      </w:r>
      <w:r w:rsidR="003028DD">
        <w:rPr>
          <w:rFonts w:eastAsiaTheme="minorEastAsia" w:cs="Times New Roman"/>
          <w:lang w:val="en-US"/>
        </w:rPr>
        <w:t xml:space="preserve">the </w:t>
      </w:r>
      <w:r w:rsidRPr="00DC6716">
        <w:rPr>
          <w:rFonts w:eastAsiaTheme="minorEastAsia" w:cs="Times New Roman"/>
          <w:lang w:val="en-US"/>
        </w:rPr>
        <w:t>test tube. This equation is obtained from Eq</w:t>
      </w:r>
      <w:r w:rsidR="00E02518">
        <w:rPr>
          <w:rFonts w:eastAsiaTheme="minorEastAsia" w:cs="Times New Roman"/>
          <w:lang w:val="en-US"/>
        </w:rPr>
        <w:t>. (</w:t>
      </w:r>
      <w:r w:rsidRPr="00DC6716">
        <w:rPr>
          <w:rFonts w:eastAsiaTheme="minorEastAsia" w:cs="Times New Roman"/>
          <w:lang w:val="en-US"/>
        </w:rPr>
        <w:t>6)</w:t>
      </w:r>
    </w:p>
    <w:p w14:paraId="70B62E1C" w14:textId="77777777" w:rsidR="00DC6716" w:rsidRPr="00DC6716" w:rsidRDefault="00DC6716" w:rsidP="00DC6716">
      <w:pPr>
        <w:rPr>
          <w:rFonts w:eastAsiaTheme="minorEastAsia" w:cs="Times New Roman"/>
          <w:lang w:val="nb-NO"/>
        </w:rPr>
      </w:pPr>
      <m:oMathPara>
        <m:oMathParaPr>
          <m:jc m:val="right"/>
        </m:oMathParaPr>
        <m:oMath>
          <m:r>
            <w:rPr>
              <w:rFonts w:ascii="Cambria Math" w:hAnsi="Cambria Math" w:cs="Times New Roman"/>
              <w:lang w:val="nb-NO"/>
            </w:rPr>
            <m:t>h</m:t>
          </m:r>
          <m:sSub>
            <m:sSubPr>
              <m:ctrlPr>
                <w:rPr>
                  <w:rFonts w:ascii="Cambria Math" w:hAnsi="Cambria Math" w:cs="Times New Roman"/>
                  <w:i/>
                  <w:lang w:val="nb-NO"/>
                </w:rPr>
              </m:ctrlPr>
            </m:sSubPr>
            <m:e>
              <m:r>
                <w:rPr>
                  <w:rFonts w:ascii="Cambria Math" w:hAnsi="Cambria Math" w:cs="Times New Roman"/>
                  <w:lang w:val="nb-NO"/>
                </w:rPr>
                <m:t>A</m:t>
              </m:r>
            </m:e>
            <m:sub>
              <m:r>
                <w:rPr>
                  <w:rFonts w:ascii="Cambria Math" w:hAnsi="Cambria Math" w:cs="Times New Roman"/>
                  <w:lang w:val="nb-NO"/>
                </w:rPr>
                <m:t>1</m:t>
              </m:r>
            </m:sub>
          </m:sSub>
          <m:sSub>
            <m:sSubPr>
              <m:ctrlPr>
                <w:rPr>
                  <w:rFonts w:ascii="Cambria Math" w:hAnsi="Cambria Math" w:cs="Times New Roman"/>
                  <w:i/>
                  <w:lang w:val="nb-NO"/>
                </w:rPr>
              </m:ctrlPr>
            </m:sSubPr>
            <m:e>
              <m:r>
                <w:rPr>
                  <w:rFonts w:ascii="Cambria Math" w:hAnsi="Cambria Math" w:cs="Times New Roman"/>
                  <w:lang w:val="nb-NO"/>
                </w:rPr>
                <m:t>A</m:t>
              </m:r>
            </m:e>
            <m:sub>
              <m:r>
                <w:rPr>
                  <w:rFonts w:ascii="Cambria Math" w:hAnsi="Cambria Math" w:cs="Times New Roman"/>
                  <w:lang w:val="nb-NO"/>
                </w:rPr>
                <m:t>C</m:t>
              </m:r>
            </m:sub>
          </m:sSub>
          <m:r>
            <w:rPr>
              <w:rFonts w:ascii="Cambria Math" w:hAnsi="Cambria Math" w:cs="Times New Roman"/>
              <w:lang w:val="nb-NO"/>
            </w:rPr>
            <m:t>=</m:t>
          </m:r>
          <m:d>
            <m:dPr>
              <m:ctrlPr>
                <w:rPr>
                  <w:rFonts w:ascii="Cambria Math" w:hAnsi="Cambria Math" w:cs="Times New Roman"/>
                  <w:i/>
                  <w:lang w:val="nb-NO"/>
                </w:rPr>
              </m:ctrlPr>
            </m:dPr>
            <m:e>
              <m:sSub>
                <m:sSubPr>
                  <m:ctrlPr>
                    <w:rPr>
                      <w:rFonts w:ascii="Cambria Math" w:hAnsi="Cambria Math" w:cs="Times New Roman"/>
                      <w:i/>
                      <w:lang w:val="nb-NO"/>
                    </w:rPr>
                  </m:ctrlPr>
                </m:sSubPr>
                <m:e>
                  <m:r>
                    <w:rPr>
                      <w:rFonts w:ascii="Cambria Math" w:hAnsi="Cambria Math" w:cs="Times New Roman"/>
                      <w:lang w:val="nb-NO"/>
                    </w:rPr>
                    <m:t>T</m:t>
                  </m:r>
                </m:e>
                <m:sub>
                  <m:r>
                    <w:rPr>
                      <w:rFonts w:ascii="Cambria Math" w:hAnsi="Cambria Math" w:cs="Times New Roman"/>
                      <w:lang w:val="nb-NO"/>
                    </w:rPr>
                    <m:t>i</m:t>
                  </m:r>
                </m:sub>
              </m:sSub>
              <m:r>
                <w:rPr>
                  <w:rFonts w:ascii="Cambria Math" w:hAnsi="Cambria Math" w:cs="Times New Roman"/>
                  <w:lang w:val="nb-NO"/>
                </w:rPr>
                <m:t>-</m:t>
              </m:r>
              <m:sSub>
                <m:sSubPr>
                  <m:ctrlPr>
                    <w:rPr>
                      <w:rFonts w:ascii="Cambria Math" w:hAnsi="Cambria Math" w:cs="Times New Roman"/>
                      <w:i/>
                      <w:lang w:val="nb-NO"/>
                    </w:rPr>
                  </m:ctrlPr>
                </m:sSubPr>
                <m:e>
                  <m:r>
                    <w:rPr>
                      <w:rFonts w:ascii="Cambria Math" w:hAnsi="Cambria Math" w:cs="Times New Roman"/>
                      <w:lang w:val="nb-NO"/>
                    </w:rPr>
                    <m:t>T</m:t>
                  </m:r>
                </m:e>
                <m:sub>
                  <m:r>
                    <w:rPr>
                      <w:rFonts w:ascii="Cambria Math" w:hAnsi="Cambria Math" w:cs="Times New Roman"/>
                      <w:lang w:val="nb-NO"/>
                    </w:rPr>
                    <m:t>s</m:t>
                  </m:r>
                </m:sub>
              </m:sSub>
            </m:e>
          </m:d>
          <m:d>
            <m:dPr>
              <m:ctrlPr>
                <w:rPr>
                  <w:rFonts w:ascii="Cambria Math" w:hAnsi="Cambria Math" w:cs="Times New Roman"/>
                  <w:i/>
                  <w:lang w:val="nb-NO"/>
                </w:rPr>
              </m:ctrlPr>
            </m:dPr>
            <m:e>
              <m:sSub>
                <m:sSubPr>
                  <m:ctrlPr>
                    <w:rPr>
                      <w:rFonts w:ascii="Cambria Math" w:hAnsi="Cambria Math" w:cs="Times New Roman"/>
                      <w:i/>
                      <w:lang w:val="nb-NO"/>
                    </w:rPr>
                  </m:ctrlPr>
                </m:sSubPr>
                <m:e>
                  <m:r>
                    <w:rPr>
                      <w:rFonts w:ascii="Cambria Math" w:hAnsi="Cambria Math" w:cs="Times New Roman"/>
                      <w:lang w:val="nb-NO"/>
                    </w:rPr>
                    <m:t>m</m:t>
                  </m:r>
                </m:e>
                <m:sub>
                  <m:r>
                    <w:rPr>
                      <w:rFonts w:ascii="Cambria Math" w:hAnsi="Cambria Math" w:cs="Times New Roman"/>
                      <w:lang w:val="nb-NO"/>
                    </w:rPr>
                    <m:t>P</m:t>
                  </m:r>
                </m:sub>
              </m:sSub>
              <m:sSub>
                <m:sSubPr>
                  <m:ctrlPr>
                    <w:rPr>
                      <w:rFonts w:ascii="Cambria Math" w:hAnsi="Cambria Math" w:cs="Times New Roman"/>
                      <w:i/>
                      <w:lang w:val="nb-NO"/>
                    </w:rPr>
                  </m:ctrlPr>
                </m:sSubPr>
                <m:e>
                  <m:r>
                    <w:rPr>
                      <w:rFonts w:ascii="Cambria Math" w:hAnsi="Cambria Math" w:cs="Times New Roman"/>
                      <w:lang w:val="nb-NO"/>
                    </w:rPr>
                    <m:t>C</m:t>
                  </m:r>
                </m:e>
                <m:sub>
                  <m:r>
                    <w:rPr>
                      <w:rFonts w:ascii="Cambria Math" w:hAnsi="Cambria Math" w:cs="Times New Roman"/>
                      <w:lang w:val="nb-NO"/>
                    </w:rPr>
                    <m:t>p,l</m:t>
                  </m:r>
                </m:sub>
              </m:sSub>
              <m:r>
                <w:rPr>
                  <w:rFonts w:ascii="Cambria Math" w:hAnsi="Cambria Math" w:cs="Times New Roman"/>
                  <w:lang w:val="nb-NO"/>
                </w:rPr>
                <m:t>+</m:t>
              </m:r>
              <m:sSub>
                <m:sSubPr>
                  <m:ctrlPr>
                    <w:rPr>
                      <w:rFonts w:ascii="Cambria Math" w:hAnsi="Cambria Math" w:cs="Times New Roman"/>
                      <w:i/>
                      <w:lang w:val="nb-NO"/>
                    </w:rPr>
                  </m:ctrlPr>
                </m:sSubPr>
                <m:e>
                  <m:r>
                    <w:rPr>
                      <w:rFonts w:ascii="Cambria Math" w:hAnsi="Cambria Math" w:cs="Times New Roman"/>
                      <w:lang w:val="nb-NO"/>
                    </w:rPr>
                    <m:t>m</m:t>
                  </m:r>
                </m:e>
                <m:sub>
                  <m:r>
                    <w:rPr>
                      <w:rFonts w:ascii="Cambria Math" w:hAnsi="Cambria Math" w:cs="Times New Roman"/>
                      <w:lang w:val="nb-NO"/>
                    </w:rPr>
                    <m:t>t</m:t>
                  </m:r>
                </m:sub>
              </m:sSub>
              <m:sSub>
                <m:sSubPr>
                  <m:ctrlPr>
                    <w:rPr>
                      <w:rFonts w:ascii="Cambria Math" w:hAnsi="Cambria Math" w:cs="Times New Roman"/>
                      <w:i/>
                      <w:lang w:val="nb-NO"/>
                    </w:rPr>
                  </m:ctrlPr>
                </m:sSubPr>
                <m:e>
                  <m:r>
                    <w:rPr>
                      <w:rFonts w:ascii="Cambria Math" w:hAnsi="Cambria Math" w:cs="Times New Roman"/>
                      <w:lang w:val="nb-NO"/>
                    </w:rPr>
                    <m:t>C</m:t>
                  </m:r>
                </m:e>
                <m:sub>
                  <m:r>
                    <w:rPr>
                      <w:rFonts w:ascii="Cambria Math" w:hAnsi="Cambria Math" w:cs="Times New Roman"/>
                      <w:lang w:val="nb-NO"/>
                    </w:rPr>
                    <m:t>p,t</m:t>
                  </m:r>
                </m:sub>
              </m:sSub>
            </m:e>
          </m:d>
          <m:r>
            <w:rPr>
              <w:rFonts w:ascii="Cambria Math" w:hAnsi="Cambria Math" w:cs="Times New Roman"/>
              <w:lang w:val="nb-NO"/>
            </w:rPr>
            <m:t xml:space="preserve">                                                                  (6)</m:t>
          </m:r>
        </m:oMath>
      </m:oMathPara>
    </w:p>
    <w:p w14:paraId="1813DA11" w14:textId="49CCFF87" w:rsidR="00DC6716" w:rsidRPr="00DC6716" w:rsidRDefault="00DC6716" w:rsidP="00DC6716">
      <w:pPr>
        <w:rPr>
          <w:rFonts w:cs="Times New Roman"/>
          <w:b/>
          <w:bCs/>
          <w:lang w:val="en-US"/>
        </w:rPr>
      </w:pPr>
      <w:r w:rsidRPr="00DC6716">
        <w:rPr>
          <w:rFonts w:eastAsiaTheme="minorEastAsia" w:cs="Times New Roman"/>
          <w:lang w:val="en-US"/>
        </w:rPr>
        <w:t xml:space="preserve">where </w:t>
      </w:r>
      <m:oMath>
        <m:sSub>
          <m:sSubPr>
            <m:ctrlPr>
              <w:rPr>
                <w:rFonts w:ascii="Cambria Math" w:hAnsi="Cambria Math" w:cs="Times New Roman"/>
                <w:i/>
                <w:lang w:val="nb-NO"/>
              </w:rPr>
            </m:ctrlPr>
          </m:sSubPr>
          <m:e>
            <m:r>
              <w:rPr>
                <w:rFonts w:ascii="Cambria Math" w:hAnsi="Cambria Math" w:cs="Times New Roman"/>
                <w:lang w:val="nb-NO"/>
              </w:rPr>
              <m:t>T</m:t>
            </m:r>
          </m:e>
          <m:sub>
            <m:r>
              <w:rPr>
                <w:rFonts w:ascii="Cambria Math" w:hAnsi="Cambria Math" w:cs="Times New Roman"/>
                <w:lang w:val="nb-NO"/>
              </w:rPr>
              <m:t>i</m:t>
            </m:r>
          </m:sub>
        </m:sSub>
      </m:oMath>
      <w:r w:rsidRPr="00DC6716">
        <w:rPr>
          <w:rFonts w:eastAsiaTheme="minorEastAsia" w:cs="Times New Roman"/>
          <w:lang w:val="en-US"/>
        </w:rPr>
        <w:t xml:space="preserve"> is the initial temperature of PCM, </w:t>
      </w:r>
      <m:oMath>
        <m:sSub>
          <m:sSubPr>
            <m:ctrlPr>
              <w:rPr>
                <w:rFonts w:ascii="Cambria Math" w:hAnsi="Cambria Math" w:cs="Times New Roman"/>
                <w:i/>
                <w:lang w:val="nb-NO"/>
              </w:rPr>
            </m:ctrlPr>
          </m:sSubPr>
          <m:e>
            <m:r>
              <w:rPr>
                <w:rFonts w:ascii="Cambria Math" w:hAnsi="Cambria Math" w:cs="Times New Roman"/>
                <w:lang w:val="nb-NO"/>
              </w:rPr>
              <m:t>T</m:t>
            </m:r>
          </m:e>
          <m:sub>
            <m:r>
              <w:rPr>
                <w:rFonts w:ascii="Cambria Math" w:hAnsi="Cambria Math" w:cs="Times New Roman"/>
                <w:lang w:val="nb-NO"/>
              </w:rPr>
              <m:t>s</m:t>
            </m:r>
          </m:sub>
        </m:sSub>
      </m:oMath>
      <w:r w:rsidRPr="00DC6716">
        <w:rPr>
          <w:rFonts w:eastAsiaTheme="minorEastAsia" w:cs="Times New Roman"/>
          <w:lang w:val="en-US"/>
        </w:rPr>
        <w:t xml:space="preserve"> in the temperature of </w:t>
      </w:r>
      <w:r w:rsidR="003028DD">
        <w:rPr>
          <w:rFonts w:eastAsiaTheme="minorEastAsia" w:cs="Times New Roman"/>
          <w:lang w:val="en-US"/>
        </w:rPr>
        <w:t xml:space="preserve">the </w:t>
      </w:r>
      <w:r w:rsidRPr="00DC6716">
        <w:rPr>
          <w:rFonts w:eastAsiaTheme="minorEastAsia" w:cs="Times New Roman"/>
          <w:lang w:val="en-US"/>
        </w:rPr>
        <w:t xml:space="preserve">PCM in </w:t>
      </w:r>
      <w:r w:rsidR="003028DD">
        <w:rPr>
          <w:rFonts w:eastAsiaTheme="minorEastAsia" w:cs="Times New Roman"/>
          <w:lang w:val="en-US"/>
        </w:rPr>
        <w:t xml:space="preserve">the </w:t>
      </w:r>
      <w:r w:rsidRPr="00DC6716">
        <w:rPr>
          <w:rFonts w:eastAsiaTheme="minorEastAsia" w:cs="Times New Roman"/>
          <w:lang w:val="en-US"/>
        </w:rPr>
        <w:t xml:space="preserve">solid state, </w:t>
      </w:r>
      <m:oMath>
        <m:sSub>
          <m:sSubPr>
            <m:ctrlPr>
              <w:rPr>
                <w:rFonts w:ascii="Cambria Math" w:eastAsia="Cambria Math" w:hAnsi="Cambria Math" w:cs="Cambria Math"/>
                <w:i/>
                <w:lang w:val="nb-NO"/>
              </w:rPr>
            </m:ctrlPr>
          </m:sSubPr>
          <m:e>
            <m:r>
              <w:rPr>
                <w:rFonts w:ascii="Cambria Math" w:eastAsia="Cambria Math" w:hAnsi="Cambria Math" w:cs="Cambria Math"/>
                <w:lang w:val="nb-NO"/>
              </w:rPr>
              <m:t>m</m:t>
            </m:r>
          </m:e>
          <m:sub>
            <m:r>
              <w:rPr>
                <w:rFonts w:ascii="Cambria Math" w:eastAsia="Cambria Math" w:hAnsi="Cambria Math" w:cs="Cambria Math"/>
                <w:lang w:val="nb-NO"/>
              </w:rPr>
              <m:t>P</m:t>
            </m:r>
          </m:sub>
        </m:sSub>
      </m:oMath>
      <w:r w:rsidRPr="00DC6716">
        <w:rPr>
          <w:rFonts w:eastAsiaTheme="minorEastAsia" w:cs="Times New Roman"/>
          <w:lang w:val="en-US"/>
        </w:rPr>
        <w:t xml:space="preserve"> is the mass of PCM and </w:t>
      </w:r>
      <m:oMath>
        <m:sSub>
          <m:sSubPr>
            <m:ctrlPr>
              <w:rPr>
                <w:rFonts w:ascii="Cambria Math" w:eastAsia="Cambria Math" w:hAnsi="Cambria Math" w:cs="Cambria Math"/>
                <w:i/>
                <w:lang w:val="nb-NO"/>
              </w:rPr>
            </m:ctrlPr>
          </m:sSubPr>
          <m:e>
            <m:r>
              <w:rPr>
                <w:rFonts w:ascii="Cambria Math" w:eastAsia="Cambria Math" w:hAnsi="Cambria Math" w:cs="Cambria Math"/>
                <w:lang w:val="nb-NO"/>
              </w:rPr>
              <m:t>C</m:t>
            </m:r>
          </m:e>
          <m:sub>
            <m:r>
              <w:rPr>
                <w:rFonts w:ascii="Cambria Math" w:eastAsia="Cambria Math" w:hAnsi="Cambria Math" w:cs="Cambria Math"/>
                <w:lang w:val="nb-NO"/>
              </w:rPr>
              <m:t>p</m:t>
            </m:r>
            <m:r>
              <w:rPr>
                <w:rFonts w:ascii="Cambria Math" w:eastAsia="Cambria Math" w:hAnsi="Cambria Math" w:cs="Cambria Math"/>
                <w:lang w:val="en-US"/>
              </w:rPr>
              <m:t>,</m:t>
            </m:r>
            <m:r>
              <w:rPr>
                <w:rFonts w:ascii="Cambria Math" w:eastAsia="Cambria Math" w:hAnsi="Cambria Math" w:cs="Cambria Math"/>
                <w:lang w:val="nb-NO"/>
              </w:rPr>
              <m:t>l</m:t>
            </m:r>
          </m:sub>
        </m:sSub>
      </m:oMath>
      <w:r w:rsidRPr="00DC6716">
        <w:rPr>
          <w:rFonts w:eastAsiaTheme="minorEastAsia" w:cs="Times New Roman"/>
          <w:lang w:val="en-US"/>
        </w:rPr>
        <w:t xml:space="preserve"> is the specific heat of PCM in </w:t>
      </w:r>
      <w:r w:rsidR="003028DD">
        <w:rPr>
          <w:rFonts w:eastAsiaTheme="minorEastAsia" w:cs="Times New Roman"/>
          <w:lang w:val="en-US"/>
        </w:rPr>
        <w:t xml:space="preserve">the </w:t>
      </w:r>
      <w:r w:rsidRPr="00DC6716">
        <w:rPr>
          <w:rFonts w:eastAsiaTheme="minorEastAsia" w:cs="Times New Roman"/>
          <w:lang w:val="en-US"/>
        </w:rPr>
        <w:t xml:space="preserve">liquid state. </w:t>
      </w:r>
      <w:r w:rsidRPr="00DC6716">
        <w:rPr>
          <w:rFonts w:cs="Times New Roman"/>
          <w:lang w:val="en-US"/>
        </w:rPr>
        <w:t xml:space="preserve">When a PCM undergoes supercooling, its phase change temperature lies between Tm and Ts. This temperature difference is also referred to as the degree of </w:t>
      </w:r>
      <w:r w:rsidRPr="00DC6716">
        <w:rPr>
          <w:rFonts w:cs="Times New Roman"/>
          <w:lang w:val="en-US"/>
        </w:rPr>
        <w:lastRenderedPageBreak/>
        <w:t>supercooling (</w:t>
      </w:r>
      <w:r w:rsidRPr="00DC6716">
        <w:rPr>
          <w:rFonts w:cs="Times New Roman"/>
        </w:rPr>
        <w:t>Δ</w:t>
      </w:r>
      <w:r w:rsidRPr="00DC6716">
        <w:rPr>
          <w:rFonts w:cs="Times New Roman"/>
          <w:lang w:val="en-US"/>
        </w:rPr>
        <w:t>Tm). On the other hand, for a PCM without supercooling, the phase change occurs within the temperature range between Tm₁ and Tm₂. This allows the determination of the phase change enthalpy</w:t>
      </w:r>
      <w:r w:rsidRPr="00DC6716">
        <w:rPr>
          <w:rFonts w:cs="Times New Roman"/>
          <w:b/>
          <w:bCs/>
          <w:lang w:val="en-US"/>
        </w:rPr>
        <w:t xml:space="preserve">.  </w:t>
      </w:r>
      <w:r w:rsidRPr="00DC6716">
        <w:rPr>
          <w:rFonts w:cs="Times New Roman"/>
          <w:lang w:val="en-US"/>
        </w:rPr>
        <w:t xml:space="preserve">Table </w:t>
      </w:r>
      <w:r>
        <w:rPr>
          <w:rFonts w:cs="Times New Roman"/>
          <w:lang w:val="en-US"/>
        </w:rPr>
        <w:t>1.</w:t>
      </w:r>
      <w:r w:rsidRPr="00DC6716">
        <w:rPr>
          <w:rFonts w:cs="Times New Roman"/>
          <w:lang w:val="en-US"/>
        </w:rPr>
        <w:t xml:space="preserve">11 </w:t>
      </w:r>
      <w:sdt>
        <w:sdtPr>
          <w:rPr>
            <w:rFonts w:cs="Times New Roman"/>
            <w:lang w:val="en-US"/>
          </w:rPr>
          <w:id w:val="1879424821"/>
          <w:citation/>
        </w:sdtPr>
        <w:sdtContent>
          <w:r>
            <w:rPr>
              <w:rFonts w:cs="Times New Roman"/>
              <w:lang w:val="en-US"/>
            </w:rPr>
            <w:fldChar w:fldCharType="begin"/>
          </w:r>
          <w:r w:rsidRPr="00DC6716">
            <w:rPr>
              <w:rFonts w:cs="Times New Roman"/>
              <w:lang w:val="en-US"/>
            </w:rPr>
            <w:instrText xml:space="preserve"> CITATION Placeholder54 \l 1040 </w:instrText>
          </w:r>
          <w:r>
            <w:rPr>
              <w:rFonts w:cs="Times New Roman"/>
              <w:lang w:val="en-US"/>
            </w:rPr>
            <w:fldChar w:fldCharType="separate"/>
          </w:r>
          <w:r w:rsidR="00855396" w:rsidRPr="00855396">
            <w:rPr>
              <w:rFonts w:cs="Times New Roman"/>
              <w:noProof/>
              <w:lang w:val="en-US"/>
            </w:rPr>
            <w:t>[48]</w:t>
          </w:r>
          <w:r>
            <w:rPr>
              <w:rFonts w:cs="Times New Roman"/>
              <w:lang w:val="en-US"/>
            </w:rPr>
            <w:fldChar w:fldCharType="end"/>
          </w:r>
        </w:sdtContent>
      </w:sdt>
      <w:r w:rsidRPr="00DC6716">
        <w:rPr>
          <w:rFonts w:cs="Times New Roman"/>
          <w:lang w:val="en-US"/>
        </w:rPr>
        <w:t xml:space="preserve"> compares the </w:t>
      </w:r>
      <w:r w:rsidR="00703A54">
        <w:rPr>
          <w:rFonts w:cs="Times New Roman"/>
          <w:lang w:val="en-US"/>
        </w:rPr>
        <w:t>DSC</w:t>
      </w:r>
      <w:r w:rsidRPr="00DC6716">
        <w:rPr>
          <w:rFonts w:cs="Times New Roman"/>
          <w:lang w:val="en-US"/>
        </w:rPr>
        <w:t xml:space="preserve"> method and the T-History method, two widely used techniques for the thermal characterization of</w:t>
      </w:r>
      <w:r w:rsidR="00784D2D">
        <w:rPr>
          <w:rFonts w:cs="Times New Roman"/>
          <w:lang w:val="en-US"/>
        </w:rPr>
        <w:t xml:space="preserve"> PCMs</w:t>
      </w:r>
      <w:r w:rsidRPr="00DC6716">
        <w:rPr>
          <w:rFonts w:cs="Times New Roman"/>
          <w:lang w:val="en-US"/>
        </w:rPr>
        <w:t>. It highlights the main aspects of each approach, including testing conditions, measured parameters, and their respective advantages and limitations, providing a clear overview of their applicability in thermal energy storage studies.</w:t>
      </w:r>
    </w:p>
    <w:tbl>
      <w:tblPr>
        <w:tblStyle w:val="TableGrid"/>
        <w:tblW w:w="9067" w:type="dxa"/>
        <w:tblLook w:val="04A0" w:firstRow="1" w:lastRow="0" w:firstColumn="1" w:lastColumn="0" w:noHBand="0" w:noVBand="1"/>
      </w:tblPr>
      <w:tblGrid>
        <w:gridCol w:w="1904"/>
        <w:gridCol w:w="3761"/>
        <w:gridCol w:w="3402"/>
      </w:tblGrid>
      <w:tr w:rsidR="00DC6716" w:rsidRPr="00DC6716" w14:paraId="1512F599" w14:textId="77777777" w:rsidTr="00DC6716">
        <w:trPr>
          <w:trHeight w:val="391"/>
        </w:trPr>
        <w:tc>
          <w:tcPr>
            <w:tcW w:w="0" w:type="auto"/>
            <w:shd w:val="clear" w:color="auto" w:fill="8EA5B6"/>
            <w:vAlign w:val="center"/>
            <w:hideMark/>
          </w:tcPr>
          <w:p w14:paraId="4CA1753F" w14:textId="77777777" w:rsidR="00DC6716" w:rsidRPr="00DC6716" w:rsidRDefault="00DC6716" w:rsidP="00DC6716">
            <w:pPr>
              <w:spacing w:after="160" w:line="259" w:lineRule="auto"/>
              <w:jc w:val="center"/>
              <w:rPr>
                <w:rFonts w:cs="Times New Roman"/>
                <w:b/>
                <w:bCs/>
                <w:sz w:val="22"/>
                <w:szCs w:val="20"/>
              </w:rPr>
            </w:pPr>
            <w:r w:rsidRPr="00DC6716">
              <w:rPr>
                <w:rFonts w:cs="Times New Roman"/>
                <w:b/>
                <w:bCs/>
                <w:sz w:val="22"/>
                <w:szCs w:val="20"/>
              </w:rPr>
              <w:t>Test methods</w:t>
            </w:r>
          </w:p>
        </w:tc>
        <w:tc>
          <w:tcPr>
            <w:tcW w:w="3761" w:type="dxa"/>
            <w:shd w:val="clear" w:color="auto" w:fill="8EA5B6"/>
            <w:vAlign w:val="center"/>
            <w:hideMark/>
          </w:tcPr>
          <w:p w14:paraId="691BDF21" w14:textId="77777777" w:rsidR="00DC6716" w:rsidRPr="00DC6716" w:rsidRDefault="00DC6716" w:rsidP="00DC6716">
            <w:pPr>
              <w:spacing w:after="160" w:line="259" w:lineRule="auto"/>
              <w:jc w:val="center"/>
              <w:rPr>
                <w:rFonts w:cs="Times New Roman"/>
                <w:b/>
                <w:bCs/>
                <w:sz w:val="22"/>
                <w:szCs w:val="20"/>
              </w:rPr>
            </w:pPr>
            <w:r w:rsidRPr="00DC6716">
              <w:rPr>
                <w:rFonts w:cs="Times New Roman"/>
                <w:b/>
                <w:bCs/>
                <w:sz w:val="22"/>
                <w:szCs w:val="20"/>
              </w:rPr>
              <w:t>DSC method</w:t>
            </w:r>
          </w:p>
        </w:tc>
        <w:tc>
          <w:tcPr>
            <w:tcW w:w="3402" w:type="dxa"/>
            <w:shd w:val="clear" w:color="auto" w:fill="8EA5B6"/>
            <w:vAlign w:val="center"/>
            <w:hideMark/>
          </w:tcPr>
          <w:p w14:paraId="6D4BEEBF" w14:textId="77777777" w:rsidR="00DC6716" w:rsidRPr="00DC6716" w:rsidRDefault="00DC6716" w:rsidP="00DC6716">
            <w:pPr>
              <w:spacing w:after="160" w:line="259" w:lineRule="auto"/>
              <w:jc w:val="center"/>
              <w:rPr>
                <w:rFonts w:cs="Times New Roman"/>
                <w:b/>
                <w:bCs/>
                <w:sz w:val="22"/>
                <w:szCs w:val="20"/>
              </w:rPr>
            </w:pPr>
            <w:r w:rsidRPr="00DC6716">
              <w:rPr>
                <w:rFonts w:cs="Times New Roman"/>
                <w:b/>
                <w:bCs/>
                <w:sz w:val="22"/>
                <w:szCs w:val="20"/>
              </w:rPr>
              <w:t>T-History method</w:t>
            </w:r>
          </w:p>
        </w:tc>
      </w:tr>
      <w:tr w:rsidR="00DC6716" w:rsidRPr="00736B36" w14:paraId="1AB1756B" w14:textId="77777777" w:rsidTr="00DC6716">
        <w:trPr>
          <w:trHeight w:val="900"/>
        </w:trPr>
        <w:tc>
          <w:tcPr>
            <w:tcW w:w="0" w:type="auto"/>
            <w:vAlign w:val="center"/>
            <w:hideMark/>
          </w:tcPr>
          <w:p w14:paraId="1364AAC1" w14:textId="77777777" w:rsidR="00DC6716" w:rsidRPr="00DC6716" w:rsidRDefault="00DC6716" w:rsidP="00DC6716">
            <w:pPr>
              <w:spacing w:after="160" w:line="259" w:lineRule="auto"/>
              <w:jc w:val="center"/>
              <w:rPr>
                <w:rFonts w:cs="Times New Roman"/>
                <w:sz w:val="22"/>
                <w:szCs w:val="20"/>
              </w:rPr>
            </w:pPr>
            <w:r w:rsidRPr="00DC6716">
              <w:rPr>
                <w:rFonts w:cs="Times New Roman"/>
                <w:sz w:val="22"/>
                <w:szCs w:val="20"/>
              </w:rPr>
              <w:t>Specification of test</w:t>
            </w:r>
          </w:p>
        </w:tc>
        <w:tc>
          <w:tcPr>
            <w:tcW w:w="3761" w:type="dxa"/>
            <w:vAlign w:val="center"/>
            <w:hideMark/>
          </w:tcPr>
          <w:p w14:paraId="17F75C1F" w14:textId="77777777" w:rsidR="00DC6716" w:rsidRPr="00DC6716" w:rsidRDefault="00DC6716" w:rsidP="00DC6716">
            <w:pPr>
              <w:spacing w:after="160" w:line="259" w:lineRule="auto"/>
              <w:jc w:val="center"/>
              <w:rPr>
                <w:rFonts w:cs="Times New Roman"/>
                <w:sz w:val="22"/>
                <w:szCs w:val="20"/>
                <w:lang w:val="en-US"/>
              </w:rPr>
            </w:pPr>
            <w:r w:rsidRPr="00DC6716">
              <w:rPr>
                <w:rFonts w:cs="Times New Roman"/>
                <w:sz w:val="22"/>
                <w:szCs w:val="20"/>
                <w:lang w:val="en-US"/>
              </w:rPr>
              <w:t>1–10 mg / liquid state / solid particle</w:t>
            </w:r>
          </w:p>
        </w:tc>
        <w:tc>
          <w:tcPr>
            <w:tcW w:w="3402" w:type="dxa"/>
            <w:vAlign w:val="center"/>
            <w:hideMark/>
          </w:tcPr>
          <w:p w14:paraId="0795D8F9" w14:textId="77777777" w:rsidR="00DC6716" w:rsidRPr="00DC6716" w:rsidRDefault="00DC6716" w:rsidP="00DC6716">
            <w:pPr>
              <w:spacing w:after="160" w:line="259" w:lineRule="auto"/>
              <w:jc w:val="center"/>
              <w:rPr>
                <w:rFonts w:cs="Times New Roman"/>
                <w:sz w:val="22"/>
                <w:szCs w:val="20"/>
                <w:lang w:val="en-US"/>
              </w:rPr>
            </w:pPr>
            <w:r w:rsidRPr="00DC6716">
              <w:rPr>
                <w:rFonts w:cs="Times New Roman"/>
                <w:sz w:val="22"/>
                <w:szCs w:val="20"/>
                <w:lang w:val="en-US"/>
              </w:rPr>
              <w:t>Water bath device of constant temperature integrated with a data acquisition system</w:t>
            </w:r>
          </w:p>
        </w:tc>
      </w:tr>
      <w:tr w:rsidR="00DC6716" w:rsidRPr="00DC6716" w14:paraId="70CE74CA" w14:textId="77777777" w:rsidTr="00DC6716">
        <w:trPr>
          <w:trHeight w:val="634"/>
        </w:trPr>
        <w:tc>
          <w:tcPr>
            <w:tcW w:w="0" w:type="auto"/>
            <w:vAlign w:val="center"/>
            <w:hideMark/>
          </w:tcPr>
          <w:p w14:paraId="24F23CC0" w14:textId="77777777" w:rsidR="00DC6716" w:rsidRPr="00DC6716" w:rsidRDefault="00DC6716" w:rsidP="00DC6716">
            <w:pPr>
              <w:spacing w:after="160" w:line="259" w:lineRule="auto"/>
              <w:jc w:val="center"/>
              <w:rPr>
                <w:rFonts w:cs="Times New Roman"/>
                <w:sz w:val="22"/>
                <w:szCs w:val="20"/>
                <w:lang w:val="en-US"/>
              </w:rPr>
            </w:pPr>
            <w:r w:rsidRPr="00DC6716">
              <w:rPr>
                <w:rFonts w:cs="Times New Roman"/>
                <w:sz w:val="22"/>
                <w:szCs w:val="20"/>
                <w:lang w:val="en-US"/>
              </w:rPr>
              <w:t>Temperature range of the test</w:t>
            </w:r>
          </w:p>
        </w:tc>
        <w:tc>
          <w:tcPr>
            <w:tcW w:w="3761" w:type="dxa"/>
            <w:vAlign w:val="center"/>
            <w:hideMark/>
          </w:tcPr>
          <w:p w14:paraId="7C115209" w14:textId="77777777" w:rsidR="00DC6716" w:rsidRPr="00DC6716" w:rsidRDefault="00DC6716" w:rsidP="00DC6716">
            <w:pPr>
              <w:spacing w:after="160" w:line="259" w:lineRule="auto"/>
              <w:jc w:val="center"/>
              <w:rPr>
                <w:rFonts w:cs="Times New Roman"/>
                <w:sz w:val="22"/>
                <w:szCs w:val="20"/>
              </w:rPr>
            </w:pPr>
            <w:r w:rsidRPr="00DC6716">
              <w:rPr>
                <w:rFonts w:cs="Times New Roman"/>
                <w:sz w:val="22"/>
                <w:szCs w:val="20"/>
              </w:rPr>
              <w:t>−170 °C – 730 °C</w:t>
            </w:r>
          </w:p>
        </w:tc>
        <w:tc>
          <w:tcPr>
            <w:tcW w:w="3402" w:type="dxa"/>
            <w:vAlign w:val="center"/>
            <w:hideMark/>
          </w:tcPr>
          <w:p w14:paraId="3F851DA1" w14:textId="77777777" w:rsidR="00DC6716" w:rsidRPr="00DC6716" w:rsidRDefault="00DC6716" w:rsidP="00DC6716">
            <w:pPr>
              <w:spacing w:after="160" w:line="259" w:lineRule="auto"/>
              <w:jc w:val="center"/>
              <w:rPr>
                <w:rFonts w:cs="Times New Roman"/>
                <w:sz w:val="22"/>
                <w:szCs w:val="20"/>
              </w:rPr>
            </w:pPr>
            <w:r w:rsidRPr="00DC6716">
              <w:rPr>
                <w:rFonts w:cs="Times New Roman"/>
                <w:sz w:val="22"/>
                <w:szCs w:val="20"/>
              </w:rPr>
              <w:t>−20 °C – 180 °C</w:t>
            </w:r>
          </w:p>
        </w:tc>
      </w:tr>
      <w:tr w:rsidR="00DC6716" w:rsidRPr="00736B36" w14:paraId="3E611CD7" w14:textId="77777777" w:rsidTr="00DC6716">
        <w:trPr>
          <w:trHeight w:val="900"/>
        </w:trPr>
        <w:tc>
          <w:tcPr>
            <w:tcW w:w="0" w:type="auto"/>
            <w:vAlign w:val="center"/>
            <w:hideMark/>
          </w:tcPr>
          <w:p w14:paraId="3B635847" w14:textId="77777777" w:rsidR="00DC6716" w:rsidRPr="00DC6716" w:rsidRDefault="00DC6716" w:rsidP="00DC6716">
            <w:pPr>
              <w:spacing w:after="160" w:line="259" w:lineRule="auto"/>
              <w:jc w:val="center"/>
              <w:rPr>
                <w:rFonts w:cs="Times New Roman"/>
                <w:sz w:val="22"/>
                <w:szCs w:val="20"/>
              </w:rPr>
            </w:pPr>
            <w:r w:rsidRPr="00DC6716">
              <w:rPr>
                <w:rFonts w:cs="Times New Roman"/>
                <w:sz w:val="22"/>
                <w:szCs w:val="20"/>
              </w:rPr>
              <w:t>Instrument for test</w:t>
            </w:r>
          </w:p>
        </w:tc>
        <w:tc>
          <w:tcPr>
            <w:tcW w:w="3761" w:type="dxa"/>
            <w:vAlign w:val="center"/>
            <w:hideMark/>
          </w:tcPr>
          <w:p w14:paraId="6D3E6F09" w14:textId="77777777" w:rsidR="00DC6716" w:rsidRPr="00DC6716" w:rsidRDefault="00DC6716" w:rsidP="00DC6716">
            <w:pPr>
              <w:spacing w:after="160" w:line="259" w:lineRule="auto"/>
              <w:jc w:val="center"/>
              <w:rPr>
                <w:rFonts w:cs="Times New Roman"/>
                <w:sz w:val="22"/>
                <w:szCs w:val="20"/>
                <w:highlight w:val="yellow"/>
                <w:lang w:val="en-US"/>
              </w:rPr>
            </w:pPr>
            <w:r w:rsidRPr="00DC6716">
              <w:rPr>
                <w:rFonts w:cs="Times New Roman"/>
                <w:sz w:val="22"/>
                <w:szCs w:val="20"/>
                <w:lang w:val="en-US"/>
              </w:rPr>
              <w:t>Heat flux, DSC Diamond, the power compensation DSC</w:t>
            </w:r>
          </w:p>
        </w:tc>
        <w:tc>
          <w:tcPr>
            <w:tcW w:w="3402" w:type="dxa"/>
            <w:vAlign w:val="center"/>
            <w:hideMark/>
          </w:tcPr>
          <w:p w14:paraId="0F36A4E8" w14:textId="77777777" w:rsidR="00DC6716" w:rsidRPr="00DC6716" w:rsidRDefault="00DC6716" w:rsidP="00DC6716">
            <w:pPr>
              <w:spacing w:after="160" w:line="259" w:lineRule="auto"/>
              <w:jc w:val="center"/>
              <w:rPr>
                <w:rFonts w:cs="Times New Roman"/>
                <w:sz w:val="22"/>
                <w:szCs w:val="20"/>
                <w:lang w:val="en-US"/>
              </w:rPr>
            </w:pPr>
            <w:r w:rsidRPr="00DC6716">
              <w:rPr>
                <w:rFonts w:cs="Times New Roman"/>
                <w:sz w:val="22"/>
                <w:szCs w:val="20"/>
                <w:lang w:val="en-US"/>
              </w:rPr>
              <w:t>Water bath device of constant temperature integrated with a data acquisition system</w:t>
            </w:r>
          </w:p>
        </w:tc>
      </w:tr>
      <w:tr w:rsidR="00DC6716" w:rsidRPr="00736B36" w14:paraId="09C9C637" w14:textId="77777777" w:rsidTr="00DC6716">
        <w:trPr>
          <w:trHeight w:val="1143"/>
        </w:trPr>
        <w:tc>
          <w:tcPr>
            <w:tcW w:w="0" w:type="auto"/>
            <w:vAlign w:val="center"/>
            <w:hideMark/>
          </w:tcPr>
          <w:p w14:paraId="2E9C45AA" w14:textId="77777777" w:rsidR="00DC6716" w:rsidRPr="00DC6716" w:rsidRDefault="00DC6716" w:rsidP="00DC6716">
            <w:pPr>
              <w:spacing w:after="160" w:line="259" w:lineRule="auto"/>
              <w:jc w:val="center"/>
              <w:rPr>
                <w:rFonts w:cs="Times New Roman"/>
                <w:sz w:val="22"/>
                <w:szCs w:val="20"/>
              </w:rPr>
            </w:pPr>
            <w:r w:rsidRPr="00DC6716">
              <w:rPr>
                <w:rFonts w:cs="Times New Roman"/>
                <w:sz w:val="22"/>
                <w:szCs w:val="20"/>
              </w:rPr>
              <w:t>Results of the test</w:t>
            </w:r>
          </w:p>
        </w:tc>
        <w:tc>
          <w:tcPr>
            <w:tcW w:w="3761" w:type="dxa"/>
            <w:vAlign w:val="center"/>
            <w:hideMark/>
          </w:tcPr>
          <w:p w14:paraId="3C295144" w14:textId="77777777" w:rsidR="00DC6716" w:rsidRPr="00DC6716" w:rsidRDefault="00DC6716" w:rsidP="00DC6716">
            <w:pPr>
              <w:spacing w:after="160" w:line="259" w:lineRule="auto"/>
              <w:jc w:val="center"/>
              <w:rPr>
                <w:rFonts w:cs="Times New Roman"/>
                <w:sz w:val="22"/>
                <w:szCs w:val="20"/>
                <w:lang w:val="en-US"/>
              </w:rPr>
            </w:pPr>
            <w:r w:rsidRPr="00DC6716">
              <w:rPr>
                <w:rFonts w:cs="Times New Roman"/>
                <w:sz w:val="22"/>
                <w:szCs w:val="20"/>
                <w:lang w:val="en-US"/>
              </w:rPr>
              <w:t>Specific heat, freezing/melting temperatures, latent heat, and degree of supercooling</w:t>
            </w:r>
          </w:p>
        </w:tc>
        <w:tc>
          <w:tcPr>
            <w:tcW w:w="3402" w:type="dxa"/>
            <w:vAlign w:val="center"/>
            <w:hideMark/>
          </w:tcPr>
          <w:p w14:paraId="181F749F" w14:textId="77777777" w:rsidR="00DC6716" w:rsidRPr="00DC6716" w:rsidRDefault="00DC6716" w:rsidP="00DC6716">
            <w:pPr>
              <w:spacing w:after="160" w:line="259" w:lineRule="auto"/>
              <w:jc w:val="center"/>
              <w:rPr>
                <w:rFonts w:cs="Times New Roman"/>
                <w:sz w:val="22"/>
                <w:szCs w:val="20"/>
                <w:lang w:val="en-US"/>
              </w:rPr>
            </w:pPr>
            <w:r w:rsidRPr="00DC6716">
              <w:rPr>
                <w:rFonts w:cs="Times New Roman"/>
                <w:sz w:val="22"/>
                <w:szCs w:val="20"/>
                <w:lang w:val="en-US"/>
              </w:rPr>
              <w:t>Thermal diffusivity, thermal conductivity, specific heat, freezing/melting temperatures, latent heat &amp; supercooling effect</w:t>
            </w:r>
          </w:p>
        </w:tc>
      </w:tr>
      <w:tr w:rsidR="00DC6716" w:rsidRPr="00736B36" w14:paraId="522D8356" w14:textId="77777777" w:rsidTr="00DC6716">
        <w:trPr>
          <w:trHeight w:val="1894"/>
        </w:trPr>
        <w:tc>
          <w:tcPr>
            <w:tcW w:w="0" w:type="auto"/>
            <w:vAlign w:val="center"/>
            <w:hideMark/>
          </w:tcPr>
          <w:p w14:paraId="1CC5E647" w14:textId="77777777" w:rsidR="00DC6716" w:rsidRPr="00DC6716" w:rsidRDefault="00DC6716" w:rsidP="00DC6716">
            <w:pPr>
              <w:spacing w:after="160" w:line="259" w:lineRule="auto"/>
              <w:jc w:val="center"/>
              <w:rPr>
                <w:rFonts w:cs="Times New Roman"/>
                <w:sz w:val="22"/>
                <w:szCs w:val="20"/>
              </w:rPr>
            </w:pPr>
            <w:r w:rsidRPr="00DC6716">
              <w:rPr>
                <w:rFonts w:cs="Times New Roman"/>
                <w:sz w:val="22"/>
                <w:szCs w:val="20"/>
              </w:rPr>
              <w:t>Advantages and disadvantages</w:t>
            </w:r>
          </w:p>
        </w:tc>
        <w:tc>
          <w:tcPr>
            <w:tcW w:w="3761" w:type="dxa"/>
            <w:vAlign w:val="center"/>
            <w:hideMark/>
          </w:tcPr>
          <w:p w14:paraId="6F1FF168" w14:textId="77777777" w:rsidR="00DC6716" w:rsidRPr="00DC6716" w:rsidRDefault="00DC6716" w:rsidP="00DC6716">
            <w:pPr>
              <w:spacing w:after="160" w:line="259" w:lineRule="auto"/>
              <w:jc w:val="center"/>
              <w:rPr>
                <w:rFonts w:cs="Times New Roman"/>
                <w:sz w:val="22"/>
                <w:szCs w:val="20"/>
                <w:lang w:val="en-US"/>
              </w:rPr>
            </w:pPr>
            <w:r w:rsidRPr="00DC6716">
              <w:rPr>
                <w:rFonts w:cs="Times New Roman"/>
                <w:i/>
                <w:iCs/>
                <w:sz w:val="22"/>
                <w:szCs w:val="20"/>
                <w:u w:val="single"/>
                <w:lang w:val="en-US"/>
              </w:rPr>
              <w:t>Advantages</w:t>
            </w:r>
            <w:r w:rsidRPr="00DC6716">
              <w:rPr>
                <w:rFonts w:cs="Times New Roman"/>
                <w:sz w:val="22"/>
                <w:szCs w:val="20"/>
                <w:lang w:val="en-US"/>
              </w:rPr>
              <w:t>: high maturity, high accuracy in results, and wider temperature test range.</w:t>
            </w:r>
            <w:r w:rsidRPr="00DC6716">
              <w:rPr>
                <w:rFonts w:cs="Times New Roman"/>
                <w:sz w:val="22"/>
                <w:szCs w:val="20"/>
                <w:lang w:val="en-US"/>
              </w:rPr>
              <w:br/>
            </w:r>
            <w:r w:rsidRPr="00DC6716">
              <w:rPr>
                <w:rFonts w:cs="Times New Roman"/>
                <w:i/>
                <w:iCs/>
                <w:sz w:val="22"/>
                <w:szCs w:val="20"/>
                <w:u w:val="single"/>
                <w:lang w:val="en-US"/>
              </w:rPr>
              <w:t>Disadvantage</w:t>
            </w:r>
            <w:r w:rsidRPr="00DC6716">
              <w:rPr>
                <w:rFonts w:cs="Times New Roman"/>
                <w:sz w:val="22"/>
                <w:szCs w:val="20"/>
                <w:lang w:val="en-US"/>
              </w:rPr>
              <w:t>s: quantity of sample is tiny and may cause supercooling; unable to evaluate thermal diffusivity &amp; thermal conductivity of the sample.</w:t>
            </w:r>
          </w:p>
        </w:tc>
        <w:tc>
          <w:tcPr>
            <w:tcW w:w="3402" w:type="dxa"/>
            <w:vAlign w:val="center"/>
            <w:hideMark/>
          </w:tcPr>
          <w:p w14:paraId="377D04CA" w14:textId="77777777" w:rsidR="00DC6716" w:rsidRPr="00DC6716" w:rsidRDefault="00DC6716" w:rsidP="00DC6716">
            <w:pPr>
              <w:keepNext/>
              <w:spacing w:after="160" w:line="259" w:lineRule="auto"/>
              <w:jc w:val="center"/>
              <w:rPr>
                <w:rFonts w:cs="Times New Roman"/>
                <w:sz w:val="22"/>
                <w:szCs w:val="20"/>
                <w:lang w:val="en-US"/>
              </w:rPr>
            </w:pPr>
            <w:r w:rsidRPr="00DC6716">
              <w:rPr>
                <w:rFonts w:cs="Times New Roman"/>
                <w:i/>
                <w:iCs/>
                <w:sz w:val="22"/>
                <w:szCs w:val="20"/>
                <w:u w:val="single"/>
                <w:lang w:val="en-US"/>
              </w:rPr>
              <w:t>Advantages</w:t>
            </w:r>
            <w:r w:rsidRPr="00DC6716">
              <w:rPr>
                <w:rFonts w:cs="Times New Roman"/>
                <w:sz w:val="22"/>
                <w:szCs w:val="20"/>
                <w:lang w:val="en-US"/>
              </w:rPr>
              <w:t>: simple construction and principle of the apparatus, able to test several thermal properties.</w:t>
            </w:r>
            <w:r w:rsidRPr="00DC6716">
              <w:rPr>
                <w:rFonts w:cs="Times New Roman"/>
                <w:sz w:val="22"/>
                <w:szCs w:val="20"/>
                <w:lang w:val="en-US"/>
              </w:rPr>
              <w:br/>
            </w:r>
            <w:r w:rsidRPr="00DC6716">
              <w:rPr>
                <w:rFonts w:cs="Times New Roman"/>
                <w:i/>
                <w:iCs/>
                <w:sz w:val="22"/>
                <w:szCs w:val="20"/>
                <w:u w:val="single"/>
                <w:lang w:val="en-US"/>
              </w:rPr>
              <w:t>Disadvantage</w:t>
            </w:r>
            <w:r w:rsidRPr="00DC6716">
              <w:rPr>
                <w:rFonts w:cs="Times New Roman"/>
                <w:sz w:val="22"/>
                <w:szCs w:val="20"/>
                <w:lang w:val="en-US"/>
              </w:rPr>
              <w:t>s: errors in results may occur if the performer does not properly operate or damage the component.</w:t>
            </w:r>
          </w:p>
        </w:tc>
      </w:tr>
    </w:tbl>
    <w:p w14:paraId="37145ECC" w14:textId="4BE36459" w:rsidR="00DC6716" w:rsidRPr="003028DD" w:rsidRDefault="00DC6716" w:rsidP="003028DD">
      <w:pPr>
        <w:pStyle w:val="Caption"/>
      </w:pPr>
      <w:bookmarkStart w:id="58" w:name="_Toc214362616"/>
      <w:r>
        <w:t xml:space="preserve">Table </w:t>
      </w:r>
      <w:r w:rsidR="00F43E9A">
        <w:fldChar w:fldCharType="begin"/>
      </w:r>
      <w:r w:rsidR="00F43E9A">
        <w:instrText xml:space="preserve"> STYLEREF 1 \s </w:instrText>
      </w:r>
      <w:r w:rsidR="00F43E9A">
        <w:fldChar w:fldCharType="separate"/>
      </w:r>
      <w:r w:rsidR="000412CE">
        <w:rPr>
          <w:noProof/>
        </w:rPr>
        <w:t>1</w:t>
      </w:r>
      <w:r w:rsidR="00F43E9A">
        <w:fldChar w:fldCharType="end"/>
      </w:r>
      <w:r w:rsidR="00F43E9A">
        <w:t>.</w:t>
      </w:r>
      <w:r w:rsidR="00F43E9A">
        <w:fldChar w:fldCharType="begin"/>
      </w:r>
      <w:r w:rsidR="00F43E9A">
        <w:instrText xml:space="preserve"> SEQ Table \* ARABIC \s 1 </w:instrText>
      </w:r>
      <w:r w:rsidR="00F43E9A">
        <w:fldChar w:fldCharType="separate"/>
      </w:r>
      <w:r w:rsidR="000412CE">
        <w:rPr>
          <w:noProof/>
        </w:rPr>
        <w:t>11</w:t>
      </w:r>
      <w:r w:rsidR="00F43E9A">
        <w:fldChar w:fldCharType="end"/>
      </w:r>
      <w:r w:rsidR="00DE026D">
        <w:t>.</w:t>
      </w:r>
      <w:r>
        <w:t xml:space="preserve"> </w:t>
      </w:r>
      <w:r w:rsidRPr="00C26591">
        <w:t>Comparison of DSC and T-history methods for PCM characterization: test specification, temperature range, instrumentation, measured outputs and key advantages/limitations.</w:t>
      </w:r>
      <w:bookmarkEnd w:id="58"/>
    </w:p>
    <w:p w14:paraId="6A4F982F" w14:textId="56AB0FDE" w:rsidR="007F692E" w:rsidRDefault="00C33814" w:rsidP="00C33814">
      <w:pPr>
        <w:pStyle w:val="Heading3"/>
        <w:rPr>
          <w:lang w:val="en-US"/>
        </w:rPr>
      </w:pPr>
      <w:bookmarkStart w:id="59" w:name="_Toc214356281"/>
      <w:r>
        <w:rPr>
          <w:lang w:val="en-US"/>
        </w:rPr>
        <w:lastRenderedPageBreak/>
        <w:t>New procedure</w:t>
      </w:r>
      <w:bookmarkEnd w:id="59"/>
    </w:p>
    <w:p w14:paraId="05C042A8" w14:textId="257F300C" w:rsidR="00C33814" w:rsidRPr="00C33814" w:rsidRDefault="00C33814" w:rsidP="00C33814">
      <w:pPr>
        <w:rPr>
          <w:rFonts w:cs="Times New Roman"/>
          <w:lang w:val="en-US"/>
        </w:rPr>
      </w:pPr>
      <w:r w:rsidRPr="00C33814">
        <w:rPr>
          <w:rFonts w:cs="Times New Roman"/>
          <w:lang w:val="en-US"/>
        </w:rPr>
        <w:t xml:space="preserve">Let us analyze a new procedure </w:t>
      </w:r>
      <w:sdt>
        <w:sdtPr>
          <w:rPr>
            <w:rFonts w:cs="Times New Roman"/>
            <w:lang w:val="en-US"/>
          </w:rPr>
          <w:id w:val="-168647165"/>
          <w:citation/>
        </w:sdtPr>
        <w:sdtContent>
          <w:r w:rsidRPr="00C33814">
            <w:rPr>
              <w:rFonts w:cs="Times New Roman"/>
              <w:lang w:val="en-US"/>
            </w:rPr>
            <w:fldChar w:fldCharType="begin"/>
          </w:r>
          <w:r w:rsidRPr="00C33814">
            <w:rPr>
              <w:rFonts w:cs="Times New Roman"/>
              <w:lang w:val="en-US"/>
            </w:rPr>
            <w:instrText xml:space="preserve"> CITATION Placeholder55 \l 1040 </w:instrText>
          </w:r>
          <w:r w:rsidRPr="00C33814">
            <w:rPr>
              <w:rFonts w:cs="Times New Roman"/>
              <w:lang w:val="en-US"/>
            </w:rPr>
            <w:fldChar w:fldCharType="separate"/>
          </w:r>
          <w:r w:rsidR="00855396" w:rsidRPr="00855396">
            <w:rPr>
              <w:rFonts w:cs="Times New Roman"/>
              <w:noProof/>
              <w:lang w:val="en-US"/>
            </w:rPr>
            <w:t>[49]</w:t>
          </w:r>
          <w:r w:rsidRPr="00C33814">
            <w:rPr>
              <w:rFonts w:cs="Times New Roman"/>
              <w:lang w:val="en-US"/>
            </w:rPr>
            <w:fldChar w:fldCharType="end"/>
          </w:r>
        </w:sdtContent>
      </w:sdt>
      <w:r w:rsidRPr="00C33814">
        <w:rPr>
          <w:rFonts w:cs="Times New Roman"/>
          <w:lang w:val="en-US"/>
        </w:rPr>
        <w:t xml:space="preserve"> to determine thermophysical properties. This experimental method was developed to determine the thermal conductivity and specific heat capacity of a material in both its solid and liquid phases. The test involves subjecting the sample to a thermal transient without allowing any phase change to occur. During this process, the temperature and heat flux are measured on both surfaces of the sample: the data from the transient regime are used to calculate the specific heat, while the data from the final steady-state regime are used to determine the thermal conductivity. The thermal conductivity (</w:t>
      </w:r>
      <w:r w:rsidR="0027222B" w:rsidRPr="00AB35B8">
        <w:rPr>
          <w:rFonts w:cs="Times New Roman"/>
          <w:lang w:val="en-US"/>
        </w:rPr>
        <w:t>k</w:t>
      </w:r>
      <w:r w:rsidRPr="00C33814">
        <w:rPr>
          <w:rFonts w:cs="Times New Roman"/>
          <w:lang w:val="en-US"/>
        </w:rPr>
        <w:t xml:space="preserve">) is calculated in </w:t>
      </w:r>
      <w:r w:rsidR="001D0C2A">
        <w:rPr>
          <w:rFonts w:cs="Times New Roman"/>
          <w:lang w:val="en-US"/>
        </w:rPr>
        <w:t>Eq. (</w:t>
      </w:r>
      <w:r w:rsidRPr="00C33814">
        <w:rPr>
          <w:rFonts w:cs="Times New Roman"/>
          <w:lang w:val="en-US"/>
        </w:rPr>
        <w:t>7) and it is based on the temperature difference between the two faces and the measured heat flux, following a relation proportional to the thermal gradient.</w:t>
      </w:r>
    </w:p>
    <w:p w14:paraId="3BC9D7E3" w14:textId="47DC7236" w:rsidR="00C33814" w:rsidRPr="00C33814" w:rsidRDefault="0027222B" w:rsidP="00C33814">
      <w:pPr>
        <w:rPr>
          <w:rFonts w:eastAsiaTheme="minorEastAsia" w:cs="Times New Roman"/>
          <w:lang w:val="nb-NO"/>
        </w:rPr>
      </w:pPr>
      <m:oMathPara>
        <m:oMathParaPr>
          <m:jc m:val="right"/>
        </m:oMathParaPr>
        <m:oMath>
          <m:r>
            <w:rPr>
              <w:rFonts w:ascii="Cambria Math" w:hAnsi="Cambria Math" w:cs="Times New Roman"/>
              <w:lang w:val="nb-NO"/>
            </w:rPr>
            <m:t>k=</m:t>
          </m:r>
          <m:f>
            <m:fPr>
              <m:ctrlPr>
                <w:rPr>
                  <w:rFonts w:ascii="Cambria Math" w:eastAsiaTheme="minorEastAsia" w:hAnsi="Cambria Math" w:cs="Times New Roman"/>
                  <w:i/>
                  <w:lang w:val="nb-NO"/>
                </w:rPr>
              </m:ctrlPr>
            </m:fPr>
            <m:num>
              <m:sSub>
                <m:sSubPr>
                  <m:ctrlPr>
                    <w:rPr>
                      <w:rFonts w:ascii="Cambria Math" w:eastAsiaTheme="minorEastAsia" w:hAnsi="Cambria Math" w:cs="Times New Roman"/>
                      <w:i/>
                      <w:lang w:val="nb-NO"/>
                    </w:rPr>
                  </m:ctrlPr>
                </m:sSubPr>
                <m:e>
                  <m:r>
                    <w:rPr>
                      <w:rFonts w:ascii="Cambria Math" w:eastAsiaTheme="minorEastAsia" w:hAnsi="Cambria Math" w:cs="Times New Roman"/>
                      <w:lang w:val="nb-NO"/>
                    </w:rPr>
                    <m:t>F</m:t>
                  </m:r>
                </m:e>
                <m:sub>
                  <m:r>
                    <w:rPr>
                      <w:rFonts w:ascii="Cambria Math" w:eastAsiaTheme="minorEastAsia" w:hAnsi="Cambria Math" w:cs="Times New Roman"/>
                      <w:lang w:val="nb-NO"/>
                    </w:rPr>
                    <m:t>f</m:t>
                  </m:r>
                </m:sub>
              </m:sSub>
              <m:ctrlPr>
                <w:rPr>
                  <w:rFonts w:ascii="Cambria Math" w:hAnsi="Cambria Math" w:cs="Times New Roman"/>
                  <w:i/>
                  <w:lang w:val="nb-NO"/>
                </w:rPr>
              </m:ctrlPr>
            </m:num>
            <m:den>
              <m:d>
                <m:dPr>
                  <m:ctrlPr>
                    <w:rPr>
                      <w:rFonts w:ascii="Cambria Math" w:hAnsi="Cambria Math" w:cs="Times New Roman"/>
                      <w:i/>
                      <w:lang w:val="nb-NO"/>
                    </w:rPr>
                  </m:ctrlPr>
                </m:dPr>
                <m:e>
                  <m:sSub>
                    <m:sSubPr>
                      <m:ctrlPr>
                        <w:rPr>
                          <w:rFonts w:ascii="Cambria Math" w:hAnsi="Cambria Math" w:cs="Times New Roman"/>
                          <w:i/>
                          <w:lang w:val="nb-NO"/>
                        </w:rPr>
                      </m:ctrlPr>
                    </m:sSubPr>
                    <m:e>
                      <m:r>
                        <w:rPr>
                          <w:rFonts w:ascii="Cambria Math" w:hAnsi="Cambria Math" w:cs="Times New Roman"/>
                          <w:lang w:val="nb-NO"/>
                        </w:rPr>
                        <m:t>T</m:t>
                      </m:r>
                    </m:e>
                    <m:sub>
                      <m:r>
                        <w:rPr>
                          <w:rFonts w:ascii="Cambria Math" w:hAnsi="Cambria Math" w:cs="Times New Roman"/>
                          <w:lang w:val="nb-NO"/>
                        </w:rPr>
                        <m:t>top,f</m:t>
                      </m:r>
                    </m:sub>
                  </m:sSub>
                  <m:r>
                    <w:rPr>
                      <w:rFonts w:ascii="Cambria Math" w:hAnsi="Cambria Math" w:cs="Times New Roman"/>
                      <w:lang w:val="nb-NO"/>
                    </w:rPr>
                    <m:t>-</m:t>
                  </m:r>
                  <m:sSub>
                    <m:sSubPr>
                      <m:ctrlPr>
                        <w:rPr>
                          <w:rFonts w:ascii="Cambria Math" w:hAnsi="Cambria Math" w:cs="Times New Roman"/>
                          <w:i/>
                          <w:lang w:val="nb-NO"/>
                        </w:rPr>
                      </m:ctrlPr>
                    </m:sSubPr>
                    <m:e>
                      <m:r>
                        <w:rPr>
                          <w:rFonts w:ascii="Cambria Math" w:hAnsi="Cambria Math" w:cs="Times New Roman"/>
                          <w:lang w:val="nb-NO"/>
                        </w:rPr>
                        <m:t>T</m:t>
                      </m:r>
                    </m:e>
                    <m:sub>
                      <m:r>
                        <w:rPr>
                          <w:rFonts w:ascii="Cambria Math" w:hAnsi="Cambria Math" w:cs="Times New Roman"/>
                          <w:lang w:val="nb-NO"/>
                        </w:rPr>
                        <m:t>bot,f</m:t>
                      </m:r>
                    </m:sub>
                  </m:sSub>
                </m:e>
              </m:d>
            </m:den>
          </m:f>
          <m:r>
            <w:rPr>
              <w:rFonts w:ascii="Cambria Math" w:eastAsiaTheme="minorEastAsia" w:hAnsi="Cambria Math" w:cs="Times New Roman"/>
              <w:lang w:val="nb-NO"/>
            </w:rPr>
            <m:t>L</m:t>
          </m:r>
          <m:r>
            <w:rPr>
              <w:rFonts w:ascii="Cambria Math" w:hAnsi="Cambria Math" w:cs="Times New Roman"/>
              <w:lang w:val="nb-NO"/>
            </w:rPr>
            <m:t xml:space="preserve">                                                                         (7)</m:t>
          </m:r>
        </m:oMath>
      </m:oMathPara>
    </w:p>
    <w:p w14:paraId="496BE36D" w14:textId="631444ED" w:rsidR="00C33814" w:rsidRPr="00C33814" w:rsidRDefault="00C33814" w:rsidP="00C33814">
      <w:pPr>
        <w:rPr>
          <w:rFonts w:cs="Times New Roman"/>
          <w:lang w:val="en-US"/>
        </w:rPr>
      </w:pPr>
      <w:r w:rsidRPr="00C33814">
        <w:rPr>
          <w:rFonts w:eastAsiaTheme="minorEastAsia" w:cs="Times New Roman"/>
          <w:lang w:val="en-US"/>
        </w:rPr>
        <w:t xml:space="preserve">Where </w:t>
      </w:r>
      <m:oMath>
        <m:sSub>
          <m:sSubPr>
            <m:ctrlPr>
              <w:rPr>
                <w:rFonts w:ascii="Cambria Math" w:eastAsiaTheme="minorEastAsia" w:hAnsi="Cambria Math" w:cs="Times New Roman"/>
                <w:i/>
                <w:lang w:val="nb-NO"/>
              </w:rPr>
            </m:ctrlPr>
          </m:sSubPr>
          <m:e>
            <m:r>
              <w:rPr>
                <w:rFonts w:ascii="Cambria Math" w:eastAsiaTheme="minorEastAsia" w:hAnsi="Cambria Math" w:cs="Times New Roman"/>
                <w:lang w:val="nb-NO"/>
              </w:rPr>
              <m:t>F</m:t>
            </m:r>
          </m:e>
          <m:sub>
            <m:r>
              <w:rPr>
                <w:rFonts w:ascii="Cambria Math" w:eastAsiaTheme="minorEastAsia" w:hAnsi="Cambria Math" w:cs="Times New Roman"/>
                <w:lang w:val="nb-NO"/>
              </w:rPr>
              <m:t>f</m:t>
            </m:r>
          </m:sub>
        </m:sSub>
      </m:oMath>
      <w:r w:rsidRPr="00C33814">
        <w:rPr>
          <w:rFonts w:eastAsiaTheme="minorEastAsia" w:cs="Times New Roman"/>
          <w:lang w:val="en-US"/>
        </w:rPr>
        <w:t xml:space="preserve"> is the heat flux, </w:t>
      </w:r>
      <m:oMath>
        <m:sSub>
          <m:sSubPr>
            <m:ctrlPr>
              <w:rPr>
                <w:rFonts w:ascii="Cambria Math" w:eastAsiaTheme="minorEastAsia" w:hAnsi="Cambria Math" w:cs="Times New Roman"/>
                <w:i/>
                <w:lang w:val="nb-NO"/>
              </w:rPr>
            </m:ctrlPr>
          </m:sSubPr>
          <m:e>
            <m:r>
              <w:rPr>
                <w:rFonts w:ascii="Cambria Math" w:eastAsiaTheme="minorEastAsia" w:hAnsi="Cambria Math" w:cs="Times New Roman"/>
                <w:lang w:val="nb-NO"/>
              </w:rPr>
              <m:t>T</m:t>
            </m:r>
          </m:e>
          <m:sub>
            <m:r>
              <w:rPr>
                <w:rFonts w:ascii="Cambria Math" w:eastAsiaTheme="minorEastAsia" w:hAnsi="Cambria Math" w:cs="Times New Roman"/>
                <w:lang w:val="nb-NO"/>
              </w:rPr>
              <m:t>top</m:t>
            </m:r>
            <m:r>
              <w:rPr>
                <w:rFonts w:ascii="Cambria Math" w:eastAsiaTheme="minorEastAsia" w:hAnsi="Cambria Math" w:cs="Times New Roman"/>
                <w:lang w:val="en-US"/>
              </w:rPr>
              <m:t>,</m:t>
            </m:r>
            <m:r>
              <w:rPr>
                <w:rFonts w:ascii="Cambria Math" w:eastAsiaTheme="minorEastAsia" w:hAnsi="Cambria Math" w:cs="Times New Roman"/>
                <w:lang w:val="nb-NO"/>
              </w:rPr>
              <m:t>f</m:t>
            </m:r>
          </m:sub>
        </m:sSub>
      </m:oMath>
      <w:r w:rsidRPr="00C33814">
        <w:rPr>
          <w:rFonts w:eastAsiaTheme="minorEastAsia" w:cs="Times New Roman"/>
          <w:lang w:val="en-US"/>
        </w:rPr>
        <w:t xml:space="preserve"> is the final temperature at the top and </w:t>
      </w:r>
      <m:oMath>
        <m:sSub>
          <m:sSubPr>
            <m:ctrlPr>
              <w:rPr>
                <w:rFonts w:ascii="Cambria Math" w:eastAsia="Cambria Math" w:hAnsi="Cambria Math" w:cs="Cambria Math"/>
                <w:i/>
                <w:lang w:val="nb-NO"/>
              </w:rPr>
            </m:ctrlPr>
          </m:sSubPr>
          <m:e>
            <m:r>
              <w:rPr>
                <w:rFonts w:ascii="Cambria Math" w:eastAsia="Cambria Math" w:hAnsi="Cambria Math" w:cs="Cambria Math"/>
                <w:lang w:val="nb-NO"/>
              </w:rPr>
              <m:t>T</m:t>
            </m:r>
          </m:e>
          <m:sub>
            <m:r>
              <w:rPr>
                <w:rFonts w:ascii="Cambria Math" w:eastAsia="Cambria Math" w:hAnsi="Cambria Math" w:cs="Cambria Math"/>
                <w:lang w:val="nb-NO"/>
              </w:rPr>
              <m:t>bot</m:t>
            </m:r>
            <m:r>
              <w:rPr>
                <w:rFonts w:ascii="Cambria Math" w:eastAsia="Cambria Math" w:hAnsi="Cambria Math" w:cs="Cambria Math"/>
                <w:lang w:val="en-US"/>
              </w:rPr>
              <m:t>,</m:t>
            </m:r>
            <m:r>
              <w:rPr>
                <w:rFonts w:ascii="Cambria Math" w:eastAsia="Cambria Math" w:hAnsi="Cambria Math" w:cs="Cambria Math"/>
                <w:lang w:val="nb-NO"/>
              </w:rPr>
              <m:t>f</m:t>
            </m:r>
          </m:sub>
        </m:sSub>
      </m:oMath>
      <w:r w:rsidRPr="00C33814">
        <w:rPr>
          <w:rFonts w:eastAsiaTheme="minorEastAsia" w:cs="Times New Roman"/>
          <w:lang w:val="en-US"/>
        </w:rPr>
        <w:t xml:space="preserve"> is the final temperature at the bottom. </w:t>
      </w:r>
      <w:r w:rsidRPr="00C33814">
        <w:rPr>
          <w:rFonts w:cs="Times New Roman"/>
          <w:lang w:val="en-US"/>
        </w:rPr>
        <w:t>The stored energy during the thermal transient is obtained through an energy balance show</w:t>
      </w:r>
      <w:r w:rsidR="003028DD">
        <w:rPr>
          <w:rFonts w:cs="Times New Roman"/>
          <w:lang w:val="en-US"/>
        </w:rPr>
        <w:t>n</w:t>
      </w:r>
      <w:r w:rsidRPr="00C33814">
        <w:rPr>
          <w:rFonts w:cs="Times New Roman"/>
          <w:lang w:val="en-US"/>
        </w:rPr>
        <w:t xml:space="preserve"> in </w:t>
      </w:r>
      <w:r w:rsidR="001D0C2A">
        <w:rPr>
          <w:rFonts w:cs="Times New Roman"/>
          <w:lang w:val="en-US"/>
        </w:rPr>
        <w:t>Eq. (</w:t>
      </w:r>
      <w:r w:rsidRPr="00C33814">
        <w:rPr>
          <w:rFonts w:cs="Times New Roman"/>
          <w:lang w:val="en-US"/>
        </w:rPr>
        <w:t>8)</w:t>
      </w:r>
    </w:p>
    <w:p w14:paraId="4B009CC5" w14:textId="77777777" w:rsidR="00C33814" w:rsidRPr="00C33814" w:rsidRDefault="00000000" w:rsidP="00C33814">
      <w:pPr>
        <w:rPr>
          <w:rFonts w:eastAsiaTheme="minorEastAsia" w:cs="Times New Roman"/>
          <w:lang w:val="nb-NO"/>
        </w:rPr>
      </w:pPr>
      <m:oMathPara>
        <m:oMathParaPr>
          <m:jc m:val="right"/>
        </m:oMathParaPr>
        <m:oMath>
          <m:sSub>
            <m:sSubPr>
              <m:ctrlPr>
                <w:rPr>
                  <w:rFonts w:ascii="Cambria Math" w:hAnsi="Cambria Math" w:cs="Times New Roman"/>
                  <w:i/>
                  <w:lang w:val="nb-NO"/>
                </w:rPr>
              </m:ctrlPr>
            </m:sSubPr>
            <m:e>
              <m:r>
                <w:rPr>
                  <w:rFonts w:ascii="Cambria Math" w:hAnsi="Cambria Math" w:cs="Times New Roman"/>
                  <w:lang w:val="nb-NO"/>
                </w:rPr>
                <m:t>E</m:t>
              </m:r>
            </m:e>
            <m:sub>
              <m:r>
                <w:rPr>
                  <w:rFonts w:ascii="Cambria Math" w:hAnsi="Cambria Math" w:cs="Times New Roman"/>
                  <w:lang w:val="nb-NO"/>
                </w:rPr>
                <m:t>S</m:t>
              </m:r>
            </m:sub>
          </m:sSub>
          <m:r>
            <w:rPr>
              <w:rFonts w:ascii="Cambria Math" w:hAnsi="Cambria Math" w:cs="Times New Roman"/>
              <w:lang w:val="nb-NO"/>
            </w:rPr>
            <m:t xml:space="preserve">= A </m:t>
          </m:r>
          <m:nary>
            <m:naryPr>
              <m:ctrlPr>
                <w:rPr>
                  <w:rFonts w:ascii="Cambria Math" w:hAnsi="Cambria Math" w:cs="Times New Roman"/>
                  <w:i/>
                  <w:lang w:val="nb-NO"/>
                </w:rPr>
              </m:ctrlPr>
            </m:naryPr>
            <m:sub>
              <m:sSub>
                <m:sSubPr>
                  <m:ctrlPr>
                    <w:rPr>
                      <w:rFonts w:ascii="Cambria Math" w:hAnsi="Cambria Math" w:cs="Times New Roman"/>
                      <w:i/>
                      <w:lang w:val="nb-NO"/>
                    </w:rPr>
                  </m:ctrlPr>
                </m:sSubPr>
                <m:e>
                  <m:r>
                    <w:rPr>
                      <w:rFonts w:ascii="Cambria Math" w:hAnsi="Cambria Math" w:cs="Times New Roman"/>
                      <w:lang w:val="nb-NO"/>
                    </w:rPr>
                    <m:t>t</m:t>
                  </m:r>
                </m:e>
                <m:sub>
                  <m:r>
                    <w:rPr>
                      <w:rFonts w:ascii="Cambria Math" w:hAnsi="Cambria Math" w:cs="Times New Roman"/>
                      <w:lang w:val="nb-NO"/>
                    </w:rPr>
                    <m:t>0</m:t>
                  </m:r>
                </m:sub>
              </m:sSub>
            </m:sub>
            <m:sup>
              <m:sSub>
                <m:sSubPr>
                  <m:ctrlPr>
                    <w:rPr>
                      <w:rFonts w:ascii="Cambria Math" w:hAnsi="Cambria Math" w:cs="Times New Roman"/>
                      <w:i/>
                      <w:lang w:val="nb-NO"/>
                    </w:rPr>
                  </m:ctrlPr>
                </m:sSubPr>
                <m:e>
                  <m:r>
                    <w:rPr>
                      <w:rFonts w:ascii="Cambria Math" w:hAnsi="Cambria Math" w:cs="Times New Roman"/>
                      <w:lang w:val="nb-NO"/>
                    </w:rPr>
                    <m:t>t</m:t>
                  </m:r>
                </m:e>
                <m:sub>
                  <m:r>
                    <w:rPr>
                      <w:rFonts w:ascii="Cambria Math" w:hAnsi="Cambria Math" w:cs="Times New Roman"/>
                      <w:lang w:val="nb-NO"/>
                    </w:rPr>
                    <m:t>f</m:t>
                  </m:r>
                </m:sub>
              </m:sSub>
            </m:sup>
            <m:e>
              <m:d>
                <m:dPr>
                  <m:begChr m:val="["/>
                  <m:endChr m:val="]"/>
                  <m:ctrlPr>
                    <w:rPr>
                      <w:rFonts w:ascii="Cambria Math" w:hAnsi="Cambria Math" w:cs="Times New Roman"/>
                      <w:i/>
                      <w:lang w:val="nb-NO"/>
                    </w:rPr>
                  </m:ctrlPr>
                </m:dPr>
                <m:e>
                  <m:sSub>
                    <m:sSubPr>
                      <m:ctrlPr>
                        <w:rPr>
                          <w:rFonts w:ascii="Cambria Math" w:hAnsi="Cambria Math" w:cs="Times New Roman"/>
                          <w:i/>
                          <w:lang w:val="nb-NO"/>
                        </w:rPr>
                      </m:ctrlPr>
                    </m:sSubPr>
                    <m:e>
                      <m:r>
                        <w:rPr>
                          <w:rFonts w:ascii="Cambria Math" w:hAnsi="Cambria Math" w:cs="Times New Roman"/>
                          <w:lang w:val="nb-NO"/>
                        </w:rPr>
                        <m:t>F</m:t>
                      </m:r>
                    </m:e>
                    <m:sub>
                      <m:r>
                        <w:rPr>
                          <w:rFonts w:ascii="Cambria Math" w:hAnsi="Cambria Math" w:cs="Times New Roman"/>
                          <w:lang w:val="nb-NO"/>
                        </w:rPr>
                        <m:t>top</m:t>
                      </m:r>
                    </m:sub>
                  </m:sSub>
                  <m:r>
                    <w:rPr>
                      <w:rFonts w:ascii="Cambria Math" w:hAnsi="Cambria Math" w:cs="Times New Roman"/>
                      <w:lang w:val="nb-NO"/>
                    </w:rPr>
                    <m:t xml:space="preserve">(t)- </m:t>
                  </m:r>
                  <m:sSub>
                    <m:sSubPr>
                      <m:ctrlPr>
                        <w:rPr>
                          <w:rFonts w:ascii="Cambria Math" w:hAnsi="Cambria Math" w:cs="Times New Roman"/>
                          <w:i/>
                          <w:lang w:val="nb-NO"/>
                        </w:rPr>
                      </m:ctrlPr>
                    </m:sSubPr>
                    <m:e>
                      <m:r>
                        <w:rPr>
                          <w:rFonts w:ascii="Cambria Math" w:hAnsi="Cambria Math" w:cs="Times New Roman"/>
                          <w:lang w:val="nb-NO"/>
                        </w:rPr>
                        <m:t>F</m:t>
                      </m:r>
                    </m:e>
                    <m:sub>
                      <m:r>
                        <w:rPr>
                          <w:rFonts w:ascii="Cambria Math" w:hAnsi="Cambria Math" w:cs="Times New Roman"/>
                          <w:lang w:val="nb-NO"/>
                        </w:rPr>
                        <m:t>bot</m:t>
                      </m:r>
                    </m:sub>
                  </m:sSub>
                  <m:r>
                    <w:rPr>
                      <w:rFonts w:ascii="Cambria Math" w:hAnsi="Cambria Math" w:cs="Times New Roman"/>
                      <w:lang w:val="nb-NO"/>
                    </w:rPr>
                    <m:t>(t)</m:t>
                  </m:r>
                </m:e>
              </m:d>
              <m:r>
                <w:rPr>
                  <w:rFonts w:ascii="Cambria Math" w:hAnsi="Cambria Math" w:cs="Times New Roman"/>
                  <w:lang w:val="nb-NO"/>
                </w:rPr>
                <m:t>dt</m:t>
              </m:r>
            </m:e>
          </m:nary>
          <m:r>
            <w:rPr>
              <w:rFonts w:ascii="Cambria Math" w:hAnsi="Cambria Math" w:cs="Times New Roman"/>
              <w:lang w:val="nb-NO"/>
            </w:rPr>
            <m:t xml:space="preserve">= A ρc </m:t>
          </m:r>
          <m:nary>
            <m:naryPr>
              <m:ctrlPr>
                <w:rPr>
                  <w:rFonts w:ascii="Cambria Math" w:hAnsi="Cambria Math" w:cs="Times New Roman"/>
                  <w:i/>
                  <w:lang w:val="nb-NO"/>
                </w:rPr>
              </m:ctrlPr>
            </m:naryPr>
            <m:sub>
              <m:r>
                <w:rPr>
                  <w:rFonts w:ascii="Cambria Math" w:hAnsi="Cambria Math" w:cs="Times New Roman"/>
                  <w:lang w:val="nb-NO"/>
                </w:rPr>
                <m:t>0</m:t>
              </m:r>
            </m:sub>
            <m:sup>
              <m:r>
                <w:rPr>
                  <w:rFonts w:ascii="Cambria Math" w:hAnsi="Cambria Math" w:cs="Times New Roman"/>
                  <w:lang w:val="nb-NO"/>
                </w:rPr>
                <m:t>L</m:t>
              </m:r>
            </m:sup>
            <m:e>
              <m:d>
                <m:dPr>
                  <m:begChr m:val="["/>
                  <m:endChr m:val="]"/>
                  <m:ctrlPr>
                    <w:rPr>
                      <w:rFonts w:ascii="Cambria Math" w:hAnsi="Cambria Math" w:cs="Times New Roman"/>
                      <w:i/>
                      <w:lang w:val="nb-NO"/>
                    </w:rPr>
                  </m:ctrlPr>
                </m:dPr>
                <m:e>
                  <m:sSub>
                    <m:sSubPr>
                      <m:ctrlPr>
                        <w:rPr>
                          <w:rFonts w:ascii="Cambria Math" w:hAnsi="Cambria Math" w:cs="Times New Roman"/>
                          <w:i/>
                          <w:lang w:val="nb-NO"/>
                        </w:rPr>
                      </m:ctrlPr>
                    </m:sSubPr>
                    <m:e>
                      <m:r>
                        <w:rPr>
                          <w:rFonts w:ascii="Cambria Math" w:hAnsi="Cambria Math" w:cs="Times New Roman"/>
                          <w:lang w:val="nb-NO"/>
                        </w:rPr>
                        <m:t>T</m:t>
                      </m:r>
                    </m:e>
                    <m:sub>
                      <m:r>
                        <w:rPr>
                          <w:rFonts w:ascii="Cambria Math" w:hAnsi="Cambria Math" w:cs="Times New Roman"/>
                          <w:lang w:val="nb-NO"/>
                        </w:rPr>
                        <m:t>f</m:t>
                      </m:r>
                    </m:sub>
                  </m:sSub>
                  <m:r>
                    <w:rPr>
                      <w:rFonts w:ascii="Cambria Math" w:hAnsi="Cambria Math" w:cs="Times New Roman"/>
                      <w:lang w:val="nb-NO"/>
                    </w:rPr>
                    <m:t xml:space="preserve">(x)- </m:t>
                  </m:r>
                  <m:sSub>
                    <m:sSubPr>
                      <m:ctrlPr>
                        <w:rPr>
                          <w:rFonts w:ascii="Cambria Math" w:hAnsi="Cambria Math" w:cs="Times New Roman"/>
                          <w:i/>
                          <w:lang w:val="nb-NO"/>
                        </w:rPr>
                      </m:ctrlPr>
                    </m:sSubPr>
                    <m:e>
                      <m:r>
                        <w:rPr>
                          <w:rFonts w:ascii="Cambria Math" w:hAnsi="Cambria Math" w:cs="Times New Roman"/>
                          <w:lang w:val="nb-NO"/>
                        </w:rPr>
                        <m:t>T</m:t>
                      </m:r>
                    </m:e>
                    <m:sub>
                      <m:r>
                        <w:rPr>
                          <w:rFonts w:ascii="Cambria Math" w:hAnsi="Cambria Math" w:cs="Times New Roman"/>
                          <w:lang w:val="nb-NO"/>
                        </w:rPr>
                        <m:t>0</m:t>
                      </m:r>
                    </m:sub>
                  </m:sSub>
                  <m:r>
                    <w:rPr>
                      <w:rFonts w:ascii="Cambria Math" w:hAnsi="Cambria Math" w:cs="Times New Roman"/>
                      <w:lang w:val="nb-NO"/>
                    </w:rPr>
                    <m:t>(x)</m:t>
                  </m:r>
                </m:e>
              </m:d>
            </m:e>
          </m:nary>
          <m:r>
            <w:rPr>
              <w:rFonts w:ascii="Cambria Math" w:hAnsi="Cambria Math" w:cs="Times New Roman"/>
              <w:lang w:val="nb-NO"/>
            </w:rPr>
            <m:t>dx                          (8)</m:t>
          </m:r>
        </m:oMath>
      </m:oMathPara>
    </w:p>
    <w:p w14:paraId="718B190A" w14:textId="76E298FA" w:rsidR="00C33814" w:rsidRPr="00C33814" w:rsidRDefault="00C33814" w:rsidP="00C33814">
      <w:pPr>
        <w:rPr>
          <w:rFonts w:cs="Times New Roman"/>
          <w:lang w:val="en-US"/>
        </w:rPr>
      </w:pPr>
      <w:r w:rsidRPr="00C33814">
        <w:rPr>
          <w:rFonts w:cs="Times New Roman"/>
          <w:lang w:val="en-US"/>
        </w:rPr>
        <w:t xml:space="preserve">from which the specific heat capacity is derived in </w:t>
      </w:r>
      <w:r w:rsidR="001D0C2A">
        <w:rPr>
          <w:rFonts w:cs="Times New Roman"/>
          <w:lang w:val="en-US"/>
        </w:rPr>
        <w:t>Eq. (</w:t>
      </w:r>
      <w:r w:rsidRPr="00C33814">
        <w:rPr>
          <w:rFonts w:cs="Times New Roman"/>
          <w:lang w:val="en-US"/>
        </w:rPr>
        <w:t xml:space="preserve">9), considering the average temperature variation and the exchanged heat between the two surfaces. </w:t>
      </w:r>
    </w:p>
    <w:p w14:paraId="004C8EEC" w14:textId="1237909A" w:rsidR="00C33814" w:rsidRPr="00C33814" w:rsidRDefault="00C33814" w:rsidP="00C33814">
      <w:pPr>
        <w:rPr>
          <w:rFonts w:cs="Times New Roman"/>
          <w:lang w:val="nb-NO"/>
        </w:rPr>
      </w:pPr>
      <m:oMathPara>
        <m:oMathParaPr>
          <m:jc m:val="right"/>
        </m:oMathParaPr>
        <m:oMath>
          <m:r>
            <w:rPr>
              <w:rFonts w:ascii="Cambria Math" w:hAnsi="Cambria Math" w:cs="Times New Roman"/>
              <w:lang w:val="nb-NO"/>
            </w:rPr>
            <m:t>c=</m:t>
          </m:r>
          <m:f>
            <m:fPr>
              <m:ctrlPr>
                <w:rPr>
                  <w:rFonts w:ascii="Cambria Math" w:hAnsi="Cambria Math" w:cs="Times New Roman"/>
                  <w:i/>
                  <w:lang w:val="nb-NO"/>
                </w:rPr>
              </m:ctrlPr>
            </m:fPr>
            <m:num>
              <m:r>
                <w:rPr>
                  <w:rFonts w:ascii="Cambria Math" w:hAnsi="Cambria Math" w:cs="Times New Roman"/>
                  <w:lang w:val="nb-NO"/>
                </w:rPr>
                <m:t xml:space="preserve"> A </m:t>
              </m:r>
              <m:nary>
                <m:naryPr>
                  <m:ctrlPr>
                    <w:rPr>
                      <w:rFonts w:ascii="Cambria Math" w:hAnsi="Cambria Math" w:cs="Times New Roman"/>
                      <w:i/>
                      <w:lang w:val="nb-NO"/>
                    </w:rPr>
                  </m:ctrlPr>
                </m:naryPr>
                <m:sub>
                  <m:sSub>
                    <m:sSubPr>
                      <m:ctrlPr>
                        <w:rPr>
                          <w:rFonts w:ascii="Cambria Math" w:hAnsi="Cambria Math" w:cs="Times New Roman"/>
                          <w:i/>
                          <w:lang w:val="nb-NO"/>
                        </w:rPr>
                      </m:ctrlPr>
                    </m:sSubPr>
                    <m:e>
                      <m:r>
                        <w:rPr>
                          <w:rFonts w:ascii="Cambria Math" w:hAnsi="Cambria Math" w:cs="Times New Roman"/>
                          <w:lang w:val="nb-NO"/>
                        </w:rPr>
                        <m:t>t</m:t>
                      </m:r>
                    </m:e>
                    <m:sub>
                      <m:r>
                        <w:rPr>
                          <w:rFonts w:ascii="Cambria Math" w:hAnsi="Cambria Math" w:cs="Times New Roman"/>
                          <w:lang w:val="nb-NO"/>
                        </w:rPr>
                        <m:t>0</m:t>
                      </m:r>
                    </m:sub>
                  </m:sSub>
                </m:sub>
                <m:sup>
                  <m:sSub>
                    <m:sSubPr>
                      <m:ctrlPr>
                        <w:rPr>
                          <w:rFonts w:ascii="Cambria Math" w:hAnsi="Cambria Math" w:cs="Times New Roman"/>
                          <w:i/>
                          <w:lang w:val="nb-NO"/>
                        </w:rPr>
                      </m:ctrlPr>
                    </m:sSubPr>
                    <m:e>
                      <m:r>
                        <w:rPr>
                          <w:rFonts w:ascii="Cambria Math" w:hAnsi="Cambria Math" w:cs="Times New Roman"/>
                          <w:lang w:val="nb-NO"/>
                        </w:rPr>
                        <m:t>t</m:t>
                      </m:r>
                    </m:e>
                    <m:sub>
                      <m:r>
                        <w:rPr>
                          <w:rFonts w:ascii="Cambria Math" w:hAnsi="Cambria Math" w:cs="Times New Roman"/>
                          <w:lang w:val="nb-NO"/>
                        </w:rPr>
                        <m:t>f</m:t>
                      </m:r>
                    </m:sub>
                  </m:sSub>
                </m:sup>
                <m:e>
                  <m:d>
                    <m:dPr>
                      <m:begChr m:val="["/>
                      <m:endChr m:val="]"/>
                      <m:ctrlPr>
                        <w:rPr>
                          <w:rFonts w:ascii="Cambria Math" w:hAnsi="Cambria Math" w:cs="Times New Roman"/>
                          <w:i/>
                          <w:lang w:val="nb-NO"/>
                        </w:rPr>
                      </m:ctrlPr>
                    </m:dPr>
                    <m:e>
                      <m:sSub>
                        <m:sSubPr>
                          <m:ctrlPr>
                            <w:rPr>
                              <w:rFonts w:ascii="Cambria Math" w:hAnsi="Cambria Math" w:cs="Times New Roman"/>
                              <w:i/>
                              <w:lang w:val="nb-NO"/>
                            </w:rPr>
                          </m:ctrlPr>
                        </m:sSubPr>
                        <m:e>
                          <m:r>
                            <w:rPr>
                              <w:rFonts w:ascii="Cambria Math" w:hAnsi="Cambria Math" w:cs="Times New Roman"/>
                              <w:lang w:val="nb-NO"/>
                            </w:rPr>
                            <m:t>F</m:t>
                          </m:r>
                        </m:e>
                        <m:sub>
                          <m:r>
                            <w:rPr>
                              <w:rFonts w:ascii="Cambria Math" w:hAnsi="Cambria Math" w:cs="Times New Roman"/>
                              <w:lang w:val="nb-NO"/>
                            </w:rPr>
                            <m:t>top</m:t>
                          </m:r>
                        </m:sub>
                      </m:sSub>
                      <m:r>
                        <w:rPr>
                          <w:rFonts w:ascii="Cambria Math" w:hAnsi="Cambria Math" w:cs="Times New Roman"/>
                          <w:lang w:val="nb-NO"/>
                        </w:rPr>
                        <m:t xml:space="preserve">(t)- </m:t>
                      </m:r>
                      <m:sSub>
                        <m:sSubPr>
                          <m:ctrlPr>
                            <w:rPr>
                              <w:rFonts w:ascii="Cambria Math" w:hAnsi="Cambria Math" w:cs="Times New Roman"/>
                              <w:i/>
                              <w:lang w:val="nb-NO"/>
                            </w:rPr>
                          </m:ctrlPr>
                        </m:sSubPr>
                        <m:e>
                          <m:r>
                            <w:rPr>
                              <w:rFonts w:ascii="Cambria Math" w:hAnsi="Cambria Math" w:cs="Times New Roman"/>
                              <w:lang w:val="nb-NO"/>
                            </w:rPr>
                            <m:t>F</m:t>
                          </m:r>
                        </m:e>
                        <m:sub>
                          <m:r>
                            <w:rPr>
                              <w:rFonts w:ascii="Cambria Math" w:hAnsi="Cambria Math" w:cs="Times New Roman"/>
                              <w:lang w:val="nb-NO"/>
                            </w:rPr>
                            <m:t>bot</m:t>
                          </m:r>
                        </m:sub>
                      </m:sSub>
                      <m:r>
                        <w:rPr>
                          <w:rFonts w:ascii="Cambria Math" w:hAnsi="Cambria Math" w:cs="Times New Roman"/>
                          <w:lang w:val="nb-NO"/>
                        </w:rPr>
                        <m:t>(t)</m:t>
                      </m:r>
                    </m:e>
                  </m:d>
                  <m:r>
                    <w:rPr>
                      <w:rFonts w:ascii="Cambria Math" w:hAnsi="Cambria Math" w:cs="Times New Roman"/>
                      <w:lang w:val="nb-NO"/>
                    </w:rPr>
                    <m:t>dt</m:t>
                  </m:r>
                </m:e>
              </m:nary>
            </m:num>
            <m:den>
              <m:r>
                <w:rPr>
                  <w:rFonts w:ascii="Cambria Math" w:hAnsi="Cambria Math" w:cs="Times New Roman"/>
                  <w:lang w:val="nb-NO"/>
                </w:rPr>
                <m:t>m</m:t>
              </m:r>
              <m:d>
                <m:dPr>
                  <m:begChr m:val="["/>
                  <m:endChr m:val="]"/>
                  <m:ctrlPr>
                    <w:rPr>
                      <w:rFonts w:ascii="Cambria Math" w:hAnsi="Cambria Math" w:cs="Times New Roman"/>
                      <w:i/>
                      <w:lang w:val="nb-NO"/>
                    </w:rPr>
                  </m:ctrlPr>
                </m:dPr>
                <m:e>
                  <m:f>
                    <m:fPr>
                      <m:ctrlPr>
                        <w:rPr>
                          <w:rFonts w:ascii="Cambria Math" w:hAnsi="Cambria Math" w:cs="Times New Roman"/>
                          <w:i/>
                          <w:lang w:val="nb-NO"/>
                        </w:rPr>
                      </m:ctrlPr>
                    </m:fPr>
                    <m:num>
                      <m:sSub>
                        <m:sSubPr>
                          <m:ctrlPr>
                            <w:rPr>
                              <w:rFonts w:ascii="Cambria Math" w:hAnsi="Cambria Math" w:cs="Times New Roman"/>
                              <w:i/>
                              <w:lang w:val="nb-NO"/>
                            </w:rPr>
                          </m:ctrlPr>
                        </m:sSubPr>
                        <m:e>
                          <m:r>
                            <w:rPr>
                              <w:rFonts w:ascii="Cambria Math" w:hAnsi="Cambria Math" w:cs="Times New Roman"/>
                              <w:lang w:val="nb-NO"/>
                            </w:rPr>
                            <m:t>T</m:t>
                          </m:r>
                        </m:e>
                        <m:sub>
                          <m:r>
                            <w:rPr>
                              <w:rFonts w:ascii="Cambria Math" w:hAnsi="Cambria Math" w:cs="Times New Roman"/>
                              <w:lang w:val="nb-NO"/>
                            </w:rPr>
                            <m:t>top,0</m:t>
                          </m:r>
                        </m:sub>
                      </m:sSub>
                      <m:r>
                        <w:rPr>
                          <w:rFonts w:ascii="Cambria Math" w:hAnsi="Cambria Math" w:cs="Times New Roman"/>
                          <w:lang w:val="nb-NO"/>
                        </w:rPr>
                        <m:t>+</m:t>
                      </m:r>
                      <m:sSub>
                        <m:sSubPr>
                          <m:ctrlPr>
                            <w:rPr>
                              <w:rFonts w:ascii="Cambria Math" w:hAnsi="Cambria Math" w:cs="Times New Roman"/>
                              <w:i/>
                              <w:lang w:val="nb-NO"/>
                            </w:rPr>
                          </m:ctrlPr>
                        </m:sSubPr>
                        <m:e>
                          <m:r>
                            <w:rPr>
                              <w:rFonts w:ascii="Cambria Math" w:hAnsi="Cambria Math" w:cs="Times New Roman"/>
                              <w:lang w:val="nb-NO"/>
                            </w:rPr>
                            <m:t>T</m:t>
                          </m:r>
                        </m:e>
                        <m:sub>
                          <m:r>
                            <w:rPr>
                              <w:rFonts w:ascii="Cambria Math" w:hAnsi="Cambria Math" w:cs="Times New Roman"/>
                              <w:lang w:val="nb-NO"/>
                            </w:rPr>
                            <m:t>bot,0</m:t>
                          </m:r>
                        </m:sub>
                      </m:sSub>
                    </m:num>
                    <m:den>
                      <m:r>
                        <w:rPr>
                          <w:rFonts w:ascii="Cambria Math" w:hAnsi="Cambria Math" w:cs="Times New Roman"/>
                          <w:lang w:val="nb-NO"/>
                        </w:rPr>
                        <m:t>2</m:t>
                      </m:r>
                    </m:den>
                  </m:f>
                  <m:r>
                    <w:rPr>
                      <w:rFonts w:ascii="Cambria Math" w:hAnsi="Cambria Math" w:cs="Times New Roman"/>
                      <w:lang w:val="nb-NO"/>
                    </w:rPr>
                    <m:t>-</m:t>
                  </m:r>
                  <m:f>
                    <m:fPr>
                      <m:ctrlPr>
                        <w:rPr>
                          <w:rFonts w:ascii="Cambria Math" w:hAnsi="Cambria Math" w:cs="Times New Roman"/>
                          <w:i/>
                          <w:lang w:val="nb-NO"/>
                        </w:rPr>
                      </m:ctrlPr>
                    </m:fPr>
                    <m:num>
                      <m:sSub>
                        <m:sSubPr>
                          <m:ctrlPr>
                            <w:rPr>
                              <w:rFonts w:ascii="Cambria Math" w:hAnsi="Cambria Math" w:cs="Times New Roman"/>
                              <w:i/>
                              <w:lang w:val="nb-NO"/>
                            </w:rPr>
                          </m:ctrlPr>
                        </m:sSubPr>
                        <m:e>
                          <m:r>
                            <w:rPr>
                              <w:rFonts w:ascii="Cambria Math" w:hAnsi="Cambria Math" w:cs="Times New Roman"/>
                              <w:lang w:val="nb-NO"/>
                            </w:rPr>
                            <m:t>T</m:t>
                          </m:r>
                        </m:e>
                        <m:sub>
                          <m:r>
                            <w:rPr>
                              <w:rFonts w:ascii="Cambria Math" w:hAnsi="Cambria Math" w:cs="Times New Roman"/>
                              <w:lang w:val="nb-NO"/>
                            </w:rPr>
                            <m:t>top,f</m:t>
                          </m:r>
                        </m:sub>
                      </m:sSub>
                      <m:r>
                        <w:rPr>
                          <w:rFonts w:ascii="Cambria Math" w:hAnsi="Cambria Math" w:cs="Times New Roman"/>
                          <w:lang w:val="nb-NO"/>
                        </w:rPr>
                        <m:t>+</m:t>
                      </m:r>
                      <m:sSub>
                        <m:sSubPr>
                          <m:ctrlPr>
                            <w:rPr>
                              <w:rFonts w:ascii="Cambria Math" w:hAnsi="Cambria Math" w:cs="Times New Roman"/>
                              <w:i/>
                              <w:lang w:val="nb-NO"/>
                            </w:rPr>
                          </m:ctrlPr>
                        </m:sSubPr>
                        <m:e>
                          <m:r>
                            <w:rPr>
                              <w:rFonts w:ascii="Cambria Math" w:hAnsi="Cambria Math" w:cs="Times New Roman"/>
                              <w:lang w:val="nb-NO"/>
                            </w:rPr>
                            <m:t>T</m:t>
                          </m:r>
                        </m:e>
                        <m:sub>
                          <m:r>
                            <w:rPr>
                              <w:rFonts w:ascii="Cambria Math" w:hAnsi="Cambria Math" w:cs="Times New Roman"/>
                              <w:lang w:val="nb-NO"/>
                            </w:rPr>
                            <m:t>bot,f</m:t>
                          </m:r>
                        </m:sub>
                      </m:sSub>
                    </m:num>
                    <m:den>
                      <m:r>
                        <w:rPr>
                          <w:rFonts w:ascii="Cambria Math" w:hAnsi="Cambria Math" w:cs="Times New Roman"/>
                          <w:lang w:val="nb-NO"/>
                        </w:rPr>
                        <m:t>2</m:t>
                      </m:r>
                    </m:den>
                  </m:f>
                </m:e>
              </m:d>
            </m:den>
          </m:f>
          <m:r>
            <w:rPr>
              <w:rFonts w:ascii="Cambria Math" w:hAnsi="Cambria Math" w:cs="Times New Roman"/>
              <w:lang w:val="nb-NO"/>
            </w:rPr>
            <m:t xml:space="preserve">                                         (9)</m:t>
          </m:r>
        </m:oMath>
      </m:oMathPara>
    </w:p>
    <w:p w14:paraId="141391A2" w14:textId="5DCC7F7A" w:rsidR="00C33814" w:rsidRPr="00C33814" w:rsidRDefault="00C33814" w:rsidP="00C33814">
      <w:pPr>
        <w:rPr>
          <w:rFonts w:eastAsiaTheme="minorEastAsia" w:cs="Times New Roman"/>
          <w:lang w:val="en-US"/>
        </w:rPr>
      </w:pPr>
      <w:r w:rsidRPr="00F96A03">
        <w:rPr>
          <w:rFonts w:cs="Times New Roman"/>
          <w:lang w:val="en-US"/>
        </w:rPr>
        <w:t xml:space="preserve">Figure </w:t>
      </w:r>
      <w:r w:rsidR="00F96A03" w:rsidRPr="00F96A03">
        <w:rPr>
          <w:rFonts w:cs="Times New Roman"/>
          <w:lang w:val="en-US"/>
        </w:rPr>
        <w:t>1.</w:t>
      </w:r>
      <w:r w:rsidRPr="00F96A03">
        <w:rPr>
          <w:rFonts w:cs="Times New Roman"/>
          <w:lang w:val="en-US"/>
        </w:rPr>
        <w:t>1</w:t>
      </w:r>
      <w:r w:rsidR="00F96A03" w:rsidRPr="00F96A03">
        <w:rPr>
          <w:rFonts w:cs="Times New Roman"/>
          <w:lang w:val="en-US"/>
        </w:rPr>
        <w:t>8</w:t>
      </w:r>
      <w:r w:rsidRPr="00C33814">
        <w:rPr>
          <w:rFonts w:cs="Times New Roman"/>
          <w:lang w:val="en-US"/>
        </w:rPr>
        <w:t xml:space="preserve"> shows the trends of temperature and heat flux on the two surfaces of the sample during the thermal transient between an initial and a final steady state, also highlighting the stored sensible energy (E</w:t>
      </w:r>
      <w:r w:rsidRPr="003028DD">
        <w:rPr>
          <w:rFonts w:cs="Times New Roman"/>
          <w:vertAlign w:val="subscript"/>
          <w:lang w:val="en-US"/>
        </w:rPr>
        <w:t>s</w:t>
      </w:r>
      <w:r w:rsidRPr="00C33814">
        <w:rPr>
          <w:rFonts w:cs="Times New Roman"/>
          <w:lang w:val="en-US"/>
        </w:rPr>
        <w:t>) used to determine the thermal conductivity and specific heat capacity in the two phases.</w:t>
      </w:r>
    </w:p>
    <w:p w14:paraId="7FA2F91E" w14:textId="77777777" w:rsidR="00C33814" w:rsidRDefault="00C33814" w:rsidP="00C33814">
      <w:pPr>
        <w:keepNext/>
      </w:pPr>
      <w:r w:rsidRPr="00DE73F1">
        <w:rPr>
          <w:rFonts w:ascii="Times New Roman" w:hAnsi="Times New Roman" w:cs="Times New Roman"/>
          <w:b/>
          <w:bCs/>
          <w:noProof/>
          <w:szCs w:val="24"/>
        </w:rPr>
        <w:lastRenderedPageBreak/>
        <w:drawing>
          <wp:inline distT="0" distB="0" distL="0" distR="0" wp14:anchorId="646A6AD6" wp14:editId="217A9772">
            <wp:extent cx="6120130" cy="2058670"/>
            <wp:effectExtent l="0" t="0" r="0" b="0"/>
            <wp:docPr id="463126221" name="Immagine 1" descr="A diagram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3126221" name="Immagine 1" descr="A diagram of a graph&#10;&#10;AI-generated content may be incorrect."/>
                    <pic:cNvPicPr/>
                  </pic:nvPicPr>
                  <pic:blipFill>
                    <a:blip r:embed="rId57"/>
                    <a:stretch>
                      <a:fillRect/>
                    </a:stretch>
                  </pic:blipFill>
                  <pic:spPr>
                    <a:xfrm>
                      <a:off x="0" y="0"/>
                      <a:ext cx="6120130" cy="2058670"/>
                    </a:xfrm>
                    <a:prstGeom prst="rect">
                      <a:avLst/>
                    </a:prstGeom>
                  </pic:spPr>
                </pic:pic>
              </a:graphicData>
            </a:graphic>
          </wp:inline>
        </w:drawing>
      </w:r>
    </w:p>
    <w:p w14:paraId="5BC8A221" w14:textId="702498FE" w:rsidR="00C33814" w:rsidRPr="00C33814" w:rsidRDefault="00C33814" w:rsidP="00C33814">
      <w:pPr>
        <w:pStyle w:val="Caption"/>
        <w:jc w:val="both"/>
        <w:rPr>
          <w:sz w:val="24"/>
          <w:szCs w:val="22"/>
        </w:rPr>
      </w:pPr>
      <w:bookmarkStart w:id="60" w:name="_Toc214357727"/>
      <w:r>
        <w:t xml:space="preserve">Figure </w:t>
      </w:r>
      <w:r w:rsidR="00F824A5">
        <w:fldChar w:fldCharType="begin"/>
      </w:r>
      <w:r w:rsidR="00F824A5">
        <w:instrText xml:space="preserve"> STYLEREF 1 \s </w:instrText>
      </w:r>
      <w:r w:rsidR="00F824A5">
        <w:fldChar w:fldCharType="separate"/>
      </w:r>
      <w:r w:rsidR="000412CE">
        <w:rPr>
          <w:noProof/>
        </w:rPr>
        <w:t>1</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18</w:t>
      </w:r>
      <w:r w:rsidR="00F824A5">
        <w:fldChar w:fldCharType="end"/>
      </w:r>
      <w:r w:rsidR="00DE026D">
        <w:t>.</w:t>
      </w:r>
      <w:r>
        <w:t xml:space="preserve"> </w:t>
      </w:r>
      <w:r w:rsidRPr="00C33814">
        <w:t>Schematization of surface temperature trends Ttop and Tbot, on the left, and of surface heat flux trends F</w:t>
      </w:r>
      <w:r w:rsidRPr="003028DD">
        <w:rPr>
          <w:vertAlign w:val="subscript"/>
        </w:rPr>
        <w:t>top</w:t>
      </w:r>
      <w:r w:rsidRPr="00C33814">
        <w:t xml:space="preserve"> and F</w:t>
      </w:r>
      <w:r w:rsidRPr="003028DD">
        <w:rPr>
          <w:vertAlign w:val="subscript"/>
        </w:rPr>
        <w:t>bot</w:t>
      </w:r>
      <w:r w:rsidR="003028DD">
        <w:t>,</w:t>
      </w:r>
      <w:r w:rsidRPr="00C33814">
        <w:t xml:space="preserve"> and of the stored sensible energy ES, on the right, during the thermal transient between an initial steady state and a final one</w:t>
      </w:r>
      <w:r w:rsidR="005C3319">
        <w:t xml:space="preserve"> [49]</w:t>
      </w:r>
      <w:r w:rsidR="00A165BA">
        <w:t>.</w:t>
      </w:r>
      <w:bookmarkEnd w:id="60"/>
    </w:p>
    <w:p w14:paraId="3B00A47B" w14:textId="77777777" w:rsidR="00C33814" w:rsidRPr="00C33814" w:rsidRDefault="00C33814" w:rsidP="00C33814">
      <w:pPr>
        <w:rPr>
          <w:rFonts w:cs="Times New Roman"/>
          <w:lang w:val="nb-NO"/>
        </w:rPr>
      </w:pPr>
      <w:r w:rsidRPr="00C33814">
        <w:rPr>
          <w:rFonts w:cs="Times New Roman"/>
          <w:lang w:val="en-US"/>
        </w:rPr>
        <w:t xml:space="preserve">The experimental device was also used to determine the latent heat and the melting temperature. The experiment consists of a thermal transient involving the entire sample, which is initially in the solid state and finally completely liquid. At both the beginning and the end of the process, the system is in steady and uniform conditions. Since melting does not occur simultaneously at all heights of the sample, the overall energy balance was obtained as the sum of the energy contributions of the subvolumes monitored by the individual thermocouples. The calculation of the energy stored in a generic subvolume (with thickness </w:t>
      </w:r>
      <w:r w:rsidRPr="00C33814">
        <w:rPr>
          <w:rFonts w:cs="Times New Roman"/>
        </w:rPr>
        <w:t>Δ</w:t>
      </w:r>
      <w:r w:rsidRPr="00C33814">
        <w:rPr>
          <w:rFonts w:cs="Times New Roman"/>
          <w:lang w:val="en-US"/>
        </w:rPr>
        <w:t>x</w:t>
      </w:r>
      <w:r w:rsidRPr="00C33814">
        <w:rPr>
          <w:rFonts w:ascii="Times New Roman" w:hAnsi="Times New Roman" w:cs="Times New Roman"/>
        </w:rPr>
        <w:t>ⱼ</w:t>
      </w:r>
      <w:r w:rsidRPr="00C33814">
        <w:rPr>
          <w:rFonts w:cs="Times New Roman"/>
          <w:lang w:val="en-US"/>
        </w:rPr>
        <w:t xml:space="preserve">) is based on the integral of the difference between the incoming and outgoing heat fluxes over time. </w:t>
      </w:r>
      <w:r w:rsidRPr="00C33814">
        <w:rPr>
          <w:rFonts w:cs="Times New Roman"/>
          <w:lang w:val="nb-NO"/>
        </w:rPr>
        <w:t>This energy includes two main components:</w:t>
      </w:r>
    </w:p>
    <w:p w14:paraId="22B2CA04" w14:textId="77777777" w:rsidR="00C33814" w:rsidRPr="00C33814" w:rsidRDefault="00C33814">
      <w:pPr>
        <w:pStyle w:val="ListParagraph"/>
        <w:numPr>
          <w:ilvl w:val="0"/>
          <w:numId w:val="9"/>
        </w:numPr>
        <w:spacing w:before="0" w:after="160" w:line="259" w:lineRule="auto"/>
        <w:rPr>
          <w:rFonts w:cs="Times New Roman"/>
          <w:lang w:val="en-US"/>
        </w:rPr>
      </w:pPr>
      <w:r w:rsidRPr="00C33814">
        <w:rPr>
          <w:rFonts w:cs="Times New Roman"/>
          <w:lang w:val="en-US"/>
        </w:rPr>
        <w:t>the sensible energy, accumulated during the periods when the subvolume is entirely in the solid or liquid phase, and calculated from the temperature variations</w:t>
      </w:r>
    </w:p>
    <w:p w14:paraId="3FFCD24C" w14:textId="77777777" w:rsidR="00C33814" w:rsidRPr="00C33814" w:rsidRDefault="00C33814">
      <w:pPr>
        <w:pStyle w:val="ListParagraph"/>
        <w:numPr>
          <w:ilvl w:val="0"/>
          <w:numId w:val="9"/>
        </w:numPr>
        <w:spacing w:before="0" w:after="160" w:line="259" w:lineRule="auto"/>
        <w:rPr>
          <w:rFonts w:cs="Times New Roman"/>
          <w:lang w:val="en-US"/>
        </w:rPr>
      </w:pPr>
      <w:r w:rsidRPr="00C33814">
        <w:rPr>
          <w:rFonts w:cs="Times New Roman"/>
          <w:lang w:val="en-US"/>
        </w:rPr>
        <w:t>the latent energy, accumulated during the time interval in which the phase change occurs, is proportional to the mass of the subvolume.</w:t>
      </w:r>
    </w:p>
    <w:p w14:paraId="611C7517" w14:textId="411568A9" w:rsidR="00C33814" w:rsidRPr="00C33814" w:rsidRDefault="00C33814" w:rsidP="00C33814">
      <w:pPr>
        <w:rPr>
          <w:rFonts w:cs="Times New Roman"/>
          <w:lang w:val="en-US"/>
        </w:rPr>
      </w:pPr>
      <w:r w:rsidRPr="00C33814">
        <w:rPr>
          <w:rFonts w:cs="Times New Roman"/>
          <w:lang w:val="en-US"/>
        </w:rPr>
        <w:t>For the entire sample, the total stored energy is written in Eq.</w:t>
      </w:r>
      <w:r w:rsidR="00E02518">
        <w:rPr>
          <w:rFonts w:cs="Times New Roman"/>
          <w:lang w:val="en-US"/>
        </w:rPr>
        <w:t xml:space="preserve"> (</w:t>
      </w:r>
      <w:r w:rsidRPr="00C33814">
        <w:rPr>
          <w:rFonts w:cs="Times New Roman"/>
          <w:lang w:val="en-US"/>
        </w:rPr>
        <w:t>10) and is obtained by</w:t>
      </w:r>
      <w:r w:rsidRPr="00C33814">
        <w:rPr>
          <w:rFonts w:cs="Times New Roman"/>
          <w:sz w:val="32"/>
          <w:szCs w:val="32"/>
          <w:lang w:val="en-US"/>
        </w:rPr>
        <w:t xml:space="preserve"> </w:t>
      </w:r>
      <w:r w:rsidRPr="00C33814">
        <w:rPr>
          <w:rFonts w:cs="Times New Roman"/>
          <w:lang w:val="en-US"/>
        </w:rPr>
        <w:t>summing the contributions of the n subvolumes. Developing the calculation, we obtain that the total stored energy is written as</w:t>
      </w:r>
    </w:p>
    <w:p w14:paraId="1BC4D823" w14:textId="77777777" w:rsidR="00C33814" w:rsidRPr="00C33814" w:rsidRDefault="00000000" w:rsidP="00C33814">
      <w:pPr>
        <w:rPr>
          <w:rFonts w:eastAsiaTheme="minorEastAsia" w:cs="Times New Roman"/>
          <w:lang w:val="nb-NO"/>
        </w:rPr>
      </w:pPr>
      <m:oMathPara>
        <m:oMathParaPr>
          <m:jc m:val="right"/>
        </m:oMathParaPr>
        <m:oMath>
          <m:sSub>
            <m:sSubPr>
              <m:ctrlPr>
                <w:rPr>
                  <w:rFonts w:ascii="Cambria Math" w:hAnsi="Cambria Math" w:cs="Times New Roman"/>
                  <w:i/>
                  <w:lang w:val="nb-NO"/>
                </w:rPr>
              </m:ctrlPr>
            </m:sSubPr>
            <m:e>
              <m:r>
                <w:rPr>
                  <w:rFonts w:ascii="Cambria Math" w:hAnsi="Cambria Math" w:cs="Times New Roman"/>
                  <w:lang w:val="nb-NO"/>
                </w:rPr>
                <m:t>E</m:t>
              </m:r>
            </m:e>
            <m:sub>
              <m:r>
                <w:rPr>
                  <w:rFonts w:ascii="Cambria Math" w:hAnsi="Cambria Math" w:cs="Times New Roman"/>
                  <w:lang w:val="nb-NO"/>
                </w:rPr>
                <m:t>T</m:t>
              </m:r>
            </m:sub>
          </m:sSub>
          <m:r>
            <w:rPr>
              <w:rFonts w:ascii="Cambria Math" w:hAnsi="Cambria Math" w:cs="Times New Roman"/>
              <w:lang w:val="nb-NO"/>
            </w:rPr>
            <m:t xml:space="preserve">= A </m:t>
          </m:r>
          <m:nary>
            <m:naryPr>
              <m:ctrlPr>
                <w:rPr>
                  <w:rFonts w:ascii="Cambria Math" w:hAnsi="Cambria Math" w:cs="Times New Roman"/>
                  <w:i/>
                  <w:lang w:val="nb-NO"/>
                </w:rPr>
              </m:ctrlPr>
            </m:naryPr>
            <m:sub>
              <m:sSub>
                <m:sSubPr>
                  <m:ctrlPr>
                    <w:rPr>
                      <w:rFonts w:ascii="Cambria Math" w:hAnsi="Cambria Math" w:cs="Times New Roman"/>
                      <w:i/>
                      <w:lang w:val="nb-NO"/>
                    </w:rPr>
                  </m:ctrlPr>
                </m:sSubPr>
                <m:e>
                  <m:r>
                    <w:rPr>
                      <w:rFonts w:ascii="Cambria Math" w:hAnsi="Cambria Math" w:cs="Times New Roman"/>
                      <w:lang w:val="nb-NO"/>
                    </w:rPr>
                    <m:t>t</m:t>
                  </m:r>
                </m:e>
                <m:sub>
                  <m:r>
                    <w:rPr>
                      <w:rFonts w:ascii="Cambria Math" w:hAnsi="Cambria Math" w:cs="Times New Roman"/>
                      <w:lang w:val="nb-NO"/>
                    </w:rPr>
                    <m:t>0</m:t>
                  </m:r>
                </m:sub>
              </m:sSub>
            </m:sub>
            <m:sup>
              <m:sSub>
                <m:sSubPr>
                  <m:ctrlPr>
                    <w:rPr>
                      <w:rFonts w:ascii="Cambria Math" w:hAnsi="Cambria Math" w:cs="Times New Roman"/>
                      <w:i/>
                      <w:lang w:val="nb-NO"/>
                    </w:rPr>
                  </m:ctrlPr>
                </m:sSubPr>
                <m:e>
                  <m:r>
                    <w:rPr>
                      <w:rFonts w:ascii="Cambria Math" w:hAnsi="Cambria Math" w:cs="Times New Roman"/>
                      <w:lang w:val="nb-NO"/>
                    </w:rPr>
                    <m:t>t</m:t>
                  </m:r>
                </m:e>
                <m:sub>
                  <m:r>
                    <w:rPr>
                      <w:rFonts w:ascii="Cambria Math" w:hAnsi="Cambria Math" w:cs="Times New Roman"/>
                      <w:lang w:val="nb-NO"/>
                    </w:rPr>
                    <m:t>f</m:t>
                  </m:r>
                </m:sub>
              </m:sSub>
            </m:sup>
            <m:e>
              <m:d>
                <m:dPr>
                  <m:begChr m:val="["/>
                  <m:endChr m:val="]"/>
                  <m:ctrlPr>
                    <w:rPr>
                      <w:rFonts w:ascii="Cambria Math" w:hAnsi="Cambria Math" w:cs="Times New Roman"/>
                      <w:i/>
                      <w:lang w:val="nb-NO"/>
                    </w:rPr>
                  </m:ctrlPr>
                </m:dPr>
                <m:e>
                  <m:sSub>
                    <m:sSubPr>
                      <m:ctrlPr>
                        <w:rPr>
                          <w:rFonts w:ascii="Cambria Math" w:hAnsi="Cambria Math" w:cs="Times New Roman"/>
                          <w:i/>
                          <w:lang w:val="nb-NO"/>
                        </w:rPr>
                      </m:ctrlPr>
                    </m:sSubPr>
                    <m:e>
                      <m:r>
                        <w:rPr>
                          <w:rFonts w:ascii="Cambria Math" w:hAnsi="Cambria Math" w:cs="Times New Roman"/>
                          <w:lang w:val="nb-NO"/>
                        </w:rPr>
                        <m:t>F</m:t>
                      </m:r>
                    </m:e>
                    <m:sub>
                      <m:r>
                        <w:rPr>
                          <w:rFonts w:ascii="Cambria Math" w:hAnsi="Cambria Math" w:cs="Times New Roman"/>
                          <w:lang w:val="nb-NO"/>
                        </w:rPr>
                        <m:t>top</m:t>
                      </m:r>
                    </m:sub>
                  </m:sSub>
                  <m:r>
                    <w:rPr>
                      <w:rFonts w:ascii="Cambria Math" w:hAnsi="Cambria Math" w:cs="Times New Roman"/>
                      <w:lang w:val="nb-NO"/>
                    </w:rPr>
                    <m:t xml:space="preserve">(t)- </m:t>
                  </m:r>
                  <m:sSub>
                    <m:sSubPr>
                      <m:ctrlPr>
                        <w:rPr>
                          <w:rFonts w:ascii="Cambria Math" w:hAnsi="Cambria Math" w:cs="Times New Roman"/>
                          <w:i/>
                          <w:lang w:val="nb-NO"/>
                        </w:rPr>
                      </m:ctrlPr>
                    </m:sSubPr>
                    <m:e>
                      <m:r>
                        <w:rPr>
                          <w:rFonts w:ascii="Cambria Math" w:hAnsi="Cambria Math" w:cs="Times New Roman"/>
                          <w:lang w:val="nb-NO"/>
                        </w:rPr>
                        <m:t>F</m:t>
                      </m:r>
                    </m:e>
                    <m:sub>
                      <m:r>
                        <w:rPr>
                          <w:rFonts w:ascii="Cambria Math" w:hAnsi="Cambria Math" w:cs="Times New Roman"/>
                          <w:lang w:val="nb-NO"/>
                        </w:rPr>
                        <m:t>bot</m:t>
                      </m:r>
                    </m:sub>
                  </m:sSub>
                  <m:r>
                    <w:rPr>
                      <w:rFonts w:ascii="Cambria Math" w:hAnsi="Cambria Math" w:cs="Times New Roman"/>
                      <w:lang w:val="nb-NO"/>
                    </w:rPr>
                    <m:t>(t)</m:t>
                  </m:r>
                </m:e>
              </m:d>
              <m:r>
                <w:rPr>
                  <w:rFonts w:ascii="Cambria Math" w:hAnsi="Cambria Math" w:cs="Times New Roman"/>
                  <w:lang w:val="nb-NO"/>
                </w:rPr>
                <m:t>dt</m:t>
              </m:r>
            </m:e>
          </m:nary>
          <m:r>
            <w:rPr>
              <w:rFonts w:ascii="Cambria Math" w:hAnsi="Cambria Math" w:cs="Times New Roman"/>
              <w:lang w:val="nb-NO"/>
            </w:rPr>
            <m:t xml:space="preserve">                                                           (10)</m:t>
          </m:r>
        </m:oMath>
      </m:oMathPara>
    </w:p>
    <w:p w14:paraId="69A475F4" w14:textId="22BCA516" w:rsidR="00C33814" w:rsidRPr="0027222B" w:rsidRDefault="00C33814" w:rsidP="00C33814">
      <w:pPr>
        <w:rPr>
          <w:rFonts w:eastAsiaTheme="minorEastAsia" w:cs="Times New Roman"/>
          <w:vertAlign w:val="subscript"/>
          <w:lang w:val="en-US"/>
        </w:rPr>
      </w:pPr>
      <w:r w:rsidRPr="00C33814">
        <w:rPr>
          <w:rFonts w:eastAsiaTheme="minorEastAsia" w:cs="Times New Roman"/>
          <w:lang w:val="en-US"/>
        </w:rPr>
        <w:t>and solving the calculation, it is possible to obtain the formulation Eq.</w:t>
      </w:r>
      <w:r w:rsidR="00E02518">
        <w:rPr>
          <w:rFonts w:eastAsiaTheme="minorEastAsia" w:cs="Times New Roman"/>
          <w:lang w:val="en-US"/>
        </w:rPr>
        <w:t xml:space="preserve"> (</w:t>
      </w:r>
      <w:r w:rsidRPr="00C33814">
        <w:rPr>
          <w:rFonts w:eastAsiaTheme="minorEastAsia" w:cs="Times New Roman"/>
          <w:lang w:val="en-US"/>
        </w:rPr>
        <w:t>11)  of the latent heat H</w:t>
      </w:r>
      <w:r w:rsidR="0027222B">
        <w:rPr>
          <w:rFonts w:eastAsiaTheme="minorEastAsia" w:cs="Times New Roman"/>
          <w:vertAlign w:val="subscript"/>
          <w:lang w:val="en-US"/>
        </w:rPr>
        <w:t>F</w:t>
      </w:r>
    </w:p>
    <w:p w14:paraId="654DF72B" w14:textId="4410A992" w:rsidR="00C33814" w:rsidRPr="00C33814" w:rsidRDefault="00000000" w:rsidP="00C33814">
      <m:oMathPara>
        <m:oMathParaPr>
          <m:jc m:val="right"/>
        </m:oMathParaPr>
        <m:oMath>
          <m:sSub>
            <m:sSubPr>
              <m:ctrlPr>
                <w:rPr>
                  <w:rFonts w:ascii="Cambria Math" w:eastAsiaTheme="minorEastAsia" w:hAnsi="Cambria Math" w:cs="Times New Roman"/>
                  <w:i/>
                </w:rPr>
              </m:ctrlPr>
            </m:sSubPr>
            <m:e>
              <m:r>
                <w:rPr>
                  <w:rFonts w:ascii="Cambria Math" w:eastAsiaTheme="minorEastAsia" w:hAnsi="Cambria Math" w:cs="Times New Roman"/>
                </w:rPr>
                <m:t>H</m:t>
              </m:r>
            </m:e>
            <m:sub>
              <m:r>
                <w:rPr>
                  <w:rFonts w:ascii="Cambria Math" w:eastAsiaTheme="minorEastAsia" w:hAnsi="Cambria Math" w:cs="Times New Roman"/>
                </w:rPr>
                <m:t>F</m:t>
              </m:r>
            </m:sub>
          </m:sSub>
          <m:r>
            <w:rPr>
              <w:rFonts w:ascii="Cambria Math" w:eastAsiaTheme="minorEastAsia" w:hAnsi="Cambria Math" w:cs="Times New Roman"/>
            </w:rPr>
            <m:t>=</m:t>
          </m:r>
          <m:f>
            <m:fPr>
              <m:ctrlPr>
                <w:rPr>
                  <w:rFonts w:ascii="Cambria Math" w:eastAsiaTheme="minorEastAsia" w:hAnsi="Cambria Math" w:cs="Times New Roman"/>
                  <w:i/>
                </w:rPr>
              </m:ctrlPr>
            </m:fPr>
            <m:num>
              <m:sSub>
                <m:sSubPr>
                  <m:ctrlPr>
                    <w:rPr>
                      <w:rFonts w:ascii="Cambria Math" w:eastAsiaTheme="minorEastAsia" w:hAnsi="Cambria Math" w:cs="Times New Roman"/>
                      <w:i/>
                    </w:rPr>
                  </m:ctrlPr>
                </m:sSubPr>
                <m:e>
                  <m:r>
                    <w:rPr>
                      <w:rFonts w:ascii="Cambria Math" w:eastAsiaTheme="minorEastAsia" w:hAnsi="Cambria Math" w:cs="Times New Roman"/>
                    </w:rPr>
                    <m:t>E</m:t>
                  </m:r>
                </m:e>
                <m:sub>
                  <m:r>
                    <w:rPr>
                      <w:rFonts w:ascii="Cambria Math" w:eastAsiaTheme="minorEastAsia" w:hAnsi="Cambria Math" w:cs="Times New Roman"/>
                    </w:rPr>
                    <m:t>T</m:t>
                  </m:r>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E</m:t>
                  </m:r>
                </m:e>
                <m:sub>
                  <m:r>
                    <w:rPr>
                      <w:rFonts w:ascii="Cambria Math" w:eastAsiaTheme="minorEastAsia" w:hAnsi="Cambria Math" w:cs="Times New Roman"/>
                    </w:rPr>
                    <m:t>S,s</m:t>
                  </m:r>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E</m:t>
                  </m:r>
                </m:e>
                <m:sub>
                  <m:r>
                    <w:rPr>
                      <w:rFonts w:ascii="Cambria Math" w:eastAsiaTheme="minorEastAsia" w:hAnsi="Cambria Math" w:cs="Times New Roman"/>
                    </w:rPr>
                    <m:t>S,l</m:t>
                  </m:r>
                </m:sub>
              </m:sSub>
            </m:num>
            <m:den>
              <m:r>
                <w:rPr>
                  <w:rFonts w:ascii="Cambria Math" w:eastAsiaTheme="minorEastAsia" w:hAnsi="Cambria Math" w:cs="Times New Roman"/>
                </w:rPr>
                <m:t>m</m:t>
              </m:r>
            </m:den>
          </m:f>
          <m:r>
            <w:rPr>
              <w:rFonts w:ascii="Cambria Math" w:hAnsi="Cambria Math" w:cs="Times New Roman"/>
              <w:lang w:val="nb-NO"/>
            </w:rPr>
            <m:t xml:space="preserve">                                                                  (11)</m:t>
          </m:r>
        </m:oMath>
      </m:oMathPara>
    </w:p>
    <w:p w14:paraId="7B100B2D" w14:textId="06132C7A" w:rsidR="00C33814" w:rsidRPr="00C33814" w:rsidRDefault="00C33814" w:rsidP="00C33814">
      <w:pPr>
        <w:rPr>
          <w:rFonts w:cs="Times New Roman"/>
          <w:lang w:val="en-US"/>
        </w:rPr>
      </w:pPr>
      <w:r w:rsidRPr="00C33814">
        <w:rPr>
          <w:rFonts w:cs="Times New Roman"/>
          <w:lang w:val="en-US"/>
        </w:rPr>
        <w:lastRenderedPageBreak/>
        <w:t xml:space="preserve">To determine the phase change temperature, for each subvolume, the time interval in which the transition occurs (between t₁ and t₂) is considered, and the average temperature during this interval is analyzed. Figure </w:t>
      </w:r>
      <w:r>
        <w:rPr>
          <w:rFonts w:cs="Times New Roman"/>
          <w:lang w:val="en-US"/>
        </w:rPr>
        <w:t xml:space="preserve">1.19 </w:t>
      </w:r>
      <w:r w:rsidRPr="00C33814">
        <w:rPr>
          <w:rFonts w:cs="Times New Roman"/>
          <w:lang w:val="en-US"/>
        </w:rPr>
        <w:t>shows a schematic representation of the temperature evolution in a j-th node and of the surface heat fluxes and total stored energy (</w:t>
      </w:r>
      <w:r w:rsidRPr="00C33814">
        <w:rPr>
          <w:rFonts w:cs="Times New Roman"/>
          <w:i/>
          <w:iCs/>
          <w:lang w:val="en-US"/>
        </w:rPr>
        <w:t>E</w:t>
      </w:r>
      <w:r w:rsidRPr="00C33814">
        <w:rPr>
          <w:rFonts w:ascii="Cambria Math" w:hAnsi="Cambria Math" w:cs="Cambria Math"/>
          <w:lang w:val="en-US"/>
        </w:rPr>
        <w:t>ₜ</w:t>
      </w:r>
      <w:r w:rsidRPr="00C33814">
        <w:rPr>
          <w:rFonts w:cs="Times New Roman"/>
          <w:lang w:val="en-US"/>
        </w:rPr>
        <w:t>) during the thermal transient, used to determine the latent heat and phase change temperature.</w:t>
      </w:r>
    </w:p>
    <w:p w14:paraId="3189C665" w14:textId="77777777" w:rsidR="00C33814" w:rsidRDefault="00C33814" w:rsidP="00C33814">
      <w:pPr>
        <w:keepNext/>
      </w:pPr>
      <w:r w:rsidRPr="003E7C33">
        <w:rPr>
          <w:rFonts w:ascii="Times New Roman" w:hAnsi="Times New Roman" w:cs="Times New Roman"/>
          <w:noProof/>
        </w:rPr>
        <w:drawing>
          <wp:inline distT="0" distB="0" distL="0" distR="0" wp14:anchorId="24A9CD58" wp14:editId="1653E5B6">
            <wp:extent cx="6120130" cy="2052955"/>
            <wp:effectExtent l="0" t="0" r="0" b="4445"/>
            <wp:docPr id="1053867348" name="Immagine 1" descr="A diagram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3867348" name="Immagine 1" descr="A diagram of a graph&#10;&#10;AI-generated content may be incorrect."/>
                    <pic:cNvPicPr/>
                  </pic:nvPicPr>
                  <pic:blipFill>
                    <a:blip r:embed="rId58"/>
                    <a:stretch>
                      <a:fillRect/>
                    </a:stretch>
                  </pic:blipFill>
                  <pic:spPr>
                    <a:xfrm>
                      <a:off x="0" y="0"/>
                      <a:ext cx="6120130" cy="2052955"/>
                    </a:xfrm>
                    <a:prstGeom prst="rect">
                      <a:avLst/>
                    </a:prstGeom>
                  </pic:spPr>
                </pic:pic>
              </a:graphicData>
            </a:graphic>
          </wp:inline>
        </w:drawing>
      </w:r>
    </w:p>
    <w:p w14:paraId="0963DEC7" w14:textId="7DC0FF75" w:rsidR="00702398" w:rsidRDefault="00C33814" w:rsidP="00702398">
      <w:pPr>
        <w:pStyle w:val="Caption"/>
        <w:jc w:val="both"/>
        <w:rPr>
          <w:rFonts w:cs="Times New Roman"/>
        </w:rPr>
      </w:pPr>
      <w:bookmarkStart w:id="61" w:name="_Toc214357728"/>
      <w:r w:rsidRPr="0070490F">
        <w:rPr>
          <w:rFonts w:ascii="Times New Roman" w:hAnsi="Times New Roman" w:cs="Times New Roman"/>
        </w:rPr>
        <w:t xml:space="preserve">Figure </w:t>
      </w:r>
      <w:r w:rsidR="00F824A5">
        <w:rPr>
          <w:rFonts w:ascii="Times New Roman" w:hAnsi="Times New Roman" w:cs="Times New Roman"/>
        </w:rPr>
        <w:fldChar w:fldCharType="begin"/>
      </w:r>
      <w:r w:rsidR="00F824A5">
        <w:rPr>
          <w:rFonts w:ascii="Times New Roman" w:hAnsi="Times New Roman" w:cs="Times New Roman"/>
        </w:rPr>
        <w:instrText xml:space="preserve"> STYLEREF 1 \s </w:instrText>
      </w:r>
      <w:r w:rsidR="00F824A5">
        <w:rPr>
          <w:rFonts w:ascii="Times New Roman" w:hAnsi="Times New Roman" w:cs="Times New Roman"/>
        </w:rPr>
        <w:fldChar w:fldCharType="separate"/>
      </w:r>
      <w:r w:rsidR="000412CE">
        <w:rPr>
          <w:rFonts w:ascii="Times New Roman" w:hAnsi="Times New Roman" w:cs="Times New Roman"/>
          <w:noProof/>
        </w:rPr>
        <w:t>1</w:t>
      </w:r>
      <w:r w:rsidR="00F824A5">
        <w:rPr>
          <w:rFonts w:ascii="Times New Roman" w:hAnsi="Times New Roman" w:cs="Times New Roman"/>
        </w:rPr>
        <w:fldChar w:fldCharType="end"/>
      </w:r>
      <w:r w:rsidR="00F824A5">
        <w:rPr>
          <w:rFonts w:ascii="Times New Roman" w:hAnsi="Times New Roman" w:cs="Times New Roman"/>
        </w:rPr>
        <w:t>.</w:t>
      </w:r>
      <w:r w:rsidR="00F824A5">
        <w:rPr>
          <w:rFonts w:ascii="Times New Roman" w:hAnsi="Times New Roman" w:cs="Times New Roman"/>
        </w:rPr>
        <w:fldChar w:fldCharType="begin"/>
      </w:r>
      <w:r w:rsidR="00F824A5">
        <w:rPr>
          <w:rFonts w:ascii="Times New Roman" w:hAnsi="Times New Roman" w:cs="Times New Roman"/>
        </w:rPr>
        <w:instrText xml:space="preserve"> SEQ Figure \* ARABIC \s 1 </w:instrText>
      </w:r>
      <w:r w:rsidR="00F824A5">
        <w:rPr>
          <w:rFonts w:ascii="Times New Roman" w:hAnsi="Times New Roman" w:cs="Times New Roman"/>
        </w:rPr>
        <w:fldChar w:fldCharType="separate"/>
      </w:r>
      <w:r w:rsidR="000412CE">
        <w:rPr>
          <w:rFonts w:ascii="Times New Roman" w:hAnsi="Times New Roman" w:cs="Times New Roman"/>
          <w:noProof/>
        </w:rPr>
        <w:t>19</w:t>
      </w:r>
      <w:r w:rsidR="00F824A5">
        <w:rPr>
          <w:rFonts w:ascii="Times New Roman" w:hAnsi="Times New Roman" w:cs="Times New Roman"/>
        </w:rPr>
        <w:fldChar w:fldCharType="end"/>
      </w:r>
      <w:r w:rsidRPr="0070490F">
        <w:rPr>
          <w:rFonts w:ascii="Times New Roman" w:hAnsi="Times New Roman" w:cs="Times New Roman"/>
        </w:rPr>
        <w:t xml:space="preserve">. </w:t>
      </w:r>
      <w:r w:rsidRPr="00C33814">
        <w:rPr>
          <w:rFonts w:cs="Times New Roman"/>
        </w:rPr>
        <w:t>Schematization of the temperature trend in a j-th node, on the left, and of the surface heat flux trends F</w:t>
      </w:r>
      <w:r w:rsidRPr="001C18D7">
        <w:rPr>
          <w:rFonts w:cs="Times New Roman"/>
          <w:vertAlign w:val="subscript"/>
        </w:rPr>
        <w:t>top</w:t>
      </w:r>
      <w:r w:rsidRPr="00C33814">
        <w:rPr>
          <w:rFonts w:cs="Times New Roman"/>
        </w:rPr>
        <w:t xml:space="preserve"> and F</w:t>
      </w:r>
      <w:r w:rsidRPr="001C18D7">
        <w:rPr>
          <w:rFonts w:cs="Times New Roman"/>
          <w:vertAlign w:val="subscript"/>
        </w:rPr>
        <w:t>bot</w:t>
      </w:r>
      <w:r w:rsidR="001C18D7">
        <w:rPr>
          <w:rFonts w:cs="Times New Roman"/>
        </w:rPr>
        <w:t>,</w:t>
      </w:r>
      <w:r w:rsidRPr="00C33814">
        <w:rPr>
          <w:rFonts w:cs="Times New Roman"/>
        </w:rPr>
        <w:t xml:space="preserve"> and of the total stored energy ET, on the right, during the thermal transient between an initial steady state and a final one</w:t>
      </w:r>
      <w:r w:rsidR="00702398">
        <w:rPr>
          <w:rFonts w:cs="Times New Roman"/>
        </w:rPr>
        <w:t>.</w:t>
      </w:r>
      <w:r w:rsidR="005C3319">
        <w:rPr>
          <w:rFonts w:cs="Times New Roman"/>
        </w:rPr>
        <w:t xml:space="preserve"> [49]</w:t>
      </w:r>
      <w:r w:rsidR="00A165BA">
        <w:rPr>
          <w:rFonts w:cs="Times New Roman"/>
        </w:rPr>
        <w:t>.</w:t>
      </w:r>
      <w:bookmarkEnd w:id="61"/>
    </w:p>
    <w:p w14:paraId="19CAC18D" w14:textId="7BDDDC93" w:rsidR="0060138A" w:rsidRDefault="00C33814" w:rsidP="00702398">
      <w:pPr>
        <w:pStyle w:val="Heading2"/>
      </w:pPr>
      <w:bookmarkStart w:id="62" w:name="_Toc214356282"/>
      <w:r>
        <w:t>Commercial PCMs</w:t>
      </w:r>
      <w:bookmarkEnd w:id="62"/>
    </w:p>
    <w:p w14:paraId="70DA28DC" w14:textId="06C35780" w:rsidR="000F6463" w:rsidRPr="000F6463" w:rsidRDefault="000F6463" w:rsidP="000F6463">
      <w:pPr>
        <w:rPr>
          <w:rFonts w:cs="Times New Roman"/>
          <w:lang w:val="en-US"/>
        </w:rPr>
      </w:pPr>
      <w:r w:rsidRPr="000F6463">
        <w:rPr>
          <w:rFonts w:cs="Times New Roman"/>
          <w:lang w:val="en-US"/>
        </w:rPr>
        <w:t xml:space="preserve">The global market for PCMs includes a wide range of companies engaged in developing and commercializing materials used for thermal energy storage and temperature regulation. These materials are applied across sectors such as building energy efficiency, electronics, textiles, logistics, and renewable energy systems. In general, pure PCMs are single substances or well-defined materials that store and release latent heat during their phase transition between solid and liquid states. In contrast, PCM-based products are engineered systems or formulations in which these materials are encapsulated, stabilized, or integrated into a support matrix or finished component, making them suitable for practical and large-scale applications. Table </w:t>
      </w:r>
      <w:r>
        <w:rPr>
          <w:rFonts w:cs="Times New Roman"/>
          <w:lang w:val="en-US"/>
        </w:rPr>
        <w:t xml:space="preserve">1.12 </w:t>
      </w:r>
      <w:r w:rsidRPr="000F6463">
        <w:rPr>
          <w:rFonts w:cs="Times New Roman"/>
          <w:lang w:val="en-US"/>
        </w:rPr>
        <w:t>presents a selection of major international PCM manufacturers, outlining their main commercial products and application areas. For some of these companies, a detailed classification will then be provided, distinguishing between pure PCMs and PCM-based products.</w:t>
      </w:r>
    </w:p>
    <w:tbl>
      <w:tblPr>
        <w:tblStyle w:val="TableGrid"/>
        <w:tblW w:w="0" w:type="auto"/>
        <w:jc w:val="center"/>
        <w:tblLook w:val="04A0" w:firstRow="1" w:lastRow="0" w:firstColumn="1" w:lastColumn="0" w:noHBand="0" w:noVBand="1"/>
      </w:tblPr>
      <w:tblGrid>
        <w:gridCol w:w="4320"/>
        <w:gridCol w:w="4320"/>
      </w:tblGrid>
      <w:tr w:rsidR="000F6463" w:rsidRPr="000F6463" w14:paraId="025E91B8" w14:textId="77777777" w:rsidTr="000F6463">
        <w:trPr>
          <w:jc w:val="center"/>
        </w:trPr>
        <w:tc>
          <w:tcPr>
            <w:tcW w:w="4320" w:type="dxa"/>
            <w:shd w:val="clear" w:color="auto" w:fill="8EA5B6"/>
          </w:tcPr>
          <w:p w14:paraId="7C5E7EFF" w14:textId="77777777" w:rsidR="000F6463" w:rsidRPr="000F6463" w:rsidRDefault="000F6463" w:rsidP="00CE57E0">
            <w:pPr>
              <w:rPr>
                <w:rFonts w:cs="Times New Roman"/>
                <w:b/>
                <w:bCs/>
                <w:sz w:val="20"/>
                <w:szCs w:val="20"/>
              </w:rPr>
            </w:pPr>
            <w:r w:rsidRPr="000F6463">
              <w:rPr>
                <w:rFonts w:cs="Times New Roman"/>
                <w:b/>
                <w:bCs/>
                <w:sz w:val="20"/>
                <w:szCs w:val="20"/>
              </w:rPr>
              <w:t>PCM Manufacturer</w:t>
            </w:r>
          </w:p>
        </w:tc>
        <w:tc>
          <w:tcPr>
            <w:tcW w:w="4320" w:type="dxa"/>
            <w:shd w:val="clear" w:color="auto" w:fill="8EA5B6"/>
          </w:tcPr>
          <w:p w14:paraId="503AFF3C" w14:textId="77777777" w:rsidR="000F6463" w:rsidRPr="000F6463" w:rsidRDefault="000F6463" w:rsidP="00CE57E0">
            <w:pPr>
              <w:rPr>
                <w:rFonts w:cs="Times New Roman"/>
                <w:b/>
                <w:bCs/>
                <w:sz w:val="20"/>
                <w:szCs w:val="20"/>
              </w:rPr>
            </w:pPr>
            <w:r w:rsidRPr="000F6463">
              <w:rPr>
                <w:rFonts w:cs="Times New Roman"/>
                <w:b/>
                <w:bCs/>
                <w:sz w:val="20"/>
                <w:szCs w:val="20"/>
              </w:rPr>
              <w:t>Commercial Products &amp; Applications</w:t>
            </w:r>
          </w:p>
        </w:tc>
      </w:tr>
      <w:tr w:rsidR="000F6463" w:rsidRPr="00736B36" w14:paraId="7F89F0B7" w14:textId="77777777" w:rsidTr="000F6463">
        <w:trPr>
          <w:jc w:val="center"/>
        </w:trPr>
        <w:tc>
          <w:tcPr>
            <w:tcW w:w="4320" w:type="dxa"/>
          </w:tcPr>
          <w:p w14:paraId="0108E90F" w14:textId="77777777" w:rsidR="000F6463" w:rsidRPr="000F6463" w:rsidRDefault="000F6463" w:rsidP="00CE57E0">
            <w:pPr>
              <w:rPr>
                <w:rFonts w:cs="Times New Roman"/>
                <w:b/>
                <w:bCs/>
                <w:sz w:val="20"/>
                <w:szCs w:val="20"/>
              </w:rPr>
            </w:pPr>
            <w:r w:rsidRPr="000F6463">
              <w:rPr>
                <w:rFonts w:cs="Times New Roman"/>
                <w:sz w:val="20"/>
                <w:szCs w:val="20"/>
              </w:rPr>
              <w:t>Honeywell International Inc. (US)</w:t>
            </w:r>
          </w:p>
          <w:p w14:paraId="4DE1942E" w14:textId="77777777" w:rsidR="000F6463" w:rsidRPr="000F6463" w:rsidRDefault="000F6463" w:rsidP="00CE57E0">
            <w:pPr>
              <w:rPr>
                <w:rFonts w:cs="Times New Roman"/>
                <w:sz w:val="20"/>
                <w:szCs w:val="20"/>
              </w:rPr>
            </w:pPr>
          </w:p>
        </w:tc>
        <w:tc>
          <w:tcPr>
            <w:tcW w:w="4320" w:type="dxa"/>
          </w:tcPr>
          <w:p w14:paraId="7DA35F3F" w14:textId="0FAFB831" w:rsidR="000F6463" w:rsidRPr="000F6463" w:rsidRDefault="000F6463" w:rsidP="000F6463">
            <w:pPr>
              <w:rPr>
                <w:rFonts w:cs="Times New Roman"/>
                <w:sz w:val="20"/>
                <w:szCs w:val="20"/>
                <w:lang w:val="en-US"/>
              </w:rPr>
            </w:pPr>
            <w:r w:rsidRPr="000F6463">
              <w:rPr>
                <w:rFonts w:cs="Times New Roman"/>
                <w:sz w:val="20"/>
                <w:szCs w:val="20"/>
                <w:lang w:val="en-US"/>
              </w:rPr>
              <w:t>Reported as one of the main players in the advanced PCM market</w:t>
            </w:r>
          </w:p>
        </w:tc>
      </w:tr>
      <w:tr w:rsidR="000F6463" w:rsidRPr="00736B36" w14:paraId="4223052B" w14:textId="77777777" w:rsidTr="000F6463">
        <w:trPr>
          <w:jc w:val="center"/>
        </w:trPr>
        <w:tc>
          <w:tcPr>
            <w:tcW w:w="4320" w:type="dxa"/>
          </w:tcPr>
          <w:p w14:paraId="69E48DFF" w14:textId="77777777" w:rsidR="000F6463" w:rsidRPr="000F6463" w:rsidRDefault="000F6463" w:rsidP="00CE57E0">
            <w:pPr>
              <w:rPr>
                <w:rFonts w:cs="Times New Roman"/>
                <w:sz w:val="20"/>
                <w:szCs w:val="20"/>
              </w:rPr>
            </w:pPr>
            <w:r w:rsidRPr="000F6463">
              <w:rPr>
                <w:rFonts w:cs="Times New Roman"/>
                <w:sz w:val="20"/>
                <w:szCs w:val="20"/>
              </w:rPr>
              <w:lastRenderedPageBreak/>
              <w:t xml:space="preserve">Teappcm </w:t>
            </w:r>
          </w:p>
        </w:tc>
        <w:tc>
          <w:tcPr>
            <w:tcW w:w="4320" w:type="dxa"/>
          </w:tcPr>
          <w:p w14:paraId="25AB9294" w14:textId="0F6325AD" w:rsidR="000F6463" w:rsidRPr="000F6463" w:rsidRDefault="000F6463" w:rsidP="000F6463">
            <w:pPr>
              <w:rPr>
                <w:rFonts w:cs="Times New Roman"/>
                <w:sz w:val="20"/>
                <w:szCs w:val="20"/>
                <w:lang w:val="en-US"/>
              </w:rPr>
            </w:pPr>
            <w:r w:rsidRPr="000F6463">
              <w:rPr>
                <w:rFonts w:cs="Times New Roman"/>
                <w:sz w:val="20"/>
                <w:szCs w:val="20"/>
                <w:lang w:val="en-US"/>
              </w:rPr>
              <w:t>PCM (T series Latent®) for telecom enclosures, back-up air conditioning, and free cooling. PCM in the form of panels, balls, etc. available for retrofitting applications.</w:t>
            </w:r>
          </w:p>
        </w:tc>
      </w:tr>
      <w:tr w:rsidR="000F6463" w:rsidRPr="00736B36" w14:paraId="70DB8AEA" w14:textId="77777777" w:rsidTr="000F6463">
        <w:trPr>
          <w:jc w:val="center"/>
        </w:trPr>
        <w:tc>
          <w:tcPr>
            <w:tcW w:w="4320" w:type="dxa"/>
          </w:tcPr>
          <w:p w14:paraId="548A1CD5" w14:textId="77777777" w:rsidR="000F6463" w:rsidRPr="000F6463" w:rsidRDefault="000F6463" w:rsidP="00CE57E0">
            <w:pPr>
              <w:rPr>
                <w:rFonts w:cs="Times New Roman"/>
                <w:sz w:val="20"/>
                <w:szCs w:val="20"/>
              </w:rPr>
            </w:pPr>
            <w:r w:rsidRPr="000F6463">
              <w:rPr>
                <w:rFonts w:cs="Times New Roman"/>
                <w:sz w:val="20"/>
                <w:szCs w:val="20"/>
              </w:rPr>
              <w:t>Croda International Plc (UK)</w:t>
            </w:r>
          </w:p>
        </w:tc>
        <w:tc>
          <w:tcPr>
            <w:tcW w:w="4320" w:type="dxa"/>
          </w:tcPr>
          <w:p w14:paraId="5EB214F9" w14:textId="52EB3BE4" w:rsidR="000F6463" w:rsidRPr="000F6463" w:rsidRDefault="000F6463" w:rsidP="000F6463">
            <w:pPr>
              <w:rPr>
                <w:rFonts w:cs="Times New Roman"/>
                <w:sz w:val="20"/>
                <w:szCs w:val="20"/>
                <w:lang w:val="en-US"/>
              </w:rPr>
            </w:pPr>
            <w:r w:rsidRPr="000F6463">
              <w:rPr>
                <w:rFonts w:cs="Times New Roman"/>
                <w:sz w:val="20"/>
                <w:szCs w:val="20"/>
                <w:lang w:val="en-US"/>
              </w:rPr>
              <w:t>Produces bio-based PCMs and offers the “CrodaTherm PCM Wax” range for various temperature intervals.</w:t>
            </w:r>
          </w:p>
        </w:tc>
      </w:tr>
      <w:tr w:rsidR="000F6463" w:rsidRPr="00736B36" w14:paraId="005B4DB5" w14:textId="77777777" w:rsidTr="000F6463">
        <w:trPr>
          <w:jc w:val="center"/>
        </w:trPr>
        <w:tc>
          <w:tcPr>
            <w:tcW w:w="4320" w:type="dxa"/>
          </w:tcPr>
          <w:p w14:paraId="316D39E1" w14:textId="77777777" w:rsidR="000F6463" w:rsidRPr="000F6463" w:rsidRDefault="000F6463" w:rsidP="00CE57E0">
            <w:pPr>
              <w:rPr>
                <w:rFonts w:cs="Times New Roman"/>
                <w:sz w:val="20"/>
                <w:szCs w:val="20"/>
              </w:rPr>
            </w:pPr>
            <w:r w:rsidRPr="000F6463">
              <w:rPr>
                <w:rFonts w:cs="Times New Roman"/>
                <w:sz w:val="20"/>
                <w:szCs w:val="20"/>
              </w:rPr>
              <w:t xml:space="preserve">Rubitherm (Germany) </w:t>
            </w:r>
          </w:p>
        </w:tc>
        <w:tc>
          <w:tcPr>
            <w:tcW w:w="4320" w:type="dxa"/>
          </w:tcPr>
          <w:p w14:paraId="5D25708A" w14:textId="6DBD7A0F" w:rsidR="000F6463" w:rsidRPr="000F6463" w:rsidRDefault="000F6463" w:rsidP="000F6463">
            <w:pPr>
              <w:rPr>
                <w:rFonts w:cs="Times New Roman"/>
                <w:sz w:val="20"/>
                <w:szCs w:val="20"/>
                <w:lang w:val="en-US"/>
              </w:rPr>
            </w:pPr>
            <w:r w:rsidRPr="000F6463">
              <w:rPr>
                <w:rFonts w:cs="Times New Roman"/>
                <w:sz w:val="20"/>
                <w:szCs w:val="20"/>
                <w:lang w:val="en-US"/>
              </w:rPr>
              <w:t>Paraffin-based PCMs; manufacture organic, inorganic, and dry PCMs, micro-encapsulated PCMs, freezer, heat packs, and warming elements (RT, SP, PX, etc.).</w:t>
            </w:r>
          </w:p>
        </w:tc>
      </w:tr>
      <w:tr w:rsidR="000F6463" w:rsidRPr="00736B36" w14:paraId="265DC4A7" w14:textId="77777777" w:rsidTr="000F6463">
        <w:trPr>
          <w:trHeight w:val="1468"/>
          <w:jc w:val="center"/>
        </w:trPr>
        <w:tc>
          <w:tcPr>
            <w:tcW w:w="4320" w:type="dxa"/>
          </w:tcPr>
          <w:p w14:paraId="49C0B7A0" w14:textId="77777777" w:rsidR="000F6463" w:rsidRPr="000F6463" w:rsidRDefault="000F6463" w:rsidP="00CE57E0">
            <w:pPr>
              <w:rPr>
                <w:rFonts w:cs="Times New Roman"/>
                <w:sz w:val="20"/>
                <w:szCs w:val="20"/>
              </w:rPr>
            </w:pPr>
            <w:r w:rsidRPr="000F6463">
              <w:rPr>
                <w:rFonts w:cs="Times New Roman"/>
                <w:sz w:val="20"/>
                <w:szCs w:val="20"/>
              </w:rPr>
              <w:t xml:space="preserve">PlusS (India) </w:t>
            </w:r>
          </w:p>
        </w:tc>
        <w:tc>
          <w:tcPr>
            <w:tcW w:w="4320" w:type="dxa"/>
          </w:tcPr>
          <w:p w14:paraId="015148AD" w14:textId="77777777" w:rsidR="000F6463" w:rsidRPr="000F6463" w:rsidRDefault="000F6463" w:rsidP="00CE57E0">
            <w:pPr>
              <w:rPr>
                <w:rFonts w:cs="Times New Roman"/>
                <w:sz w:val="20"/>
                <w:szCs w:val="20"/>
                <w:lang w:val="en-US"/>
              </w:rPr>
            </w:pPr>
            <w:r w:rsidRPr="000F6463">
              <w:rPr>
                <w:rFonts w:cs="Times New Roman"/>
                <w:sz w:val="20"/>
                <w:szCs w:val="20"/>
                <w:lang w:val="en-US"/>
              </w:rPr>
              <w:t>Include GSM latent, multipurpose PCMs and greenhouse applications. PCM under registered trademark name savE and in LS as savENRG; available in a temperature range from −33 to 89 °C. Developed solar PCM-evaporator for 24 h drying with no temperature fluctuations.</w:t>
            </w:r>
          </w:p>
        </w:tc>
      </w:tr>
      <w:tr w:rsidR="000F6463" w:rsidRPr="00736B36" w14:paraId="04CEF489" w14:textId="77777777" w:rsidTr="000F6463">
        <w:trPr>
          <w:jc w:val="center"/>
        </w:trPr>
        <w:tc>
          <w:tcPr>
            <w:tcW w:w="4320" w:type="dxa"/>
          </w:tcPr>
          <w:p w14:paraId="764E1029" w14:textId="77777777" w:rsidR="000F6463" w:rsidRPr="000F6463" w:rsidRDefault="000F6463" w:rsidP="00CE57E0">
            <w:pPr>
              <w:rPr>
                <w:rFonts w:cs="Times New Roman"/>
                <w:sz w:val="20"/>
                <w:szCs w:val="20"/>
              </w:rPr>
            </w:pPr>
            <w:r w:rsidRPr="000F6463">
              <w:rPr>
                <w:rFonts w:cs="Times New Roman"/>
                <w:sz w:val="20"/>
                <w:szCs w:val="20"/>
              </w:rPr>
              <w:t xml:space="preserve">DuPont (US) </w:t>
            </w:r>
          </w:p>
        </w:tc>
        <w:tc>
          <w:tcPr>
            <w:tcW w:w="4320" w:type="dxa"/>
          </w:tcPr>
          <w:p w14:paraId="2BCEE3E7" w14:textId="77777777" w:rsidR="000F6463" w:rsidRPr="000F6463" w:rsidRDefault="000F6463" w:rsidP="00CE57E0">
            <w:pPr>
              <w:rPr>
                <w:rFonts w:cs="Times New Roman"/>
                <w:sz w:val="20"/>
                <w:szCs w:val="20"/>
                <w:lang w:val="en-US"/>
              </w:rPr>
            </w:pPr>
            <w:r w:rsidRPr="000F6463">
              <w:rPr>
                <w:rFonts w:cs="Times New Roman"/>
                <w:sz w:val="20"/>
                <w:szCs w:val="20"/>
                <w:lang w:val="en-US"/>
              </w:rPr>
              <w:t>Thermal mass panel (Energain); able to absorb heat from the temperature around 22 °C; saves up to 30% air conditioning cost; 15% heating cost, and reduces peak temperature by 7 °C.</w:t>
            </w:r>
          </w:p>
          <w:p w14:paraId="3B09DF79" w14:textId="77777777" w:rsidR="000F6463" w:rsidRPr="000F6463" w:rsidRDefault="000F6463" w:rsidP="00CE57E0">
            <w:pPr>
              <w:rPr>
                <w:rFonts w:cs="Times New Roman"/>
                <w:sz w:val="20"/>
                <w:szCs w:val="20"/>
                <w:lang w:val="en-US"/>
              </w:rPr>
            </w:pPr>
          </w:p>
        </w:tc>
      </w:tr>
      <w:tr w:rsidR="000F6463" w:rsidRPr="00736B36" w14:paraId="294325B2" w14:textId="77777777" w:rsidTr="000F6463">
        <w:trPr>
          <w:jc w:val="center"/>
        </w:trPr>
        <w:tc>
          <w:tcPr>
            <w:tcW w:w="4320" w:type="dxa"/>
          </w:tcPr>
          <w:p w14:paraId="1287DB81" w14:textId="77777777" w:rsidR="000F6463" w:rsidRPr="000F6463" w:rsidRDefault="000F6463" w:rsidP="00CE57E0">
            <w:pPr>
              <w:rPr>
                <w:rFonts w:cs="Times New Roman"/>
                <w:sz w:val="20"/>
                <w:szCs w:val="20"/>
              </w:rPr>
            </w:pPr>
            <w:r w:rsidRPr="000F6463">
              <w:rPr>
                <w:rFonts w:cs="Times New Roman"/>
                <w:sz w:val="20"/>
                <w:szCs w:val="20"/>
              </w:rPr>
              <w:t xml:space="preserve">RGES LLC </w:t>
            </w:r>
          </w:p>
        </w:tc>
        <w:tc>
          <w:tcPr>
            <w:tcW w:w="4320" w:type="dxa"/>
          </w:tcPr>
          <w:p w14:paraId="7394A9CD" w14:textId="47E99703" w:rsidR="000F6463" w:rsidRPr="000F6463" w:rsidRDefault="000F6463" w:rsidP="000F6463">
            <w:pPr>
              <w:rPr>
                <w:rFonts w:cs="Times New Roman"/>
                <w:sz w:val="20"/>
                <w:szCs w:val="20"/>
                <w:lang w:val="en-US"/>
              </w:rPr>
            </w:pPr>
            <w:r w:rsidRPr="000F6463">
              <w:rPr>
                <w:rFonts w:cs="Times New Roman"/>
                <w:sz w:val="20"/>
                <w:szCs w:val="20"/>
                <w:lang w:val="en-US"/>
              </w:rPr>
              <w:t>DuPont™ Tyvek® Air Cargo Covers are used for shipping pharmaceuticals, vegetables, and fruits. Organic, bio-based &amp; hydrated salt-based PCM materials under trade name PCM-HS, PCM-OS, etc. SaveENGC: cool warm, incubation, freezer PCMs for storage &amp; shipping; maintaining body temperature and for cold chains (medical applications).</w:t>
            </w:r>
          </w:p>
        </w:tc>
      </w:tr>
      <w:tr w:rsidR="000F6463" w:rsidRPr="00736B36" w14:paraId="565267A5" w14:textId="77777777" w:rsidTr="000F6463">
        <w:trPr>
          <w:jc w:val="center"/>
        </w:trPr>
        <w:tc>
          <w:tcPr>
            <w:tcW w:w="4320" w:type="dxa"/>
          </w:tcPr>
          <w:p w14:paraId="1009E539" w14:textId="77777777" w:rsidR="000F6463" w:rsidRPr="000F6463" w:rsidRDefault="000F6463" w:rsidP="00CE57E0">
            <w:pPr>
              <w:rPr>
                <w:rFonts w:cs="Times New Roman"/>
                <w:sz w:val="20"/>
                <w:szCs w:val="20"/>
              </w:rPr>
            </w:pPr>
            <w:r w:rsidRPr="000F6463">
              <w:rPr>
                <w:rFonts w:cs="Times New Roman"/>
                <w:sz w:val="20"/>
                <w:szCs w:val="20"/>
              </w:rPr>
              <w:t xml:space="preserve">Entropy Solutions </w:t>
            </w:r>
          </w:p>
        </w:tc>
        <w:tc>
          <w:tcPr>
            <w:tcW w:w="4320" w:type="dxa"/>
          </w:tcPr>
          <w:p w14:paraId="5C8430D6" w14:textId="42696065" w:rsidR="000F6463" w:rsidRPr="000F6463" w:rsidRDefault="000F6463" w:rsidP="000F6463">
            <w:pPr>
              <w:rPr>
                <w:rFonts w:cs="Times New Roman"/>
                <w:sz w:val="20"/>
                <w:szCs w:val="20"/>
                <w:lang w:val="en-US"/>
              </w:rPr>
            </w:pPr>
            <w:r w:rsidRPr="000F6463">
              <w:rPr>
                <w:rFonts w:cs="Times New Roman"/>
                <w:sz w:val="20"/>
                <w:szCs w:val="20"/>
                <w:lang w:val="en-US"/>
              </w:rPr>
              <w:t xml:space="preserve">PureTemp, a bio-based PCM technology, 100% renewable PCM. Acquired by Sonoco ThermoSafe in its Greenbox for temperature-sensitive pharmaceuticals; able to maintain payloads up to 5 days without requiring external power. Envoy, Certis, and Pallet Shipper are other packaging solutions using this technology. PepsiCo is using its PureTemp technology in its Cold Box to serve perishable meals to school children. Used in the Embrace infant warmer, costing less than 1% of the </w:t>
            </w:r>
            <w:r w:rsidRPr="000F6463">
              <w:rPr>
                <w:rFonts w:cs="Times New Roman"/>
                <w:sz w:val="20"/>
                <w:szCs w:val="20"/>
                <w:lang w:val="en-US"/>
              </w:rPr>
              <w:lastRenderedPageBreak/>
              <w:t>$20,000 incubators found in top hospitals. Cool Vest, developed by Glacier Tek, uses this technology, which prevents overheating in human and canine troops in Afghanistan.</w:t>
            </w:r>
          </w:p>
        </w:tc>
      </w:tr>
      <w:tr w:rsidR="000F6463" w:rsidRPr="00736B36" w14:paraId="1CB178C1" w14:textId="77777777" w:rsidTr="000F6463">
        <w:trPr>
          <w:jc w:val="center"/>
        </w:trPr>
        <w:tc>
          <w:tcPr>
            <w:tcW w:w="4320" w:type="dxa"/>
          </w:tcPr>
          <w:p w14:paraId="325EFFFB" w14:textId="77777777" w:rsidR="000F6463" w:rsidRPr="000F6463" w:rsidRDefault="000F6463" w:rsidP="00CE57E0">
            <w:pPr>
              <w:rPr>
                <w:rFonts w:cs="Times New Roman"/>
                <w:sz w:val="20"/>
                <w:szCs w:val="20"/>
                <w:lang w:val="en-US"/>
              </w:rPr>
            </w:pPr>
            <w:r w:rsidRPr="000F6463">
              <w:rPr>
                <w:rFonts w:cs="Times New Roman"/>
                <w:sz w:val="20"/>
                <w:szCs w:val="20"/>
                <w:lang w:val="en-US"/>
              </w:rPr>
              <w:lastRenderedPageBreak/>
              <w:t xml:space="preserve">Phase Change Energy Solutions (US) </w:t>
            </w:r>
          </w:p>
        </w:tc>
        <w:tc>
          <w:tcPr>
            <w:tcW w:w="4320" w:type="dxa"/>
          </w:tcPr>
          <w:p w14:paraId="6822DE27" w14:textId="381D0928" w:rsidR="000F6463" w:rsidRPr="000F6463" w:rsidRDefault="000F6463" w:rsidP="000F6463">
            <w:pPr>
              <w:rPr>
                <w:rFonts w:cs="Times New Roman"/>
                <w:sz w:val="20"/>
                <w:szCs w:val="20"/>
                <w:lang w:val="en-US"/>
              </w:rPr>
            </w:pPr>
            <w:r w:rsidRPr="000F6463">
              <w:rPr>
                <w:rFonts w:cs="Times New Roman"/>
                <w:sz w:val="20"/>
                <w:szCs w:val="20"/>
                <w:lang w:val="en-US"/>
              </w:rPr>
              <w:t>Bio-PCM® based products (BioPCM® and Thermastick). Successfully used in residential and commercial buildings.</w:t>
            </w:r>
          </w:p>
        </w:tc>
      </w:tr>
      <w:tr w:rsidR="000F6463" w:rsidRPr="00736B36" w14:paraId="61F1899A" w14:textId="77777777" w:rsidTr="000F6463">
        <w:trPr>
          <w:jc w:val="center"/>
        </w:trPr>
        <w:tc>
          <w:tcPr>
            <w:tcW w:w="4320" w:type="dxa"/>
          </w:tcPr>
          <w:p w14:paraId="5F724958" w14:textId="77777777" w:rsidR="000F6463" w:rsidRPr="000F6463" w:rsidRDefault="000F6463" w:rsidP="00CE57E0">
            <w:pPr>
              <w:rPr>
                <w:rFonts w:cs="Times New Roman"/>
                <w:sz w:val="20"/>
                <w:szCs w:val="20"/>
              </w:rPr>
            </w:pPr>
            <w:r w:rsidRPr="000F6463">
              <w:rPr>
                <w:rFonts w:cs="Times New Roman"/>
                <w:sz w:val="20"/>
                <w:szCs w:val="20"/>
              </w:rPr>
              <w:t xml:space="preserve">BASF </w:t>
            </w:r>
          </w:p>
        </w:tc>
        <w:tc>
          <w:tcPr>
            <w:tcW w:w="4320" w:type="dxa"/>
          </w:tcPr>
          <w:p w14:paraId="1D65B586" w14:textId="30FA2C39" w:rsidR="000F6463" w:rsidRPr="000F6463" w:rsidRDefault="000F6463" w:rsidP="000F6463">
            <w:pPr>
              <w:rPr>
                <w:rFonts w:cs="Times New Roman"/>
                <w:sz w:val="20"/>
                <w:szCs w:val="20"/>
                <w:lang w:val="en-US"/>
              </w:rPr>
            </w:pPr>
            <w:r w:rsidRPr="000F6463">
              <w:rPr>
                <w:rFonts w:cs="Times New Roman"/>
                <w:sz w:val="20"/>
                <w:szCs w:val="20"/>
                <w:lang w:val="en-US"/>
              </w:rPr>
              <w:t xml:space="preserve">Micronal PCM boards are stable for more than 10,000 cycles made out of PMMA and absorb heat in the range 21–26 °C. Micronal PCM smart boards were used in LIWA/COOL low-energy house buildings, schools, etc. </w:t>
            </w:r>
          </w:p>
        </w:tc>
      </w:tr>
      <w:tr w:rsidR="000F6463" w:rsidRPr="00736B36" w14:paraId="65796C91" w14:textId="77777777" w:rsidTr="000F6463">
        <w:trPr>
          <w:jc w:val="center"/>
        </w:trPr>
        <w:tc>
          <w:tcPr>
            <w:tcW w:w="4320" w:type="dxa"/>
          </w:tcPr>
          <w:p w14:paraId="0A38D46E" w14:textId="77777777" w:rsidR="000F6463" w:rsidRPr="000F6463" w:rsidRDefault="000F6463" w:rsidP="00CE57E0">
            <w:pPr>
              <w:rPr>
                <w:rFonts w:cs="Times New Roman"/>
                <w:sz w:val="20"/>
                <w:szCs w:val="20"/>
              </w:rPr>
            </w:pPr>
            <w:r w:rsidRPr="000F6463">
              <w:rPr>
                <w:rFonts w:cs="Times New Roman"/>
                <w:sz w:val="20"/>
                <w:szCs w:val="20"/>
              </w:rPr>
              <w:t xml:space="preserve">PCM Products Ltd (US) </w:t>
            </w:r>
          </w:p>
        </w:tc>
        <w:tc>
          <w:tcPr>
            <w:tcW w:w="4320" w:type="dxa"/>
          </w:tcPr>
          <w:p w14:paraId="72CE0A98" w14:textId="38DBEA5A" w:rsidR="000F6463" w:rsidRPr="000F6463" w:rsidRDefault="000F6463" w:rsidP="000F6463">
            <w:pPr>
              <w:keepNext/>
              <w:rPr>
                <w:rFonts w:cs="Times New Roman"/>
                <w:sz w:val="20"/>
                <w:szCs w:val="20"/>
                <w:lang w:val="en-US"/>
              </w:rPr>
            </w:pPr>
            <w:r w:rsidRPr="000F6463">
              <w:rPr>
                <w:rFonts w:cs="Times New Roman"/>
                <w:sz w:val="20"/>
                <w:szCs w:val="20"/>
                <w:lang w:val="en-US"/>
              </w:rPr>
              <w:t>PCM materials with trade names PlusICE, FlatICE, BallICE, etc. Used in the National Theatre (London, UK), China Shipping Office Building, Flexistore, UKE EIDOS Italy, a heat pump application, Qatar FIFA 2022 World Cup Stadium, and many others.</w:t>
            </w:r>
          </w:p>
        </w:tc>
      </w:tr>
    </w:tbl>
    <w:p w14:paraId="3624F8DB" w14:textId="338EA3DB" w:rsidR="000F6463" w:rsidRDefault="000F6463">
      <w:pPr>
        <w:pStyle w:val="Caption"/>
      </w:pPr>
      <w:bookmarkStart w:id="63" w:name="_Toc214362617"/>
      <w:r>
        <w:t xml:space="preserve">Table </w:t>
      </w:r>
      <w:r w:rsidR="00F43E9A">
        <w:fldChar w:fldCharType="begin"/>
      </w:r>
      <w:r w:rsidR="00F43E9A">
        <w:instrText xml:space="preserve"> STYLEREF 1 \s </w:instrText>
      </w:r>
      <w:r w:rsidR="00F43E9A">
        <w:fldChar w:fldCharType="separate"/>
      </w:r>
      <w:r w:rsidR="000412CE">
        <w:rPr>
          <w:noProof/>
        </w:rPr>
        <w:t>1</w:t>
      </w:r>
      <w:r w:rsidR="00F43E9A">
        <w:fldChar w:fldCharType="end"/>
      </w:r>
      <w:r w:rsidR="00F43E9A">
        <w:t>.</w:t>
      </w:r>
      <w:r w:rsidR="00F43E9A">
        <w:fldChar w:fldCharType="begin"/>
      </w:r>
      <w:r w:rsidR="00F43E9A">
        <w:instrText xml:space="preserve"> SEQ Table \* ARABIC \s 1 </w:instrText>
      </w:r>
      <w:r w:rsidR="00F43E9A">
        <w:fldChar w:fldCharType="separate"/>
      </w:r>
      <w:r w:rsidR="000412CE">
        <w:rPr>
          <w:noProof/>
        </w:rPr>
        <w:t>12</w:t>
      </w:r>
      <w:r w:rsidR="00F43E9A">
        <w:fldChar w:fldCharType="end"/>
      </w:r>
      <w:r w:rsidR="00DE026D">
        <w:t>.</w:t>
      </w:r>
      <w:r>
        <w:t xml:space="preserve"> </w:t>
      </w:r>
      <w:r w:rsidRPr="0070490F">
        <w:rPr>
          <w:rFonts w:ascii="Times New Roman" w:hAnsi="Times New Roman" w:cs="Times New Roman"/>
        </w:rPr>
        <w:t>Overview of major PCM manufacturers and their commercial products/applications, distinguishing pure PCMs from PCM-based solutions</w:t>
      </w:r>
      <w:r w:rsidRPr="0070490F">
        <w:t>.</w:t>
      </w:r>
      <w:bookmarkEnd w:id="63"/>
    </w:p>
    <w:p w14:paraId="42A6B3B6" w14:textId="77777777" w:rsidR="000F6463" w:rsidRDefault="000F6463" w:rsidP="000F6463">
      <w:pPr>
        <w:rPr>
          <w:rFonts w:ascii="Times New Roman" w:hAnsi="Times New Roman" w:cs="Times New Roman"/>
          <w:b/>
          <w:bCs/>
          <w:lang w:val="en-US"/>
        </w:rPr>
      </w:pPr>
    </w:p>
    <w:p w14:paraId="00214DF4" w14:textId="4AA11461" w:rsidR="000F6463" w:rsidRPr="000F6463" w:rsidRDefault="000F6463" w:rsidP="000F6463">
      <w:pPr>
        <w:rPr>
          <w:rFonts w:cs="Times New Roman"/>
          <w:lang w:val="en-US"/>
        </w:rPr>
      </w:pPr>
      <w:r w:rsidRPr="000F6463">
        <w:rPr>
          <w:rFonts w:cs="Times New Roman"/>
          <w:b/>
          <w:bCs/>
          <w:lang w:val="en-US"/>
        </w:rPr>
        <w:t>Honeywell International Inc</w:t>
      </w:r>
      <w:r w:rsidRPr="000F6463">
        <w:rPr>
          <w:rFonts w:cs="Times New Roman"/>
          <w:lang w:val="en-US"/>
        </w:rPr>
        <w:t>. The PCMs developed by Honeywell represent one of the most advanced solutions for thermal management in the electronic and industrial sectors. Thanks to their high thermal conductivity and operational stability, Honeywell PCMs enable effective temperature control, reducing thermal contact resistance and improving the efficiency of high-performance systems. Table 1.13 presents Honeywell’s phase-change thermal interface materials (pads and pastes), summarizing their thermal conductivity, thermal impedance, and density.</w:t>
      </w:r>
    </w:p>
    <w:p w14:paraId="18B83D1E" w14:textId="77777777" w:rsidR="000F6463" w:rsidRDefault="000F6463" w:rsidP="000F6463">
      <w:pPr>
        <w:rPr>
          <w:lang w:val="en-US"/>
        </w:rPr>
      </w:pPr>
      <w:hyperlink r:id="rId59" w:history="1">
        <w:r w:rsidRPr="000F6463">
          <w:rPr>
            <w:rStyle w:val="Hyperlink"/>
            <w:rFonts w:cs="Times New Roman"/>
            <w:lang w:val="en-US"/>
          </w:rPr>
          <w:t>https://advancedmaterials.honeywell.com/us/en/products/advanced-semiconductor-materials/thermal-management/phase-change-materials</w:t>
        </w:r>
      </w:hyperlink>
    </w:p>
    <w:p w14:paraId="6F0D7992" w14:textId="77777777" w:rsidR="000F6463" w:rsidRPr="00843F96" w:rsidRDefault="000F6463" w:rsidP="000F6463">
      <w:pPr>
        <w:rPr>
          <w:rFonts w:ascii="Times New Roman" w:hAnsi="Times New Roman" w:cs="Times New Roman"/>
          <w:lang w:val="en-US"/>
        </w:rPr>
      </w:pPr>
    </w:p>
    <w:tbl>
      <w:tblPr>
        <w:tblStyle w:val="TableGrid"/>
        <w:tblW w:w="8669" w:type="dxa"/>
        <w:jc w:val="center"/>
        <w:tblLook w:val="04A0" w:firstRow="1" w:lastRow="0" w:firstColumn="1" w:lastColumn="0" w:noHBand="0" w:noVBand="1"/>
      </w:tblPr>
      <w:tblGrid>
        <w:gridCol w:w="1700"/>
        <w:gridCol w:w="1791"/>
        <w:gridCol w:w="1760"/>
        <w:gridCol w:w="1702"/>
        <w:gridCol w:w="1716"/>
      </w:tblGrid>
      <w:tr w:rsidR="000F6463" w:rsidRPr="000F6463" w14:paraId="586DDA01" w14:textId="77777777" w:rsidTr="000F6463">
        <w:trPr>
          <w:jc w:val="center"/>
        </w:trPr>
        <w:tc>
          <w:tcPr>
            <w:tcW w:w="1733" w:type="dxa"/>
            <w:shd w:val="clear" w:color="auto" w:fill="8EA5B6"/>
            <w:vAlign w:val="center"/>
          </w:tcPr>
          <w:p w14:paraId="72FDBDCB" w14:textId="77777777" w:rsidR="000F6463" w:rsidRPr="000F6463" w:rsidRDefault="000F6463" w:rsidP="000F6463">
            <w:pPr>
              <w:jc w:val="center"/>
              <w:rPr>
                <w:b/>
                <w:bCs/>
                <w:sz w:val="20"/>
                <w:szCs w:val="18"/>
              </w:rPr>
            </w:pPr>
            <w:r w:rsidRPr="000F6463">
              <w:rPr>
                <w:rFonts w:cs="Times New Roman"/>
                <w:b/>
                <w:bCs/>
                <w:sz w:val="20"/>
                <w:szCs w:val="18"/>
              </w:rPr>
              <w:t>PCM product</w:t>
            </w:r>
          </w:p>
        </w:tc>
        <w:tc>
          <w:tcPr>
            <w:tcW w:w="1810" w:type="dxa"/>
            <w:shd w:val="clear" w:color="auto" w:fill="8EA5B6"/>
            <w:vAlign w:val="center"/>
          </w:tcPr>
          <w:p w14:paraId="0B670C69" w14:textId="77777777" w:rsidR="000F6463" w:rsidRPr="000F6463" w:rsidRDefault="000F6463" w:rsidP="000F6463">
            <w:pPr>
              <w:jc w:val="center"/>
              <w:rPr>
                <w:b/>
                <w:bCs/>
                <w:sz w:val="20"/>
                <w:szCs w:val="18"/>
              </w:rPr>
            </w:pPr>
            <w:r w:rsidRPr="000F6463">
              <w:rPr>
                <w:rFonts w:cs="Times New Roman"/>
                <w:b/>
                <w:bCs/>
                <w:sz w:val="20"/>
                <w:szCs w:val="18"/>
              </w:rPr>
              <w:t>Thermal conductivity [W/(mK)]</w:t>
            </w:r>
          </w:p>
        </w:tc>
        <w:tc>
          <w:tcPr>
            <w:tcW w:w="1783" w:type="dxa"/>
            <w:shd w:val="clear" w:color="auto" w:fill="8EA5B6"/>
            <w:vAlign w:val="center"/>
          </w:tcPr>
          <w:p w14:paraId="0B53CEC5" w14:textId="40D19701" w:rsidR="000F6463" w:rsidRPr="000F6463" w:rsidRDefault="000F6463" w:rsidP="000F6463">
            <w:pPr>
              <w:jc w:val="center"/>
              <w:rPr>
                <w:rFonts w:cs="Times New Roman"/>
                <w:b/>
                <w:bCs/>
                <w:sz w:val="20"/>
                <w:szCs w:val="18"/>
                <w:lang w:val="en-US"/>
              </w:rPr>
            </w:pPr>
            <w:r w:rsidRPr="000F6463">
              <w:rPr>
                <w:rFonts w:cs="Times New Roman"/>
                <w:b/>
                <w:bCs/>
                <w:sz w:val="20"/>
                <w:szCs w:val="18"/>
                <w:lang w:val="en-US"/>
              </w:rPr>
              <w:t>Thermal imped</w:t>
            </w:r>
            <w:r w:rsidR="001C18D7">
              <w:rPr>
                <w:rFonts w:cs="Times New Roman"/>
                <w:b/>
                <w:bCs/>
                <w:sz w:val="20"/>
                <w:szCs w:val="18"/>
                <w:lang w:val="en-US"/>
              </w:rPr>
              <w:t>a</w:t>
            </w:r>
            <w:r w:rsidRPr="000F6463">
              <w:rPr>
                <w:rFonts w:cs="Times New Roman"/>
                <w:b/>
                <w:bCs/>
                <w:sz w:val="20"/>
                <w:szCs w:val="18"/>
                <w:lang w:val="en-US"/>
              </w:rPr>
              <w:t>nce</w:t>
            </w:r>
          </w:p>
          <w:p w14:paraId="29301F01" w14:textId="77777777" w:rsidR="000F6463" w:rsidRPr="000F6463" w:rsidRDefault="000F6463" w:rsidP="000F6463">
            <w:pPr>
              <w:jc w:val="center"/>
              <w:rPr>
                <w:b/>
                <w:bCs/>
                <w:sz w:val="20"/>
                <w:szCs w:val="18"/>
                <w:lang w:val="en-US"/>
              </w:rPr>
            </w:pPr>
            <w:r w:rsidRPr="000F6463">
              <w:rPr>
                <w:rFonts w:cs="Times New Roman"/>
                <w:b/>
                <w:bCs/>
                <w:sz w:val="20"/>
                <w:szCs w:val="18"/>
                <w:lang w:val="en-US"/>
              </w:rPr>
              <w:t>[°C cm</w:t>
            </w:r>
            <w:r w:rsidRPr="000F6463">
              <w:rPr>
                <w:rFonts w:cs="Times New Roman"/>
                <w:b/>
                <w:bCs/>
                <w:sz w:val="20"/>
                <w:szCs w:val="18"/>
                <w:vertAlign w:val="superscript"/>
                <w:lang w:val="en-US"/>
              </w:rPr>
              <w:t>2</w:t>
            </w:r>
            <w:r w:rsidRPr="000F6463">
              <w:rPr>
                <w:rFonts w:cs="Times New Roman"/>
                <w:b/>
                <w:bCs/>
                <w:sz w:val="20"/>
                <w:szCs w:val="18"/>
                <w:lang w:val="en-US"/>
              </w:rPr>
              <w:t>/W]</w:t>
            </w:r>
          </w:p>
        </w:tc>
        <w:tc>
          <w:tcPr>
            <w:tcW w:w="1735" w:type="dxa"/>
            <w:shd w:val="clear" w:color="auto" w:fill="8EA5B6"/>
            <w:vAlign w:val="center"/>
          </w:tcPr>
          <w:p w14:paraId="36222F1F" w14:textId="77777777" w:rsidR="000F6463" w:rsidRPr="000F6463" w:rsidRDefault="000F6463" w:rsidP="000F6463">
            <w:pPr>
              <w:jc w:val="center"/>
              <w:rPr>
                <w:b/>
                <w:bCs/>
                <w:sz w:val="20"/>
                <w:szCs w:val="18"/>
              </w:rPr>
            </w:pPr>
            <w:r w:rsidRPr="000F6463">
              <w:rPr>
                <w:rFonts w:cs="Times New Roman"/>
                <w:b/>
                <w:bCs/>
                <w:sz w:val="20"/>
                <w:szCs w:val="18"/>
              </w:rPr>
              <w:t>Density [g/cm</w:t>
            </w:r>
            <w:r w:rsidRPr="000F6463">
              <w:rPr>
                <w:rFonts w:cs="Times New Roman"/>
                <w:b/>
                <w:bCs/>
                <w:sz w:val="20"/>
                <w:szCs w:val="18"/>
                <w:vertAlign w:val="superscript"/>
              </w:rPr>
              <w:t>3</w:t>
            </w:r>
            <w:r w:rsidRPr="000F6463">
              <w:rPr>
                <w:rFonts w:cs="Times New Roman"/>
                <w:b/>
                <w:bCs/>
                <w:sz w:val="20"/>
                <w:szCs w:val="18"/>
              </w:rPr>
              <w:t>]</w:t>
            </w:r>
          </w:p>
        </w:tc>
        <w:tc>
          <w:tcPr>
            <w:tcW w:w="1608" w:type="dxa"/>
            <w:shd w:val="clear" w:color="auto" w:fill="8EA5B6"/>
            <w:vAlign w:val="center"/>
          </w:tcPr>
          <w:p w14:paraId="58769638" w14:textId="77777777" w:rsidR="000F6463" w:rsidRPr="000F6463" w:rsidRDefault="000F6463" w:rsidP="000F6463">
            <w:pPr>
              <w:jc w:val="center"/>
              <w:rPr>
                <w:rFonts w:cs="Times New Roman"/>
                <w:b/>
                <w:bCs/>
                <w:sz w:val="20"/>
                <w:szCs w:val="18"/>
              </w:rPr>
            </w:pPr>
          </w:p>
        </w:tc>
      </w:tr>
      <w:tr w:rsidR="000F6463" w:rsidRPr="000F6463" w14:paraId="48E1F5A8" w14:textId="77777777" w:rsidTr="000F6463">
        <w:trPr>
          <w:jc w:val="center"/>
        </w:trPr>
        <w:tc>
          <w:tcPr>
            <w:tcW w:w="1733" w:type="dxa"/>
            <w:vAlign w:val="center"/>
          </w:tcPr>
          <w:p w14:paraId="09513547" w14:textId="77777777" w:rsidR="000F6463" w:rsidRPr="000F6463" w:rsidRDefault="000F6463" w:rsidP="000F6463">
            <w:pPr>
              <w:jc w:val="center"/>
              <w:rPr>
                <w:rFonts w:cs="Times New Roman"/>
                <w:b/>
                <w:bCs/>
                <w:sz w:val="20"/>
                <w:szCs w:val="18"/>
                <w:lang w:val="en-US"/>
              </w:rPr>
            </w:pPr>
            <w:r w:rsidRPr="000F6463">
              <w:rPr>
                <w:rFonts w:cs="Times New Roman"/>
                <w:sz w:val="20"/>
                <w:szCs w:val="18"/>
                <w:lang w:val="en-US"/>
              </w:rPr>
              <w:lastRenderedPageBreak/>
              <w:t>Phase Change Pad</w:t>
            </w:r>
          </w:p>
          <w:p w14:paraId="0B75A143" w14:textId="77777777" w:rsidR="000F6463" w:rsidRPr="000F6463" w:rsidRDefault="000F6463" w:rsidP="000F6463">
            <w:pPr>
              <w:jc w:val="center"/>
              <w:rPr>
                <w:sz w:val="20"/>
                <w:szCs w:val="18"/>
                <w:lang w:val="en-US"/>
              </w:rPr>
            </w:pPr>
            <w:r w:rsidRPr="000F6463">
              <w:rPr>
                <w:rFonts w:cs="Times New Roman"/>
                <w:sz w:val="20"/>
                <w:szCs w:val="18"/>
                <w:lang w:val="en-US"/>
              </w:rPr>
              <w:t>PTM XXXX</w:t>
            </w:r>
          </w:p>
        </w:tc>
        <w:tc>
          <w:tcPr>
            <w:tcW w:w="1810" w:type="dxa"/>
            <w:vAlign w:val="center"/>
          </w:tcPr>
          <w:p w14:paraId="3AB85138" w14:textId="77777777" w:rsidR="000F6463" w:rsidRPr="000F6463" w:rsidRDefault="000F6463" w:rsidP="000F6463">
            <w:pPr>
              <w:jc w:val="center"/>
              <w:rPr>
                <w:sz w:val="20"/>
                <w:szCs w:val="18"/>
              </w:rPr>
            </w:pPr>
            <w:r w:rsidRPr="000F6463">
              <w:rPr>
                <w:rFonts w:cs="Times New Roman"/>
                <w:sz w:val="20"/>
                <w:szCs w:val="18"/>
              </w:rPr>
              <w:t>4.4-8.5</w:t>
            </w:r>
          </w:p>
        </w:tc>
        <w:tc>
          <w:tcPr>
            <w:tcW w:w="1783" w:type="dxa"/>
            <w:vAlign w:val="center"/>
          </w:tcPr>
          <w:p w14:paraId="4C10AEEE" w14:textId="77777777" w:rsidR="000F6463" w:rsidRPr="000F6463" w:rsidRDefault="000F6463" w:rsidP="000F6463">
            <w:pPr>
              <w:jc w:val="center"/>
              <w:rPr>
                <w:sz w:val="20"/>
                <w:szCs w:val="18"/>
              </w:rPr>
            </w:pPr>
            <w:r w:rsidRPr="000F6463">
              <w:rPr>
                <w:rFonts w:cs="Times New Roman"/>
                <w:sz w:val="20"/>
                <w:szCs w:val="18"/>
              </w:rPr>
              <w:t>0.04-0.08</w:t>
            </w:r>
          </w:p>
        </w:tc>
        <w:tc>
          <w:tcPr>
            <w:tcW w:w="1735" w:type="dxa"/>
            <w:vAlign w:val="center"/>
          </w:tcPr>
          <w:p w14:paraId="3713B548" w14:textId="77777777" w:rsidR="000F6463" w:rsidRPr="000F6463" w:rsidRDefault="000F6463" w:rsidP="000F6463">
            <w:pPr>
              <w:jc w:val="center"/>
              <w:rPr>
                <w:sz w:val="20"/>
                <w:szCs w:val="18"/>
              </w:rPr>
            </w:pPr>
            <w:r w:rsidRPr="000F6463">
              <w:rPr>
                <w:rFonts w:cs="Times New Roman"/>
                <w:sz w:val="20"/>
                <w:szCs w:val="18"/>
              </w:rPr>
              <w:t>2.3-2.8</w:t>
            </w:r>
          </w:p>
        </w:tc>
        <w:tc>
          <w:tcPr>
            <w:tcW w:w="1608" w:type="dxa"/>
            <w:vAlign w:val="center"/>
          </w:tcPr>
          <w:p w14:paraId="0A1E5650" w14:textId="77777777" w:rsidR="000F6463" w:rsidRPr="000F6463" w:rsidRDefault="000F6463" w:rsidP="000F6463">
            <w:pPr>
              <w:jc w:val="center"/>
              <w:rPr>
                <w:rFonts w:cs="Times New Roman"/>
                <w:sz w:val="20"/>
                <w:szCs w:val="18"/>
              </w:rPr>
            </w:pPr>
            <w:r w:rsidRPr="000F6463">
              <w:rPr>
                <w:rFonts w:cs="Times New Roman"/>
                <w:noProof/>
                <w:sz w:val="20"/>
                <w:szCs w:val="18"/>
              </w:rPr>
              <w:drawing>
                <wp:inline distT="0" distB="0" distL="0" distR="0" wp14:anchorId="125A6DCB" wp14:editId="3232C2B7">
                  <wp:extent cx="682218" cy="791210"/>
                  <wp:effectExtent l="0" t="0" r="3810" b="8890"/>
                  <wp:docPr id="359051960" name="Immagine 1" descr="Immagine che contiene compact disk&#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0278664" name="Immagine 1" descr="Immagine che contiene compact disk&#10;&#10;Il contenuto generato dall'IA potrebbe non essere corretto."/>
                          <pic:cNvPicPr/>
                        </pic:nvPicPr>
                        <pic:blipFill>
                          <a:blip r:embed="rId60"/>
                          <a:stretch>
                            <a:fillRect/>
                          </a:stretch>
                        </pic:blipFill>
                        <pic:spPr>
                          <a:xfrm>
                            <a:off x="0" y="0"/>
                            <a:ext cx="689930" cy="800154"/>
                          </a:xfrm>
                          <a:prstGeom prst="rect">
                            <a:avLst/>
                          </a:prstGeom>
                        </pic:spPr>
                      </pic:pic>
                    </a:graphicData>
                  </a:graphic>
                </wp:inline>
              </w:drawing>
            </w:r>
          </w:p>
        </w:tc>
      </w:tr>
      <w:tr w:rsidR="000F6463" w:rsidRPr="000F6463" w14:paraId="472A855C" w14:textId="77777777" w:rsidTr="000F6463">
        <w:trPr>
          <w:jc w:val="center"/>
        </w:trPr>
        <w:tc>
          <w:tcPr>
            <w:tcW w:w="1733" w:type="dxa"/>
            <w:vAlign w:val="center"/>
          </w:tcPr>
          <w:p w14:paraId="1F9A0985" w14:textId="77777777" w:rsidR="000F6463" w:rsidRPr="000F6463" w:rsidRDefault="000F6463" w:rsidP="000F6463">
            <w:pPr>
              <w:jc w:val="center"/>
              <w:rPr>
                <w:rFonts w:cs="Times New Roman"/>
                <w:sz w:val="20"/>
                <w:szCs w:val="18"/>
              </w:rPr>
            </w:pPr>
          </w:p>
          <w:p w14:paraId="736C04D6" w14:textId="77777777" w:rsidR="000F6463" w:rsidRPr="000F6463" w:rsidRDefault="000F6463" w:rsidP="000F6463">
            <w:pPr>
              <w:jc w:val="center"/>
              <w:rPr>
                <w:rFonts w:cs="Times New Roman"/>
                <w:b/>
                <w:bCs/>
                <w:sz w:val="20"/>
                <w:szCs w:val="18"/>
                <w:lang w:val="en-US"/>
              </w:rPr>
            </w:pPr>
            <w:r w:rsidRPr="000F6463">
              <w:rPr>
                <w:rFonts w:cs="Times New Roman"/>
                <w:sz w:val="20"/>
                <w:szCs w:val="18"/>
                <w:lang w:val="en-US"/>
              </w:rPr>
              <w:t>Phase Change Paste</w:t>
            </w:r>
          </w:p>
          <w:p w14:paraId="12027790" w14:textId="77777777" w:rsidR="000F6463" w:rsidRPr="000F6463" w:rsidRDefault="000F6463" w:rsidP="000F6463">
            <w:pPr>
              <w:jc w:val="center"/>
              <w:rPr>
                <w:sz w:val="20"/>
                <w:szCs w:val="18"/>
                <w:lang w:val="en-US"/>
              </w:rPr>
            </w:pPr>
            <w:r w:rsidRPr="000F6463">
              <w:rPr>
                <w:rFonts w:cs="Times New Roman"/>
                <w:sz w:val="20"/>
                <w:szCs w:val="18"/>
                <w:lang w:val="en-US"/>
              </w:rPr>
              <w:t>PTM XXXX-SP</w:t>
            </w:r>
          </w:p>
        </w:tc>
        <w:tc>
          <w:tcPr>
            <w:tcW w:w="1810" w:type="dxa"/>
            <w:vAlign w:val="center"/>
          </w:tcPr>
          <w:p w14:paraId="03B17F7F" w14:textId="77777777" w:rsidR="000F6463" w:rsidRPr="000F6463" w:rsidRDefault="000F6463" w:rsidP="000F6463">
            <w:pPr>
              <w:jc w:val="center"/>
              <w:rPr>
                <w:rFonts w:cs="Times New Roman"/>
                <w:sz w:val="20"/>
                <w:szCs w:val="18"/>
                <w:lang w:val="en-US"/>
              </w:rPr>
            </w:pPr>
          </w:p>
          <w:p w14:paraId="4B74D6BF" w14:textId="77777777" w:rsidR="000F6463" w:rsidRPr="000F6463" w:rsidRDefault="000F6463" w:rsidP="000F6463">
            <w:pPr>
              <w:jc w:val="center"/>
              <w:rPr>
                <w:sz w:val="20"/>
                <w:szCs w:val="18"/>
              </w:rPr>
            </w:pPr>
            <w:r w:rsidRPr="000F6463">
              <w:rPr>
                <w:rFonts w:cs="Times New Roman"/>
                <w:sz w:val="20"/>
                <w:szCs w:val="18"/>
              </w:rPr>
              <w:t>4.4-8</w:t>
            </w:r>
          </w:p>
        </w:tc>
        <w:tc>
          <w:tcPr>
            <w:tcW w:w="1783" w:type="dxa"/>
            <w:vAlign w:val="center"/>
          </w:tcPr>
          <w:p w14:paraId="5C5F2C49" w14:textId="77777777" w:rsidR="000F6463" w:rsidRPr="000F6463" w:rsidRDefault="000F6463" w:rsidP="000F6463">
            <w:pPr>
              <w:jc w:val="center"/>
              <w:rPr>
                <w:rFonts w:cs="Times New Roman"/>
                <w:sz w:val="20"/>
                <w:szCs w:val="18"/>
              </w:rPr>
            </w:pPr>
          </w:p>
          <w:p w14:paraId="4A32D0A0" w14:textId="77777777" w:rsidR="000F6463" w:rsidRPr="000F6463" w:rsidRDefault="000F6463" w:rsidP="000F6463">
            <w:pPr>
              <w:jc w:val="center"/>
              <w:rPr>
                <w:sz w:val="20"/>
                <w:szCs w:val="18"/>
              </w:rPr>
            </w:pPr>
            <w:r w:rsidRPr="000F6463">
              <w:rPr>
                <w:rFonts w:cs="Times New Roman"/>
                <w:sz w:val="20"/>
                <w:szCs w:val="18"/>
              </w:rPr>
              <w:t>0.04-0.10</w:t>
            </w:r>
          </w:p>
        </w:tc>
        <w:tc>
          <w:tcPr>
            <w:tcW w:w="1735" w:type="dxa"/>
            <w:vAlign w:val="center"/>
          </w:tcPr>
          <w:p w14:paraId="1A7A5761" w14:textId="77777777" w:rsidR="000F6463" w:rsidRPr="000F6463" w:rsidRDefault="000F6463" w:rsidP="000F6463">
            <w:pPr>
              <w:jc w:val="center"/>
              <w:rPr>
                <w:rFonts w:cs="Times New Roman"/>
                <w:sz w:val="20"/>
                <w:szCs w:val="18"/>
              </w:rPr>
            </w:pPr>
          </w:p>
          <w:p w14:paraId="6276E221" w14:textId="77777777" w:rsidR="000F6463" w:rsidRPr="000F6463" w:rsidRDefault="000F6463" w:rsidP="000F6463">
            <w:pPr>
              <w:jc w:val="center"/>
              <w:rPr>
                <w:sz w:val="20"/>
                <w:szCs w:val="18"/>
              </w:rPr>
            </w:pPr>
            <w:r w:rsidRPr="000F6463">
              <w:rPr>
                <w:rFonts w:cs="Times New Roman"/>
                <w:sz w:val="20"/>
                <w:szCs w:val="18"/>
              </w:rPr>
              <w:t>2-2.6</w:t>
            </w:r>
          </w:p>
        </w:tc>
        <w:tc>
          <w:tcPr>
            <w:tcW w:w="1608" w:type="dxa"/>
            <w:vAlign w:val="center"/>
          </w:tcPr>
          <w:p w14:paraId="05CDE72E" w14:textId="77777777" w:rsidR="000F6463" w:rsidRPr="000F6463" w:rsidRDefault="000F6463" w:rsidP="000F6463">
            <w:pPr>
              <w:jc w:val="center"/>
              <w:rPr>
                <w:rFonts w:cs="Times New Roman"/>
                <w:sz w:val="20"/>
                <w:szCs w:val="18"/>
              </w:rPr>
            </w:pPr>
            <w:r w:rsidRPr="000F6463">
              <w:rPr>
                <w:rFonts w:cs="Times New Roman"/>
                <w:noProof/>
                <w:sz w:val="20"/>
                <w:szCs w:val="18"/>
              </w:rPr>
              <w:drawing>
                <wp:inline distT="0" distB="0" distL="0" distR="0" wp14:anchorId="6064A246" wp14:editId="0FB22F53">
                  <wp:extent cx="521307" cy="715044"/>
                  <wp:effectExtent l="0" t="0" r="0" b="0"/>
                  <wp:docPr id="418564191" name="Immagine 1" descr="Immagine che contiene testo, Solvente, Soluzione, lozion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6453912" name="Immagine 1" descr="Immagine che contiene testo, Solvente, Soluzione, lozione&#10;&#10;Il contenuto generato dall'IA potrebbe non essere corretto."/>
                          <pic:cNvPicPr/>
                        </pic:nvPicPr>
                        <pic:blipFill>
                          <a:blip r:embed="rId61"/>
                          <a:stretch>
                            <a:fillRect/>
                          </a:stretch>
                        </pic:blipFill>
                        <pic:spPr>
                          <a:xfrm>
                            <a:off x="0" y="0"/>
                            <a:ext cx="541963" cy="743377"/>
                          </a:xfrm>
                          <a:prstGeom prst="rect">
                            <a:avLst/>
                          </a:prstGeom>
                        </pic:spPr>
                      </pic:pic>
                    </a:graphicData>
                  </a:graphic>
                </wp:inline>
              </w:drawing>
            </w:r>
          </w:p>
        </w:tc>
      </w:tr>
      <w:tr w:rsidR="000F6463" w:rsidRPr="000F6463" w14:paraId="6313CBFF" w14:textId="77777777" w:rsidTr="000F6463">
        <w:trPr>
          <w:jc w:val="center"/>
        </w:trPr>
        <w:tc>
          <w:tcPr>
            <w:tcW w:w="1733" w:type="dxa"/>
            <w:vAlign w:val="center"/>
          </w:tcPr>
          <w:p w14:paraId="454AF65C" w14:textId="77777777" w:rsidR="000F6463" w:rsidRPr="000F6463" w:rsidRDefault="000F6463" w:rsidP="000F6463">
            <w:pPr>
              <w:jc w:val="center"/>
              <w:rPr>
                <w:rFonts w:cs="Times New Roman"/>
                <w:sz w:val="20"/>
                <w:szCs w:val="18"/>
              </w:rPr>
            </w:pPr>
          </w:p>
          <w:p w14:paraId="67D9FC63" w14:textId="77777777" w:rsidR="000F6463" w:rsidRPr="000F6463" w:rsidRDefault="000F6463" w:rsidP="000F6463">
            <w:pPr>
              <w:jc w:val="center"/>
              <w:rPr>
                <w:rFonts w:cs="Times New Roman"/>
                <w:b/>
                <w:bCs/>
                <w:sz w:val="20"/>
                <w:szCs w:val="18"/>
                <w:lang w:val="en-US"/>
              </w:rPr>
            </w:pPr>
            <w:r w:rsidRPr="000F6463">
              <w:rPr>
                <w:rFonts w:cs="Times New Roman"/>
                <w:sz w:val="20"/>
                <w:szCs w:val="18"/>
                <w:lang w:val="en-US"/>
              </w:rPr>
              <w:t>Phase Change Paste</w:t>
            </w:r>
          </w:p>
          <w:p w14:paraId="30B4616B" w14:textId="77777777" w:rsidR="000F6463" w:rsidRPr="000F6463" w:rsidRDefault="000F6463" w:rsidP="000F6463">
            <w:pPr>
              <w:jc w:val="center"/>
              <w:rPr>
                <w:sz w:val="20"/>
                <w:szCs w:val="18"/>
                <w:lang w:val="en-US"/>
              </w:rPr>
            </w:pPr>
            <w:r w:rsidRPr="000F6463">
              <w:rPr>
                <w:rFonts w:cs="Times New Roman"/>
                <w:sz w:val="20"/>
                <w:szCs w:val="18"/>
                <w:lang w:val="en-US"/>
              </w:rPr>
              <w:t>PCM 45 F</w:t>
            </w:r>
          </w:p>
        </w:tc>
        <w:tc>
          <w:tcPr>
            <w:tcW w:w="1810" w:type="dxa"/>
            <w:vAlign w:val="center"/>
          </w:tcPr>
          <w:p w14:paraId="130A1E97" w14:textId="77777777" w:rsidR="000F6463" w:rsidRPr="000F6463" w:rsidRDefault="000F6463" w:rsidP="000F6463">
            <w:pPr>
              <w:jc w:val="center"/>
              <w:rPr>
                <w:rFonts w:cs="Times New Roman"/>
                <w:sz w:val="20"/>
                <w:szCs w:val="18"/>
                <w:lang w:val="en-US"/>
              </w:rPr>
            </w:pPr>
          </w:p>
          <w:p w14:paraId="06443CBC" w14:textId="77777777" w:rsidR="000F6463" w:rsidRPr="000F6463" w:rsidRDefault="000F6463" w:rsidP="000F6463">
            <w:pPr>
              <w:jc w:val="center"/>
              <w:rPr>
                <w:sz w:val="20"/>
                <w:szCs w:val="18"/>
              </w:rPr>
            </w:pPr>
            <w:r w:rsidRPr="000F6463">
              <w:rPr>
                <w:rFonts w:cs="Times New Roman"/>
                <w:sz w:val="20"/>
                <w:szCs w:val="18"/>
              </w:rPr>
              <w:t>2.0</w:t>
            </w:r>
          </w:p>
        </w:tc>
        <w:tc>
          <w:tcPr>
            <w:tcW w:w="1783" w:type="dxa"/>
            <w:vAlign w:val="center"/>
          </w:tcPr>
          <w:p w14:paraId="02DA9C6B" w14:textId="77777777" w:rsidR="000F6463" w:rsidRPr="000F6463" w:rsidRDefault="000F6463" w:rsidP="000F6463">
            <w:pPr>
              <w:jc w:val="center"/>
              <w:rPr>
                <w:rFonts w:cs="Times New Roman"/>
                <w:sz w:val="20"/>
                <w:szCs w:val="18"/>
              </w:rPr>
            </w:pPr>
          </w:p>
          <w:p w14:paraId="17AF571E" w14:textId="77777777" w:rsidR="000F6463" w:rsidRPr="000F6463" w:rsidRDefault="000F6463" w:rsidP="000F6463">
            <w:pPr>
              <w:jc w:val="center"/>
              <w:rPr>
                <w:sz w:val="20"/>
                <w:szCs w:val="18"/>
              </w:rPr>
            </w:pPr>
            <w:r w:rsidRPr="000F6463">
              <w:rPr>
                <w:rFonts w:cs="Times New Roman"/>
                <w:sz w:val="20"/>
                <w:szCs w:val="18"/>
              </w:rPr>
              <w:t>0.09-0.12</w:t>
            </w:r>
          </w:p>
        </w:tc>
        <w:tc>
          <w:tcPr>
            <w:tcW w:w="1735" w:type="dxa"/>
            <w:vAlign w:val="center"/>
          </w:tcPr>
          <w:p w14:paraId="3CADCDC0" w14:textId="77777777" w:rsidR="000F6463" w:rsidRPr="000F6463" w:rsidRDefault="000F6463" w:rsidP="000F6463">
            <w:pPr>
              <w:jc w:val="center"/>
              <w:rPr>
                <w:rFonts w:cs="Times New Roman"/>
                <w:sz w:val="20"/>
                <w:szCs w:val="18"/>
              </w:rPr>
            </w:pPr>
          </w:p>
          <w:p w14:paraId="72BB23E7" w14:textId="77777777" w:rsidR="000F6463" w:rsidRPr="000F6463" w:rsidRDefault="000F6463" w:rsidP="000F6463">
            <w:pPr>
              <w:jc w:val="center"/>
              <w:rPr>
                <w:sz w:val="20"/>
                <w:szCs w:val="18"/>
              </w:rPr>
            </w:pPr>
            <w:r w:rsidRPr="000F6463">
              <w:rPr>
                <w:rFonts w:cs="Times New Roman"/>
                <w:sz w:val="20"/>
                <w:szCs w:val="18"/>
              </w:rPr>
              <w:t>2.2</w:t>
            </w:r>
          </w:p>
        </w:tc>
        <w:tc>
          <w:tcPr>
            <w:tcW w:w="1608" w:type="dxa"/>
            <w:vAlign w:val="center"/>
          </w:tcPr>
          <w:p w14:paraId="105D3701" w14:textId="77777777" w:rsidR="000F6463" w:rsidRPr="000F6463" w:rsidRDefault="000F6463" w:rsidP="000F6463">
            <w:pPr>
              <w:jc w:val="center"/>
              <w:rPr>
                <w:rFonts w:cs="Times New Roman"/>
                <w:sz w:val="20"/>
                <w:szCs w:val="18"/>
              </w:rPr>
            </w:pPr>
            <w:r w:rsidRPr="000F6463">
              <w:rPr>
                <w:rFonts w:cs="Times New Roman"/>
                <w:noProof/>
                <w:sz w:val="20"/>
                <w:szCs w:val="18"/>
              </w:rPr>
              <w:drawing>
                <wp:inline distT="0" distB="0" distL="0" distR="0" wp14:anchorId="41CE391A" wp14:editId="1F716BE5">
                  <wp:extent cx="949685" cy="739140"/>
                  <wp:effectExtent l="0" t="0" r="3175" b="3810"/>
                  <wp:docPr id="376632448" name="Immagine 1" descr="Immagine che contiene statico, design&#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531426" name="Immagine 1" descr="Immagine che contiene statico, design&#10;&#10;Il contenuto generato dall'IA potrebbe non essere corretto."/>
                          <pic:cNvPicPr/>
                        </pic:nvPicPr>
                        <pic:blipFill>
                          <a:blip r:embed="rId62"/>
                          <a:stretch>
                            <a:fillRect/>
                          </a:stretch>
                        </pic:blipFill>
                        <pic:spPr>
                          <a:xfrm>
                            <a:off x="0" y="0"/>
                            <a:ext cx="959669" cy="746910"/>
                          </a:xfrm>
                          <a:prstGeom prst="rect">
                            <a:avLst/>
                          </a:prstGeom>
                        </pic:spPr>
                      </pic:pic>
                    </a:graphicData>
                  </a:graphic>
                </wp:inline>
              </w:drawing>
            </w:r>
          </w:p>
        </w:tc>
      </w:tr>
      <w:tr w:rsidR="000F6463" w:rsidRPr="000F6463" w14:paraId="47F4259B" w14:textId="77777777" w:rsidTr="000F6463">
        <w:trPr>
          <w:jc w:val="center"/>
        </w:trPr>
        <w:tc>
          <w:tcPr>
            <w:tcW w:w="1733" w:type="dxa"/>
            <w:vAlign w:val="center"/>
          </w:tcPr>
          <w:p w14:paraId="0985DD0B" w14:textId="77777777" w:rsidR="000F6463" w:rsidRPr="000F6463" w:rsidRDefault="000F6463" w:rsidP="000F6463">
            <w:pPr>
              <w:jc w:val="center"/>
              <w:rPr>
                <w:rFonts w:cs="Times New Roman"/>
                <w:sz w:val="20"/>
                <w:szCs w:val="18"/>
              </w:rPr>
            </w:pPr>
          </w:p>
          <w:p w14:paraId="6F7D9595" w14:textId="77777777" w:rsidR="000F6463" w:rsidRPr="000F6463" w:rsidRDefault="000F6463" w:rsidP="000F6463">
            <w:pPr>
              <w:jc w:val="center"/>
              <w:rPr>
                <w:sz w:val="20"/>
                <w:szCs w:val="18"/>
                <w:lang w:val="en-US"/>
              </w:rPr>
            </w:pPr>
            <w:r w:rsidRPr="000F6463">
              <w:rPr>
                <w:rFonts w:cs="Times New Roman"/>
                <w:sz w:val="20"/>
                <w:szCs w:val="18"/>
                <w:lang w:val="en-US"/>
              </w:rPr>
              <w:t>Phase Change Paste</w:t>
            </w:r>
            <w:r w:rsidRPr="000F6463">
              <w:rPr>
                <w:rFonts w:cs="Times New Roman"/>
                <w:sz w:val="20"/>
                <w:szCs w:val="18"/>
                <w:lang w:val="en-US"/>
              </w:rPr>
              <w:br/>
              <w:t>LTM 6300-SP</w:t>
            </w:r>
          </w:p>
        </w:tc>
        <w:tc>
          <w:tcPr>
            <w:tcW w:w="1810" w:type="dxa"/>
            <w:vAlign w:val="center"/>
          </w:tcPr>
          <w:p w14:paraId="3FE063E0" w14:textId="77777777" w:rsidR="000F6463" w:rsidRPr="000F6463" w:rsidRDefault="000F6463" w:rsidP="000F6463">
            <w:pPr>
              <w:jc w:val="center"/>
              <w:rPr>
                <w:rFonts w:cs="Times New Roman"/>
                <w:sz w:val="20"/>
                <w:szCs w:val="18"/>
                <w:lang w:val="en-US"/>
              </w:rPr>
            </w:pPr>
          </w:p>
          <w:p w14:paraId="1E644DD6" w14:textId="77777777" w:rsidR="000F6463" w:rsidRPr="000F6463" w:rsidRDefault="000F6463" w:rsidP="000F6463">
            <w:pPr>
              <w:jc w:val="center"/>
              <w:rPr>
                <w:sz w:val="20"/>
                <w:szCs w:val="18"/>
              </w:rPr>
            </w:pPr>
            <w:r w:rsidRPr="000F6463">
              <w:rPr>
                <w:rFonts w:cs="Times New Roman"/>
                <w:sz w:val="20"/>
                <w:szCs w:val="18"/>
              </w:rPr>
              <w:t>2.0</w:t>
            </w:r>
          </w:p>
        </w:tc>
        <w:tc>
          <w:tcPr>
            <w:tcW w:w="1783" w:type="dxa"/>
            <w:vAlign w:val="center"/>
          </w:tcPr>
          <w:p w14:paraId="090ACCD5" w14:textId="77777777" w:rsidR="000F6463" w:rsidRPr="000F6463" w:rsidRDefault="000F6463" w:rsidP="000F6463">
            <w:pPr>
              <w:jc w:val="center"/>
              <w:rPr>
                <w:rFonts w:cs="Times New Roman"/>
                <w:sz w:val="20"/>
                <w:szCs w:val="18"/>
              </w:rPr>
            </w:pPr>
          </w:p>
          <w:p w14:paraId="7E60C2CB" w14:textId="77777777" w:rsidR="000F6463" w:rsidRPr="000F6463" w:rsidRDefault="000F6463" w:rsidP="000F6463">
            <w:pPr>
              <w:jc w:val="center"/>
              <w:rPr>
                <w:sz w:val="20"/>
                <w:szCs w:val="18"/>
              </w:rPr>
            </w:pPr>
            <w:r w:rsidRPr="000F6463">
              <w:rPr>
                <w:rFonts w:cs="Times New Roman"/>
                <w:sz w:val="20"/>
                <w:szCs w:val="18"/>
              </w:rPr>
              <w:t>0.04</w:t>
            </w:r>
          </w:p>
        </w:tc>
        <w:tc>
          <w:tcPr>
            <w:tcW w:w="1735" w:type="dxa"/>
            <w:vAlign w:val="center"/>
          </w:tcPr>
          <w:p w14:paraId="611DE785" w14:textId="77777777" w:rsidR="000F6463" w:rsidRPr="000F6463" w:rsidRDefault="000F6463" w:rsidP="000F6463">
            <w:pPr>
              <w:jc w:val="center"/>
              <w:rPr>
                <w:rFonts w:cs="Times New Roman"/>
                <w:sz w:val="20"/>
                <w:szCs w:val="18"/>
              </w:rPr>
            </w:pPr>
          </w:p>
          <w:p w14:paraId="5347CA3C" w14:textId="77777777" w:rsidR="000F6463" w:rsidRPr="000F6463" w:rsidRDefault="000F6463" w:rsidP="000F6463">
            <w:pPr>
              <w:jc w:val="center"/>
              <w:rPr>
                <w:sz w:val="20"/>
                <w:szCs w:val="18"/>
              </w:rPr>
            </w:pPr>
            <w:r w:rsidRPr="000F6463">
              <w:rPr>
                <w:rFonts w:cs="Times New Roman"/>
                <w:sz w:val="20"/>
                <w:szCs w:val="18"/>
              </w:rPr>
              <w:t>1.8</w:t>
            </w:r>
          </w:p>
        </w:tc>
        <w:tc>
          <w:tcPr>
            <w:tcW w:w="1608" w:type="dxa"/>
            <w:vAlign w:val="center"/>
          </w:tcPr>
          <w:p w14:paraId="04262F60" w14:textId="77777777" w:rsidR="000F6463" w:rsidRPr="000F6463" w:rsidRDefault="000F6463" w:rsidP="000F6463">
            <w:pPr>
              <w:keepNext/>
              <w:jc w:val="center"/>
              <w:rPr>
                <w:rFonts w:cs="Times New Roman"/>
                <w:sz w:val="20"/>
                <w:szCs w:val="18"/>
              </w:rPr>
            </w:pPr>
            <w:r w:rsidRPr="000F6463">
              <w:rPr>
                <w:rFonts w:cs="Times New Roman"/>
                <w:noProof/>
                <w:sz w:val="20"/>
                <w:szCs w:val="18"/>
              </w:rPr>
              <w:drawing>
                <wp:inline distT="0" distB="0" distL="0" distR="0" wp14:anchorId="5D44F4AD" wp14:editId="396B6B70">
                  <wp:extent cx="773193" cy="903324"/>
                  <wp:effectExtent l="0" t="0" r="8255" b="0"/>
                  <wp:docPr id="103011241" name="Immagine 1" descr="Immagine che contiene testo, crema per la pelle, polv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3862550" name="Immagine 1" descr="Immagine che contiene testo, crema per la pelle, polvere&#10;&#10;Il contenuto generato dall'IA potrebbe non essere corretto."/>
                          <pic:cNvPicPr/>
                        </pic:nvPicPr>
                        <pic:blipFill>
                          <a:blip r:embed="rId63"/>
                          <a:stretch>
                            <a:fillRect/>
                          </a:stretch>
                        </pic:blipFill>
                        <pic:spPr>
                          <a:xfrm>
                            <a:off x="0" y="0"/>
                            <a:ext cx="787965" cy="920582"/>
                          </a:xfrm>
                          <a:prstGeom prst="rect">
                            <a:avLst/>
                          </a:prstGeom>
                        </pic:spPr>
                      </pic:pic>
                    </a:graphicData>
                  </a:graphic>
                </wp:inline>
              </w:drawing>
            </w:r>
          </w:p>
        </w:tc>
      </w:tr>
    </w:tbl>
    <w:p w14:paraId="2088FB21" w14:textId="4ADD722C" w:rsidR="000F6463" w:rsidRDefault="000F6463" w:rsidP="00702398">
      <w:pPr>
        <w:pStyle w:val="Caption"/>
      </w:pPr>
      <w:bookmarkStart w:id="64" w:name="_Toc214362618"/>
      <w:r>
        <w:t xml:space="preserve">Table </w:t>
      </w:r>
      <w:r w:rsidR="00F43E9A">
        <w:fldChar w:fldCharType="begin"/>
      </w:r>
      <w:r w:rsidR="00F43E9A">
        <w:instrText xml:space="preserve"> STYLEREF 1 \s </w:instrText>
      </w:r>
      <w:r w:rsidR="00F43E9A">
        <w:fldChar w:fldCharType="separate"/>
      </w:r>
      <w:r w:rsidR="000412CE">
        <w:rPr>
          <w:noProof/>
        </w:rPr>
        <w:t>1</w:t>
      </w:r>
      <w:r w:rsidR="00F43E9A">
        <w:fldChar w:fldCharType="end"/>
      </w:r>
      <w:r w:rsidR="00F43E9A">
        <w:t>.</w:t>
      </w:r>
      <w:r w:rsidR="00F43E9A">
        <w:fldChar w:fldCharType="begin"/>
      </w:r>
      <w:r w:rsidR="00F43E9A">
        <w:instrText xml:space="preserve"> SEQ Table \* ARABIC \s 1 </w:instrText>
      </w:r>
      <w:r w:rsidR="00F43E9A">
        <w:fldChar w:fldCharType="separate"/>
      </w:r>
      <w:r w:rsidR="000412CE">
        <w:rPr>
          <w:noProof/>
        </w:rPr>
        <w:t>13</w:t>
      </w:r>
      <w:r w:rsidR="00F43E9A">
        <w:fldChar w:fldCharType="end"/>
      </w:r>
      <w:r w:rsidR="00DE026D">
        <w:t>.</w:t>
      </w:r>
      <w:r>
        <w:t xml:space="preserve"> </w:t>
      </w:r>
      <w:r w:rsidRPr="0031450A">
        <w:t>Honeywell PCM thermal-interface materials (pads and pastes): reported thermal conductivity, thermal impedance, and density.</w:t>
      </w:r>
      <w:bookmarkEnd w:id="64"/>
    </w:p>
    <w:p w14:paraId="5846B324" w14:textId="33F87387" w:rsidR="000F6463" w:rsidRPr="000F6463" w:rsidRDefault="000F6463" w:rsidP="000F6463">
      <w:pPr>
        <w:rPr>
          <w:rFonts w:cs="Times New Roman"/>
          <w:lang w:val="en-US"/>
        </w:rPr>
      </w:pPr>
      <w:r w:rsidRPr="000F6463">
        <w:rPr>
          <w:rFonts w:cs="Times New Roman"/>
          <w:b/>
          <w:bCs/>
          <w:lang w:val="en-US"/>
        </w:rPr>
        <w:t>Croda International Plc</w:t>
      </w:r>
      <w:r w:rsidRPr="000F6463">
        <w:rPr>
          <w:rFonts w:cs="Times New Roman"/>
          <w:lang w:val="en-US"/>
        </w:rPr>
        <w:t xml:space="preserve">. Croda International Plc develops CrodaTherm™, a range of bio-based PCMs designed for thermal regulation and energy storage applications. These materials are made from renewable and biodegradable sources, offer high latent heat capacity, and cover a wide range of melting temperatures. Croda’s PCMs are also characterized by excellent long-term stability, verified through extensive laboratory testing. </w:t>
      </w:r>
    </w:p>
    <w:p w14:paraId="2B535BA6" w14:textId="77777777" w:rsidR="000F6463" w:rsidRPr="000F6463" w:rsidRDefault="000F6463" w:rsidP="000F6463">
      <w:pPr>
        <w:rPr>
          <w:rFonts w:cs="Times New Roman"/>
          <w:lang w:val="en-US"/>
        </w:rPr>
      </w:pPr>
      <w:hyperlink r:id="rId64" w:history="1">
        <w:r w:rsidRPr="000F6463">
          <w:rPr>
            <w:rStyle w:val="Hyperlink"/>
            <w:rFonts w:cs="Times New Roman"/>
            <w:lang w:val="en-US"/>
          </w:rPr>
          <w:t>https://www.crodaindustrialspecialties.com/en-gb/functions/phase-change-materials</w:t>
        </w:r>
      </w:hyperlink>
    </w:p>
    <w:p w14:paraId="01EDE5AF" w14:textId="4C5EDB15" w:rsidR="000F6463" w:rsidRPr="000F6463" w:rsidRDefault="000F6463" w:rsidP="000F6463">
      <w:pPr>
        <w:rPr>
          <w:rFonts w:cs="Times New Roman"/>
          <w:lang w:val="en-US"/>
        </w:rPr>
      </w:pPr>
      <w:r w:rsidRPr="000F6463">
        <w:rPr>
          <w:rFonts w:cs="Times New Roman"/>
          <w:i/>
          <w:iCs/>
          <w:lang w:val="en-US"/>
        </w:rPr>
        <w:t>CrodaTherm PCM Wax</w:t>
      </w:r>
      <w:r w:rsidRPr="000F6463">
        <w:rPr>
          <w:rFonts w:cs="Times New Roman"/>
          <w:lang w:val="en-US"/>
        </w:rPr>
        <w:t>. Croda International Plc offers a comprehensive portfolio of bio-based PCMs designed to operate across a wide range of temperatures. For effective use in real applications, these PCM waxes are macroencapsulated, meaning they are enclosed within durable or flexible containers to ensure stability, safety, and reliable thermal performance. Table 1.14 presents CrodaTherm PCM Wax products, reporting melting/crystallization temperatures, heat capacities, flash point, and density, with range summaries across the lineup.</w:t>
      </w:r>
    </w:p>
    <w:tbl>
      <w:tblPr>
        <w:tblStyle w:val="TableGrid"/>
        <w:tblpPr w:leftFromText="141" w:rightFromText="141" w:vertAnchor="text" w:tblpY="37"/>
        <w:tblW w:w="8926" w:type="dxa"/>
        <w:tblLook w:val="04A0" w:firstRow="1" w:lastRow="0" w:firstColumn="1" w:lastColumn="0" w:noHBand="0" w:noVBand="1"/>
      </w:tblPr>
      <w:tblGrid>
        <w:gridCol w:w="1359"/>
        <w:gridCol w:w="1394"/>
        <w:gridCol w:w="1572"/>
        <w:gridCol w:w="1096"/>
        <w:gridCol w:w="1705"/>
        <w:gridCol w:w="748"/>
        <w:gridCol w:w="1052"/>
      </w:tblGrid>
      <w:tr w:rsidR="000F6463" w:rsidRPr="00924318" w14:paraId="687E1948" w14:textId="77777777" w:rsidTr="000F6463">
        <w:trPr>
          <w:trHeight w:val="510"/>
        </w:trPr>
        <w:tc>
          <w:tcPr>
            <w:tcW w:w="1359" w:type="dxa"/>
            <w:shd w:val="clear" w:color="auto" w:fill="8EA5B6"/>
          </w:tcPr>
          <w:p w14:paraId="1E910BFF" w14:textId="77777777" w:rsidR="000F6463" w:rsidRPr="00924318" w:rsidRDefault="000F6463" w:rsidP="000F6463">
            <w:pPr>
              <w:jc w:val="center"/>
              <w:rPr>
                <w:rFonts w:cs="Times New Roman"/>
                <w:b/>
                <w:bCs/>
                <w:sz w:val="20"/>
                <w:szCs w:val="20"/>
              </w:rPr>
            </w:pPr>
            <w:bookmarkStart w:id="65" w:name="_Hlk211070345"/>
            <w:r w:rsidRPr="00924318">
              <w:rPr>
                <w:rFonts w:cs="Times New Roman"/>
                <w:b/>
                <w:bCs/>
                <w:sz w:val="20"/>
                <w:szCs w:val="20"/>
              </w:rPr>
              <w:lastRenderedPageBreak/>
              <w:t>Product</w:t>
            </w:r>
          </w:p>
        </w:tc>
        <w:tc>
          <w:tcPr>
            <w:tcW w:w="1367" w:type="dxa"/>
            <w:shd w:val="clear" w:color="auto" w:fill="8EA5B6"/>
          </w:tcPr>
          <w:p w14:paraId="3D85E991" w14:textId="77777777" w:rsidR="000F6463" w:rsidRPr="00924318" w:rsidRDefault="000F6463" w:rsidP="000F6463">
            <w:pPr>
              <w:jc w:val="center"/>
              <w:rPr>
                <w:rFonts w:cs="Times New Roman"/>
                <w:b/>
                <w:bCs/>
                <w:sz w:val="20"/>
                <w:szCs w:val="20"/>
              </w:rPr>
            </w:pPr>
            <w:r w:rsidRPr="00924318">
              <w:rPr>
                <w:rFonts w:cs="Times New Roman"/>
                <w:b/>
                <w:bCs/>
                <w:sz w:val="20"/>
                <w:szCs w:val="20"/>
              </w:rPr>
              <w:t>Melting Temperature (°C)</w:t>
            </w:r>
          </w:p>
        </w:tc>
        <w:tc>
          <w:tcPr>
            <w:tcW w:w="1522" w:type="dxa"/>
            <w:shd w:val="clear" w:color="auto" w:fill="8EA5B6"/>
          </w:tcPr>
          <w:p w14:paraId="555E256F" w14:textId="77777777" w:rsidR="000F6463" w:rsidRPr="00924318" w:rsidRDefault="000F6463" w:rsidP="000F6463">
            <w:pPr>
              <w:jc w:val="center"/>
              <w:rPr>
                <w:rFonts w:cs="Times New Roman"/>
                <w:b/>
                <w:bCs/>
                <w:sz w:val="20"/>
                <w:szCs w:val="20"/>
              </w:rPr>
            </w:pPr>
            <w:r w:rsidRPr="00924318">
              <w:rPr>
                <w:rFonts w:cs="Times New Roman"/>
                <w:b/>
                <w:bCs/>
                <w:sz w:val="20"/>
                <w:szCs w:val="20"/>
              </w:rPr>
              <w:t>Crystallization Temperature (°C)</w:t>
            </w:r>
          </w:p>
        </w:tc>
        <w:tc>
          <w:tcPr>
            <w:tcW w:w="1208" w:type="dxa"/>
            <w:shd w:val="clear" w:color="auto" w:fill="8EA5B6"/>
          </w:tcPr>
          <w:p w14:paraId="17CEF149" w14:textId="77777777" w:rsidR="000F6463" w:rsidRPr="00924318" w:rsidRDefault="000F6463" w:rsidP="000F6463">
            <w:pPr>
              <w:jc w:val="center"/>
              <w:rPr>
                <w:rFonts w:cs="Times New Roman"/>
                <w:b/>
                <w:bCs/>
                <w:sz w:val="20"/>
                <w:szCs w:val="20"/>
                <w:lang w:val="en-US"/>
              </w:rPr>
            </w:pPr>
            <w:r w:rsidRPr="00924318">
              <w:rPr>
                <w:rFonts w:cs="Times New Roman"/>
                <w:b/>
                <w:bCs/>
                <w:sz w:val="20"/>
                <w:szCs w:val="20"/>
                <w:lang w:val="en-US"/>
              </w:rPr>
              <w:t>Heat Capacity (Melting) (J/g)</w:t>
            </w:r>
          </w:p>
        </w:tc>
        <w:tc>
          <w:tcPr>
            <w:tcW w:w="1655" w:type="dxa"/>
            <w:shd w:val="clear" w:color="auto" w:fill="8EA5B6"/>
          </w:tcPr>
          <w:p w14:paraId="790B4ED0" w14:textId="77777777" w:rsidR="000F6463" w:rsidRPr="00924318" w:rsidRDefault="000F6463" w:rsidP="000F6463">
            <w:pPr>
              <w:jc w:val="center"/>
              <w:rPr>
                <w:rFonts w:cs="Times New Roman"/>
                <w:b/>
                <w:bCs/>
                <w:sz w:val="20"/>
                <w:szCs w:val="20"/>
                <w:lang w:val="en-US"/>
              </w:rPr>
            </w:pPr>
            <w:r w:rsidRPr="00924318">
              <w:rPr>
                <w:rFonts w:cs="Times New Roman"/>
                <w:b/>
                <w:bCs/>
                <w:sz w:val="20"/>
                <w:szCs w:val="20"/>
                <w:lang w:val="en-US"/>
              </w:rPr>
              <w:t>Heat Capacity (Crystallization) (J/g)</w:t>
            </w:r>
          </w:p>
        </w:tc>
        <w:tc>
          <w:tcPr>
            <w:tcW w:w="1106" w:type="dxa"/>
            <w:shd w:val="clear" w:color="auto" w:fill="8EA5B6"/>
          </w:tcPr>
          <w:p w14:paraId="41DB84D6" w14:textId="77777777" w:rsidR="000F6463" w:rsidRPr="00924318" w:rsidRDefault="000F6463" w:rsidP="000F6463">
            <w:pPr>
              <w:jc w:val="center"/>
              <w:rPr>
                <w:rFonts w:cs="Times New Roman"/>
                <w:b/>
                <w:bCs/>
                <w:sz w:val="20"/>
                <w:szCs w:val="20"/>
              </w:rPr>
            </w:pPr>
            <w:r w:rsidRPr="00924318">
              <w:rPr>
                <w:rFonts w:cs="Times New Roman"/>
                <w:b/>
                <w:bCs/>
                <w:sz w:val="20"/>
                <w:szCs w:val="20"/>
              </w:rPr>
              <w:t>Flash Point (°C)</w:t>
            </w:r>
          </w:p>
        </w:tc>
        <w:tc>
          <w:tcPr>
            <w:tcW w:w="709" w:type="dxa"/>
            <w:shd w:val="clear" w:color="auto" w:fill="8EA5B6"/>
          </w:tcPr>
          <w:p w14:paraId="1D83E893" w14:textId="77777777" w:rsidR="000F6463" w:rsidRPr="00924318" w:rsidRDefault="000F6463" w:rsidP="000F6463">
            <w:pPr>
              <w:jc w:val="center"/>
              <w:rPr>
                <w:rFonts w:cs="Times New Roman"/>
                <w:b/>
                <w:bCs/>
                <w:sz w:val="20"/>
                <w:szCs w:val="20"/>
              </w:rPr>
            </w:pPr>
            <w:r w:rsidRPr="00924318">
              <w:rPr>
                <w:rFonts w:cs="Times New Roman"/>
                <w:b/>
                <w:bCs/>
                <w:sz w:val="20"/>
                <w:szCs w:val="20"/>
              </w:rPr>
              <w:t>Density (Kg/liter)</w:t>
            </w:r>
          </w:p>
        </w:tc>
      </w:tr>
      <w:tr w:rsidR="000F6463" w:rsidRPr="00924318" w14:paraId="2B71D17B" w14:textId="77777777" w:rsidTr="000F6463">
        <w:trPr>
          <w:trHeight w:val="510"/>
        </w:trPr>
        <w:tc>
          <w:tcPr>
            <w:tcW w:w="1359" w:type="dxa"/>
          </w:tcPr>
          <w:p w14:paraId="489CBCBE" w14:textId="77777777" w:rsidR="000F6463" w:rsidRPr="00924318" w:rsidRDefault="000F6463" w:rsidP="000F6463">
            <w:pPr>
              <w:jc w:val="center"/>
              <w:rPr>
                <w:rFonts w:cs="Times New Roman"/>
                <w:b/>
                <w:bCs/>
                <w:sz w:val="20"/>
                <w:szCs w:val="20"/>
              </w:rPr>
            </w:pPr>
            <w:r w:rsidRPr="00924318">
              <w:rPr>
                <w:rFonts w:cs="Times New Roman"/>
                <w:sz w:val="20"/>
                <w:szCs w:val="20"/>
              </w:rPr>
              <w:t>CrodaTherm 5</w:t>
            </w:r>
          </w:p>
        </w:tc>
        <w:tc>
          <w:tcPr>
            <w:tcW w:w="1367" w:type="dxa"/>
          </w:tcPr>
          <w:p w14:paraId="400199D8" w14:textId="77777777" w:rsidR="000F6463" w:rsidRPr="00924318" w:rsidRDefault="000F6463" w:rsidP="000F6463">
            <w:pPr>
              <w:jc w:val="center"/>
              <w:rPr>
                <w:rFonts w:cs="Times New Roman"/>
                <w:sz w:val="20"/>
                <w:szCs w:val="20"/>
              </w:rPr>
            </w:pPr>
            <w:r w:rsidRPr="00924318">
              <w:rPr>
                <w:rFonts w:cs="Times New Roman"/>
                <w:sz w:val="20"/>
                <w:szCs w:val="20"/>
              </w:rPr>
              <w:t>5</w:t>
            </w:r>
          </w:p>
        </w:tc>
        <w:tc>
          <w:tcPr>
            <w:tcW w:w="1522" w:type="dxa"/>
          </w:tcPr>
          <w:p w14:paraId="1877BEA0" w14:textId="77777777" w:rsidR="000F6463" w:rsidRPr="00924318" w:rsidRDefault="000F6463" w:rsidP="000F6463">
            <w:pPr>
              <w:jc w:val="center"/>
              <w:rPr>
                <w:rFonts w:cs="Times New Roman"/>
                <w:sz w:val="20"/>
                <w:szCs w:val="20"/>
              </w:rPr>
            </w:pPr>
            <w:r w:rsidRPr="00924318">
              <w:rPr>
                <w:rFonts w:cs="Times New Roman"/>
                <w:sz w:val="20"/>
                <w:szCs w:val="20"/>
              </w:rPr>
              <w:t>4</w:t>
            </w:r>
          </w:p>
        </w:tc>
        <w:tc>
          <w:tcPr>
            <w:tcW w:w="1208" w:type="dxa"/>
          </w:tcPr>
          <w:p w14:paraId="44D8BAB8" w14:textId="77777777" w:rsidR="000F6463" w:rsidRPr="00924318" w:rsidRDefault="000F6463" w:rsidP="000F6463">
            <w:pPr>
              <w:jc w:val="center"/>
              <w:rPr>
                <w:rFonts w:cs="Times New Roman"/>
                <w:sz w:val="20"/>
                <w:szCs w:val="20"/>
              </w:rPr>
            </w:pPr>
            <w:r w:rsidRPr="00924318">
              <w:rPr>
                <w:rFonts w:cs="Times New Roman"/>
                <w:sz w:val="20"/>
                <w:szCs w:val="20"/>
              </w:rPr>
              <w:t>217</w:t>
            </w:r>
          </w:p>
        </w:tc>
        <w:tc>
          <w:tcPr>
            <w:tcW w:w="1655" w:type="dxa"/>
          </w:tcPr>
          <w:p w14:paraId="49800055" w14:textId="77777777" w:rsidR="000F6463" w:rsidRPr="00924318" w:rsidRDefault="000F6463" w:rsidP="000F6463">
            <w:pPr>
              <w:jc w:val="center"/>
              <w:rPr>
                <w:rFonts w:cs="Times New Roman"/>
                <w:sz w:val="20"/>
                <w:szCs w:val="20"/>
              </w:rPr>
            </w:pPr>
            <w:r w:rsidRPr="00924318">
              <w:rPr>
                <w:rFonts w:cs="Times New Roman"/>
                <w:sz w:val="20"/>
                <w:szCs w:val="20"/>
              </w:rPr>
              <w:t>219</w:t>
            </w:r>
          </w:p>
        </w:tc>
        <w:tc>
          <w:tcPr>
            <w:tcW w:w="1106" w:type="dxa"/>
          </w:tcPr>
          <w:p w14:paraId="4E998E66" w14:textId="77777777" w:rsidR="000F6463" w:rsidRPr="00924318" w:rsidRDefault="000F6463" w:rsidP="000F6463">
            <w:pPr>
              <w:jc w:val="center"/>
              <w:rPr>
                <w:rFonts w:cs="Times New Roman"/>
                <w:sz w:val="20"/>
                <w:szCs w:val="20"/>
              </w:rPr>
            </w:pPr>
            <w:r w:rsidRPr="00924318">
              <w:rPr>
                <w:rFonts w:cs="Times New Roman"/>
                <w:sz w:val="20"/>
                <w:szCs w:val="20"/>
              </w:rPr>
              <w:t>191</w:t>
            </w:r>
          </w:p>
        </w:tc>
        <w:tc>
          <w:tcPr>
            <w:tcW w:w="709" w:type="dxa"/>
          </w:tcPr>
          <w:p w14:paraId="73F8D0DE" w14:textId="77777777" w:rsidR="000F6463" w:rsidRPr="00924318" w:rsidRDefault="000F6463" w:rsidP="000F6463">
            <w:pPr>
              <w:jc w:val="center"/>
              <w:rPr>
                <w:rFonts w:cs="Times New Roman"/>
                <w:sz w:val="20"/>
                <w:szCs w:val="20"/>
              </w:rPr>
            </w:pPr>
            <w:r w:rsidRPr="00924318">
              <w:rPr>
                <w:rFonts w:cs="Times New Roman"/>
                <w:sz w:val="20"/>
                <w:szCs w:val="20"/>
              </w:rPr>
              <w:t>0.857</w:t>
            </w:r>
          </w:p>
        </w:tc>
      </w:tr>
      <w:tr w:rsidR="000F6463" w:rsidRPr="00924318" w14:paraId="7FCE8677" w14:textId="77777777" w:rsidTr="000F6463">
        <w:trPr>
          <w:trHeight w:val="510"/>
        </w:trPr>
        <w:tc>
          <w:tcPr>
            <w:tcW w:w="1359" w:type="dxa"/>
          </w:tcPr>
          <w:p w14:paraId="487E26D6" w14:textId="77777777" w:rsidR="000F6463" w:rsidRPr="00924318" w:rsidRDefault="000F6463" w:rsidP="000F6463">
            <w:pPr>
              <w:jc w:val="center"/>
              <w:rPr>
                <w:rFonts w:cs="Times New Roman"/>
                <w:b/>
                <w:bCs/>
                <w:sz w:val="20"/>
                <w:szCs w:val="20"/>
              </w:rPr>
            </w:pPr>
            <w:r w:rsidRPr="00924318">
              <w:rPr>
                <w:rFonts w:cs="Times New Roman"/>
                <w:sz w:val="20"/>
                <w:szCs w:val="20"/>
              </w:rPr>
              <w:t>CrodaTherm 6.5</w:t>
            </w:r>
          </w:p>
        </w:tc>
        <w:tc>
          <w:tcPr>
            <w:tcW w:w="1367" w:type="dxa"/>
          </w:tcPr>
          <w:p w14:paraId="2AA4C0B3" w14:textId="77777777" w:rsidR="000F6463" w:rsidRPr="00924318" w:rsidRDefault="000F6463" w:rsidP="000F6463">
            <w:pPr>
              <w:jc w:val="center"/>
              <w:rPr>
                <w:rFonts w:cs="Times New Roman"/>
                <w:sz w:val="20"/>
                <w:szCs w:val="20"/>
              </w:rPr>
            </w:pPr>
            <w:r w:rsidRPr="00924318">
              <w:rPr>
                <w:rFonts w:cs="Times New Roman"/>
                <w:sz w:val="20"/>
                <w:szCs w:val="20"/>
              </w:rPr>
              <w:t>7</w:t>
            </w:r>
          </w:p>
        </w:tc>
        <w:tc>
          <w:tcPr>
            <w:tcW w:w="1522" w:type="dxa"/>
          </w:tcPr>
          <w:p w14:paraId="0D816E85" w14:textId="77777777" w:rsidR="000F6463" w:rsidRPr="00924318" w:rsidRDefault="000F6463" w:rsidP="000F6463">
            <w:pPr>
              <w:jc w:val="center"/>
              <w:rPr>
                <w:rFonts w:cs="Times New Roman"/>
                <w:sz w:val="20"/>
                <w:szCs w:val="20"/>
              </w:rPr>
            </w:pPr>
            <w:r w:rsidRPr="00924318">
              <w:rPr>
                <w:rFonts w:cs="Times New Roman"/>
                <w:sz w:val="20"/>
                <w:szCs w:val="20"/>
              </w:rPr>
              <w:t>5</w:t>
            </w:r>
          </w:p>
        </w:tc>
        <w:tc>
          <w:tcPr>
            <w:tcW w:w="1208" w:type="dxa"/>
          </w:tcPr>
          <w:p w14:paraId="39798F7A" w14:textId="77777777" w:rsidR="000F6463" w:rsidRPr="00924318" w:rsidRDefault="000F6463" w:rsidP="000F6463">
            <w:pPr>
              <w:jc w:val="center"/>
              <w:rPr>
                <w:rFonts w:cs="Times New Roman"/>
                <w:sz w:val="20"/>
                <w:szCs w:val="20"/>
              </w:rPr>
            </w:pPr>
            <w:r w:rsidRPr="00924318">
              <w:rPr>
                <w:rFonts w:cs="Times New Roman"/>
                <w:sz w:val="20"/>
                <w:szCs w:val="20"/>
              </w:rPr>
              <w:t>219</w:t>
            </w:r>
          </w:p>
        </w:tc>
        <w:tc>
          <w:tcPr>
            <w:tcW w:w="1655" w:type="dxa"/>
          </w:tcPr>
          <w:p w14:paraId="078206C7" w14:textId="77777777" w:rsidR="000F6463" w:rsidRPr="00924318" w:rsidRDefault="000F6463" w:rsidP="000F6463">
            <w:pPr>
              <w:jc w:val="center"/>
              <w:rPr>
                <w:rFonts w:cs="Times New Roman"/>
                <w:sz w:val="20"/>
                <w:szCs w:val="20"/>
              </w:rPr>
            </w:pPr>
            <w:r w:rsidRPr="00924318">
              <w:rPr>
                <w:rFonts w:cs="Times New Roman"/>
                <w:sz w:val="20"/>
                <w:szCs w:val="20"/>
              </w:rPr>
              <w:t>226</w:t>
            </w:r>
          </w:p>
        </w:tc>
        <w:tc>
          <w:tcPr>
            <w:tcW w:w="1106" w:type="dxa"/>
          </w:tcPr>
          <w:p w14:paraId="224AB066" w14:textId="77777777" w:rsidR="000F6463" w:rsidRPr="00924318" w:rsidRDefault="000F6463" w:rsidP="000F6463">
            <w:pPr>
              <w:jc w:val="center"/>
              <w:rPr>
                <w:rFonts w:cs="Times New Roman"/>
                <w:sz w:val="20"/>
                <w:szCs w:val="20"/>
              </w:rPr>
            </w:pPr>
            <w:r w:rsidRPr="00924318">
              <w:rPr>
                <w:rFonts w:cs="Times New Roman"/>
                <w:sz w:val="20"/>
                <w:szCs w:val="20"/>
              </w:rPr>
              <w:t>200</w:t>
            </w:r>
          </w:p>
        </w:tc>
        <w:tc>
          <w:tcPr>
            <w:tcW w:w="709" w:type="dxa"/>
          </w:tcPr>
          <w:p w14:paraId="265E040F" w14:textId="77777777" w:rsidR="000F6463" w:rsidRPr="00924318" w:rsidRDefault="000F6463" w:rsidP="000F6463">
            <w:pPr>
              <w:jc w:val="center"/>
              <w:rPr>
                <w:rFonts w:cs="Times New Roman"/>
                <w:sz w:val="20"/>
                <w:szCs w:val="20"/>
              </w:rPr>
            </w:pPr>
            <w:r w:rsidRPr="00924318">
              <w:rPr>
                <w:rFonts w:cs="Times New Roman"/>
                <w:sz w:val="20"/>
                <w:szCs w:val="20"/>
              </w:rPr>
              <w:t>0.857</w:t>
            </w:r>
          </w:p>
        </w:tc>
      </w:tr>
      <w:tr w:rsidR="000F6463" w:rsidRPr="00924318" w14:paraId="003D70B9" w14:textId="77777777" w:rsidTr="000F6463">
        <w:trPr>
          <w:trHeight w:val="510"/>
        </w:trPr>
        <w:tc>
          <w:tcPr>
            <w:tcW w:w="1359" w:type="dxa"/>
          </w:tcPr>
          <w:p w14:paraId="31098D53" w14:textId="77777777" w:rsidR="000F6463" w:rsidRPr="00924318" w:rsidRDefault="000F6463" w:rsidP="000F6463">
            <w:pPr>
              <w:jc w:val="center"/>
              <w:rPr>
                <w:rFonts w:cs="Times New Roman"/>
                <w:b/>
                <w:bCs/>
                <w:sz w:val="20"/>
                <w:szCs w:val="20"/>
              </w:rPr>
            </w:pPr>
            <w:r w:rsidRPr="00924318">
              <w:rPr>
                <w:rFonts w:cs="Times New Roman"/>
                <w:sz w:val="20"/>
                <w:szCs w:val="20"/>
              </w:rPr>
              <w:t>CrodaTherm 9.5</w:t>
            </w:r>
          </w:p>
        </w:tc>
        <w:tc>
          <w:tcPr>
            <w:tcW w:w="1367" w:type="dxa"/>
          </w:tcPr>
          <w:p w14:paraId="567F7A00" w14:textId="77777777" w:rsidR="000F6463" w:rsidRPr="00924318" w:rsidRDefault="000F6463" w:rsidP="000F6463">
            <w:pPr>
              <w:jc w:val="center"/>
              <w:rPr>
                <w:rFonts w:cs="Times New Roman"/>
                <w:sz w:val="20"/>
                <w:szCs w:val="20"/>
              </w:rPr>
            </w:pPr>
            <w:r w:rsidRPr="00924318">
              <w:rPr>
                <w:rFonts w:cs="Times New Roman"/>
                <w:sz w:val="20"/>
                <w:szCs w:val="20"/>
              </w:rPr>
              <w:t>9</w:t>
            </w:r>
          </w:p>
        </w:tc>
        <w:tc>
          <w:tcPr>
            <w:tcW w:w="1522" w:type="dxa"/>
          </w:tcPr>
          <w:p w14:paraId="73782B76" w14:textId="77777777" w:rsidR="000F6463" w:rsidRPr="00924318" w:rsidRDefault="000F6463" w:rsidP="000F6463">
            <w:pPr>
              <w:jc w:val="center"/>
              <w:rPr>
                <w:rFonts w:cs="Times New Roman"/>
                <w:sz w:val="20"/>
                <w:szCs w:val="20"/>
              </w:rPr>
            </w:pPr>
            <w:r w:rsidRPr="00924318">
              <w:rPr>
                <w:rFonts w:cs="Times New Roman"/>
                <w:sz w:val="20"/>
                <w:szCs w:val="20"/>
              </w:rPr>
              <w:t>9</w:t>
            </w:r>
          </w:p>
        </w:tc>
        <w:tc>
          <w:tcPr>
            <w:tcW w:w="1208" w:type="dxa"/>
          </w:tcPr>
          <w:p w14:paraId="6428496C" w14:textId="77777777" w:rsidR="000F6463" w:rsidRPr="00924318" w:rsidRDefault="000F6463" w:rsidP="000F6463">
            <w:pPr>
              <w:jc w:val="center"/>
              <w:rPr>
                <w:rFonts w:cs="Times New Roman"/>
                <w:sz w:val="20"/>
                <w:szCs w:val="20"/>
              </w:rPr>
            </w:pPr>
            <w:r w:rsidRPr="00924318">
              <w:rPr>
                <w:rFonts w:cs="Times New Roman"/>
                <w:sz w:val="20"/>
                <w:szCs w:val="20"/>
              </w:rPr>
              <w:t>220</w:t>
            </w:r>
          </w:p>
        </w:tc>
        <w:tc>
          <w:tcPr>
            <w:tcW w:w="1655" w:type="dxa"/>
          </w:tcPr>
          <w:p w14:paraId="7895A24D" w14:textId="77777777" w:rsidR="000F6463" w:rsidRPr="00924318" w:rsidRDefault="000F6463" w:rsidP="000F6463">
            <w:pPr>
              <w:jc w:val="center"/>
              <w:rPr>
                <w:rFonts w:cs="Times New Roman"/>
                <w:sz w:val="20"/>
                <w:szCs w:val="20"/>
              </w:rPr>
            </w:pPr>
            <w:r w:rsidRPr="00924318">
              <w:rPr>
                <w:rFonts w:cs="Times New Roman"/>
                <w:sz w:val="20"/>
                <w:szCs w:val="20"/>
              </w:rPr>
              <w:t>216</w:t>
            </w:r>
          </w:p>
        </w:tc>
        <w:tc>
          <w:tcPr>
            <w:tcW w:w="1106" w:type="dxa"/>
          </w:tcPr>
          <w:p w14:paraId="1F805DA9" w14:textId="77777777" w:rsidR="000F6463" w:rsidRPr="00924318" w:rsidRDefault="000F6463" w:rsidP="000F6463">
            <w:pPr>
              <w:jc w:val="center"/>
              <w:rPr>
                <w:rFonts w:cs="Times New Roman"/>
                <w:sz w:val="20"/>
                <w:szCs w:val="20"/>
              </w:rPr>
            </w:pPr>
            <w:r w:rsidRPr="00924318">
              <w:rPr>
                <w:rFonts w:cs="Times New Roman"/>
                <w:sz w:val="20"/>
                <w:szCs w:val="20"/>
              </w:rPr>
              <w:t>200</w:t>
            </w:r>
          </w:p>
        </w:tc>
        <w:tc>
          <w:tcPr>
            <w:tcW w:w="709" w:type="dxa"/>
          </w:tcPr>
          <w:p w14:paraId="1A95CF46" w14:textId="77777777" w:rsidR="000F6463" w:rsidRPr="00924318" w:rsidRDefault="000F6463" w:rsidP="000F6463">
            <w:pPr>
              <w:jc w:val="center"/>
              <w:rPr>
                <w:rFonts w:cs="Times New Roman"/>
                <w:sz w:val="20"/>
                <w:szCs w:val="20"/>
              </w:rPr>
            </w:pPr>
            <w:r w:rsidRPr="00924318">
              <w:rPr>
                <w:rFonts w:cs="Times New Roman"/>
                <w:sz w:val="20"/>
                <w:szCs w:val="20"/>
              </w:rPr>
              <w:t>0.858</w:t>
            </w:r>
          </w:p>
        </w:tc>
      </w:tr>
      <w:tr w:rsidR="000F6463" w:rsidRPr="00924318" w14:paraId="475A06CC" w14:textId="77777777" w:rsidTr="000F6463">
        <w:trPr>
          <w:trHeight w:val="510"/>
        </w:trPr>
        <w:tc>
          <w:tcPr>
            <w:tcW w:w="1359" w:type="dxa"/>
          </w:tcPr>
          <w:p w14:paraId="501A16D6" w14:textId="77777777" w:rsidR="000F6463" w:rsidRPr="00924318" w:rsidRDefault="000F6463" w:rsidP="000F6463">
            <w:pPr>
              <w:jc w:val="center"/>
              <w:rPr>
                <w:rFonts w:cs="Times New Roman"/>
                <w:b/>
                <w:bCs/>
                <w:sz w:val="20"/>
                <w:szCs w:val="20"/>
              </w:rPr>
            </w:pPr>
            <w:r w:rsidRPr="00924318">
              <w:rPr>
                <w:rFonts w:cs="Times New Roman"/>
                <w:sz w:val="20"/>
                <w:szCs w:val="20"/>
              </w:rPr>
              <w:t>CrodaTherm 15</w:t>
            </w:r>
          </w:p>
        </w:tc>
        <w:tc>
          <w:tcPr>
            <w:tcW w:w="1367" w:type="dxa"/>
          </w:tcPr>
          <w:p w14:paraId="13EB0157" w14:textId="77777777" w:rsidR="000F6463" w:rsidRPr="00924318" w:rsidRDefault="000F6463" w:rsidP="000F6463">
            <w:pPr>
              <w:jc w:val="center"/>
              <w:rPr>
                <w:rFonts w:cs="Times New Roman"/>
                <w:sz w:val="20"/>
                <w:szCs w:val="20"/>
              </w:rPr>
            </w:pPr>
            <w:r w:rsidRPr="00924318">
              <w:rPr>
                <w:rFonts w:cs="Times New Roman"/>
                <w:sz w:val="20"/>
                <w:szCs w:val="20"/>
              </w:rPr>
              <w:t>13</w:t>
            </w:r>
          </w:p>
        </w:tc>
        <w:tc>
          <w:tcPr>
            <w:tcW w:w="1522" w:type="dxa"/>
          </w:tcPr>
          <w:p w14:paraId="399F1031" w14:textId="77777777" w:rsidR="000F6463" w:rsidRPr="00924318" w:rsidRDefault="000F6463" w:rsidP="000F6463">
            <w:pPr>
              <w:jc w:val="center"/>
              <w:rPr>
                <w:rFonts w:cs="Times New Roman"/>
                <w:sz w:val="20"/>
                <w:szCs w:val="20"/>
              </w:rPr>
            </w:pPr>
            <w:r w:rsidRPr="00924318">
              <w:rPr>
                <w:rFonts w:cs="Times New Roman"/>
                <w:sz w:val="20"/>
                <w:szCs w:val="20"/>
              </w:rPr>
              <w:t>12</w:t>
            </w:r>
          </w:p>
        </w:tc>
        <w:tc>
          <w:tcPr>
            <w:tcW w:w="1208" w:type="dxa"/>
          </w:tcPr>
          <w:p w14:paraId="263CFA60" w14:textId="77777777" w:rsidR="000F6463" w:rsidRPr="00924318" w:rsidRDefault="000F6463" w:rsidP="000F6463">
            <w:pPr>
              <w:jc w:val="center"/>
              <w:rPr>
                <w:rFonts w:cs="Times New Roman"/>
                <w:sz w:val="20"/>
                <w:szCs w:val="20"/>
              </w:rPr>
            </w:pPr>
            <w:r w:rsidRPr="00924318">
              <w:rPr>
                <w:rFonts w:cs="Times New Roman"/>
                <w:sz w:val="20"/>
                <w:szCs w:val="20"/>
              </w:rPr>
              <w:t>207</w:t>
            </w:r>
          </w:p>
        </w:tc>
        <w:tc>
          <w:tcPr>
            <w:tcW w:w="1655" w:type="dxa"/>
          </w:tcPr>
          <w:p w14:paraId="0C5DEECC" w14:textId="77777777" w:rsidR="000F6463" w:rsidRPr="00924318" w:rsidRDefault="000F6463" w:rsidP="000F6463">
            <w:pPr>
              <w:jc w:val="center"/>
              <w:rPr>
                <w:rFonts w:cs="Times New Roman"/>
                <w:sz w:val="20"/>
                <w:szCs w:val="20"/>
              </w:rPr>
            </w:pPr>
            <w:r w:rsidRPr="00924318">
              <w:rPr>
                <w:rFonts w:cs="Times New Roman"/>
                <w:sz w:val="20"/>
                <w:szCs w:val="20"/>
              </w:rPr>
              <w:t>212</w:t>
            </w:r>
          </w:p>
        </w:tc>
        <w:tc>
          <w:tcPr>
            <w:tcW w:w="1106" w:type="dxa"/>
          </w:tcPr>
          <w:p w14:paraId="0A9ECB40" w14:textId="77777777" w:rsidR="000F6463" w:rsidRPr="00924318" w:rsidRDefault="000F6463" w:rsidP="000F6463">
            <w:pPr>
              <w:jc w:val="center"/>
              <w:rPr>
                <w:rFonts w:cs="Times New Roman"/>
                <w:sz w:val="20"/>
                <w:szCs w:val="20"/>
              </w:rPr>
            </w:pPr>
            <w:r w:rsidRPr="00924318">
              <w:rPr>
                <w:rFonts w:cs="Times New Roman"/>
                <w:sz w:val="20"/>
                <w:szCs w:val="20"/>
              </w:rPr>
              <w:t>206</w:t>
            </w:r>
          </w:p>
        </w:tc>
        <w:tc>
          <w:tcPr>
            <w:tcW w:w="709" w:type="dxa"/>
          </w:tcPr>
          <w:p w14:paraId="08E80023" w14:textId="77777777" w:rsidR="000F6463" w:rsidRPr="00924318" w:rsidRDefault="000F6463" w:rsidP="000F6463">
            <w:pPr>
              <w:jc w:val="center"/>
              <w:rPr>
                <w:rFonts w:cs="Times New Roman"/>
                <w:sz w:val="20"/>
                <w:szCs w:val="20"/>
              </w:rPr>
            </w:pPr>
            <w:r w:rsidRPr="00924318">
              <w:rPr>
                <w:rFonts w:cs="Times New Roman"/>
                <w:sz w:val="20"/>
                <w:szCs w:val="20"/>
              </w:rPr>
              <w:t>0.896</w:t>
            </w:r>
          </w:p>
        </w:tc>
      </w:tr>
      <w:tr w:rsidR="000F6463" w:rsidRPr="00924318" w14:paraId="0661E80E" w14:textId="77777777" w:rsidTr="000F6463">
        <w:trPr>
          <w:trHeight w:val="510"/>
        </w:trPr>
        <w:tc>
          <w:tcPr>
            <w:tcW w:w="1359" w:type="dxa"/>
          </w:tcPr>
          <w:p w14:paraId="63C38FE8" w14:textId="77777777" w:rsidR="000F6463" w:rsidRPr="00924318" w:rsidRDefault="000F6463" w:rsidP="000F6463">
            <w:pPr>
              <w:jc w:val="center"/>
              <w:rPr>
                <w:rFonts w:cs="Times New Roman"/>
                <w:b/>
                <w:bCs/>
                <w:sz w:val="20"/>
                <w:szCs w:val="20"/>
              </w:rPr>
            </w:pPr>
            <w:r w:rsidRPr="00924318">
              <w:rPr>
                <w:rFonts w:cs="Times New Roman"/>
                <w:sz w:val="20"/>
                <w:szCs w:val="20"/>
              </w:rPr>
              <w:t>CrodaTherm 19</w:t>
            </w:r>
          </w:p>
        </w:tc>
        <w:tc>
          <w:tcPr>
            <w:tcW w:w="1367" w:type="dxa"/>
          </w:tcPr>
          <w:p w14:paraId="6074A247" w14:textId="77777777" w:rsidR="000F6463" w:rsidRPr="00924318" w:rsidRDefault="000F6463" w:rsidP="000F6463">
            <w:pPr>
              <w:jc w:val="center"/>
              <w:rPr>
                <w:rFonts w:cs="Times New Roman"/>
                <w:sz w:val="20"/>
                <w:szCs w:val="20"/>
              </w:rPr>
            </w:pPr>
            <w:r w:rsidRPr="00924318">
              <w:rPr>
                <w:rFonts w:cs="Times New Roman"/>
                <w:sz w:val="20"/>
                <w:szCs w:val="20"/>
              </w:rPr>
              <w:t>18</w:t>
            </w:r>
          </w:p>
        </w:tc>
        <w:tc>
          <w:tcPr>
            <w:tcW w:w="1522" w:type="dxa"/>
          </w:tcPr>
          <w:p w14:paraId="75826651" w14:textId="77777777" w:rsidR="000F6463" w:rsidRPr="00924318" w:rsidRDefault="000F6463" w:rsidP="000F6463">
            <w:pPr>
              <w:jc w:val="center"/>
              <w:rPr>
                <w:rFonts w:cs="Times New Roman"/>
                <w:sz w:val="20"/>
                <w:szCs w:val="20"/>
              </w:rPr>
            </w:pPr>
            <w:r w:rsidRPr="00924318">
              <w:rPr>
                <w:rFonts w:cs="Times New Roman"/>
                <w:sz w:val="20"/>
                <w:szCs w:val="20"/>
              </w:rPr>
              <w:t>18</w:t>
            </w:r>
          </w:p>
        </w:tc>
        <w:tc>
          <w:tcPr>
            <w:tcW w:w="1208" w:type="dxa"/>
          </w:tcPr>
          <w:p w14:paraId="269C1A2D" w14:textId="77777777" w:rsidR="000F6463" w:rsidRPr="00924318" w:rsidRDefault="000F6463" w:rsidP="000F6463">
            <w:pPr>
              <w:jc w:val="center"/>
              <w:rPr>
                <w:rFonts w:cs="Times New Roman"/>
                <w:sz w:val="20"/>
                <w:szCs w:val="20"/>
              </w:rPr>
            </w:pPr>
            <w:r w:rsidRPr="00924318">
              <w:rPr>
                <w:rFonts w:cs="Times New Roman"/>
                <w:sz w:val="20"/>
                <w:szCs w:val="20"/>
              </w:rPr>
              <w:t>205</w:t>
            </w:r>
          </w:p>
        </w:tc>
        <w:tc>
          <w:tcPr>
            <w:tcW w:w="1655" w:type="dxa"/>
          </w:tcPr>
          <w:p w14:paraId="4DA507CA" w14:textId="77777777" w:rsidR="000F6463" w:rsidRPr="00924318" w:rsidRDefault="000F6463" w:rsidP="000F6463">
            <w:pPr>
              <w:jc w:val="center"/>
              <w:rPr>
                <w:rFonts w:cs="Times New Roman"/>
                <w:sz w:val="20"/>
                <w:szCs w:val="20"/>
              </w:rPr>
            </w:pPr>
            <w:r w:rsidRPr="00924318">
              <w:rPr>
                <w:rFonts w:cs="Times New Roman"/>
                <w:sz w:val="20"/>
                <w:szCs w:val="20"/>
              </w:rPr>
              <w:t>208</w:t>
            </w:r>
          </w:p>
        </w:tc>
        <w:tc>
          <w:tcPr>
            <w:tcW w:w="1106" w:type="dxa"/>
          </w:tcPr>
          <w:p w14:paraId="4F28A93F" w14:textId="77777777" w:rsidR="000F6463" w:rsidRPr="00924318" w:rsidRDefault="000F6463" w:rsidP="000F6463">
            <w:pPr>
              <w:jc w:val="center"/>
              <w:rPr>
                <w:rFonts w:cs="Times New Roman"/>
                <w:sz w:val="20"/>
                <w:szCs w:val="20"/>
              </w:rPr>
            </w:pPr>
            <w:r w:rsidRPr="00924318">
              <w:rPr>
                <w:rFonts w:cs="Times New Roman"/>
                <w:sz w:val="20"/>
                <w:szCs w:val="20"/>
              </w:rPr>
              <w:t>202</w:t>
            </w:r>
          </w:p>
        </w:tc>
        <w:tc>
          <w:tcPr>
            <w:tcW w:w="709" w:type="dxa"/>
          </w:tcPr>
          <w:p w14:paraId="65F1C00F" w14:textId="77777777" w:rsidR="000F6463" w:rsidRPr="00924318" w:rsidRDefault="000F6463" w:rsidP="000F6463">
            <w:pPr>
              <w:jc w:val="center"/>
              <w:rPr>
                <w:rFonts w:cs="Times New Roman"/>
                <w:sz w:val="20"/>
                <w:szCs w:val="20"/>
              </w:rPr>
            </w:pPr>
            <w:r w:rsidRPr="00924318">
              <w:rPr>
                <w:rFonts w:cs="Times New Roman"/>
                <w:sz w:val="20"/>
                <w:szCs w:val="20"/>
              </w:rPr>
              <w:t>0.850</w:t>
            </w:r>
          </w:p>
        </w:tc>
      </w:tr>
      <w:tr w:rsidR="000F6463" w:rsidRPr="00924318" w14:paraId="45EA418E" w14:textId="77777777" w:rsidTr="000F6463">
        <w:trPr>
          <w:trHeight w:val="510"/>
        </w:trPr>
        <w:tc>
          <w:tcPr>
            <w:tcW w:w="1359" w:type="dxa"/>
          </w:tcPr>
          <w:p w14:paraId="75100413" w14:textId="77777777" w:rsidR="000F6463" w:rsidRPr="00924318" w:rsidRDefault="000F6463" w:rsidP="000F6463">
            <w:pPr>
              <w:jc w:val="center"/>
              <w:rPr>
                <w:rFonts w:cs="Times New Roman"/>
                <w:b/>
                <w:bCs/>
                <w:sz w:val="20"/>
                <w:szCs w:val="20"/>
              </w:rPr>
            </w:pPr>
            <w:r w:rsidRPr="00924318">
              <w:rPr>
                <w:rFonts w:cs="Times New Roman"/>
                <w:sz w:val="20"/>
                <w:szCs w:val="20"/>
              </w:rPr>
              <w:t>CrodaTherm 21</w:t>
            </w:r>
          </w:p>
        </w:tc>
        <w:tc>
          <w:tcPr>
            <w:tcW w:w="1367" w:type="dxa"/>
          </w:tcPr>
          <w:p w14:paraId="02794671" w14:textId="77777777" w:rsidR="000F6463" w:rsidRPr="00924318" w:rsidRDefault="000F6463" w:rsidP="000F6463">
            <w:pPr>
              <w:jc w:val="center"/>
              <w:rPr>
                <w:rFonts w:cs="Times New Roman"/>
                <w:sz w:val="20"/>
                <w:szCs w:val="20"/>
              </w:rPr>
            </w:pPr>
            <w:r w:rsidRPr="00924318">
              <w:rPr>
                <w:rFonts w:cs="Times New Roman"/>
                <w:sz w:val="20"/>
                <w:szCs w:val="20"/>
              </w:rPr>
              <w:t>20</w:t>
            </w:r>
          </w:p>
        </w:tc>
        <w:tc>
          <w:tcPr>
            <w:tcW w:w="1522" w:type="dxa"/>
          </w:tcPr>
          <w:p w14:paraId="01900225" w14:textId="77777777" w:rsidR="000F6463" w:rsidRPr="00924318" w:rsidRDefault="000F6463" w:rsidP="000F6463">
            <w:pPr>
              <w:jc w:val="center"/>
              <w:rPr>
                <w:rFonts w:cs="Times New Roman"/>
                <w:sz w:val="20"/>
                <w:szCs w:val="20"/>
              </w:rPr>
            </w:pPr>
            <w:r w:rsidRPr="00924318">
              <w:rPr>
                <w:rFonts w:cs="Times New Roman"/>
                <w:sz w:val="20"/>
                <w:szCs w:val="20"/>
              </w:rPr>
              <w:t>20</w:t>
            </w:r>
          </w:p>
        </w:tc>
        <w:tc>
          <w:tcPr>
            <w:tcW w:w="1208" w:type="dxa"/>
          </w:tcPr>
          <w:p w14:paraId="0CAEF58D" w14:textId="77777777" w:rsidR="000F6463" w:rsidRPr="00924318" w:rsidRDefault="000F6463" w:rsidP="000F6463">
            <w:pPr>
              <w:jc w:val="center"/>
              <w:rPr>
                <w:rFonts w:cs="Times New Roman"/>
                <w:sz w:val="20"/>
                <w:szCs w:val="20"/>
              </w:rPr>
            </w:pPr>
            <w:r w:rsidRPr="00924318">
              <w:rPr>
                <w:rFonts w:cs="Times New Roman"/>
                <w:sz w:val="20"/>
                <w:szCs w:val="20"/>
              </w:rPr>
              <w:t>215</w:t>
            </w:r>
          </w:p>
        </w:tc>
        <w:tc>
          <w:tcPr>
            <w:tcW w:w="1655" w:type="dxa"/>
          </w:tcPr>
          <w:p w14:paraId="2F0EDDDC" w14:textId="77777777" w:rsidR="000F6463" w:rsidRPr="00924318" w:rsidRDefault="000F6463" w:rsidP="000F6463">
            <w:pPr>
              <w:jc w:val="center"/>
              <w:rPr>
                <w:rFonts w:cs="Times New Roman"/>
                <w:sz w:val="20"/>
                <w:szCs w:val="20"/>
              </w:rPr>
            </w:pPr>
            <w:r w:rsidRPr="00924318">
              <w:rPr>
                <w:rFonts w:cs="Times New Roman"/>
                <w:sz w:val="20"/>
                <w:szCs w:val="20"/>
              </w:rPr>
              <w:t>210</w:t>
            </w:r>
          </w:p>
        </w:tc>
        <w:tc>
          <w:tcPr>
            <w:tcW w:w="1106" w:type="dxa"/>
          </w:tcPr>
          <w:p w14:paraId="68621E1D" w14:textId="77777777" w:rsidR="000F6463" w:rsidRPr="00924318" w:rsidRDefault="000F6463" w:rsidP="000F6463">
            <w:pPr>
              <w:jc w:val="center"/>
              <w:rPr>
                <w:rFonts w:cs="Times New Roman"/>
                <w:sz w:val="20"/>
                <w:szCs w:val="20"/>
              </w:rPr>
            </w:pPr>
            <w:r w:rsidRPr="00924318">
              <w:rPr>
                <w:rFonts w:cs="Times New Roman"/>
                <w:sz w:val="20"/>
                <w:szCs w:val="20"/>
              </w:rPr>
              <w:t>208</w:t>
            </w:r>
          </w:p>
        </w:tc>
        <w:tc>
          <w:tcPr>
            <w:tcW w:w="709" w:type="dxa"/>
          </w:tcPr>
          <w:p w14:paraId="172A1EBF" w14:textId="77777777" w:rsidR="000F6463" w:rsidRPr="00924318" w:rsidRDefault="000F6463" w:rsidP="000F6463">
            <w:pPr>
              <w:jc w:val="center"/>
              <w:rPr>
                <w:rFonts w:cs="Times New Roman"/>
                <w:sz w:val="20"/>
                <w:szCs w:val="20"/>
              </w:rPr>
            </w:pPr>
            <w:r w:rsidRPr="00924318">
              <w:rPr>
                <w:rFonts w:cs="Times New Roman"/>
                <w:sz w:val="20"/>
                <w:szCs w:val="20"/>
              </w:rPr>
              <w:t>0.850</w:t>
            </w:r>
          </w:p>
        </w:tc>
      </w:tr>
      <w:tr w:rsidR="000F6463" w:rsidRPr="00924318" w14:paraId="18401FF7" w14:textId="77777777" w:rsidTr="000F6463">
        <w:trPr>
          <w:trHeight w:val="510"/>
        </w:trPr>
        <w:tc>
          <w:tcPr>
            <w:tcW w:w="1359" w:type="dxa"/>
          </w:tcPr>
          <w:p w14:paraId="46E1B8F5" w14:textId="77777777" w:rsidR="000F6463" w:rsidRPr="00924318" w:rsidRDefault="000F6463" w:rsidP="000F6463">
            <w:pPr>
              <w:jc w:val="center"/>
              <w:rPr>
                <w:rFonts w:cs="Times New Roman"/>
                <w:b/>
                <w:bCs/>
                <w:sz w:val="20"/>
                <w:szCs w:val="20"/>
              </w:rPr>
            </w:pPr>
            <w:r w:rsidRPr="00924318">
              <w:rPr>
                <w:rFonts w:cs="Times New Roman"/>
                <w:sz w:val="20"/>
                <w:szCs w:val="20"/>
              </w:rPr>
              <w:t>CrodaTherm 24W</w:t>
            </w:r>
          </w:p>
        </w:tc>
        <w:tc>
          <w:tcPr>
            <w:tcW w:w="1367" w:type="dxa"/>
          </w:tcPr>
          <w:p w14:paraId="5C8156B5" w14:textId="77777777" w:rsidR="000F6463" w:rsidRPr="00924318" w:rsidRDefault="000F6463" w:rsidP="000F6463">
            <w:pPr>
              <w:jc w:val="center"/>
              <w:rPr>
                <w:rFonts w:cs="Times New Roman"/>
                <w:sz w:val="20"/>
                <w:szCs w:val="20"/>
              </w:rPr>
            </w:pPr>
            <w:r w:rsidRPr="00924318">
              <w:rPr>
                <w:rFonts w:cs="Times New Roman"/>
                <w:sz w:val="20"/>
                <w:szCs w:val="20"/>
              </w:rPr>
              <w:t>23</w:t>
            </w:r>
          </w:p>
        </w:tc>
        <w:tc>
          <w:tcPr>
            <w:tcW w:w="1522" w:type="dxa"/>
          </w:tcPr>
          <w:p w14:paraId="68E8576F" w14:textId="77777777" w:rsidR="000F6463" w:rsidRPr="00924318" w:rsidRDefault="000F6463" w:rsidP="000F6463">
            <w:pPr>
              <w:jc w:val="center"/>
              <w:rPr>
                <w:rFonts w:cs="Times New Roman"/>
                <w:sz w:val="20"/>
                <w:szCs w:val="20"/>
              </w:rPr>
            </w:pPr>
            <w:r w:rsidRPr="00924318">
              <w:rPr>
                <w:rFonts w:cs="Times New Roman"/>
                <w:sz w:val="20"/>
                <w:szCs w:val="20"/>
              </w:rPr>
              <w:t>23</w:t>
            </w:r>
          </w:p>
        </w:tc>
        <w:tc>
          <w:tcPr>
            <w:tcW w:w="1208" w:type="dxa"/>
          </w:tcPr>
          <w:p w14:paraId="346F3CEE" w14:textId="77777777" w:rsidR="000F6463" w:rsidRPr="00924318" w:rsidRDefault="000F6463" w:rsidP="000F6463">
            <w:pPr>
              <w:jc w:val="center"/>
              <w:rPr>
                <w:rFonts w:cs="Times New Roman"/>
                <w:sz w:val="20"/>
                <w:szCs w:val="20"/>
              </w:rPr>
            </w:pPr>
            <w:r w:rsidRPr="00924318">
              <w:rPr>
                <w:rFonts w:cs="Times New Roman"/>
                <w:sz w:val="20"/>
                <w:szCs w:val="20"/>
              </w:rPr>
              <w:t>207</w:t>
            </w:r>
          </w:p>
        </w:tc>
        <w:tc>
          <w:tcPr>
            <w:tcW w:w="1655" w:type="dxa"/>
          </w:tcPr>
          <w:p w14:paraId="2A8136C0" w14:textId="77777777" w:rsidR="000F6463" w:rsidRPr="00924318" w:rsidRDefault="000F6463" w:rsidP="000F6463">
            <w:pPr>
              <w:jc w:val="center"/>
              <w:rPr>
                <w:rFonts w:cs="Times New Roman"/>
                <w:sz w:val="20"/>
                <w:szCs w:val="20"/>
              </w:rPr>
            </w:pPr>
            <w:r w:rsidRPr="00924318">
              <w:rPr>
                <w:rFonts w:cs="Times New Roman"/>
                <w:sz w:val="20"/>
                <w:szCs w:val="20"/>
              </w:rPr>
              <w:t>213</w:t>
            </w:r>
          </w:p>
        </w:tc>
        <w:tc>
          <w:tcPr>
            <w:tcW w:w="1106" w:type="dxa"/>
          </w:tcPr>
          <w:p w14:paraId="3A1E37BF" w14:textId="77777777" w:rsidR="000F6463" w:rsidRPr="00924318" w:rsidRDefault="000F6463" w:rsidP="000F6463">
            <w:pPr>
              <w:jc w:val="center"/>
              <w:rPr>
                <w:rFonts w:cs="Times New Roman"/>
                <w:sz w:val="20"/>
                <w:szCs w:val="20"/>
              </w:rPr>
            </w:pPr>
            <w:r w:rsidRPr="00924318">
              <w:rPr>
                <w:rFonts w:cs="Times New Roman"/>
                <w:sz w:val="20"/>
                <w:szCs w:val="20"/>
              </w:rPr>
              <w:t>226</w:t>
            </w:r>
          </w:p>
        </w:tc>
        <w:tc>
          <w:tcPr>
            <w:tcW w:w="709" w:type="dxa"/>
          </w:tcPr>
          <w:p w14:paraId="344D659E" w14:textId="77777777" w:rsidR="000F6463" w:rsidRPr="00924318" w:rsidRDefault="000F6463" w:rsidP="000F6463">
            <w:pPr>
              <w:jc w:val="center"/>
              <w:rPr>
                <w:rFonts w:cs="Times New Roman"/>
                <w:sz w:val="20"/>
                <w:szCs w:val="20"/>
              </w:rPr>
            </w:pPr>
            <w:r w:rsidRPr="00924318">
              <w:rPr>
                <w:rFonts w:cs="Times New Roman"/>
                <w:sz w:val="20"/>
                <w:szCs w:val="20"/>
              </w:rPr>
              <w:t>0.843</w:t>
            </w:r>
          </w:p>
        </w:tc>
      </w:tr>
      <w:tr w:rsidR="000F6463" w:rsidRPr="00924318" w14:paraId="40EFC6F0" w14:textId="77777777" w:rsidTr="000F6463">
        <w:trPr>
          <w:trHeight w:val="510"/>
        </w:trPr>
        <w:tc>
          <w:tcPr>
            <w:tcW w:w="1359" w:type="dxa"/>
          </w:tcPr>
          <w:p w14:paraId="6F16F7BB" w14:textId="77777777" w:rsidR="000F6463" w:rsidRPr="00924318" w:rsidRDefault="000F6463" w:rsidP="000F6463">
            <w:pPr>
              <w:jc w:val="center"/>
              <w:rPr>
                <w:rFonts w:cs="Times New Roman"/>
                <w:b/>
                <w:bCs/>
                <w:sz w:val="20"/>
                <w:szCs w:val="20"/>
              </w:rPr>
            </w:pPr>
            <w:r w:rsidRPr="00924318">
              <w:rPr>
                <w:rFonts w:cs="Times New Roman"/>
                <w:sz w:val="20"/>
                <w:szCs w:val="20"/>
              </w:rPr>
              <w:t>CrodaTherm 29</w:t>
            </w:r>
          </w:p>
        </w:tc>
        <w:tc>
          <w:tcPr>
            <w:tcW w:w="1367" w:type="dxa"/>
          </w:tcPr>
          <w:p w14:paraId="5F2AB931" w14:textId="77777777" w:rsidR="000F6463" w:rsidRPr="00924318" w:rsidRDefault="000F6463" w:rsidP="000F6463">
            <w:pPr>
              <w:jc w:val="center"/>
              <w:rPr>
                <w:rFonts w:cs="Times New Roman"/>
                <w:sz w:val="20"/>
                <w:szCs w:val="20"/>
              </w:rPr>
            </w:pPr>
            <w:r w:rsidRPr="00924318">
              <w:rPr>
                <w:rFonts w:cs="Times New Roman"/>
                <w:sz w:val="20"/>
                <w:szCs w:val="20"/>
              </w:rPr>
              <w:t>28</w:t>
            </w:r>
          </w:p>
        </w:tc>
        <w:tc>
          <w:tcPr>
            <w:tcW w:w="1522" w:type="dxa"/>
          </w:tcPr>
          <w:p w14:paraId="050F7B2D" w14:textId="77777777" w:rsidR="000F6463" w:rsidRPr="00924318" w:rsidRDefault="000F6463" w:rsidP="000F6463">
            <w:pPr>
              <w:jc w:val="center"/>
              <w:rPr>
                <w:rFonts w:cs="Times New Roman"/>
                <w:sz w:val="20"/>
                <w:szCs w:val="20"/>
              </w:rPr>
            </w:pPr>
            <w:r w:rsidRPr="00924318">
              <w:rPr>
                <w:rFonts w:cs="Times New Roman"/>
                <w:sz w:val="20"/>
                <w:szCs w:val="20"/>
              </w:rPr>
              <w:t>27</w:t>
            </w:r>
          </w:p>
        </w:tc>
        <w:tc>
          <w:tcPr>
            <w:tcW w:w="1208" w:type="dxa"/>
          </w:tcPr>
          <w:p w14:paraId="3DF50FD1" w14:textId="77777777" w:rsidR="000F6463" w:rsidRPr="00924318" w:rsidRDefault="000F6463" w:rsidP="000F6463">
            <w:pPr>
              <w:jc w:val="center"/>
              <w:rPr>
                <w:rFonts w:cs="Times New Roman"/>
                <w:sz w:val="20"/>
                <w:szCs w:val="20"/>
              </w:rPr>
            </w:pPr>
            <w:r w:rsidRPr="00924318">
              <w:rPr>
                <w:rFonts w:cs="Times New Roman"/>
                <w:sz w:val="20"/>
                <w:szCs w:val="20"/>
              </w:rPr>
              <w:t>223</w:t>
            </w:r>
          </w:p>
        </w:tc>
        <w:tc>
          <w:tcPr>
            <w:tcW w:w="1655" w:type="dxa"/>
          </w:tcPr>
          <w:p w14:paraId="7D6C8DAD" w14:textId="77777777" w:rsidR="000F6463" w:rsidRPr="00924318" w:rsidRDefault="000F6463" w:rsidP="000F6463">
            <w:pPr>
              <w:jc w:val="center"/>
              <w:rPr>
                <w:rFonts w:cs="Times New Roman"/>
                <w:sz w:val="20"/>
                <w:szCs w:val="20"/>
              </w:rPr>
            </w:pPr>
            <w:r w:rsidRPr="00924318">
              <w:rPr>
                <w:rFonts w:cs="Times New Roman"/>
                <w:sz w:val="20"/>
                <w:szCs w:val="20"/>
              </w:rPr>
              <w:t>222</w:t>
            </w:r>
          </w:p>
        </w:tc>
        <w:tc>
          <w:tcPr>
            <w:tcW w:w="1106" w:type="dxa"/>
          </w:tcPr>
          <w:p w14:paraId="4884345C" w14:textId="77777777" w:rsidR="000F6463" w:rsidRPr="00924318" w:rsidRDefault="000F6463" w:rsidP="000F6463">
            <w:pPr>
              <w:jc w:val="center"/>
              <w:rPr>
                <w:rFonts w:cs="Times New Roman"/>
                <w:sz w:val="20"/>
                <w:szCs w:val="20"/>
              </w:rPr>
            </w:pPr>
            <w:r w:rsidRPr="00924318">
              <w:rPr>
                <w:rFonts w:cs="Times New Roman"/>
                <w:sz w:val="20"/>
                <w:szCs w:val="20"/>
              </w:rPr>
              <w:t>215</w:t>
            </w:r>
          </w:p>
        </w:tc>
        <w:tc>
          <w:tcPr>
            <w:tcW w:w="709" w:type="dxa"/>
          </w:tcPr>
          <w:p w14:paraId="12D999D9" w14:textId="77777777" w:rsidR="000F6463" w:rsidRPr="00924318" w:rsidRDefault="000F6463" w:rsidP="000F6463">
            <w:pPr>
              <w:jc w:val="center"/>
              <w:rPr>
                <w:rFonts w:cs="Times New Roman"/>
                <w:sz w:val="20"/>
                <w:szCs w:val="20"/>
              </w:rPr>
            </w:pPr>
            <w:r w:rsidRPr="00924318">
              <w:rPr>
                <w:rFonts w:cs="Times New Roman"/>
                <w:sz w:val="20"/>
                <w:szCs w:val="20"/>
              </w:rPr>
              <w:t>0.851</w:t>
            </w:r>
          </w:p>
        </w:tc>
      </w:tr>
      <w:tr w:rsidR="000F6463" w:rsidRPr="00924318" w14:paraId="7B5515A8" w14:textId="77777777" w:rsidTr="000F6463">
        <w:trPr>
          <w:trHeight w:val="510"/>
        </w:trPr>
        <w:tc>
          <w:tcPr>
            <w:tcW w:w="1359" w:type="dxa"/>
          </w:tcPr>
          <w:p w14:paraId="49AFCC5D" w14:textId="77777777" w:rsidR="000F6463" w:rsidRPr="00924318" w:rsidRDefault="000F6463" w:rsidP="000F6463">
            <w:pPr>
              <w:jc w:val="center"/>
              <w:rPr>
                <w:rFonts w:cs="Times New Roman"/>
                <w:b/>
                <w:bCs/>
                <w:sz w:val="20"/>
                <w:szCs w:val="20"/>
              </w:rPr>
            </w:pPr>
            <w:r w:rsidRPr="00924318">
              <w:rPr>
                <w:rFonts w:cs="Times New Roman"/>
                <w:sz w:val="20"/>
                <w:szCs w:val="20"/>
              </w:rPr>
              <w:t>CrodaTherm 32</w:t>
            </w:r>
          </w:p>
        </w:tc>
        <w:tc>
          <w:tcPr>
            <w:tcW w:w="1367" w:type="dxa"/>
          </w:tcPr>
          <w:p w14:paraId="783FEA31" w14:textId="77777777" w:rsidR="000F6463" w:rsidRPr="00924318" w:rsidRDefault="000F6463" w:rsidP="000F6463">
            <w:pPr>
              <w:jc w:val="center"/>
              <w:rPr>
                <w:rFonts w:cs="Times New Roman"/>
                <w:sz w:val="20"/>
                <w:szCs w:val="20"/>
              </w:rPr>
            </w:pPr>
            <w:r w:rsidRPr="00924318">
              <w:rPr>
                <w:rFonts w:cs="Times New Roman"/>
                <w:sz w:val="20"/>
                <w:szCs w:val="20"/>
              </w:rPr>
              <w:t>31</w:t>
            </w:r>
          </w:p>
        </w:tc>
        <w:tc>
          <w:tcPr>
            <w:tcW w:w="1522" w:type="dxa"/>
          </w:tcPr>
          <w:p w14:paraId="470854E8" w14:textId="77777777" w:rsidR="000F6463" w:rsidRPr="00924318" w:rsidRDefault="000F6463" w:rsidP="000F6463">
            <w:pPr>
              <w:jc w:val="center"/>
              <w:rPr>
                <w:rFonts w:cs="Times New Roman"/>
                <w:sz w:val="20"/>
                <w:szCs w:val="20"/>
              </w:rPr>
            </w:pPr>
            <w:r w:rsidRPr="00924318">
              <w:rPr>
                <w:rFonts w:cs="Times New Roman"/>
                <w:sz w:val="20"/>
                <w:szCs w:val="20"/>
              </w:rPr>
              <w:t>31</w:t>
            </w:r>
          </w:p>
        </w:tc>
        <w:tc>
          <w:tcPr>
            <w:tcW w:w="1208" w:type="dxa"/>
          </w:tcPr>
          <w:p w14:paraId="25AE32E8" w14:textId="77777777" w:rsidR="000F6463" w:rsidRPr="00924318" w:rsidRDefault="000F6463" w:rsidP="000F6463">
            <w:pPr>
              <w:jc w:val="center"/>
              <w:rPr>
                <w:rFonts w:cs="Times New Roman"/>
                <w:sz w:val="20"/>
                <w:szCs w:val="20"/>
              </w:rPr>
            </w:pPr>
            <w:r w:rsidRPr="00924318">
              <w:rPr>
                <w:rFonts w:cs="Times New Roman"/>
                <w:sz w:val="20"/>
                <w:szCs w:val="20"/>
              </w:rPr>
              <w:t>211</w:t>
            </w:r>
          </w:p>
        </w:tc>
        <w:tc>
          <w:tcPr>
            <w:tcW w:w="1655" w:type="dxa"/>
          </w:tcPr>
          <w:p w14:paraId="26E3B3F7" w14:textId="77777777" w:rsidR="000F6463" w:rsidRPr="00924318" w:rsidRDefault="000F6463" w:rsidP="000F6463">
            <w:pPr>
              <w:jc w:val="center"/>
              <w:rPr>
                <w:rFonts w:cs="Times New Roman"/>
                <w:sz w:val="20"/>
                <w:szCs w:val="20"/>
              </w:rPr>
            </w:pPr>
            <w:r w:rsidRPr="00924318">
              <w:rPr>
                <w:rFonts w:cs="Times New Roman"/>
                <w:sz w:val="20"/>
                <w:szCs w:val="20"/>
              </w:rPr>
              <w:t>213</w:t>
            </w:r>
          </w:p>
        </w:tc>
        <w:tc>
          <w:tcPr>
            <w:tcW w:w="1106" w:type="dxa"/>
          </w:tcPr>
          <w:p w14:paraId="087BE1BA" w14:textId="77777777" w:rsidR="000F6463" w:rsidRPr="00924318" w:rsidRDefault="000F6463" w:rsidP="000F6463">
            <w:pPr>
              <w:jc w:val="center"/>
              <w:rPr>
                <w:rFonts w:cs="Times New Roman"/>
                <w:sz w:val="20"/>
                <w:szCs w:val="20"/>
              </w:rPr>
            </w:pPr>
            <w:r w:rsidRPr="00924318">
              <w:rPr>
                <w:rFonts w:cs="Times New Roman"/>
                <w:sz w:val="20"/>
                <w:szCs w:val="20"/>
              </w:rPr>
              <w:t>-</w:t>
            </w:r>
          </w:p>
        </w:tc>
        <w:tc>
          <w:tcPr>
            <w:tcW w:w="709" w:type="dxa"/>
          </w:tcPr>
          <w:p w14:paraId="138F4BA1" w14:textId="77777777" w:rsidR="000F6463" w:rsidRPr="00924318" w:rsidRDefault="000F6463" w:rsidP="000F6463">
            <w:pPr>
              <w:jc w:val="center"/>
              <w:rPr>
                <w:rFonts w:cs="Times New Roman"/>
                <w:sz w:val="20"/>
                <w:szCs w:val="20"/>
              </w:rPr>
            </w:pPr>
            <w:r w:rsidRPr="00924318">
              <w:rPr>
                <w:rFonts w:cs="Times New Roman"/>
                <w:sz w:val="20"/>
                <w:szCs w:val="20"/>
              </w:rPr>
              <w:t>0.836</w:t>
            </w:r>
          </w:p>
        </w:tc>
      </w:tr>
      <w:tr w:rsidR="000F6463" w:rsidRPr="00924318" w14:paraId="37E69989" w14:textId="77777777" w:rsidTr="000F6463">
        <w:trPr>
          <w:trHeight w:val="510"/>
        </w:trPr>
        <w:tc>
          <w:tcPr>
            <w:tcW w:w="1359" w:type="dxa"/>
          </w:tcPr>
          <w:p w14:paraId="0A2CDAC0" w14:textId="77777777" w:rsidR="000F6463" w:rsidRPr="00924318" w:rsidRDefault="000F6463" w:rsidP="000F6463">
            <w:pPr>
              <w:jc w:val="center"/>
              <w:rPr>
                <w:rFonts w:cs="Times New Roman"/>
                <w:b/>
                <w:bCs/>
                <w:sz w:val="20"/>
                <w:szCs w:val="20"/>
              </w:rPr>
            </w:pPr>
            <w:r w:rsidRPr="00924318">
              <w:rPr>
                <w:rFonts w:cs="Times New Roman"/>
                <w:sz w:val="20"/>
                <w:szCs w:val="20"/>
              </w:rPr>
              <w:t>CrodaTherm 37</w:t>
            </w:r>
          </w:p>
        </w:tc>
        <w:tc>
          <w:tcPr>
            <w:tcW w:w="1367" w:type="dxa"/>
          </w:tcPr>
          <w:p w14:paraId="75D0B005" w14:textId="77777777" w:rsidR="000F6463" w:rsidRPr="00924318" w:rsidRDefault="000F6463" w:rsidP="000F6463">
            <w:pPr>
              <w:jc w:val="center"/>
              <w:rPr>
                <w:rFonts w:cs="Times New Roman"/>
                <w:sz w:val="20"/>
                <w:szCs w:val="20"/>
              </w:rPr>
            </w:pPr>
            <w:r w:rsidRPr="00924318">
              <w:rPr>
                <w:rFonts w:cs="Times New Roman"/>
                <w:sz w:val="20"/>
                <w:szCs w:val="20"/>
              </w:rPr>
              <w:t>36</w:t>
            </w:r>
          </w:p>
        </w:tc>
        <w:tc>
          <w:tcPr>
            <w:tcW w:w="1522" w:type="dxa"/>
          </w:tcPr>
          <w:p w14:paraId="61FD9977" w14:textId="77777777" w:rsidR="000F6463" w:rsidRPr="00924318" w:rsidRDefault="000F6463" w:rsidP="000F6463">
            <w:pPr>
              <w:jc w:val="center"/>
              <w:rPr>
                <w:rFonts w:cs="Times New Roman"/>
                <w:sz w:val="20"/>
                <w:szCs w:val="20"/>
              </w:rPr>
            </w:pPr>
            <w:r w:rsidRPr="00924318">
              <w:rPr>
                <w:rFonts w:cs="Times New Roman"/>
                <w:sz w:val="20"/>
                <w:szCs w:val="20"/>
              </w:rPr>
              <w:t>36</w:t>
            </w:r>
          </w:p>
        </w:tc>
        <w:tc>
          <w:tcPr>
            <w:tcW w:w="1208" w:type="dxa"/>
          </w:tcPr>
          <w:p w14:paraId="58F54890" w14:textId="77777777" w:rsidR="000F6463" w:rsidRPr="00924318" w:rsidRDefault="000F6463" w:rsidP="000F6463">
            <w:pPr>
              <w:jc w:val="center"/>
              <w:rPr>
                <w:rFonts w:cs="Times New Roman"/>
                <w:sz w:val="20"/>
                <w:szCs w:val="20"/>
              </w:rPr>
            </w:pPr>
            <w:r w:rsidRPr="00924318">
              <w:rPr>
                <w:rFonts w:cs="Times New Roman"/>
                <w:sz w:val="20"/>
                <w:szCs w:val="20"/>
              </w:rPr>
              <w:t>216</w:t>
            </w:r>
          </w:p>
        </w:tc>
        <w:tc>
          <w:tcPr>
            <w:tcW w:w="1655" w:type="dxa"/>
          </w:tcPr>
          <w:p w14:paraId="54EDB073" w14:textId="77777777" w:rsidR="000F6463" w:rsidRPr="00924318" w:rsidRDefault="000F6463" w:rsidP="000F6463">
            <w:pPr>
              <w:jc w:val="center"/>
              <w:rPr>
                <w:rFonts w:cs="Times New Roman"/>
                <w:sz w:val="20"/>
                <w:szCs w:val="20"/>
              </w:rPr>
            </w:pPr>
            <w:r w:rsidRPr="00924318">
              <w:rPr>
                <w:rFonts w:cs="Times New Roman"/>
                <w:sz w:val="20"/>
                <w:szCs w:val="20"/>
              </w:rPr>
              <w:t>217</w:t>
            </w:r>
          </w:p>
        </w:tc>
        <w:tc>
          <w:tcPr>
            <w:tcW w:w="1106" w:type="dxa"/>
          </w:tcPr>
          <w:p w14:paraId="3D971A72" w14:textId="77777777" w:rsidR="000F6463" w:rsidRPr="00924318" w:rsidRDefault="000F6463" w:rsidP="000F6463">
            <w:pPr>
              <w:jc w:val="center"/>
              <w:rPr>
                <w:rFonts w:cs="Times New Roman"/>
                <w:sz w:val="20"/>
                <w:szCs w:val="20"/>
              </w:rPr>
            </w:pPr>
            <w:r w:rsidRPr="00924318">
              <w:rPr>
                <w:rFonts w:cs="Times New Roman"/>
                <w:sz w:val="20"/>
                <w:szCs w:val="20"/>
              </w:rPr>
              <w:t>232</w:t>
            </w:r>
          </w:p>
        </w:tc>
        <w:tc>
          <w:tcPr>
            <w:tcW w:w="709" w:type="dxa"/>
          </w:tcPr>
          <w:p w14:paraId="68DE6C1E" w14:textId="77777777" w:rsidR="000F6463" w:rsidRPr="00924318" w:rsidRDefault="000F6463" w:rsidP="000F6463">
            <w:pPr>
              <w:jc w:val="center"/>
              <w:rPr>
                <w:rFonts w:cs="Times New Roman"/>
                <w:sz w:val="20"/>
                <w:szCs w:val="20"/>
              </w:rPr>
            </w:pPr>
            <w:r w:rsidRPr="00924318">
              <w:rPr>
                <w:rFonts w:cs="Times New Roman"/>
                <w:sz w:val="20"/>
                <w:szCs w:val="20"/>
              </w:rPr>
              <w:t>0.812</w:t>
            </w:r>
          </w:p>
        </w:tc>
      </w:tr>
      <w:tr w:rsidR="000F6463" w:rsidRPr="00924318" w14:paraId="537C3A59" w14:textId="77777777" w:rsidTr="000F6463">
        <w:trPr>
          <w:trHeight w:val="510"/>
        </w:trPr>
        <w:tc>
          <w:tcPr>
            <w:tcW w:w="1359" w:type="dxa"/>
          </w:tcPr>
          <w:p w14:paraId="249CE00F" w14:textId="77777777" w:rsidR="000F6463" w:rsidRPr="00924318" w:rsidRDefault="000F6463" w:rsidP="000F6463">
            <w:pPr>
              <w:jc w:val="center"/>
              <w:rPr>
                <w:rFonts w:cs="Times New Roman"/>
                <w:b/>
                <w:bCs/>
                <w:sz w:val="20"/>
                <w:szCs w:val="20"/>
              </w:rPr>
            </w:pPr>
            <w:r w:rsidRPr="00924318">
              <w:rPr>
                <w:rFonts w:cs="Times New Roman"/>
                <w:sz w:val="20"/>
                <w:szCs w:val="20"/>
              </w:rPr>
              <w:t>CrodaTherm 53</w:t>
            </w:r>
          </w:p>
        </w:tc>
        <w:tc>
          <w:tcPr>
            <w:tcW w:w="1367" w:type="dxa"/>
          </w:tcPr>
          <w:p w14:paraId="314C5746" w14:textId="77777777" w:rsidR="000F6463" w:rsidRPr="00924318" w:rsidRDefault="000F6463" w:rsidP="000F6463">
            <w:pPr>
              <w:jc w:val="center"/>
              <w:rPr>
                <w:rFonts w:cs="Times New Roman"/>
                <w:sz w:val="20"/>
                <w:szCs w:val="20"/>
              </w:rPr>
            </w:pPr>
            <w:r w:rsidRPr="00924318">
              <w:rPr>
                <w:rFonts w:cs="Times New Roman"/>
                <w:sz w:val="20"/>
                <w:szCs w:val="20"/>
              </w:rPr>
              <w:t>52</w:t>
            </w:r>
          </w:p>
        </w:tc>
        <w:tc>
          <w:tcPr>
            <w:tcW w:w="1522" w:type="dxa"/>
          </w:tcPr>
          <w:p w14:paraId="58BCD844" w14:textId="77777777" w:rsidR="000F6463" w:rsidRPr="00924318" w:rsidRDefault="000F6463" w:rsidP="000F6463">
            <w:pPr>
              <w:jc w:val="center"/>
              <w:rPr>
                <w:rFonts w:cs="Times New Roman"/>
                <w:sz w:val="20"/>
                <w:szCs w:val="20"/>
              </w:rPr>
            </w:pPr>
            <w:r w:rsidRPr="00924318">
              <w:rPr>
                <w:rFonts w:cs="Times New Roman"/>
                <w:sz w:val="20"/>
                <w:szCs w:val="20"/>
              </w:rPr>
              <w:t>52</w:t>
            </w:r>
          </w:p>
        </w:tc>
        <w:tc>
          <w:tcPr>
            <w:tcW w:w="1208" w:type="dxa"/>
          </w:tcPr>
          <w:p w14:paraId="5FC19F9D" w14:textId="77777777" w:rsidR="000F6463" w:rsidRPr="00924318" w:rsidRDefault="000F6463" w:rsidP="000F6463">
            <w:pPr>
              <w:jc w:val="center"/>
              <w:rPr>
                <w:rFonts w:cs="Times New Roman"/>
                <w:sz w:val="20"/>
                <w:szCs w:val="20"/>
              </w:rPr>
            </w:pPr>
            <w:r w:rsidRPr="00924318">
              <w:rPr>
                <w:rFonts w:cs="Times New Roman"/>
                <w:sz w:val="20"/>
                <w:szCs w:val="20"/>
              </w:rPr>
              <w:t>220</w:t>
            </w:r>
          </w:p>
        </w:tc>
        <w:tc>
          <w:tcPr>
            <w:tcW w:w="1655" w:type="dxa"/>
          </w:tcPr>
          <w:p w14:paraId="22152DFE" w14:textId="77777777" w:rsidR="000F6463" w:rsidRPr="00924318" w:rsidRDefault="000F6463" w:rsidP="000F6463">
            <w:pPr>
              <w:jc w:val="center"/>
              <w:rPr>
                <w:rFonts w:cs="Times New Roman"/>
                <w:sz w:val="20"/>
                <w:szCs w:val="20"/>
              </w:rPr>
            </w:pPr>
            <w:r w:rsidRPr="00924318">
              <w:rPr>
                <w:rFonts w:cs="Times New Roman"/>
                <w:sz w:val="20"/>
                <w:szCs w:val="20"/>
              </w:rPr>
              <w:t>221</w:t>
            </w:r>
          </w:p>
        </w:tc>
        <w:tc>
          <w:tcPr>
            <w:tcW w:w="1106" w:type="dxa"/>
          </w:tcPr>
          <w:p w14:paraId="21922897" w14:textId="77777777" w:rsidR="000F6463" w:rsidRPr="00924318" w:rsidRDefault="000F6463" w:rsidP="000F6463">
            <w:pPr>
              <w:jc w:val="center"/>
              <w:rPr>
                <w:rFonts w:cs="Times New Roman"/>
                <w:sz w:val="20"/>
                <w:szCs w:val="20"/>
              </w:rPr>
            </w:pPr>
            <w:r w:rsidRPr="00924318">
              <w:rPr>
                <w:rFonts w:cs="Times New Roman"/>
                <w:sz w:val="20"/>
                <w:szCs w:val="20"/>
              </w:rPr>
              <w:t>250</w:t>
            </w:r>
          </w:p>
        </w:tc>
        <w:tc>
          <w:tcPr>
            <w:tcW w:w="709" w:type="dxa"/>
          </w:tcPr>
          <w:p w14:paraId="7F2BEEFC" w14:textId="77777777" w:rsidR="000F6463" w:rsidRPr="00924318" w:rsidRDefault="000F6463" w:rsidP="000F6463">
            <w:pPr>
              <w:jc w:val="center"/>
              <w:rPr>
                <w:rFonts w:cs="Times New Roman"/>
                <w:sz w:val="20"/>
                <w:szCs w:val="20"/>
              </w:rPr>
            </w:pPr>
            <w:r w:rsidRPr="00924318">
              <w:rPr>
                <w:rFonts w:cs="Times New Roman"/>
                <w:sz w:val="20"/>
                <w:szCs w:val="20"/>
              </w:rPr>
              <w:t>0.829</w:t>
            </w:r>
          </w:p>
        </w:tc>
      </w:tr>
      <w:tr w:rsidR="000F6463" w:rsidRPr="00924318" w14:paraId="219BF17B" w14:textId="77777777" w:rsidTr="000F6463">
        <w:trPr>
          <w:trHeight w:val="510"/>
        </w:trPr>
        <w:tc>
          <w:tcPr>
            <w:tcW w:w="1359" w:type="dxa"/>
          </w:tcPr>
          <w:p w14:paraId="5FD74B76" w14:textId="77777777" w:rsidR="000F6463" w:rsidRPr="00924318" w:rsidRDefault="000F6463" w:rsidP="000F6463">
            <w:pPr>
              <w:jc w:val="center"/>
              <w:rPr>
                <w:rFonts w:cs="Times New Roman"/>
                <w:b/>
                <w:bCs/>
                <w:sz w:val="20"/>
                <w:szCs w:val="20"/>
              </w:rPr>
            </w:pPr>
            <w:r w:rsidRPr="00924318">
              <w:rPr>
                <w:rFonts w:cs="Times New Roman"/>
                <w:sz w:val="20"/>
                <w:szCs w:val="20"/>
              </w:rPr>
              <w:t>CrodaTherm 60</w:t>
            </w:r>
          </w:p>
        </w:tc>
        <w:tc>
          <w:tcPr>
            <w:tcW w:w="1367" w:type="dxa"/>
          </w:tcPr>
          <w:p w14:paraId="6176D39E" w14:textId="77777777" w:rsidR="000F6463" w:rsidRPr="00924318" w:rsidRDefault="000F6463" w:rsidP="000F6463">
            <w:pPr>
              <w:jc w:val="center"/>
              <w:rPr>
                <w:rFonts w:cs="Times New Roman"/>
                <w:sz w:val="20"/>
                <w:szCs w:val="20"/>
              </w:rPr>
            </w:pPr>
            <w:r w:rsidRPr="00924318">
              <w:rPr>
                <w:rFonts w:cs="Times New Roman"/>
                <w:sz w:val="20"/>
                <w:szCs w:val="20"/>
              </w:rPr>
              <w:t>60</w:t>
            </w:r>
          </w:p>
        </w:tc>
        <w:tc>
          <w:tcPr>
            <w:tcW w:w="1522" w:type="dxa"/>
          </w:tcPr>
          <w:p w14:paraId="26A147DD" w14:textId="77777777" w:rsidR="000F6463" w:rsidRPr="00924318" w:rsidRDefault="000F6463" w:rsidP="000F6463">
            <w:pPr>
              <w:jc w:val="center"/>
              <w:rPr>
                <w:rFonts w:cs="Times New Roman"/>
                <w:sz w:val="20"/>
                <w:szCs w:val="20"/>
              </w:rPr>
            </w:pPr>
            <w:r w:rsidRPr="00924318">
              <w:rPr>
                <w:rFonts w:cs="Times New Roman"/>
                <w:sz w:val="20"/>
                <w:szCs w:val="20"/>
              </w:rPr>
              <w:t>60</w:t>
            </w:r>
          </w:p>
        </w:tc>
        <w:tc>
          <w:tcPr>
            <w:tcW w:w="1208" w:type="dxa"/>
          </w:tcPr>
          <w:p w14:paraId="144EBF9B" w14:textId="77777777" w:rsidR="000F6463" w:rsidRPr="00924318" w:rsidRDefault="000F6463" w:rsidP="000F6463">
            <w:pPr>
              <w:jc w:val="center"/>
              <w:rPr>
                <w:rFonts w:cs="Times New Roman"/>
                <w:sz w:val="20"/>
                <w:szCs w:val="20"/>
              </w:rPr>
            </w:pPr>
            <w:r w:rsidRPr="00924318">
              <w:rPr>
                <w:rFonts w:cs="Times New Roman"/>
                <w:sz w:val="20"/>
                <w:szCs w:val="20"/>
              </w:rPr>
              <w:t>215</w:t>
            </w:r>
          </w:p>
        </w:tc>
        <w:tc>
          <w:tcPr>
            <w:tcW w:w="1655" w:type="dxa"/>
          </w:tcPr>
          <w:p w14:paraId="2C195A60" w14:textId="77777777" w:rsidR="000F6463" w:rsidRPr="00924318" w:rsidRDefault="000F6463" w:rsidP="000F6463">
            <w:pPr>
              <w:jc w:val="center"/>
              <w:rPr>
                <w:rFonts w:cs="Times New Roman"/>
                <w:sz w:val="20"/>
                <w:szCs w:val="20"/>
              </w:rPr>
            </w:pPr>
            <w:r w:rsidRPr="00924318">
              <w:rPr>
                <w:rFonts w:cs="Times New Roman"/>
                <w:sz w:val="20"/>
                <w:szCs w:val="20"/>
              </w:rPr>
              <w:t>219</w:t>
            </w:r>
          </w:p>
        </w:tc>
        <w:tc>
          <w:tcPr>
            <w:tcW w:w="1106" w:type="dxa"/>
          </w:tcPr>
          <w:p w14:paraId="63ACF023" w14:textId="77777777" w:rsidR="000F6463" w:rsidRPr="00924318" w:rsidRDefault="000F6463" w:rsidP="000F6463">
            <w:pPr>
              <w:jc w:val="center"/>
              <w:rPr>
                <w:rFonts w:cs="Times New Roman"/>
                <w:sz w:val="20"/>
                <w:szCs w:val="20"/>
              </w:rPr>
            </w:pPr>
            <w:r w:rsidRPr="00924318">
              <w:rPr>
                <w:rFonts w:cs="Times New Roman"/>
                <w:sz w:val="20"/>
                <w:szCs w:val="20"/>
              </w:rPr>
              <w:t>272</w:t>
            </w:r>
          </w:p>
        </w:tc>
        <w:tc>
          <w:tcPr>
            <w:tcW w:w="709" w:type="dxa"/>
          </w:tcPr>
          <w:p w14:paraId="7C8551B1" w14:textId="77777777" w:rsidR="000F6463" w:rsidRPr="00924318" w:rsidRDefault="000F6463" w:rsidP="000F6463">
            <w:pPr>
              <w:jc w:val="center"/>
              <w:rPr>
                <w:rFonts w:cs="Times New Roman"/>
                <w:sz w:val="20"/>
                <w:szCs w:val="20"/>
              </w:rPr>
            </w:pPr>
            <w:r w:rsidRPr="00924318">
              <w:rPr>
                <w:rFonts w:cs="Times New Roman"/>
                <w:sz w:val="20"/>
                <w:szCs w:val="20"/>
              </w:rPr>
              <w:t>0.824</w:t>
            </w:r>
          </w:p>
        </w:tc>
      </w:tr>
      <w:tr w:rsidR="000F6463" w:rsidRPr="00924318" w14:paraId="7310C123" w14:textId="77777777" w:rsidTr="000F6463">
        <w:trPr>
          <w:trHeight w:val="510"/>
        </w:trPr>
        <w:tc>
          <w:tcPr>
            <w:tcW w:w="1359" w:type="dxa"/>
          </w:tcPr>
          <w:p w14:paraId="768BD106" w14:textId="77777777" w:rsidR="000F6463" w:rsidRPr="00924318" w:rsidRDefault="000F6463" w:rsidP="000F6463">
            <w:pPr>
              <w:jc w:val="center"/>
              <w:rPr>
                <w:rFonts w:cs="Times New Roman"/>
                <w:b/>
                <w:bCs/>
                <w:sz w:val="20"/>
                <w:szCs w:val="20"/>
              </w:rPr>
            </w:pPr>
            <w:r w:rsidRPr="00924318">
              <w:rPr>
                <w:rFonts w:cs="Times New Roman"/>
                <w:sz w:val="20"/>
                <w:szCs w:val="20"/>
              </w:rPr>
              <w:t>CrodaTherm 74</w:t>
            </w:r>
          </w:p>
        </w:tc>
        <w:tc>
          <w:tcPr>
            <w:tcW w:w="1367" w:type="dxa"/>
          </w:tcPr>
          <w:p w14:paraId="6CDECF1C" w14:textId="77777777" w:rsidR="000F6463" w:rsidRPr="00924318" w:rsidRDefault="000F6463" w:rsidP="000F6463">
            <w:pPr>
              <w:jc w:val="center"/>
              <w:rPr>
                <w:rFonts w:cs="Times New Roman"/>
                <w:sz w:val="20"/>
                <w:szCs w:val="20"/>
              </w:rPr>
            </w:pPr>
            <w:r w:rsidRPr="00924318">
              <w:rPr>
                <w:rFonts w:cs="Times New Roman"/>
                <w:sz w:val="20"/>
                <w:szCs w:val="20"/>
              </w:rPr>
              <w:t>75</w:t>
            </w:r>
          </w:p>
        </w:tc>
        <w:tc>
          <w:tcPr>
            <w:tcW w:w="1522" w:type="dxa"/>
          </w:tcPr>
          <w:p w14:paraId="3ABC4FCC" w14:textId="77777777" w:rsidR="000F6463" w:rsidRPr="00924318" w:rsidRDefault="000F6463" w:rsidP="000F6463">
            <w:pPr>
              <w:jc w:val="center"/>
              <w:rPr>
                <w:rFonts w:cs="Times New Roman"/>
                <w:sz w:val="20"/>
                <w:szCs w:val="20"/>
              </w:rPr>
            </w:pPr>
            <w:r w:rsidRPr="00924318">
              <w:rPr>
                <w:rFonts w:cs="Times New Roman"/>
                <w:sz w:val="20"/>
                <w:szCs w:val="20"/>
              </w:rPr>
              <w:t>71</w:t>
            </w:r>
          </w:p>
        </w:tc>
        <w:tc>
          <w:tcPr>
            <w:tcW w:w="1208" w:type="dxa"/>
          </w:tcPr>
          <w:p w14:paraId="654E0ADE" w14:textId="77777777" w:rsidR="000F6463" w:rsidRPr="00924318" w:rsidRDefault="000F6463" w:rsidP="000F6463">
            <w:pPr>
              <w:jc w:val="center"/>
              <w:rPr>
                <w:rFonts w:cs="Times New Roman"/>
                <w:sz w:val="20"/>
                <w:szCs w:val="20"/>
              </w:rPr>
            </w:pPr>
            <w:r w:rsidRPr="00924318">
              <w:rPr>
                <w:rFonts w:cs="Times New Roman"/>
                <w:sz w:val="20"/>
                <w:szCs w:val="20"/>
              </w:rPr>
              <w:t>226</w:t>
            </w:r>
          </w:p>
        </w:tc>
        <w:tc>
          <w:tcPr>
            <w:tcW w:w="1655" w:type="dxa"/>
          </w:tcPr>
          <w:p w14:paraId="7E03C49B" w14:textId="77777777" w:rsidR="000F6463" w:rsidRPr="00924318" w:rsidRDefault="000F6463" w:rsidP="000F6463">
            <w:pPr>
              <w:jc w:val="center"/>
              <w:rPr>
                <w:rFonts w:cs="Times New Roman"/>
                <w:sz w:val="20"/>
                <w:szCs w:val="20"/>
              </w:rPr>
            </w:pPr>
            <w:r w:rsidRPr="00924318">
              <w:rPr>
                <w:rFonts w:cs="Times New Roman"/>
                <w:sz w:val="20"/>
                <w:szCs w:val="20"/>
              </w:rPr>
              <w:t>224</w:t>
            </w:r>
          </w:p>
        </w:tc>
        <w:tc>
          <w:tcPr>
            <w:tcW w:w="1106" w:type="dxa"/>
          </w:tcPr>
          <w:p w14:paraId="719A65F7" w14:textId="77777777" w:rsidR="000F6463" w:rsidRPr="00924318" w:rsidRDefault="000F6463" w:rsidP="000F6463">
            <w:pPr>
              <w:jc w:val="center"/>
              <w:rPr>
                <w:rFonts w:cs="Times New Roman"/>
                <w:sz w:val="20"/>
                <w:szCs w:val="20"/>
              </w:rPr>
            </w:pPr>
            <w:r w:rsidRPr="00924318">
              <w:rPr>
                <w:rFonts w:cs="Times New Roman"/>
                <w:sz w:val="20"/>
                <w:szCs w:val="20"/>
              </w:rPr>
              <w:t>288</w:t>
            </w:r>
          </w:p>
        </w:tc>
        <w:tc>
          <w:tcPr>
            <w:tcW w:w="709" w:type="dxa"/>
          </w:tcPr>
          <w:p w14:paraId="4B46B814" w14:textId="77777777" w:rsidR="000F6463" w:rsidRPr="00924318" w:rsidRDefault="000F6463" w:rsidP="000F6463">
            <w:pPr>
              <w:jc w:val="center"/>
              <w:rPr>
                <w:rFonts w:cs="Times New Roman"/>
                <w:sz w:val="20"/>
                <w:szCs w:val="20"/>
              </w:rPr>
            </w:pPr>
            <w:r w:rsidRPr="00924318">
              <w:rPr>
                <w:rFonts w:cs="Times New Roman"/>
                <w:sz w:val="20"/>
                <w:szCs w:val="20"/>
              </w:rPr>
              <w:t>0.858</w:t>
            </w:r>
          </w:p>
        </w:tc>
      </w:tr>
      <w:tr w:rsidR="000F6463" w:rsidRPr="00924318" w14:paraId="16040725" w14:textId="77777777" w:rsidTr="000F6463">
        <w:trPr>
          <w:trHeight w:val="510"/>
        </w:trPr>
        <w:tc>
          <w:tcPr>
            <w:tcW w:w="1359" w:type="dxa"/>
          </w:tcPr>
          <w:p w14:paraId="64CE4ECE" w14:textId="77777777" w:rsidR="000F6463" w:rsidRPr="00924318" w:rsidRDefault="000F6463" w:rsidP="000F6463">
            <w:pPr>
              <w:jc w:val="center"/>
              <w:rPr>
                <w:rFonts w:cs="Times New Roman"/>
                <w:sz w:val="20"/>
                <w:szCs w:val="20"/>
              </w:rPr>
            </w:pPr>
            <w:r w:rsidRPr="00924318">
              <w:rPr>
                <w:rFonts w:cs="Times New Roman"/>
                <w:sz w:val="20"/>
                <w:szCs w:val="20"/>
              </w:rPr>
              <w:t>RANGE</w:t>
            </w:r>
          </w:p>
        </w:tc>
        <w:tc>
          <w:tcPr>
            <w:tcW w:w="1367" w:type="dxa"/>
          </w:tcPr>
          <w:p w14:paraId="59B20EAC" w14:textId="77777777" w:rsidR="000F6463" w:rsidRPr="00924318" w:rsidRDefault="000F6463" w:rsidP="000F6463">
            <w:pPr>
              <w:jc w:val="center"/>
              <w:rPr>
                <w:rFonts w:cs="Times New Roman"/>
                <w:b/>
                <w:bCs/>
                <w:sz w:val="20"/>
                <w:szCs w:val="20"/>
              </w:rPr>
            </w:pPr>
            <w:r w:rsidRPr="00924318">
              <w:rPr>
                <w:rFonts w:cs="Times New Roman"/>
                <w:b/>
                <w:bCs/>
                <w:sz w:val="20"/>
                <w:szCs w:val="20"/>
              </w:rPr>
              <w:t>5-57</w:t>
            </w:r>
          </w:p>
        </w:tc>
        <w:tc>
          <w:tcPr>
            <w:tcW w:w="1522" w:type="dxa"/>
          </w:tcPr>
          <w:p w14:paraId="1EE9D486" w14:textId="77777777" w:rsidR="000F6463" w:rsidRPr="00924318" w:rsidRDefault="000F6463" w:rsidP="000F6463">
            <w:pPr>
              <w:jc w:val="center"/>
              <w:rPr>
                <w:rFonts w:cs="Times New Roman"/>
                <w:b/>
                <w:bCs/>
                <w:sz w:val="20"/>
                <w:szCs w:val="20"/>
              </w:rPr>
            </w:pPr>
            <w:r w:rsidRPr="00924318">
              <w:rPr>
                <w:rFonts w:cs="Times New Roman"/>
                <w:b/>
                <w:bCs/>
                <w:sz w:val="20"/>
                <w:szCs w:val="20"/>
              </w:rPr>
              <w:t>4-71</w:t>
            </w:r>
          </w:p>
        </w:tc>
        <w:tc>
          <w:tcPr>
            <w:tcW w:w="1208" w:type="dxa"/>
          </w:tcPr>
          <w:p w14:paraId="0B8ACBB6" w14:textId="77777777" w:rsidR="000F6463" w:rsidRPr="00924318" w:rsidRDefault="000F6463" w:rsidP="000F6463">
            <w:pPr>
              <w:jc w:val="center"/>
              <w:rPr>
                <w:rFonts w:cs="Times New Roman"/>
                <w:b/>
                <w:bCs/>
                <w:sz w:val="20"/>
                <w:szCs w:val="20"/>
              </w:rPr>
            </w:pPr>
            <w:r w:rsidRPr="00924318">
              <w:rPr>
                <w:rFonts w:cs="Times New Roman"/>
                <w:b/>
                <w:bCs/>
                <w:sz w:val="20"/>
                <w:szCs w:val="20"/>
              </w:rPr>
              <w:t>205-226</w:t>
            </w:r>
          </w:p>
        </w:tc>
        <w:tc>
          <w:tcPr>
            <w:tcW w:w="1655" w:type="dxa"/>
          </w:tcPr>
          <w:p w14:paraId="66B5ACFA" w14:textId="77777777" w:rsidR="000F6463" w:rsidRPr="00924318" w:rsidRDefault="000F6463" w:rsidP="000F6463">
            <w:pPr>
              <w:jc w:val="center"/>
              <w:rPr>
                <w:rFonts w:cs="Times New Roman"/>
                <w:b/>
                <w:bCs/>
                <w:sz w:val="20"/>
                <w:szCs w:val="20"/>
              </w:rPr>
            </w:pPr>
            <w:r w:rsidRPr="00924318">
              <w:rPr>
                <w:rFonts w:cs="Times New Roman"/>
                <w:b/>
                <w:bCs/>
                <w:sz w:val="20"/>
                <w:szCs w:val="20"/>
              </w:rPr>
              <w:t>208-224</w:t>
            </w:r>
          </w:p>
        </w:tc>
        <w:tc>
          <w:tcPr>
            <w:tcW w:w="1106" w:type="dxa"/>
          </w:tcPr>
          <w:p w14:paraId="62B9E4EF" w14:textId="77777777" w:rsidR="000F6463" w:rsidRPr="00924318" w:rsidRDefault="000F6463" w:rsidP="000F6463">
            <w:pPr>
              <w:jc w:val="center"/>
              <w:rPr>
                <w:rFonts w:cs="Times New Roman"/>
                <w:b/>
                <w:bCs/>
                <w:sz w:val="20"/>
                <w:szCs w:val="20"/>
              </w:rPr>
            </w:pPr>
            <w:r w:rsidRPr="00924318">
              <w:rPr>
                <w:rFonts w:cs="Times New Roman"/>
                <w:b/>
                <w:bCs/>
                <w:sz w:val="20"/>
                <w:szCs w:val="20"/>
              </w:rPr>
              <w:t>191-288</w:t>
            </w:r>
          </w:p>
        </w:tc>
        <w:tc>
          <w:tcPr>
            <w:tcW w:w="709" w:type="dxa"/>
          </w:tcPr>
          <w:p w14:paraId="1090972B" w14:textId="77777777" w:rsidR="000F6463" w:rsidRPr="00924318" w:rsidRDefault="000F6463" w:rsidP="00572D94">
            <w:pPr>
              <w:keepNext/>
              <w:jc w:val="center"/>
              <w:rPr>
                <w:rFonts w:cs="Times New Roman"/>
                <w:b/>
                <w:bCs/>
                <w:sz w:val="20"/>
                <w:szCs w:val="20"/>
              </w:rPr>
            </w:pPr>
            <w:r w:rsidRPr="00924318">
              <w:rPr>
                <w:rFonts w:cs="Times New Roman"/>
                <w:b/>
                <w:bCs/>
                <w:sz w:val="20"/>
                <w:szCs w:val="20"/>
              </w:rPr>
              <w:t>0.812-0.896</w:t>
            </w:r>
          </w:p>
        </w:tc>
      </w:tr>
    </w:tbl>
    <w:p w14:paraId="116C5401" w14:textId="6BB8410C" w:rsidR="001C18D7" w:rsidRDefault="001C18D7" w:rsidP="001C18D7">
      <w:pPr>
        <w:pStyle w:val="Caption"/>
      </w:pPr>
      <w:bookmarkStart w:id="66" w:name="_Toc214362619"/>
      <w:r>
        <w:t xml:space="preserve">Table </w:t>
      </w:r>
      <w:r w:rsidR="00F43E9A">
        <w:fldChar w:fldCharType="begin"/>
      </w:r>
      <w:r w:rsidR="00F43E9A">
        <w:instrText xml:space="preserve"> STYLEREF 1 \s </w:instrText>
      </w:r>
      <w:r w:rsidR="00F43E9A">
        <w:fldChar w:fldCharType="separate"/>
      </w:r>
      <w:r w:rsidR="000412CE">
        <w:rPr>
          <w:noProof/>
        </w:rPr>
        <w:t>1</w:t>
      </w:r>
      <w:r w:rsidR="00F43E9A">
        <w:fldChar w:fldCharType="end"/>
      </w:r>
      <w:r w:rsidR="00F43E9A">
        <w:t>.</w:t>
      </w:r>
      <w:r w:rsidR="00F43E9A">
        <w:fldChar w:fldCharType="begin"/>
      </w:r>
      <w:r w:rsidR="00F43E9A">
        <w:instrText xml:space="preserve"> SEQ Table \* ARABIC \s 1 </w:instrText>
      </w:r>
      <w:r w:rsidR="00F43E9A">
        <w:fldChar w:fldCharType="separate"/>
      </w:r>
      <w:r w:rsidR="000412CE">
        <w:rPr>
          <w:noProof/>
        </w:rPr>
        <w:t>14</w:t>
      </w:r>
      <w:r w:rsidR="00F43E9A">
        <w:fldChar w:fldCharType="end"/>
      </w:r>
      <w:r w:rsidR="00DE026D">
        <w:t>.</w:t>
      </w:r>
      <w:r>
        <w:t xml:space="preserve"> </w:t>
      </w:r>
      <w:r w:rsidRPr="004A65AD">
        <w:t>CrodaTherm PCM Wax product line: melting and crystallization temperatures, heat capacities (melting/crystallization), flash point, and density, with range summaries.</w:t>
      </w:r>
      <w:bookmarkEnd w:id="66"/>
    </w:p>
    <w:p w14:paraId="5AF53726" w14:textId="4318AA1B" w:rsidR="000F6463" w:rsidRPr="00572D94" w:rsidRDefault="000F6463" w:rsidP="00572D94">
      <w:pPr>
        <w:rPr>
          <w:rFonts w:cs="Times New Roman"/>
          <w:lang w:val="en-US"/>
        </w:rPr>
      </w:pPr>
      <w:r w:rsidRPr="00572D94">
        <w:rPr>
          <w:rFonts w:cs="Times New Roman"/>
          <w:i/>
          <w:iCs/>
          <w:lang w:val="en-US"/>
        </w:rPr>
        <w:lastRenderedPageBreak/>
        <w:t>CrodaTherm Microencapsulated PCM</w:t>
      </w:r>
      <w:r w:rsidRPr="00572D94">
        <w:rPr>
          <w:rFonts w:cs="Times New Roman"/>
          <w:lang w:val="en-US"/>
        </w:rPr>
        <w:t xml:space="preserve">. CrodaTherm™ Microencapsulated PCM consists of PCM wax enclosed within a thin polymer shell, which enables its use in applications where traditional macroencapsulation is not feasible, such as in textiles or coatings. This technology allows the final material to remain solid, even when the PCM inside the microcapsules becomes liquid during the phase transition. Crodasupplies these microencapsulated PCMs in both powder and dispersion forms, offering flexibility for integration into various products and manufacturing processes. Table </w:t>
      </w:r>
      <w:r w:rsidR="00572D94" w:rsidRPr="00572D94">
        <w:rPr>
          <w:rFonts w:cs="Times New Roman"/>
          <w:lang w:val="en-US"/>
        </w:rPr>
        <w:t>1.</w:t>
      </w:r>
      <w:r w:rsidRPr="00572D94">
        <w:rPr>
          <w:rFonts w:cs="Times New Roman"/>
          <w:lang w:val="en-US"/>
        </w:rPr>
        <w:t>15 presents CrodaTherm™ microencapsulated PCMs, summarizing form (powder/dispersion), shell type, particle size (d90), melting/crystallization temperatures, and latent heat.</w:t>
      </w:r>
    </w:p>
    <w:tbl>
      <w:tblPr>
        <w:tblStyle w:val="TableGrid"/>
        <w:tblW w:w="0" w:type="auto"/>
        <w:tblLook w:val="04A0" w:firstRow="1" w:lastRow="0" w:firstColumn="1" w:lastColumn="0" w:noHBand="0" w:noVBand="1"/>
      </w:tblPr>
      <w:tblGrid>
        <w:gridCol w:w="1360"/>
        <w:gridCol w:w="1275"/>
        <w:gridCol w:w="1163"/>
        <w:gridCol w:w="1104"/>
        <w:gridCol w:w="1394"/>
        <w:gridCol w:w="1572"/>
        <w:gridCol w:w="1192"/>
      </w:tblGrid>
      <w:tr w:rsidR="00572D94" w:rsidRPr="00AF6EF9" w14:paraId="14180CD2" w14:textId="77777777" w:rsidTr="00572D94">
        <w:tc>
          <w:tcPr>
            <w:tcW w:w="1294" w:type="dxa"/>
            <w:shd w:val="clear" w:color="auto" w:fill="8EA5B6"/>
            <w:vAlign w:val="center"/>
          </w:tcPr>
          <w:p w14:paraId="2901A392" w14:textId="22EEFC59" w:rsidR="00572D94" w:rsidRPr="00572D94" w:rsidRDefault="00572D94" w:rsidP="00572D94">
            <w:pPr>
              <w:jc w:val="center"/>
              <w:rPr>
                <w:rFonts w:cs="Times New Roman"/>
                <w:b/>
                <w:bCs/>
                <w:sz w:val="20"/>
                <w:szCs w:val="20"/>
                <w:lang w:val="en-US"/>
              </w:rPr>
            </w:pPr>
            <w:r w:rsidRPr="00572D94">
              <w:rPr>
                <w:rFonts w:cs="Times New Roman"/>
                <w:b/>
                <w:bCs/>
                <w:sz w:val="20"/>
                <w:szCs w:val="20"/>
              </w:rPr>
              <w:t>Product</w:t>
            </w:r>
          </w:p>
        </w:tc>
        <w:tc>
          <w:tcPr>
            <w:tcW w:w="1294" w:type="dxa"/>
            <w:shd w:val="clear" w:color="auto" w:fill="8EA5B6"/>
            <w:vAlign w:val="center"/>
          </w:tcPr>
          <w:p w14:paraId="3EECDD46" w14:textId="1D24AF4A" w:rsidR="00572D94" w:rsidRPr="00572D94" w:rsidRDefault="00572D94" w:rsidP="00572D94">
            <w:pPr>
              <w:jc w:val="center"/>
              <w:rPr>
                <w:rFonts w:cs="Times New Roman"/>
                <w:b/>
                <w:bCs/>
                <w:sz w:val="20"/>
                <w:szCs w:val="20"/>
                <w:lang w:val="en-US"/>
              </w:rPr>
            </w:pPr>
            <w:r w:rsidRPr="00572D94">
              <w:rPr>
                <w:rFonts w:cs="Times New Roman"/>
                <w:b/>
                <w:bCs/>
                <w:sz w:val="20"/>
                <w:szCs w:val="20"/>
              </w:rPr>
              <w:t>Form</w:t>
            </w:r>
          </w:p>
        </w:tc>
        <w:tc>
          <w:tcPr>
            <w:tcW w:w="1294" w:type="dxa"/>
            <w:shd w:val="clear" w:color="auto" w:fill="8EA5B6"/>
            <w:vAlign w:val="center"/>
          </w:tcPr>
          <w:p w14:paraId="1FF199FA" w14:textId="23655ABD" w:rsidR="00572D94" w:rsidRPr="00572D94" w:rsidRDefault="00572D94" w:rsidP="00572D94">
            <w:pPr>
              <w:jc w:val="center"/>
              <w:rPr>
                <w:rFonts w:cs="Times New Roman"/>
                <w:b/>
                <w:bCs/>
                <w:sz w:val="20"/>
                <w:szCs w:val="20"/>
                <w:lang w:val="en-US"/>
              </w:rPr>
            </w:pPr>
            <w:r w:rsidRPr="00572D94">
              <w:rPr>
                <w:rFonts w:cs="Times New Roman"/>
                <w:b/>
                <w:bCs/>
                <w:sz w:val="20"/>
                <w:szCs w:val="20"/>
              </w:rPr>
              <w:t>Shell</w:t>
            </w:r>
          </w:p>
        </w:tc>
        <w:tc>
          <w:tcPr>
            <w:tcW w:w="1294" w:type="dxa"/>
            <w:shd w:val="clear" w:color="auto" w:fill="8EA5B6"/>
            <w:vAlign w:val="center"/>
          </w:tcPr>
          <w:p w14:paraId="0256C8A0" w14:textId="77777777" w:rsidR="00572D94" w:rsidRPr="00572D94" w:rsidRDefault="00572D94" w:rsidP="00572D94">
            <w:pPr>
              <w:jc w:val="center"/>
              <w:rPr>
                <w:rFonts w:cs="Times New Roman"/>
                <w:b/>
                <w:bCs/>
                <w:sz w:val="20"/>
                <w:szCs w:val="20"/>
              </w:rPr>
            </w:pPr>
            <w:r w:rsidRPr="00572D94">
              <w:rPr>
                <w:rFonts w:cs="Times New Roman"/>
                <w:b/>
                <w:bCs/>
                <w:sz w:val="20"/>
                <w:szCs w:val="20"/>
              </w:rPr>
              <w:t>Particle Size</w:t>
            </w:r>
          </w:p>
          <w:p w14:paraId="12ACD39B" w14:textId="565B4BEF" w:rsidR="00572D94" w:rsidRPr="00572D94" w:rsidRDefault="00572D94" w:rsidP="00572D94">
            <w:pPr>
              <w:jc w:val="center"/>
              <w:rPr>
                <w:rFonts w:cs="Times New Roman"/>
                <w:b/>
                <w:bCs/>
                <w:sz w:val="20"/>
                <w:szCs w:val="20"/>
                <w:lang w:val="en-US"/>
              </w:rPr>
            </w:pPr>
            <w:r w:rsidRPr="00572D94">
              <w:rPr>
                <w:rFonts w:cs="Times New Roman"/>
                <w:b/>
                <w:bCs/>
                <w:sz w:val="20"/>
                <w:szCs w:val="20"/>
              </w:rPr>
              <w:t>[d90, µm]</w:t>
            </w:r>
          </w:p>
        </w:tc>
        <w:tc>
          <w:tcPr>
            <w:tcW w:w="1294" w:type="dxa"/>
            <w:shd w:val="clear" w:color="auto" w:fill="8EA5B6"/>
            <w:vAlign w:val="center"/>
          </w:tcPr>
          <w:p w14:paraId="0B3E953D" w14:textId="077CF74E" w:rsidR="00572D94" w:rsidRPr="00572D94" w:rsidRDefault="00572D94" w:rsidP="00572D94">
            <w:pPr>
              <w:jc w:val="center"/>
              <w:rPr>
                <w:rFonts w:cs="Times New Roman"/>
                <w:b/>
                <w:bCs/>
                <w:sz w:val="20"/>
                <w:szCs w:val="20"/>
                <w:lang w:val="en-US"/>
              </w:rPr>
            </w:pPr>
            <w:r w:rsidRPr="00572D94">
              <w:rPr>
                <w:rFonts w:cs="Times New Roman"/>
                <w:b/>
                <w:bCs/>
                <w:sz w:val="20"/>
                <w:szCs w:val="20"/>
              </w:rPr>
              <w:t>Melting Temperature [°C]</w:t>
            </w:r>
          </w:p>
        </w:tc>
        <w:tc>
          <w:tcPr>
            <w:tcW w:w="1295" w:type="dxa"/>
            <w:shd w:val="clear" w:color="auto" w:fill="8EA5B6"/>
            <w:vAlign w:val="center"/>
          </w:tcPr>
          <w:p w14:paraId="7AEFF3EA" w14:textId="60282FE5" w:rsidR="00572D94" w:rsidRPr="00572D94" w:rsidRDefault="00572D94" w:rsidP="00572D94">
            <w:pPr>
              <w:jc w:val="center"/>
              <w:rPr>
                <w:rFonts w:cs="Times New Roman"/>
                <w:b/>
                <w:bCs/>
                <w:sz w:val="20"/>
                <w:szCs w:val="20"/>
                <w:lang w:val="en-US"/>
              </w:rPr>
            </w:pPr>
            <w:r w:rsidRPr="00572D94">
              <w:rPr>
                <w:rFonts w:cs="Times New Roman"/>
                <w:b/>
                <w:bCs/>
                <w:sz w:val="20"/>
                <w:szCs w:val="20"/>
              </w:rPr>
              <w:t>Crystallization Temperature [°C]</w:t>
            </w:r>
          </w:p>
        </w:tc>
        <w:tc>
          <w:tcPr>
            <w:tcW w:w="1295" w:type="dxa"/>
            <w:shd w:val="clear" w:color="auto" w:fill="8EA5B6"/>
            <w:vAlign w:val="center"/>
          </w:tcPr>
          <w:p w14:paraId="00C245C1" w14:textId="77777777" w:rsidR="00572D94" w:rsidRPr="00572D94" w:rsidRDefault="00572D94" w:rsidP="00572D94">
            <w:pPr>
              <w:jc w:val="center"/>
              <w:rPr>
                <w:rFonts w:cs="Times New Roman"/>
                <w:b/>
                <w:bCs/>
                <w:sz w:val="20"/>
                <w:szCs w:val="20"/>
                <w:lang w:val="nb-NO"/>
              </w:rPr>
            </w:pPr>
            <w:r w:rsidRPr="00572D94">
              <w:rPr>
                <w:rFonts w:cs="Times New Roman"/>
                <w:b/>
                <w:bCs/>
                <w:sz w:val="20"/>
                <w:szCs w:val="20"/>
                <w:lang w:val="nb-NO"/>
              </w:rPr>
              <w:t>Latent Heat (Melting) [J/g]</w:t>
            </w:r>
          </w:p>
          <w:p w14:paraId="626D3F08" w14:textId="77777777" w:rsidR="00572D94" w:rsidRPr="00572D94" w:rsidRDefault="00572D94" w:rsidP="00572D94">
            <w:pPr>
              <w:jc w:val="center"/>
              <w:rPr>
                <w:rFonts w:cs="Times New Roman"/>
                <w:b/>
                <w:bCs/>
                <w:sz w:val="20"/>
                <w:szCs w:val="20"/>
                <w:lang w:val="en-US"/>
              </w:rPr>
            </w:pPr>
          </w:p>
        </w:tc>
      </w:tr>
      <w:tr w:rsidR="00572D94" w:rsidRPr="00572D94" w14:paraId="6141A9E6" w14:textId="77777777" w:rsidTr="00572D94">
        <w:tc>
          <w:tcPr>
            <w:tcW w:w="1294" w:type="dxa"/>
            <w:vAlign w:val="center"/>
          </w:tcPr>
          <w:p w14:paraId="79B091E0" w14:textId="4553ABE9" w:rsidR="00572D94" w:rsidRPr="00572D94" w:rsidRDefault="00572D94" w:rsidP="00572D94">
            <w:pPr>
              <w:jc w:val="center"/>
              <w:rPr>
                <w:rFonts w:cs="Times New Roman"/>
                <w:sz w:val="20"/>
                <w:szCs w:val="20"/>
                <w:lang w:val="en-US"/>
              </w:rPr>
            </w:pPr>
            <w:r w:rsidRPr="00572D94">
              <w:rPr>
                <w:rFonts w:cs="Times New Roman"/>
                <w:sz w:val="20"/>
                <w:szCs w:val="20"/>
              </w:rPr>
              <w:t>CrodaTherm ME 24XD</w:t>
            </w:r>
          </w:p>
        </w:tc>
        <w:tc>
          <w:tcPr>
            <w:tcW w:w="1294" w:type="dxa"/>
            <w:vAlign w:val="center"/>
          </w:tcPr>
          <w:p w14:paraId="05D94A6B" w14:textId="37FA9D42" w:rsidR="00572D94" w:rsidRPr="00572D94" w:rsidRDefault="00572D94" w:rsidP="00572D94">
            <w:pPr>
              <w:jc w:val="center"/>
              <w:rPr>
                <w:rFonts w:cs="Times New Roman"/>
                <w:sz w:val="20"/>
                <w:szCs w:val="20"/>
                <w:lang w:val="en-US"/>
              </w:rPr>
            </w:pPr>
            <w:r w:rsidRPr="00572D94">
              <w:rPr>
                <w:rFonts w:cs="Times New Roman"/>
                <w:sz w:val="20"/>
                <w:szCs w:val="20"/>
              </w:rPr>
              <w:t>Dispersion*</w:t>
            </w:r>
          </w:p>
        </w:tc>
        <w:tc>
          <w:tcPr>
            <w:tcW w:w="1294" w:type="dxa"/>
            <w:vAlign w:val="center"/>
          </w:tcPr>
          <w:p w14:paraId="7C08B113" w14:textId="246FC3E6" w:rsidR="00572D94" w:rsidRPr="00572D94" w:rsidRDefault="00572D94" w:rsidP="00572D94">
            <w:pPr>
              <w:jc w:val="center"/>
              <w:rPr>
                <w:rFonts w:cs="Times New Roman"/>
                <w:sz w:val="20"/>
                <w:szCs w:val="20"/>
                <w:lang w:val="en-US"/>
              </w:rPr>
            </w:pPr>
            <w:r w:rsidRPr="00572D94">
              <w:rPr>
                <w:rFonts w:cs="Times New Roman"/>
                <w:sz w:val="20"/>
                <w:szCs w:val="20"/>
              </w:rPr>
              <w:t>Thicker</w:t>
            </w:r>
          </w:p>
        </w:tc>
        <w:tc>
          <w:tcPr>
            <w:tcW w:w="1294" w:type="dxa"/>
            <w:vAlign w:val="center"/>
          </w:tcPr>
          <w:p w14:paraId="747E2DAB" w14:textId="6EBB021A" w:rsidR="00572D94" w:rsidRPr="00572D94" w:rsidRDefault="00572D94" w:rsidP="00572D94">
            <w:pPr>
              <w:jc w:val="center"/>
              <w:rPr>
                <w:rFonts w:cs="Times New Roman"/>
                <w:sz w:val="20"/>
                <w:szCs w:val="20"/>
                <w:lang w:val="en-US"/>
              </w:rPr>
            </w:pPr>
            <w:r w:rsidRPr="00572D94">
              <w:rPr>
                <w:rFonts w:cs="Times New Roman"/>
                <w:sz w:val="20"/>
                <w:szCs w:val="20"/>
              </w:rPr>
              <w:t>10</w:t>
            </w:r>
          </w:p>
        </w:tc>
        <w:tc>
          <w:tcPr>
            <w:tcW w:w="1294" w:type="dxa"/>
            <w:vAlign w:val="center"/>
          </w:tcPr>
          <w:p w14:paraId="27AAFE6C" w14:textId="174C9E74" w:rsidR="00572D94" w:rsidRPr="00572D94" w:rsidRDefault="00572D94" w:rsidP="00572D94">
            <w:pPr>
              <w:jc w:val="center"/>
              <w:rPr>
                <w:rFonts w:cs="Times New Roman"/>
                <w:sz w:val="20"/>
                <w:szCs w:val="20"/>
                <w:lang w:val="en-US"/>
              </w:rPr>
            </w:pPr>
            <w:r w:rsidRPr="00572D94">
              <w:rPr>
                <w:rFonts w:cs="Times New Roman"/>
                <w:sz w:val="20"/>
                <w:szCs w:val="20"/>
              </w:rPr>
              <w:t>24</w:t>
            </w:r>
          </w:p>
        </w:tc>
        <w:tc>
          <w:tcPr>
            <w:tcW w:w="1295" w:type="dxa"/>
            <w:vAlign w:val="center"/>
          </w:tcPr>
          <w:p w14:paraId="65EF2E1A" w14:textId="7167771E" w:rsidR="00572D94" w:rsidRPr="00572D94" w:rsidRDefault="00572D94" w:rsidP="00572D94">
            <w:pPr>
              <w:jc w:val="center"/>
              <w:rPr>
                <w:rFonts w:cs="Times New Roman"/>
                <w:sz w:val="20"/>
                <w:szCs w:val="20"/>
                <w:lang w:val="en-US"/>
              </w:rPr>
            </w:pPr>
            <w:r w:rsidRPr="00572D94">
              <w:rPr>
                <w:rFonts w:cs="Times New Roman"/>
                <w:sz w:val="20"/>
                <w:szCs w:val="20"/>
              </w:rPr>
              <w:t>19</w:t>
            </w:r>
          </w:p>
        </w:tc>
        <w:tc>
          <w:tcPr>
            <w:tcW w:w="1295" w:type="dxa"/>
            <w:vAlign w:val="center"/>
          </w:tcPr>
          <w:p w14:paraId="23C8967B" w14:textId="2951B5D5" w:rsidR="00572D94" w:rsidRPr="00572D94" w:rsidRDefault="00572D94" w:rsidP="00572D94">
            <w:pPr>
              <w:jc w:val="center"/>
              <w:rPr>
                <w:rFonts w:cs="Times New Roman"/>
                <w:sz w:val="20"/>
                <w:szCs w:val="20"/>
                <w:lang w:val="en-US"/>
              </w:rPr>
            </w:pPr>
            <w:r w:rsidRPr="00572D94">
              <w:rPr>
                <w:rFonts w:cs="Times New Roman"/>
                <w:sz w:val="20"/>
                <w:szCs w:val="20"/>
              </w:rPr>
              <w:t>160</w:t>
            </w:r>
          </w:p>
        </w:tc>
      </w:tr>
      <w:tr w:rsidR="00572D94" w:rsidRPr="00572D94" w14:paraId="092276AB" w14:textId="77777777" w:rsidTr="00572D94">
        <w:tc>
          <w:tcPr>
            <w:tcW w:w="1294" w:type="dxa"/>
            <w:vAlign w:val="center"/>
          </w:tcPr>
          <w:p w14:paraId="2F1FC5C1" w14:textId="35F6F1B9" w:rsidR="00572D94" w:rsidRPr="00572D94" w:rsidRDefault="00572D94" w:rsidP="00572D94">
            <w:pPr>
              <w:jc w:val="center"/>
              <w:rPr>
                <w:rFonts w:cs="Times New Roman"/>
                <w:sz w:val="20"/>
                <w:szCs w:val="20"/>
                <w:lang w:val="en-US"/>
              </w:rPr>
            </w:pPr>
            <w:r w:rsidRPr="00572D94">
              <w:rPr>
                <w:rFonts w:cs="Times New Roman"/>
                <w:sz w:val="20"/>
                <w:szCs w:val="20"/>
              </w:rPr>
              <w:t>CrodaTherm ME 29D</w:t>
            </w:r>
          </w:p>
        </w:tc>
        <w:tc>
          <w:tcPr>
            <w:tcW w:w="1294" w:type="dxa"/>
            <w:vAlign w:val="center"/>
          </w:tcPr>
          <w:p w14:paraId="70F257D9" w14:textId="3EB970A4" w:rsidR="00572D94" w:rsidRPr="00572D94" w:rsidRDefault="00572D94" w:rsidP="00572D94">
            <w:pPr>
              <w:jc w:val="center"/>
              <w:rPr>
                <w:rFonts w:cs="Times New Roman"/>
                <w:sz w:val="20"/>
                <w:szCs w:val="20"/>
                <w:lang w:val="en-US"/>
              </w:rPr>
            </w:pPr>
            <w:r w:rsidRPr="00572D94">
              <w:rPr>
                <w:rFonts w:cs="Times New Roman"/>
                <w:sz w:val="20"/>
                <w:szCs w:val="20"/>
              </w:rPr>
              <w:t>Dispersion*</w:t>
            </w:r>
          </w:p>
        </w:tc>
        <w:tc>
          <w:tcPr>
            <w:tcW w:w="1294" w:type="dxa"/>
            <w:vAlign w:val="center"/>
          </w:tcPr>
          <w:p w14:paraId="1C211EC3" w14:textId="6B230942" w:rsidR="00572D94" w:rsidRPr="00572D94" w:rsidRDefault="00572D94" w:rsidP="00572D94">
            <w:pPr>
              <w:jc w:val="center"/>
              <w:rPr>
                <w:rFonts w:cs="Times New Roman"/>
                <w:sz w:val="20"/>
                <w:szCs w:val="20"/>
                <w:lang w:val="en-US"/>
              </w:rPr>
            </w:pPr>
            <w:r w:rsidRPr="00572D94">
              <w:rPr>
                <w:rFonts w:cs="Times New Roman"/>
                <w:sz w:val="20"/>
                <w:szCs w:val="20"/>
              </w:rPr>
              <w:t>Standard</w:t>
            </w:r>
          </w:p>
        </w:tc>
        <w:tc>
          <w:tcPr>
            <w:tcW w:w="1294" w:type="dxa"/>
            <w:vAlign w:val="center"/>
          </w:tcPr>
          <w:p w14:paraId="3DA5ED4A" w14:textId="3A272655" w:rsidR="00572D94" w:rsidRPr="00572D94" w:rsidRDefault="00572D94" w:rsidP="00572D94">
            <w:pPr>
              <w:jc w:val="center"/>
              <w:rPr>
                <w:rFonts w:cs="Times New Roman"/>
                <w:sz w:val="20"/>
                <w:szCs w:val="20"/>
                <w:lang w:val="en-US"/>
              </w:rPr>
            </w:pPr>
            <w:r w:rsidRPr="00572D94">
              <w:rPr>
                <w:rFonts w:cs="Times New Roman"/>
                <w:sz w:val="20"/>
                <w:szCs w:val="20"/>
              </w:rPr>
              <w:t>10</w:t>
            </w:r>
          </w:p>
        </w:tc>
        <w:tc>
          <w:tcPr>
            <w:tcW w:w="1294" w:type="dxa"/>
            <w:vAlign w:val="center"/>
          </w:tcPr>
          <w:p w14:paraId="218D108B" w14:textId="0AF66060" w:rsidR="00572D94" w:rsidRPr="00572D94" w:rsidRDefault="00572D94" w:rsidP="00572D94">
            <w:pPr>
              <w:jc w:val="center"/>
              <w:rPr>
                <w:rFonts w:cs="Times New Roman"/>
                <w:sz w:val="20"/>
                <w:szCs w:val="20"/>
                <w:lang w:val="en-US"/>
              </w:rPr>
            </w:pPr>
            <w:r w:rsidRPr="00572D94">
              <w:rPr>
                <w:rFonts w:cs="Times New Roman"/>
                <w:sz w:val="20"/>
                <w:szCs w:val="20"/>
              </w:rPr>
              <w:t>29</w:t>
            </w:r>
          </w:p>
        </w:tc>
        <w:tc>
          <w:tcPr>
            <w:tcW w:w="1295" w:type="dxa"/>
            <w:vAlign w:val="center"/>
          </w:tcPr>
          <w:p w14:paraId="3BC0641C" w14:textId="28DC0005" w:rsidR="00572D94" w:rsidRPr="00572D94" w:rsidRDefault="00572D94" w:rsidP="00572D94">
            <w:pPr>
              <w:jc w:val="center"/>
              <w:rPr>
                <w:rFonts w:cs="Times New Roman"/>
                <w:sz w:val="20"/>
                <w:szCs w:val="20"/>
                <w:lang w:val="en-US"/>
              </w:rPr>
            </w:pPr>
            <w:r w:rsidRPr="00572D94">
              <w:rPr>
                <w:rFonts w:cs="Times New Roman"/>
                <w:sz w:val="20"/>
                <w:szCs w:val="20"/>
              </w:rPr>
              <w:t>24</w:t>
            </w:r>
          </w:p>
        </w:tc>
        <w:tc>
          <w:tcPr>
            <w:tcW w:w="1295" w:type="dxa"/>
            <w:vAlign w:val="center"/>
          </w:tcPr>
          <w:p w14:paraId="5ECD682D" w14:textId="1AF97BB0" w:rsidR="00572D94" w:rsidRPr="00572D94" w:rsidRDefault="00572D94" w:rsidP="00572D94">
            <w:pPr>
              <w:jc w:val="center"/>
              <w:rPr>
                <w:rFonts w:cs="Times New Roman"/>
                <w:sz w:val="20"/>
                <w:szCs w:val="20"/>
                <w:lang w:val="en-US"/>
              </w:rPr>
            </w:pPr>
            <w:r w:rsidRPr="00572D94">
              <w:rPr>
                <w:rFonts w:cs="Times New Roman"/>
                <w:sz w:val="20"/>
                <w:szCs w:val="20"/>
              </w:rPr>
              <w:t>183</w:t>
            </w:r>
          </w:p>
        </w:tc>
      </w:tr>
      <w:tr w:rsidR="00572D94" w:rsidRPr="00572D94" w14:paraId="7B61EDE7" w14:textId="77777777" w:rsidTr="00572D94">
        <w:tc>
          <w:tcPr>
            <w:tcW w:w="1294" w:type="dxa"/>
            <w:vAlign w:val="center"/>
          </w:tcPr>
          <w:p w14:paraId="0A2F3C51" w14:textId="5DA40525" w:rsidR="00572D94" w:rsidRPr="00572D94" w:rsidRDefault="00572D94" w:rsidP="00572D94">
            <w:pPr>
              <w:jc w:val="center"/>
              <w:rPr>
                <w:rFonts w:cs="Times New Roman"/>
                <w:sz w:val="20"/>
                <w:szCs w:val="20"/>
                <w:lang w:val="en-US"/>
              </w:rPr>
            </w:pPr>
            <w:r w:rsidRPr="00572D94">
              <w:rPr>
                <w:rFonts w:cs="Times New Roman"/>
                <w:sz w:val="20"/>
                <w:szCs w:val="20"/>
              </w:rPr>
              <w:t>CrodaTherm ME 29P</w:t>
            </w:r>
          </w:p>
        </w:tc>
        <w:tc>
          <w:tcPr>
            <w:tcW w:w="1294" w:type="dxa"/>
            <w:vAlign w:val="center"/>
          </w:tcPr>
          <w:p w14:paraId="512999C2" w14:textId="700AC76E" w:rsidR="00572D94" w:rsidRPr="00572D94" w:rsidRDefault="00572D94" w:rsidP="00572D94">
            <w:pPr>
              <w:jc w:val="center"/>
              <w:rPr>
                <w:rFonts w:cs="Times New Roman"/>
                <w:sz w:val="20"/>
                <w:szCs w:val="20"/>
                <w:lang w:val="en-US"/>
              </w:rPr>
            </w:pPr>
            <w:r w:rsidRPr="00572D94">
              <w:rPr>
                <w:rFonts w:cs="Times New Roman"/>
                <w:sz w:val="20"/>
                <w:szCs w:val="20"/>
              </w:rPr>
              <w:t>Powder</w:t>
            </w:r>
          </w:p>
        </w:tc>
        <w:tc>
          <w:tcPr>
            <w:tcW w:w="1294" w:type="dxa"/>
            <w:vAlign w:val="center"/>
          </w:tcPr>
          <w:p w14:paraId="43FC995E" w14:textId="6891C583" w:rsidR="00572D94" w:rsidRPr="00572D94" w:rsidRDefault="00572D94" w:rsidP="00572D94">
            <w:pPr>
              <w:jc w:val="center"/>
              <w:rPr>
                <w:rFonts w:cs="Times New Roman"/>
                <w:sz w:val="20"/>
                <w:szCs w:val="20"/>
                <w:lang w:val="en-US"/>
              </w:rPr>
            </w:pPr>
            <w:r w:rsidRPr="00572D94">
              <w:rPr>
                <w:rFonts w:cs="Times New Roman"/>
                <w:sz w:val="20"/>
                <w:szCs w:val="20"/>
              </w:rPr>
              <w:t>Standard</w:t>
            </w:r>
          </w:p>
        </w:tc>
        <w:tc>
          <w:tcPr>
            <w:tcW w:w="1294" w:type="dxa"/>
            <w:vAlign w:val="center"/>
          </w:tcPr>
          <w:p w14:paraId="4C948895" w14:textId="3B532ADA" w:rsidR="00572D94" w:rsidRPr="00572D94" w:rsidRDefault="00572D94" w:rsidP="00572D94">
            <w:pPr>
              <w:jc w:val="center"/>
              <w:rPr>
                <w:rFonts w:cs="Times New Roman"/>
                <w:sz w:val="20"/>
                <w:szCs w:val="20"/>
                <w:lang w:val="en-US"/>
              </w:rPr>
            </w:pPr>
            <w:r w:rsidRPr="00572D94">
              <w:rPr>
                <w:rFonts w:cs="Times New Roman"/>
                <w:sz w:val="20"/>
                <w:szCs w:val="20"/>
              </w:rPr>
              <w:t>250</w:t>
            </w:r>
          </w:p>
        </w:tc>
        <w:tc>
          <w:tcPr>
            <w:tcW w:w="1294" w:type="dxa"/>
            <w:vAlign w:val="center"/>
          </w:tcPr>
          <w:p w14:paraId="7948A95F" w14:textId="009FB521" w:rsidR="00572D94" w:rsidRPr="00572D94" w:rsidRDefault="00572D94" w:rsidP="00572D94">
            <w:pPr>
              <w:jc w:val="center"/>
              <w:rPr>
                <w:rFonts w:cs="Times New Roman"/>
                <w:sz w:val="20"/>
                <w:szCs w:val="20"/>
                <w:lang w:val="en-US"/>
              </w:rPr>
            </w:pPr>
            <w:r w:rsidRPr="00572D94">
              <w:rPr>
                <w:rFonts w:cs="Times New Roman"/>
                <w:sz w:val="20"/>
                <w:szCs w:val="20"/>
              </w:rPr>
              <w:t>29</w:t>
            </w:r>
          </w:p>
        </w:tc>
        <w:tc>
          <w:tcPr>
            <w:tcW w:w="1295" w:type="dxa"/>
            <w:vAlign w:val="center"/>
          </w:tcPr>
          <w:p w14:paraId="73969B44" w14:textId="09F474DB" w:rsidR="00572D94" w:rsidRPr="00572D94" w:rsidRDefault="00572D94" w:rsidP="00572D94">
            <w:pPr>
              <w:jc w:val="center"/>
              <w:rPr>
                <w:rFonts w:cs="Times New Roman"/>
                <w:sz w:val="20"/>
                <w:szCs w:val="20"/>
                <w:lang w:val="en-US"/>
              </w:rPr>
            </w:pPr>
            <w:r w:rsidRPr="00572D94">
              <w:rPr>
                <w:rFonts w:cs="Times New Roman"/>
                <w:sz w:val="20"/>
                <w:szCs w:val="20"/>
              </w:rPr>
              <w:t>24</w:t>
            </w:r>
          </w:p>
        </w:tc>
        <w:tc>
          <w:tcPr>
            <w:tcW w:w="1295" w:type="dxa"/>
            <w:vAlign w:val="center"/>
          </w:tcPr>
          <w:p w14:paraId="73CF8659" w14:textId="02339C14" w:rsidR="00572D94" w:rsidRPr="00572D94" w:rsidRDefault="00572D94" w:rsidP="00572D94">
            <w:pPr>
              <w:jc w:val="center"/>
              <w:rPr>
                <w:rFonts w:cs="Times New Roman"/>
                <w:sz w:val="20"/>
                <w:szCs w:val="20"/>
                <w:lang w:val="en-US"/>
              </w:rPr>
            </w:pPr>
            <w:r w:rsidRPr="00572D94">
              <w:rPr>
                <w:rFonts w:cs="Times New Roman"/>
                <w:sz w:val="20"/>
                <w:szCs w:val="20"/>
              </w:rPr>
              <w:t>183</w:t>
            </w:r>
          </w:p>
        </w:tc>
      </w:tr>
      <w:tr w:rsidR="00572D94" w:rsidRPr="00572D94" w14:paraId="3617DE00" w14:textId="77777777" w:rsidTr="00572D94">
        <w:tc>
          <w:tcPr>
            <w:tcW w:w="1294" w:type="dxa"/>
            <w:vAlign w:val="center"/>
          </w:tcPr>
          <w:p w14:paraId="76F0B492" w14:textId="78664C75" w:rsidR="00572D94" w:rsidRPr="00572D94" w:rsidRDefault="00572D94" w:rsidP="00572D94">
            <w:pPr>
              <w:jc w:val="center"/>
              <w:rPr>
                <w:rFonts w:cs="Times New Roman"/>
                <w:sz w:val="20"/>
                <w:szCs w:val="20"/>
                <w:lang w:val="en-US"/>
              </w:rPr>
            </w:pPr>
            <w:r w:rsidRPr="00572D94">
              <w:rPr>
                <w:rFonts w:cs="Times New Roman"/>
                <w:sz w:val="20"/>
                <w:szCs w:val="20"/>
              </w:rPr>
              <w:t>CrodaTherm ME 29XD</w:t>
            </w:r>
          </w:p>
        </w:tc>
        <w:tc>
          <w:tcPr>
            <w:tcW w:w="1294" w:type="dxa"/>
            <w:vAlign w:val="center"/>
          </w:tcPr>
          <w:p w14:paraId="0B4C3669" w14:textId="10F751D2" w:rsidR="00572D94" w:rsidRPr="00572D94" w:rsidRDefault="00572D94" w:rsidP="00572D94">
            <w:pPr>
              <w:jc w:val="center"/>
              <w:rPr>
                <w:rFonts w:cs="Times New Roman"/>
                <w:sz w:val="20"/>
                <w:szCs w:val="20"/>
                <w:lang w:val="en-US"/>
              </w:rPr>
            </w:pPr>
            <w:r w:rsidRPr="00572D94">
              <w:rPr>
                <w:rFonts w:cs="Times New Roman"/>
                <w:sz w:val="20"/>
                <w:szCs w:val="20"/>
              </w:rPr>
              <w:t>Dispersion*</w:t>
            </w:r>
          </w:p>
        </w:tc>
        <w:tc>
          <w:tcPr>
            <w:tcW w:w="1294" w:type="dxa"/>
            <w:vAlign w:val="center"/>
          </w:tcPr>
          <w:p w14:paraId="05D006E1" w14:textId="7B0A9701" w:rsidR="00572D94" w:rsidRPr="00572D94" w:rsidRDefault="00572D94" w:rsidP="00572D94">
            <w:pPr>
              <w:jc w:val="center"/>
              <w:rPr>
                <w:rFonts w:cs="Times New Roman"/>
                <w:sz w:val="20"/>
                <w:szCs w:val="20"/>
                <w:lang w:val="en-US"/>
              </w:rPr>
            </w:pPr>
            <w:r w:rsidRPr="00572D94">
              <w:rPr>
                <w:rFonts w:cs="Times New Roman"/>
                <w:sz w:val="20"/>
                <w:szCs w:val="20"/>
              </w:rPr>
              <w:t>Thicker</w:t>
            </w:r>
          </w:p>
        </w:tc>
        <w:tc>
          <w:tcPr>
            <w:tcW w:w="1294" w:type="dxa"/>
            <w:vAlign w:val="center"/>
          </w:tcPr>
          <w:p w14:paraId="18A4AA13" w14:textId="604FF2EA" w:rsidR="00572D94" w:rsidRPr="00572D94" w:rsidRDefault="00572D94" w:rsidP="00572D94">
            <w:pPr>
              <w:jc w:val="center"/>
              <w:rPr>
                <w:rFonts w:cs="Times New Roman"/>
                <w:sz w:val="20"/>
                <w:szCs w:val="20"/>
                <w:lang w:val="en-US"/>
              </w:rPr>
            </w:pPr>
            <w:r w:rsidRPr="00572D94">
              <w:rPr>
                <w:rFonts w:cs="Times New Roman"/>
                <w:sz w:val="20"/>
                <w:szCs w:val="20"/>
              </w:rPr>
              <w:t>10</w:t>
            </w:r>
          </w:p>
        </w:tc>
        <w:tc>
          <w:tcPr>
            <w:tcW w:w="1294" w:type="dxa"/>
            <w:vAlign w:val="center"/>
          </w:tcPr>
          <w:p w14:paraId="001D678F" w14:textId="7626F2AA" w:rsidR="00572D94" w:rsidRPr="00572D94" w:rsidRDefault="00572D94" w:rsidP="00572D94">
            <w:pPr>
              <w:jc w:val="center"/>
              <w:rPr>
                <w:rFonts w:cs="Times New Roman"/>
                <w:sz w:val="20"/>
                <w:szCs w:val="20"/>
                <w:lang w:val="en-US"/>
              </w:rPr>
            </w:pPr>
            <w:r w:rsidRPr="00572D94">
              <w:rPr>
                <w:rFonts w:cs="Times New Roman"/>
                <w:sz w:val="20"/>
                <w:szCs w:val="20"/>
              </w:rPr>
              <w:t>29</w:t>
            </w:r>
          </w:p>
        </w:tc>
        <w:tc>
          <w:tcPr>
            <w:tcW w:w="1295" w:type="dxa"/>
            <w:vAlign w:val="center"/>
          </w:tcPr>
          <w:p w14:paraId="031A8576" w14:textId="4F386708" w:rsidR="00572D94" w:rsidRPr="00572D94" w:rsidRDefault="00572D94" w:rsidP="00572D94">
            <w:pPr>
              <w:jc w:val="center"/>
              <w:rPr>
                <w:rFonts w:cs="Times New Roman"/>
                <w:sz w:val="20"/>
                <w:szCs w:val="20"/>
                <w:lang w:val="en-US"/>
              </w:rPr>
            </w:pPr>
            <w:r w:rsidRPr="00572D94">
              <w:rPr>
                <w:rFonts w:cs="Times New Roman"/>
                <w:sz w:val="20"/>
                <w:szCs w:val="20"/>
              </w:rPr>
              <w:t>22</w:t>
            </w:r>
          </w:p>
        </w:tc>
        <w:tc>
          <w:tcPr>
            <w:tcW w:w="1295" w:type="dxa"/>
            <w:vAlign w:val="center"/>
          </w:tcPr>
          <w:p w14:paraId="2B7EAF4D" w14:textId="41D580BD" w:rsidR="00572D94" w:rsidRPr="00572D94" w:rsidRDefault="00572D94" w:rsidP="00572D94">
            <w:pPr>
              <w:jc w:val="center"/>
              <w:rPr>
                <w:rFonts w:cs="Times New Roman"/>
                <w:sz w:val="20"/>
                <w:szCs w:val="20"/>
                <w:lang w:val="en-US"/>
              </w:rPr>
            </w:pPr>
            <w:r w:rsidRPr="00572D94">
              <w:rPr>
                <w:rFonts w:cs="Times New Roman"/>
                <w:sz w:val="20"/>
                <w:szCs w:val="20"/>
              </w:rPr>
              <w:t>165</w:t>
            </w:r>
          </w:p>
        </w:tc>
      </w:tr>
      <w:tr w:rsidR="00572D94" w:rsidRPr="00572D94" w14:paraId="39A3B7BB" w14:textId="77777777" w:rsidTr="00572D94">
        <w:tc>
          <w:tcPr>
            <w:tcW w:w="1294" w:type="dxa"/>
            <w:vAlign w:val="center"/>
          </w:tcPr>
          <w:p w14:paraId="4CAC7310" w14:textId="0790138D" w:rsidR="00572D94" w:rsidRPr="00572D94" w:rsidRDefault="00572D94" w:rsidP="00572D94">
            <w:pPr>
              <w:jc w:val="center"/>
              <w:rPr>
                <w:rFonts w:cs="Times New Roman"/>
                <w:sz w:val="20"/>
                <w:szCs w:val="20"/>
                <w:lang w:val="en-US"/>
              </w:rPr>
            </w:pPr>
            <w:r w:rsidRPr="00572D94">
              <w:rPr>
                <w:rFonts w:cs="Times New Roman"/>
                <w:sz w:val="20"/>
                <w:szCs w:val="20"/>
              </w:rPr>
              <w:t>CrodaTherm ME 29DS</w:t>
            </w:r>
          </w:p>
        </w:tc>
        <w:tc>
          <w:tcPr>
            <w:tcW w:w="1294" w:type="dxa"/>
            <w:vAlign w:val="center"/>
          </w:tcPr>
          <w:p w14:paraId="0EC712DE" w14:textId="36B89C8A" w:rsidR="00572D94" w:rsidRPr="00572D94" w:rsidRDefault="00572D94" w:rsidP="00572D94">
            <w:pPr>
              <w:jc w:val="center"/>
              <w:rPr>
                <w:rFonts w:cs="Times New Roman"/>
                <w:sz w:val="20"/>
                <w:szCs w:val="20"/>
                <w:lang w:val="en-US"/>
              </w:rPr>
            </w:pPr>
            <w:r w:rsidRPr="00572D94">
              <w:rPr>
                <w:rFonts w:cs="Times New Roman"/>
                <w:sz w:val="20"/>
                <w:szCs w:val="20"/>
              </w:rPr>
              <w:t>Dispersion*</w:t>
            </w:r>
          </w:p>
        </w:tc>
        <w:tc>
          <w:tcPr>
            <w:tcW w:w="1294" w:type="dxa"/>
            <w:vAlign w:val="center"/>
          </w:tcPr>
          <w:p w14:paraId="062B9143" w14:textId="635A37B7" w:rsidR="00572D94" w:rsidRPr="00572D94" w:rsidRDefault="00572D94" w:rsidP="00572D94">
            <w:pPr>
              <w:jc w:val="center"/>
              <w:rPr>
                <w:rFonts w:cs="Times New Roman"/>
                <w:sz w:val="20"/>
                <w:szCs w:val="20"/>
                <w:lang w:val="en-US"/>
              </w:rPr>
            </w:pPr>
            <w:r w:rsidRPr="00572D94">
              <w:rPr>
                <w:rFonts w:cs="Times New Roman"/>
                <w:sz w:val="20"/>
                <w:szCs w:val="20"/>
              </w:rPr>
              <w:t>Standard</w:t>
            </w:r>
          </w:p>
        </w:tc>
        <w:tc>
          <w:tcPr>
            <w:tcW w:w="1294" w:type="dxa"/>
            <w:vAlign w:val="center"/>
          </w:tcPr>
          <w:p w14:paraId="50707D2C" w14:textId="171862AA" w:rsidR="00572D94" w:rsidRPr="00572D94" w:rsidRDefault="00572D94" w:rsidP="00572D94">
            <w:pPr>
              <w:jc w:val="center"/>
              <w:rPr>
                <w:rFonts w:cs="Times New Roman"/>
                <w:sz w:val="20"/>
                <w:szCs w:val="20"/>
                <w:lang w:val="en-US"/>
              </w:rPr>
            </w:pPr>
            <w:r w:rsidRPr="00572D94">
              <w:rPr>
                <w:rFonts w:cs="Times New Roman"/>
                <w:sz w:val="20"/>
                <w:szCs w:val="20"/>
              </w:rPr>
              <w:t>3</w:t>
            </w:r>
          </w:p>
        </w:tc>
        <w:tc>
          <w:tcPr>
            <w:tcW w:w="1294" w:type="dxa"/>
            <w:vAlign w:val="center"/>
          </w:tcPr>
          <w:p w14:paraId="067EE5EB" w14:textId="1D8DDEEA" w:rsidR="00572D94" w:rsidRPr="00572D94" w:rsidRDefault="00572D94" w:rsidP="00572D94">
            <w:pPr>
              <w:jc w:val="center"/>
              <w:rPr>
                <w:rFonts w:cs="Times New Roman"/>
                <w:sz w:val="20"/>
                <w:szCs w:val="20"/>
                <w:lang w:val="en-US"/>
              </w:rPr>
            </w:pPr>
            <w:r w:rsidRPr="00572D94">
              <w:rPr>
                <w:rFonts w:cs="Times New Roman"/>
                <w:sz w:val="20"/>
                <w:szCs w:val="20"/>
              </w:rPr>
              <w:t>29</w:t>
            </w:r>
          </w:p>
        </w:tc>
        <w:tc>
          <w:tcPr>
            <w:tcW w:w="1295" w:type="dxa"/>
            <w:vAlign w:val="center"/>
          </w:tcPr>
          <w:p w14:paraId="4D470F2F" w14:textId="66AD719A" w:rsidR="00572D94" w:rsidRPr="00572D94" w:rsidRDefault="00572D94" w:rsidP="00572D94">
            <w:pPr>
              <w:jc w:val="center"/>
              <w:rPr>
                <w:rFonts w:cs="Times New Roman"/>
                <w:sz w:val="20"/>
                <w:szCs w:val="20"/>
                <w:lang w:val="en-US"/>
              </w:rPr>
            </w:pPr>
            <w:r w:rsidRPr="00572D94">
              <w:rPr>
                <w:rFonts w:cs="Times New Roman"/>
                <w:sz w:val="20"/>
                <w:szCs w:val="20"/>
              </w:rPr>
              <w:t>21</w:t>
            </w:r>
          </w:p>
        </w:tc>
        <w:tc>
          <w:tcPr>
            <w:tcW w:w="1295" w:type="dxa"/>
            <w:vAlign w:val="center"/>
          </w:tcPr>
          <w:p w14:paraId="3A1E5B5C" w14:textId="26EBFC6F" w:rsidR="00572D94" w:rsidRPr="00572D94" w:rsidRDefault="00572D94" w:rsidP="00572D94">
            <w:pPr>
              <w:jc w:val="center"/>
              <w:rPr>
                <w:rFonts w:cs="Times New Roman"/>
                <w:sz w:val="20"/>
                <w:szCs w:val="20"/>
                <w:lang w:val="en-US"/>
              </w:rPr>
            </w:pPr>
            <w:r w:rsidRPr="00572D94">
              <w:rPr>
                <w:rFonts w:cs="Times New Roman"/>
                <w:sz w:val="20"/>
                <w:szCs w:val="20"/>
              </w:rPr>
              <w:t>175</w:t>
            </w:r>
          </w:p>
        </w:tc>
      </w:tr>
      <w:tr w:rsidR="00572D94" w:rsidRPr="00572D94" w14:paraId="552EEFCD" w14:textId="77777777" w:rsidTr="00572D94">
        <w:tc>
          <w:tcPr>
            <w:tcW w:w="1294" w:type="dxa"/>
            <w:vAlign w:val="center"/>
          </w:tcPr>
          <w:p w14:paraId="58CC5C92" w14:textId="3D4AC331" w:rsidR="00572D94" w:rsidRPr="00572D94" w:rsidRDefault="00572D94" w:rsidP="00572D94">
            <w:pPr>
              <w:jc w:val="center"/>
              <w:rPr>
                <w:rFonts w:cs="Times New Roman"/>
                <w:sz w:val="20"/>
                <w:szCs w:val="20"/>
                <w:lang w:val="en-US"/>
              </w:rPr>
            </w:pPr>
            <w:r w:rsidRPr="00572D94">
              <w:rPr>
                <w:rFonts w:cs="Times New Roman"/>
                <w:sz w:val="20"/>
                <w:szCs w:val="20"/>
              </w:rPr>
              <w:t>CrodaTherm ME 32DS</w:t>
            </w:r>
          </w:p>
        </w:tc>
        <w:tc>
          <w:tcPr>
            <w:tcW w:w="1294" w:type="dxa"/>
            <w:vAlign w:val="center"/>
          </w:tcPr>
          <w:p w14:paraId="33082C80" w14:textId="463FFFD9" w:rsidR="00572D94" w:rsidRPr="00572D94" w:rsidRDefault="00572D94" w:rsidP="00572D94">
            <w:pPr>
              <w:jc w:val="center"/>
              <w:rPr>
                <w:rFonts w:cs="Times New Roman"/>
                <w:sz w:val="20"/>
                <w:szCs w:val="20"/>
                <w:lang w:val="en-US"/>
              </w:rPr>
            </w:pPr>
            <w:r w:rsidRPr="00572D94">
              <w:rPr>
                <w:rFonts w:cs="Times New Roman"/>
                <w:sz w:val="20"/>
                <w:szCs w:val="20"/>
              </w:rPr>
              <w:t>Dispersion*</w:t>
            </w:r>
          </w:p>
        </w:tc>
        <w:tc>
          <w:tcPr>
            <w:tcW w:w="1294" w:type="dxa"/>
            <w:vAlign w:val="center"/>
          </w:tcPr>
          <w:p w14:paraId="5B9FEDB6" w14:textId="2046F349" w:rsidR="00572D94" w:rsidRPr="00572D94" w:rsidRDefault="00572D94" w:rsidP="00572D94">
            <w:pPr>
              <w:jc w:val="center"/>
              <w:rPr>
                <w:rFonts w:cs="Times New Roman"/>
                <w:sz w:val="20"/>
                <w:szCs w:val="20"/>
                <w:lang w:val="en-US"/>
              </w:rPr>
            </w:pPr>
            <w:r w:rsidRPr="00572D94">
              <w:rPr>
                <w:rFonts w:cs="Times New Roman"/>
                <w:sz w:val="20"/>
                <w:szCs w:val="20"/>
              </w:rPr>
              <w:t>Standard</w:t>
            </w:r>
          </w:p>
        </w:tc>
        <w:tc>
          <w:tcPr>
            <w:tcW w:w="1294" w:type="dxa"/>
            <w:vAlign w:val="center"/>
          </w:tcPr>
          <w:p w14:paraId="216F3656" w14:textId="5CF00DFC" w:rsidR="00572D94" w:rsidRPr="00572D94" w:rsidRDefault="00572D94" w:rsidP="00572D94">
            <w:pPr>
              <w:jc w:val="center"/>
              <w:rPr>
                <w:rFonts w:cs="Times New Roman"/>
                <w:sz w:val="20"/>
                <w:szCs w:val="20"/>
                <w:lang w:val="en-US"/>
              </w:rPr>
            </w:pPr>
            <w:r w:rsidRPr="00572D94">
              <w:rPr>
                <w:rFonts w:cs="Times New Roman"/>
                <w:sz w:val="20"/>
                <w:szCs w:val="20"/>
              </w:rPr>
              <w:t>3</w:t>
            </w:r>
          </w:p>
        </w:tc>
        <w:tc>
          <w:tcPr>
            <w:tcW w:w="1294" w:type="dxa"/>
            <w:vAlign w:val="center"/>
          </w:tcPr>
          <w:p w14:paraId="42844534" w14:textId="00556DEB" w:rsidR="00572D94" w:rsidRPr="00572D94" w:rsidRDefault="00572D94" w:rsidP="00572D94">
            <w:pPr>
              <w:jc w:val="center"/>
              <w:rPr>
                <w:rFonts w:cs="Times New Roman"/>
                <w:sz w:val="20"/>
                <w:szCs w:val="20"/>
                <w:lang w:val="en-US"/>
              </w:rPr>
            </w:pPr>
            <w:r w:rsidRPr="00572D94">
              <w:rPr>
                <w:rFonts w:cs="Times New Roman"/>
                <w:sz w:val="20"/>
                <w:szCs w:val="20"/>
              </w:rPr>
              <w:t>32</w:t>
            </w:r>
          </w:p>
        </w:tc>
        <w:tc>
          <w:tcPr>
            <w:tcW w:w="1295" w:type="dxa"/>
            <w:vAlign w:val="center"/>
          </w:tcPr>
          <w:p w14:paraId="675FAC10" w14:textId="68667D07" w:rsidR="00572D94" w:rsidRPr="00572D94" w:rsidRDefault="00572D94" w:rsidP="00572D94">
            <w:pPr>
              <w:jc w:val="center"/>
              <w:rPr>
                <w:rFonts w:cs="Times New Roman"/>
                <w:sz w:val="20"/>
                <w:szCs w:val="20"/>
                <w:lang w:val="en-US"/>
              </w:rPr>
            </w:pPr>
            <w:r w:rsidRPr="00572D94">
              <w:rPr>
                <w:rFonts w:cs="Times New Roman"/>
                <w:sz w:val="20"/>
                <w:szCs w:val="20"/>
              </w:rPr>
              <w:t>26</w:t>
            </w:r>
          </w:p>
        </w:tc>
        <w:tc>
          <w:tcPr>
            <w:tcW w:w="1295" w:type="dxa"/>
            <w:vAlign w:val="center"/>
          </w:tcPr>
          <w:p w14:paraId="5C58C949" w14:textId="3ED75946" w:rsidR="00572D94" w:rsidRPr="00572D94" w:rsidRDefault="00572D94" w:rsidP="00572D94">
            <w:pPr>
              <w:jc w:val="center"/>
              <w:rPr>
                <w:rFonts w:cs="Times New Roman"/>
                <w:sz w:val="20"/>
                <w:szCs w:val="20"/>
                <w:lang w:val="en-US"/>
              </w:rPr>
            </w:pPr>
            <w:r w:rsidRPr="00572D94">
              <w:rPr>
                <w:rFonts w:cs="Times New Roman"/>
                <w:sz w:val="20"/>
                <w:szCs w:val="20"/>
              </w:rPr>
              <w:t>175</w:t>
            </w:r>
          </w:p>
        </w:tc>
      </w:tr>
      <w:tr w:rsidR="00572D94" w:rsidRPr="00572D94" w14:paraId="5DD3E5A2" w14:textId="77777777" w:rsidTr="00572D94">
        <w:tc>
          <w:tcPr>
            <w:tcW w:w="1294" w:type="dxa"/>
            <w:vAlign w:val="center"/>
          </w:tcPr>
          <w:p w14:paraId="04B27619" w14:textId="782F06C3" w:rsidR="00572D94" w:rsidRPr="00572D94" w:rsidRDefault="00572D94" w:rsidP="00572D94">
            <w:pPr>
              <w:jc w:val="center"/>
              <w:rPr>
                <w:rFonts w:cs="Times New Roman"/>
                <w:sz w:val="20"/>
                <w:szCs w:val="20"/>
                <w:lang w:val="en-US"/>
              </w:rPr>
            </w:pPr>
            <w:r w:rsidRPr="00572D94">
              <w:rPr>
                <w:rFonts w:cs="Times New Roman"/>
                <w:sz w:val="20"/>
                <w:szCs w:val="20"/>
              </w:rPr>
              <w:t>RANGE</w:t>
            </w:r>
          </w:p>
        </w:tc>
        <w:tc>
          <w:tcPr>
            <w:tcW w:w="1294" w:type="dxa"/>
            <w:vAlign w:val="center"/>
          </w:tcPr>
          <w:p w14:paraId="4D6962C4" w14:textId="77777777" w:rsidR="00572D94" w:rsidRPr="00572D94" w:rsidRDefault="00572D94" w:rsidP="00572D94">
            <w:pPr>
              <w:jc w:val="center"/>
              <w:rPr>
                <w:rFonts w:cs="Times New Roman"/>
                <w:sz w:val="20"/>
                <w:szCs w:val="20"/>
                <w:lang w:val="en-US"/>
              </w:rPr>
            </w:pPr>
          </w:p>
        </w:tc>
        <w:tc>
          <w:tcPr>
            <w:tcW w:w="1294" w:type="dxa"/>
            <w:vAlign w:val="center"/>
          </w:tcPr>
          <w:p w14:paraId="5EFED031" w14:textId="77777777" w:rsidR="00572D94" w:rsidRPr="00572D94" w:rsidRDefault="00572D94" w:rsidP="00572D94">
            <w:pPr>
              <w:jc w:val="center"/>
              <w:rPr>
                <w:rFonts w:cs="Times New Roman"/>
                <w:sz w:val="20"/>
                <w:szCs w:val="20"/>
                <w:lang w:val="en-US"/>
              </w:rPr>
            </w:pPr>
          </w:p>
        </w:tc>
        <w:tc>
          <w:tcPr>
            <w:tcW w:w="1294" w:type="dxa"/>
            <w:vAlign w:val="center"/>
          </w:tcPr>
          <w:p w14:paraId="7085E394" w14:textId="6688B196" w:rsidR="00572D94" w:rsidRPr="00572D94" w:rsidRDefault="00572D94" w:rsidP="00572D94">
            <w:pPr>
              <w:jc w:val="center"/>
              <w:rPr>
                <w:rFonts w:cs="Times New Roman"/>
                <w:sz w:val="20"/>
                <w:szCs w:val="20"/>
                <w:lang w:val="en-US"/>
              </w:rPr>
            </w:pPr>
            <w:r w:rsidRPr="00572D94">
              <w:rPr>
                <w:rFonts w:cs="Times New Roman"/>
                <w:b/>
                <w:bCs/>
                <w:sz w:val="20"/>
                <w:szCs w:val="20"/>
              </w:rPr>
              <w:t>3-250</w:t>
            </w:r>
          </w:p>
        </w:tc>
        <w:tc>
          <w:tcPr>
            <w:tcW w:w="1294" w:type="dxa"/>
            <w:vAlign w:val="center"/>
          </w:tcPr>
          <w:p w14:paraId="5B78A7AA" w14:textId="2511BB8F" w:rsidR="00572D94" w:rsidRPr="00572D94" w:rsidRDefault="00572D94" w:rsidP="00572D94">
            <w:pPr>
              <w:jc w:val="center"/>
              <w:rPr>
                <w:rFonts w:cs="Times New Roman"/>
                <w:sz w:val="20"/>
                <w:szCs w:val="20"/>
                <w:lang w:val="en-US"/>
              </w:rPr>
            </w:pPr>
            <w:r w:rsidRPr="00572D94">
              <w:rPr>
                <w:rFonts w:cs="Times New Roman"/>
                <w:b/>
                <w:bCs/>
                <w:sz w:val="20"/>
                <w:szCs w:val="20"/>
              </w:rPr>
              <w:t>24-32</w:t>
            </w:r>
          </w:p>
        </w:tc>
        <w:tc>
          <w:tcPr>
            <w:tcW w:w="1295" w:type="dxa"/>
            <w:vAlign w:val="center"/>
          </w:tcPr>
          <w:p w14:paraId="3EC50B2F" w14:textId="34551E4A" w:rsidR="00572D94" w:rsidRPr="00572D94" w:rsidRDefault="00572D94" w:rsidP="00572D94">
            <w:pPr>
              <w:jc w:val="center"/>
              <w:rPr>
                <w:rFonts w:cs="Times New Roman"/>
                <w:sz w:val="20"/>
                <w:szCs w:val="20"/>
                <w:lang w:val="en-US"/>
              </w:rPr>
            </w:pPr>
            <w:r w:rsidRPr="00572D94">
              <w:rPr>
                <w:rFonts w:cs="Times New Roman"/>
                <w:b/>
                <w:bCs/>
                <w:sz w:val="20"/>
                <w:szCs w:val="20"/>
              </w:rPr>
              <w:t>19-26</w:t>
            </w:r>
          </w:p>
        </w:tc>
        <w:tc>
          <w:tcPr>
            <w:tcW w:w="1295" w:type="dxa"/>
            <w:vAlign w:val="center"/>
          </w:tcPr>
          <w:p w14:paraId="284AEF87" w14:textId="4077BF58" w:rsidR="00572D94" w:rsidRPr="00572D94" w:rsidRDefault="00572D94" w:rsidP="00572D94">
            <w:pPr>
              <w:keepNext/>
              <w:jc w:val="center"/>
              <w:rPr>
                <w:rFonts w:cs="Times New Roman"/>
                <w:sz w:val="20"/>
                <w:szCs w:val="20"/>
                <w:lang w:val="en-US"/>
              </w:rPr>
            </w:pPr>
            <w:r w:rsidRPr="00572D94">
              <w:rPr>
                <w:rFonts w:cs="Times New Roman"/>
                <w:b/>
                <w:bCs/>
                <w:sz w:val="20"/>
                <w:szCs w:val="20"/>
              </w:rPr>
              <w:t>160-183</w:t>
            </w:r>
          </w:p>
        </w:tc>
      </w:tr>
    </w:tbl>
    <w:p w14:paraId="186C8943" w14:textId="06FDAA8F" w:rsidR="00572D94" w:rsidRPr="00843F96" w:rsidRDefault="00572D94" w:rsidP="00572D94">
      <w:pPr>
        <w:pStyle w:val="Caption"/>
        <w:rPr>
          <w:rFonts w:ascii="Times New Roman" w:hAnsi="Times New Roman" w:cs="Times New Roman"/>
        </w:rPr>
      </w:pPr>
      <w:bookmarkStart w:id="67" w:name="_Toc214362620"/>
      <w:r>
        <w:t xml:space="preserve">Table </w:t>
      </w:r>
      <w:r w:rsidR="00F43E9A">
        <w:fldChar w:fldCharType="begin"/>
      </w:r>
      <w:r w:rsidR="00F43E9A">
        <w:instrText xml:space="preserve"> STYLEREF 1 \s </w:instrText>
      </w:r>
      <w:r w:rsidR="00F43E9A">
        <w:fldChar w:fldCharType="separate"/>
      </w:r>
      <w:r w:rsidR="000412CE">
        <w:rPr>
          <w:noProof/>
        </w:rPr>
        <w:t>1</w:t>
      </w:r>
      <w:r w:rsidR="00F43E9A">
        <w:fldChar w:fldCharType="end"/>
      </w:r>
      <w:r w:rsidR="00F43E9A">
        <w:t>.</w:t>
      </w:r>
      <w:r w:rsidR="00F43E9A">
        <w:fldChar w:fldCharType="begin"/>
      </w:r>
      <w:r w:rsidR="00F43E9A">
        <w:instrText xml:space="preserve"> SEQ Table \* ARABIC \s 1 </w:instrText>
      </w:r>
      <w:r w:rsidR="00F43E9A">
        <w:fldChar w:fldCharType="separate"/>
      </w:r>
      <w:r w:rsidR="000412CE">
        <w:rPr>
          <w:noProof/>
        </w:rPr>
        <w:t>15</w:t>
      </w:r>
      <w:r w:rsidR="00F43E9A">
        <w:fldChar w:fldCharType="end"/>
      </w:r>
      <w:r w:rsidR="00DE026D">
        <w:t>.</w:t>
      </w:r>
      <w:r>
        <w:t xml:space="preserve"> </w:t>
      </w:r>
      <w:r w:rsidRPr="0036069B">
        <w:t>CrodaTherm™ microencapsulated PCMs: product form (powder/dispersion), shell type, particle size (d90), melting and crystallization temperatures, and latent heat of melting.</w:t>
      </w:r>
      <w:bookmarkEnd w:id="67"/>
    </w:p>
    <w:p w14:paraId="41764160" w14:textId="12D4C1F3" w:rsidR="000F6463" w:rsidRPr="00924318" w:rsidRDefault="000F6463" w:rsidP="000F6463">
      <w:pPr>
        <w:rPr>
          <w:rFonts w:cs="Times New Roman"/>
          <w:lang w:val="en-US"/>
        </w:rPr>
      </w:pPr>
      <w:r w:rsidRPr="00924318">
        <w:rPr>
          <w:rFonts w:cs="Times New Roman"/>
          <w:b/>
          <w:bCs/>
          <w:lang w:val="en-US"/>
        </w:rPr>
        <w:t>Rubitherm Technologies GmbH</w:t>
      </w:r>
      <w:r w:rsidRPr="00924318">
        <w:rPr>
          <w:rFonts w:cs="Times New Roman"/>
          <w:lang w:val="en-US"/>
        </w:rPr>
        <w:t xml:space="preserve">. Rubitherm® Technologies GmbH is a German company specializing in PCM technology, active since 1993. It develops customized thermal solutions for applications such as sustainable heating and cooling, pharmaceutical logistics, HVAC systems, batteries, functional textiles, and medical or therapeutic uses. The company produces organic and inorganic PCMs, available in various quantities and supplied in both micro- and macro-encapsulated forms, </w:t>
      </w:r>
      <w:r w:rsidRPr="00924318">
        <w:rPr>
          <w:rFonts w:cs="Times New Roman"/>
          <w:lang w:val="en-US"/>
        </w:rPr>
        <w:lastRenderedPageBreak/>
        <w:t>ensuring high cycling stability and excellent thermal storage capacity. Rubitherm also offers innovative products such as non-flammable PCMs, viscosity-adjustable formulations, and bound PCM systems (based on powders or granulates) that simplify integration into industrial systems. All Rubitherm products are distinguished by their high quality, reliability, and long operational lifetime.</w:t>
      </w:r>
      <w:r w:rsidRPr="00924318">
        <w:rPr>
          <w:lang w:val="en-US"/>
        </w:rPr>
        <w:t xml:space="preserve"> </w:t>
      </w:r>
      <w:r w:rsidRPr="00924318">
        <w:rPr>
          <w:rFonts w:cs="Times New Roman"/>
          <w:lang w:val="en-US"/>
        </w:rPr>
        <w:t xml:space="preserve">Table </w:t>
      </w:r>
      <w:r w:rsidR="00924318">
        <w:rPr>
          <w:rFonts w:cs="Times New Roman"/>
          <w:lang w:val="en-US"/>
        </w:rPr>
        <w:t>1.</w:t>
      </w:r>
      <w:r w:rsidRPr="00924318">
        <w:rPr>
          <w:rFonts w:cs="Times New Roman"/>
          <w:lang w:val="en-US"/>
        </w:rPr>
        <w:t xml:space="preserve">16 briefly summarizes commercial PCM solutions, pure PCMs (RT-Line, SP-Line), PX powder, and encapsulated formats (macro packs, microencapsulated CSM), with melting ranges and heat-storage capacity. </w:t>
      </w:r>
    </w:p>
    <w:p w14:paraId="70B6CDCC" w14:textId="77777777" w:rsidR="000F6463" w:rsidRPr="00924318" w:rsidRDefault="000F6463" w:rsidP="000F6463">
      <w:pPr>
        <w:rPr>
          <w:rFonts w:cs="Times New Roman"/>
          <w:lang w:val="en-US"/>
        </w:rPr>
      </w:pPr>
      <w:hyperlink r:id="rId65" w:history="1">
        <w:r w:rsidRPr="00924318">
          <w:rPr>
            <w:rStyle w:val="Hyperlink"/>
            <w:rFonts w:cs="Times New Roman"/>
            <w:lang w:val="en-US"/>
          </w:rPr>
          <w:t>https://www.rubitherm.eu/en/productCategories.html</w:t>
        </w:r>
      </w:hyperlink>
      <w:r w:rsidRPr="00924318">
        <w:rPr>
          <w:rFonts w:cs="Times New Roman"/>
          <w:lang w:val="en-US"/>
        </w:rPr>
        <w:t xml:space="preserve"> </w:t>
      </w:r>
    </w:p>
    <w:tbl>
      <w:tblPr>
        <w:tblStyle w:val="TableGrid"/>
        <w:tblW w:w="9628" w:type="dxa"/>
        <w:tblLook w:val="04A0" w:firstRow="1" w:lastRow="0" w:firstColumn="1" w:lastColumn="0" w:noHBand="0" w:noVBand="1"/>
      </w:tblPr>
      <w:tblGrid>
        <w:gridCol w:w="2375"/>
        <w:gridCol w:w="2374"/>
        <w:gridCol w:w="2322"/>
        <w:gridCol w:w="2557"/>
      </w:tblGrid>
      <w:tr w:rsidR="000F6463" w:rsidRPr="00736B36" w14:paraId="7BB0A97F" w14:textId="77777777" w:rsidTr="00924318">
        <w:tc>
          <w:tcPr>
            <w:tcW w:w="2375" w:type="dxa"/>
            <w:shd w:val="clear" w:color="auto" w:fill="8EA5B6"/>
            <w:vAlign w:val="center"/>
          </w:tcPr>
          <w:p w14:paraId="300207B7" w14:textId="77777777" w:rsidR="000F6463" w:rsidRPr="00924318" w:rsidRDefault="000F6463" w:rsidP="00924318">
            <w:pPr>
              <w:jc w:val="center"/>
              <w:rPr>
                <w:rFonts w:cs="Times New Roman"/>
                <w:b/>
                <w:bCs/>
                <w:sz w:val="20"/>
                <w:szCs w:val="20"/>
              </w:rPr>
            </w:pPr>
            <w:r w:rsidRPr="00924318">
              <w:rPr>
                <w:rFonts w:cs="Times New Roman"/>
                <w:b/>
                <w:bCs/>
                <w:sz w:val="20"/>
                <w:szCs w:val="20"/>
              </w:rPr>
              <w:t>Pure PCM</w:t>
            </w:r>
          </w:p>
        </w:tc>
        <w:tc>
          <w:tcPr>
            <w:tcW w:w="2374" w:type="dxa"/>
            <w:shd w:val="clear" w:color="auto" w:fill="8EA5B6"/>
            <w:vAlign w:val="center"/>
          </w:tcPr>
          <w:p w14:paraId="58EED404" w14:textId="77777777" w:rsidR="000F6463" w:rsidRPr="00924318" w:rsidRDefault="000F6463" w:rsidP="00924318">
            <w:pPr>
              <w:jc w:val="center"/>
              <w:rPr>
                <w:rFonts w:cs="Times New Roman"/>
                <w:b/>
                <w:bCs/>
                <w:sz w:val="20"/>
                <w:szCs w:val="20"/>
              </w:rPr>
            </w:pPr>
            <w:r w:rsidRPr="00924318">
              <w:rPr>
                <w:rFonts w:cs="Times New Roman"/>
                <w:b/>
                <w:bCs/>
                <w:sz w:val="20"/>
                <w:szCs w:val="20"/>
              </w:rPr>
              <w:t>Melting Temperature range  [°C]</w:t>
            </w:r>
          </w:p>
        </w:tc>
        <w:tc>
          <w:tcPr>
            <w:tcW w:w="2322" w:type="dxa"/>
            <w:shd w:val="clear" w:color="auto" w:fill="8EA5B6"/>
            <w:vAlign w:val="center"/>
          </w:tcPr>
          <w:p w14:paraId="5D4883CE" w14:textId="77777777" w:rsidR="000F6463" w:rsidRPr="00924318" w:rsidRDefault="000F6463" w:rsidP="00924318">
            <w:pPr>
              <w:jc w:val="center"/>
              <w:rPr>
                <w:rFonts w:cs="Times New Roman"/>
                <w:b/>
                <w:bCs/>
                <w:sz w:val="20"/>
                <w:szCs w:val="20"/>
                <w:lang w:val="en-US"/>
              </w:rPr>
            </w:pPr>
            <w:r w:rsidRPr="00924318">
              <w:rPr>
                <w:rFonts w:cs="Times New Roman"/>
                <w:b/>
                <w:bCs/>
                <w:sz w:val="20"/>
                <w:szCs w:val="20"/>
                <w:lang w:val="en-US"/>
              </w:rPr>
              <w:t>Heat storage capacity [kJ/kg]</w:t>
            </w:r>
          </w:p>
        </w:tc>
        <w:tc>
          <w:tcPr>
            <w:tcW w:w="2557" w:type="dxa"/>
            <w:shd w:val="clear" w:color="auto" w:fill="8EA5B6"/>
            <w:vAlign w:val="center"/>
          </w:tcPr>
          <w:p w14:paraId="41F55452" w14:textId="77777777" w:rsidR="000F6463" w:rsidRPr="00924318" w:rsidRDefault="000F6463" w:rsidP="00924318">
            <w:pPr>
              <w:jc w:val="center"/>
              <w:rPr>
                <w:rFonts w:cs="Times New Roman"/>
                <w:b/>
                <w:bCs/>
                <w:sz w:val="20"/>
                <w:szCs w:val="20"/>
                <w:lang w:val="en-US"/>
              </w:rPr>
            </w:pPr>
          </w:p>
        </w:tc>
      </w:tr>
      <w:tr w:rsidR="000F6463" w:rsidRPr="00924318" w14:paraId="00B839EC" w14:textId="77777777" w:rsidTr="00924318">
        <w:tc>
          <w:tcPr>
            <w:tcW w:w="2375" w:type="dxa"/>
            <w:vAlign w:val="center"/>
          </w:tcPr>
          <w:p w14:paraId="436379ED" w14:textId="77777777" w:rsidR="000F6463" w:rsidRPr="00924318" w:rsidRDefault="000F6463" w:rsidP="00924318">
            <w:pPr>
              <w:jc w:val="center"/>
              <w:rPr>
                <w:rFonts w:cs="Times New Roman"/>
                <w:sz w:val="20"/>
                <w:szCs w:val="20"/>
              </w:rPr>
            </w:pPr>
            <w:r w:rsidRPr="00924318">
              <w:rPr>
                <w:rFonts w:cs="Times New Roman"/>
                <w:sz w:val="20"/>
                <w:szCs w:val="20"/>
              </w:rPr>
              <w:t>PCM RT-Line</w:t>
            </w:r>
          </w:p>
        </w:tc>
        <w:tc>
          <w:tcPr>
            <w:tcW w:w="2374" w:type="dxa"/>
            <w:vAlign w:val="center"/>
          </w:tcPr>
          <w:p w14:paraId="5A495EA0" w14:textId="77777777" w:rsidR="000F6463" w:rsidRPr="00924318" w:rsidRDefault="000F6463" w:rsidP="00924318">
            <w:pPr>
              <w:jc w:val="center"/>
              <w:rPr>
                <w:rFonts w:cs="Times New Roman"/>
                <w:sz w:val="20"/>
                <w:szCs w:val="20"/>
              </w:rPr>
            </w:pPr>
            <w:r w:rsidRPr="00924318">
              <w:rPr>
                <w:rFonts w:cs="Times New Roman"/>
                <w:sz w:val="20"/>
                <w:szCs w:val="20"/>
              </w:rPr>
              <w:t>-9 &lt;&gt; +128</w:t>
            </w:r>
          </w:p>
        </w:tc>
        <w:tc>
          <w:tcPr>
            <w:tcW w:w="2322" w:type="dxa"/>
            <w:vAlign w:val="center"/>
          </w:tcPr>
          <w:p w14:paraId="4BBFFEAF" w14:textId="77777777" w:rsidR="000F6463" w:rsidRPr="00924318" w:rsidRDefault="000F6463" w:rsidP="00924318">
            <w:pPr>
              <w:jc w:val="center"/>
              <w:rPr>
                <w:rFonts w:cs="Times New Roman"/>
                <w:sz w:val="20"/>
                <w:szCs w:val="20"/>
              </w:rPr>
            </w:pPr>
            <w:r w:rsidRPr="00924318">
              <w:rPr>
                <w:rFonts w:cs="Times New Roman"/>
                <w:sz w:val="20"/>
                <w:szCs w:val="20"/>
              </w:rPr>
              <w:t>150 &lt;&gt; 260</w:t>
            </w:r>
          </w:p>
        </w:tc>
        <w:tc>
          <w:tcPr>
            <w:tcW w:w="2557" w:type="dxa"/>
            <w:vAlign w:val="center"/>
          </w:tcPr>
          <w:p w14:paraId="1F9A6242" w14:textId="77777777" w:rsidR="000F6463" w:rsidRPr="00924318" w:rsidRDefault="000F6463" w:rsidP="00924318">
            <w:pPr>
              <w:jc w:val="center"/>
              <w:rPr>
                <w:rFonts w:cs="Times New Roman"/>
                <w:sz w:val="20"/>
                <w:szCs w:val="20"/>
              </w:rPr>
            </w:pPr>
            <w:r w:rsidRPr="00924318">
              <w:rPr>
                <w:rFonts w:cs="Times New Roman"/>
                <w:noProof/>
                <w:sz w:val="20"/>
                <w:szCs w:val="20"/>
              </w:rPr>
              <w:drawing>
                <wp:inline distT="0" distB="0" distL="0" distR="0" wp14:anchorId="69057250" wp14:editId="10FF63F9">
                  <wp:extent cx="955964" cy="621112"/>
                  <wp:effectExtent l="0" t="0" r="0" b="7620"/>
                  <wp:docPr id="1075345482" name="Immagine 1" descr="Immagine che contiene neve, aria aperta, invern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5345482" name="Immagine 1" descr="Immagine che contiene neve, aria aperta, inverno&#10;&#10;Il contenuto generato dall'IA potrebbe non essere corretto."/>
                          <pic:cNvPicPr/>
                        </pic:nvPicPr>
                        <pic:blipFill>
                          <a:blip r:embed="rId66"/>
                          <a:stretch>
                            <a:fillRect/>
                          </a:stretch>
                        </pic:blipFill>
                        <pic:spPr>
                          <a:xfrm>
                            <a:off x="0" y="0"/>
                            <a:ext cx="968771" cy="629433"/>
                          </a:xfrm>
                          <a:prstGeom prst="rect">
                            <a:avLst/>
                          </a:prstGeom>
                        </pic:spPr>
                      </pic:pic>
                    </a:graphicData>
                  </a:graphic>
                </wp:inline>
              </w:drawing>
            </w:r>
          </w:p>
        </w:tc>
      </w:tr>
      <w:tr w:rsidR="000F6463" w:rsidRPr="00924318" w14:paraId="3A43BF18" w14:textId="77777777" w:rsidTr="00924318">
        <w:tc>
          <w:tcPr>
            <w:tcW w:w="2375" w:type="dxa"/>
            <w:vAlign w:val="center"/>
          </w:tcPr>
          <w:p w14:paraId="3692D233" w14:textId="77777777" w:rsidR="000F6463" w:rsidRPr="00924318" w:rsidRDefault="000F6463" w:rsidP="00924318">
            <w:pPr>
              <w:jc w:val="center"/>
              <w:rPr>
                <w:rFonts w:cs="Times New Roman"/>
                <w:sz w:val="20"/>
                <w:szCs w:val="20"/>
              </w:rPr>
            </w:pPr>
            <w:r w:rsidRPr="00924318">
              <w:rPr>
                <w:rFonts w:cs="Times New Roman"/>
                <w:sz w:val="20"/>
                <w:szCs w:val="20"/>
              </w:rPr>
              <w:t>PCM SP-Line</w:t>
            </w:r>
          </w:p>
        </w:tc>
        <w:tc>
          <w:tcPr>
            <w:tcW w:w="2374" w:type="dxa"/>
            <w:vAlign w:val="center"/>
          </w:tcPr>
          <w:p w14:paraId="3996C299" w14:textId="77777777" w:rsidR="000F6463" w:rsidRPr="00924318" w:rsidRDefault="000F6463" w:rsidP="00924318">
            <w:pPr>
              <w:jc w:val="center"/>
              <w:rPr>
                <w:rFonts w:cs="Times New Roman"/>
                <w:sz w:val="20"/>
                <w:szCs w:val="20"/>
              </w:rPr>
            </w:pPr>
            <w:r w:rsidRPr="00924318">
              <w:rPr>
                <w:rFonts w:cs="Times New Roman"/>
                <w:sz w:val="20"/>
                <w:szCs w:val="20"/>
              </w:rPr>
              <w:t>-52 &lt;&gt; 90</w:t>
            </w:r>
          </w:p>
        </w:tc>
        <w:tc>
          <w:tcPr>
            <w:tcW w:w="2322" w:type="dxa"/>
            <w:vAlign w:val="center"/>
          </w:tcPr>
          <w:p w14:paraId="67B4453E" w14:textId="77777777" w:rsidR="000F6463" w:rsidRPr="00924318" w:rsidRDefault="000F6463" w:rsidP="00924318">
            <w:pPr>
              <w:jc w:val="center"/>
              <w:rPr>
                <w:rFonts w:cs="Times New Roman"/>
                <w:sz w:val="20"/>
                <w:szCs w:val="20"/>
              </w:rPr>
            </w:pPr>
            <w:r w:rsidRPr="00924318">
              <w:rPr>
                <w:rFonts w:cs="Times New Roman"/>
                <w:sz w:val="20"/>
                <w:szCs w:val="20"/>
              </w:rPr>
              <w:t>150 &lt;&gt; 320</w:t>
            </w:r>
          </w:p>
        </w:tc>
        <w:tc>
          <w:tcPr>
            <w:tcW w:w="2557" w:type="dxa"/>
            <w:vAlign w:val="center"/>
          </w:tcPr>
          <w:p w14:paraId="09D13750" w14:textId="77777777" w:rsidR="000F6463" w:rsidRPr="00924318" w:rsidRDefault="000F6463" w:rsidP="00924318">
            <w:pPr>
              <w:jc w:val="center"/>
              <w:rPr>
                <w:rFonts w:cs="Times New Roman"/>
                <w:sz w:val="20"/>
                <w:szCs w:val="20"/>
              </w:rPr>
            </w:pPr>
            <w:r w:rsidRPr="00924318">
              <w:rPr>
                <w:rFonts w:cs="Times New Roman"/>
                <w:noProof/>
                <w:sz w:val="20"/>
                <w:szCs w:val="20"/>
              </w:rPr>
              <w:drawing>
                <wp:inline distT="0" distB="0" distL="0" distR="0" wp14:anchorId="30AAF311" wp14:editId="293BA214">
                  <wp:extent cx="969819" cy="616856"/>
                  <wp:effectExtent l="0" t="0" r="1905" b="0"/>
                  <wp:docPr id="396005686" name="Immagine 1" descr="Immagine che contiene Agente addensante, polvere, intern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6005686" name="Immagine 1" descr="Immagine che contiene Agente addensante, polvere, interno&#10;&#10;Il contenuto generato dall'IA potrebbe non essere corretto."/>
                          <pic:cNvPicPr/>
                        </pic:nvPicPr>
                        <pic:blipFill>
                          <a:blip r:embed="rId67"/>
                          <a:stretch>
                            <a:fillRect/>
                          </a:stretch>
                        </pic:blipFill>
                        <pic:spPr>
                          <a:xfrm>
                            <a:off x="0" y="0"/>
                            <a:ext cx="974731" cy="619980"/>
                          </a:xfrm>
                          <a:prstGeom prst="rect">
                            <a:avLst/>
                          </a:prstGeom>
                        </pic:spPr>
                      </pic:pic>
                    </a:graphicData>
                  </a:graphic>
                </wp:inline>
              </w:drawing>
            </w:r>
          </w:p>
        </w:tc>
      </w:tr>
      <w:tr w:rsidR="000F6463" w:rsidRPr="00736B36" w14:paraId="7C1B0371" w14:textId="77777777" w:rsidTr="00924318">
        <w:tc>
          <w:tcPr>
            <w:tcW w:w="2375" w:type="dxa"/>
            <w:shd w:val="clear" w:color="auto" w:fill="8EA5B6"/>
            <w:vAlign w:val="center"/>
          </w:tcPr>
          <w:p w14:paraId="6AA8D108" w14:textId="77777777" w:rsidR="000F6463" w:rsidRPr="00924318" w:rsidRDefault="000F6463" w:rsidP="00924318">
            <w:pPr>
              <w:jc w:val="center"/>
              <w:rPr>
                <w:rFonts w:cs="Times New Roman"/>
                <w:b/>
                <w:bCs/>
                <w:sz w:val="20"/>
                <w:szCs w:val="20"/>
              </w:rPr>
            </w:pPr>
            <w:r w:rsidRPr="00924318">
              <w:rPr>
                <w:rFonts w:cs="Times New Roman"/>
                <w:b/>
                <w:bCs/>
                <w:sz w:val="20"/>
                <w:szCs w:val="20"/>
              </w:rPr>
              <w:t>Product PCM</w:t>
            </w:r>
          </w:p>
        </w:tc>
        <w:tc>
          <w:tcPr>
            <w:tcW w:w="2374" w:type="dxa"/>
            <w:shd w:val="clear" w:color="auto" w:fill="8EA5B6"/>
            <w:vAlign w:val="center"/>
          </w:tcPr>
          <w:p w14:paraId="696822CE" w14:textId="77777777" w:rsidR="000F6463" w:rsidRPr="00924318" w:rsidRDefault="000F6463" w:rsidP="00924318">
            <w:pPr>
              <w:jc w:val="center"/>
              <w:rPr>
                <w:rFonts w:cs="Times New Roman"/>
                <w:b/>
                <w:bCs/>
                <w:sz w:val="20"/>
                <w:szCs w:val="20"/>
              </w:rPr>
            </w:pPr>
            <w:r w:rsidRPr="00924318">
              <w:rPr>
                <w:rFonts w:cs="Times New Roman"/>
                <w:b/>
                <w:bCs/>
                <w:sz w:val="20"/>
                <w:szCs w:val="20"/>
              </w:rPr>
              <w:t>Melting Temperature range  [°C]</w:t>
            </w:r>
          </w:p>
        </w:tc>
        <w:tc>
          <w:tcPr>
            <w:tcW w:w="2322" w:type="dxa"/>
            <w:shd w:val="clear" w:color="auto" w:fill="8EA5B6"/>
            <w:vAlign w:val="center"/>
          </w:tcPr>
          <w:p w14:paraId="5B0C1F30" w14:textId="77777777" w:rsidR="000F6463" w:rsidRPr="00924318" w:rsidRDefault="000F6463" w:rsidP="00924318">
            <w:pPr>
              <w:jc w:val="center"/>
              <w:rPr>
                <w:rFonts w:cs="Times New Roman"/>
                <w:b/>
                <w:bCs/>
                <w:sz w:val="20"/>
                <w:szCs w:val="20"/>
                <w:lang w:val="en-US"/>
              </w:rPr>
            </w:pPr>
            <w:r w:rsidRPr="00924318">
              <w:rPr>
                <w:rFonts w:cs="Times New Roman"/>
                <w:b/>
                <w:bCs/>
                <w:sz w:val="20"/>
                <w:szCs w:val="20"/>
                <w:lang w:val="en-US"/>
              </w:rPr>
              <w:t>Heat storage capacity [kJ/kg]</w:t>
            </w:r>
          </w:p>
        </w:tc>
        <w:tc>
          <w:tcPr>
            <w:tcW w:w="2557" w:type="dxa"/>
            <w:shd w:val="clear" w:color="auto" w:fill="8EA5B6"/>
            <w:vAlign w:val="center"/>
          </w:tcPr>
          <w:p w14:paraId="7B1552EB" w14:textId="77777777" w:rsidR="000F6463" w:rsidRPr="00924318" w:rsidRDefault="000F6463" w:rsidP="00924318">
            <w:pPr>
              <w:jc w:val="center"/>
              <w:rPr>
                <w:rFonts w:cs="Times New Roman"/>
                <w:sz w:val="20"/>
                <w:szCs w:val="20"/>
                <w:lang w:val="en-US"/>
              </w:rPr>
            </w:pPr>
          </w:p>
        </w:tc>
      </w:tr>
      <w:tr w:rsidR="000F6463" w:rsidRPr="00924318" w14:paraId="4F11D173" w14:textId="77777777" w:rsidTr="00924318">
        <w:tc>
          <w:tcPr>
            <w:tcW w:w="2375" w:type="dxa"/>
            <w:vAlign w:val="center"/>
          </w:tcPr>
          <w:p w14:paraId="336012D8" w14:textId="77777777" w:rsidR="000F6463" w:rsidRPr="00924318" w:rsidRDefault="000F6463" w:rsidP="00924318">
            <w:pPr>
              <w:jc w:val="center"/>
              <w:rPr>
                <w:rFonts w:cs="Times New Roman"/>
                <w:b/>
                <w:bCs/>
                <w:sz w:val="20"/>
                <w:szCs w:val="20"/>
                <w:lang w:val="en-US"/>
              </w:rPr>
            </w:pPr>
            <w:r w:rsidRPr="00924318">
              <w:rPr>
                <w:rFonts w:cs="Times New Roman"/>
                <w:sz w:val="20"/>
                <w:szCs w:val="20"/>
                <w:lang w:val="en-US"/>
              </w:rPr>
              <w:t>Bound PCM-PX.</w:t>
            </w:r>
          </w:p>
          <w:p w14:paraId="5E8ED069" w14:textId="77777777" w:rsidR="000F6463" w:rsidRPr="00924318" w:rsidRDefault="000F6463" w:rsidP="00924318">
            <w:pPr>
              <w:jc w:val="center"/>
              <w:rPr>
                <w:rFonts w:cs="Times New Roman"/>
                <w:sz w:val="20"/>
                <w:szCs w:val="20"/>
                <w:lang w:val="en-US"/>
              </w:rPr>
            </w:pPr>
            <w:r w:rsidRPr="00924318">
              <w:rPr>
                <w:rFonts w:cs="Times New Roman"/>
                <w:sz w:val="20"/>
                <w:szCs w:val="20"/>
                <w:lang w:val="en-US"/>
              </w:rPr>
              <w:t>The PX material can be applied by filling it into heat pouches for therapeutic use. They can be further used for transport or other applications</w:t>
            </w:r>
          </w:p>
        </w:tc>
        <w:tc>
          <w:tcPr>
            <w:tcW w:w="2374" w:type="dxa"/>
            <w:vAlign w:val="center"/>
          </w:tcPr>
          <w:p w14:paraId="27DE2ED4" w14:textId="77777777" w:rsidR="000F6463" w:rsidRPr="00924318" w:rsidRDefault="000F6463" w:rsidP="00924318">
            <w:pPr>
              <w:jc w:val="center"/>
              <w:rPr>
                <w:rFonts w:cs="Times New Roman"/>
                <w:sz w:val="20"/>
                <w:szCs w:val="20"/>
              </w:rPr>
            </w:pPr>
            <w:r w:rsidRPr="00924318">
              <w:rPr>
                <w:rFonts w:cs="Times New Roman"/>
                <w:sz w:val="20"/>
                <w:szCs w:val="20"/>
                <w:lang w:val="nb-NO"/>
              </w:rPr>
              <w:t>10 &lt;&gt; 82</w:t>
            </w:r>
          </w:p>
        </w:tc>
        <w:tc>
          <w:tcPr>
            <w:tcW w:w="2322" w:type="dxa"/>
            <w:vAlign w:val="center"/>
          </w:tcPr>
          <w:p w14:paraId="11B736F6" w14:textId="77777777" w:rsidR="000F6463" w:rsidRPr="00924318" w:rsidRDefault="000F6463" w:rsidP="00924318">
            <w:pPr>
              <w:jc w:val="center"/>
              <w:rPr>
                <w:rFonts w:cs="Times New Roman"/>
                <w:sz w:val="20"/>
                <w:szCs w:val="20"/>
              </w:rPr>
            </w:pPr>
            <w:r w:rsidRPr="00924318">
              <w:rPr>
                <w:rFonts w:cs="Times New Roman"/>
                <w:sz w:val="20"/>
                <w:szCs w:val="20"/>
                <w:lang w:val="nb-NO"/>
              </w:rPr>
              <w:t>95 &lt;&gt; 145</w:t>
            </w:r>
          </w:p>
        </w:tc>
        <w:tc>
          <w:tcPr>
            <w:tcW w:w="2557" w:type="dxa"/>
            <w:vAlign w:val="center"/>
          </w:tcPr>
          <w:p w14:paraId="3CC43AD5" w14:textId="77777777" w:rsidR="000F6463" w:rsidRPr="00924318" w:rsidRDefault="000F6463" w:rsidP="00924318">
            <w:pPr>
              <w:jc w:val="center"/>
              <w:rPr>
                <w:rFonts w:cs="Times New Roman"/>
                <w:sz w:val="20"/>
                <w:szCs w:val="20"/>
              </w:rPr>
            </w:pPr>
            <w:r w:rsidRPr="00924318">
              <w:rPr>
                <w:rFonts w:cs="Times New Roman"/>
                <w:noProof/>
                <w:sz w:val="20"/>
                <w:szCs w:val="20"/>
                <w:lang w:val="nb-NO"/>
              </w:rPr>
              <w:drawing>
                <wp:inline distT="0" distB="0" distL="0" distR="0" wp14:anchorId="6FC59701" wp14:editId="0A3EF4FB">
                  <wp:extent cx="1486535" cy="902335"/>
                  <wp:effectExtent l="0" t="0" r="0" b="0"/>
                  <wp:docPr id="74549452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5494521" name=""/>
                          <pic:cNvPicPr/>
                        </pic:nvPicPr>
                        <pic:blipFill>
                          <a:blip r:embed="rId68"/>
                          <a:stretch>
                            <a:fillRect/>
                          </a:stretch>
                        </pic:blipFill>
                        <pic:spPr>
                          <a:xfrm>
                            <a:off x="0" y="0"/>
                            <a:ext cx="1486535" cy="902335"/>
                          </a:xfrm>
                          <a:prstGeom prst="rect">
                            <a:avLst/>
                          </a:prstGeom>
                        </pic:spPr>
                      </pic:pic>
                    </a:graphicData>
                  </a:graphic>
                </wp:inline>
              </w:drawing>
            </w:r>
          </w:p>
        </w:tc>
      </w:tr>
      <w:tr w:rsidR="00924318" w:rsidRPr="00924318" w14:paraId="410CF368" w14:textId="77777777" w:rsidTr="00924318">
        <w:tc>
          <w:tcPr>
            <w:tcW w:w="2375" w:type="dxa"/>
            <w:shd w:val="clear" w:color="auto" w:fill="8EA5B6"/>
            <w:vAlign w:val="center"/>
          </w:tcPr>
          <w:p w14:paraId="4E48C0D2" w14:textId="77777777" w:rsidR="00924318" w:rsidRPr="00924318" w:rsidRDefault="00924318" w:rsidP="00924318">
            <w:pPr>
              <w:jc w:val="center"/>
              <w:rPr>
                <w:rFonts w:cs="Times New Roman"/>
                <w:b/>
                <w:bCs/>
                <w:sz w:val="20"/>
                <w:szCs w:val="20"/>
              </w:rPr>
            </w:pPr>
            <w:r w:rsidRPr="00924318">
              <w:rPr>
                <w:rFonts w:cs="Times New Roman"/>
                <w:b/>
                <w:bCs/>
                <w:sz w:val="20"/>
                <w:szCs w:val="20"/>
              </w:rPr>
              <w:t>Product PCM</w:t>
            </w:r>
          </w:p>
        </w:tc>
        <w:tc>
          <w:tcPr>
            <w:tcW w:w="7253" w:type="dxa"/>
            <w:gridSpan w:val="3"/>
            <w:shd w:val="clear" w:color="auto" w:fill="8EA5B6"/>
            <w:vAlign w:val="center"/>
          </w:tcPr>
          <w:p w14:paraId="39E92A6A" w14:textId="69ADB277" w:rsidR="00924318" w:rsidRPr="00924318" w:rsidRDefault="00924318" w:rsidP="00924318">
            <w:pPr>
              <w:jc w:val="center"/>
              <w:rPr>
                <w:rFonts w:cs="Times New Roman"/>
                <w:b/>
                <w:bCs/>
                <w:sz w:val="20"/>
                <w:szCs w:val="20"/>
              </w:rPr>
            </w:pPr>
            <w:r w:rsidRPr="00924318">
              <w:rPr>
                <w:rFonts w:cs="Times New Roman"/>
                <w:b/>
                <w:bCs/>
                <w:sz w:val="20"/>
                <w:szCs w:val="20"/>
              </w:rPr>
              <w:t>Description</w:t>
            </w:r>
          </w:p>
        </w:tc>
      </w:tr>
      <w:tr w:rsidR="000F6463" w:rsidRPr="00924318" w14:paraId="7E2AF07B" w14:textId="77777777" w:rsidTr="00924318">
        <w:tc>
          <w:tcPr>
            <w:tcW w:w="2375" w:type="dxa"/>
            <w:vAlign w:val="center"/>
          </w:tcPr>
          <w:p w14:paraId="28E2C0E3" w14:textId="77777777" w:rsidR="000F6463" w:rsidRPr="00924318" w:rsidRDefault="000F6463" w:rsidP="00924318">
            <w:pPr>
              <w:jc w:val="center"/>
              <w:rPr>
                <w:rFonts w:cs="Times New Roman"/>
                <w:sz w:val="20"/>
                <w:szCs w:val="20"/>
              </w:rPr>
            </w:pPr>
            <w:r w:rsidRPr="00924318">
              <w:rPr>
                <w:rFonts w:cs="Times New Roman"/>
                <w:sz w:val="20"/>
                <w:szCs w:val="20"/>
                <w:lang w:val="nb-NO"/>
              </w:rPr>
              <w:t>Macroencapsulation Thermal packs</w:t>
            </w:r>
          </w:p>
        </w:tc>
        <w:tc>
          <w:tcPr>
            <w:tcW w:w="4696" w:type="dxa"/>
            <w:gridSpan w:val="2"/>
            <w:vAlign w:val="center"/>
          </w:tcPr>
          <w:p w14:paraId="1E0E91B8" w14:textId="25501E41" w:rsidR="000F6463" w:rsidRPr="00924318" w:rsidRDefault="000F6463" w:rsidP="00924318">
            <w:pPr>
              <w:jc w:val="center"/>
              <w:rPr>
                <w:rFonts w:cs="Times New Roman"/>
                <w:sz w:val="20"/>
                <w:szCs w:val="20"/>
                <w:lang w:val="en-US"/>
              </w:rPr>
            </w:pPr>
            <w:r w:rsidRPr="00924318">
              <w:rPr>
                <w:rFonts w:cs="Times New Roman"/>
                <w:sz w:val="20"/>
                <w:szCs w:val="20"/>
                <w:lang w:val="en-US"/>
              </w:rPr>
              <w:t>Cool packs filled with PCM are often used in cold chain logistics. They enable passive temperature control of insulated transport boxes. The</w:t>
            </w:r>
            <w:r w:rsidR="001C18D7">
              <w:rPr>
                <w:rFonts w:cs="Times New Roman"/>
                <w:sz w:val="20"/>
                <w:szCs w:val="20"/>
                <w:lang w:val="en-US"/>
              </w:rPr>
              <w:t>se PCM-filled cold packs aim</w:t>
            </w:r>
            <w:r w:rsidRPr="00924318">
              <w:rPr>
                <w:rFonts w:cs="Times New Roman"/>
                <w:sz w:val="20"/>
                <w:szCs w:val="20"/>
                <w:lang w:val="en-US"/>
              </w:rPr>
              <w:t xml:space="preserve"> to keep the temperature constant at a defined level. Depending on the melting point of the PCM used, the temperature to be stabilized can be freely selected</w:t>
            </w:r>
          </w:p>
        </w:tc>
        <w:tc>
          <w:tcPr>
            <w:tcW w:w="2557" w:type="dxa"/>
            <w:vAlign w:val="center"/>
          </w:tcPr>
          <w:p w14:paraId="2FF8FDBC" w14:textId="77777777" w:rsidR="000F6463" w:rsidRPr="00924318" w:rsidRDefault="000F6463" w:rsidP="00924318">
            <w:pPr>
              <w:jc w:val="center"/>
              <w:rPr>
                <w:rFonts w:cs="Times New Roman"/>
                <w:sz w:val="20"/>
                <w:szCs w:val="20"/>
              </w:rPr>
            </w:pPr>
            <w:r w:rsidRPr="00924318">
              <w:rPr>
                <w:rFonts w:cs="Times New Roman"/>
                <w:noProof/>
                <w:sz w:val="20"/>
                <w:szCs w:val="20"/>
                <w:lang w:val="nb-NO"/>
              </w:rPr>
              <w:drawing>
                <wp:inline distT="0" distB="0" distL="0" distR="0" wp14:anchorId="2C48FF27" wp14:editId="077136F7">
                  <wp:extent cx="1303020" cy="729615"/>
                  <wp:effectExtent l="0" t="0" r="0" b="0"/>
                  <wp:docPr id="1412249027" name="Immagine 1" descr="Immagine che contiene plastic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2249027" name="Immagine 1" descr="Immagine che contiene plastica&#10;&#10;Il contenuto generato dall'IA potrebbe non essere corretto."/>
                          <pic:cNvPicPr/>
                        </pic:nvPicPr>
                        <pic:blipFill>
                          <a:blip r:embed="rId69"/>
                          <a:stretch>
                            <a:fillRect/>
                          </a:stretch>
                        </pic:blipFill>
                        <pic:spPr>
                          <a:xfrm>
                            <a:off x="0" y="0"/>
                            <a:ext cx="1303020" cy="729615"/>
                          </a:xfrm>
                          <a:prstGeom prst="rect">
                            <a:avLst/>
                          </a:prstGeom>
                        </pic:spPr>
                      </pic:pic>
                    </a:graphicData>
                  </a:graphic>
                </wp:inline>
              </w:drawing>
            </w:r>
          </w:p>
        </w:tc>
      </w:tr>
      <w:tr w:rsidR="000F6463" w:rsidRPr="00924318" w14:paraId="16CE3B7C" w14:textId="77777777" w:rsidTr="00924318">
        <w:trPr>
          <w:trHeight w:val="1641"/>
        </w:trPr>
        <w:tc>
          <w:tcPr>
            <w:tcW w:w="2375" w:type="dxa"/>
            <w:vAlign w:val="center"/>
          </w:tcPr>
          <w:p w14:paraId="0582293B" w14:textId="77777777" w:rsidR="000F6463" w:rsidRPr="00924318" w:rsidRDefault="000F6463" w:rsidP="00924318">
            <w:pPr>
              <w:jc w:val="center"/>
              <w:rPr>
                <w:rFonts w:cs="Times New Roman"/>
                <w:sz w:val="20"/>
                <w:szCs w:val="20"/>
              </w:rPr>
            </w:pPr>
          </w:p>
          <w:p w14:paraId="6D74614C" w14:textId="77777777" w:rsidR="000F6463" w:rsidRPr="00924318" w:rsidRDefault="000F6463" w:rsidP="00924318">
            <w:pPr>
              <w:jc w:val="center"/>
              <w:rPr>
                <w:rFonts w:cs="Times New Roman"/>
                <w:sz w:val="20"/>
                <w:szCs w:val="20"/>
                <w:lang w:val="nb-NO"/>
              </w:rPr>
            </w:pPr>
            <w:r w:rsidRPr="00924318">
              <w:rPr>
                <w:rFonts w:cs="Times New Roman"/>
                <w:sz w:val="20"/>
                <w:szCs w:val="20"/>
                <w:lang w:val="nb-NO"/>
              </w:rPr>
              <w:t>Microencapsulation-CSM</w:t>
            </w:r>
          </w:p>
        </w:tc>
        <w:tc>
          <w:tcPr>
            <w:tcW w:w="4696" w:type="dxa"/>
            <w:gridSpan w:val="2"/>
            <w:vAlign w:val="center"/>
          </w:tcPr>
          <w:p w14:paraId="24C58889" w14:textId="47EA1996" w:rsidR="000F6463" w:rsidRPr="00924318" w:rsidRDefault="000F6463" w:rsidP="00924318">
            <w:pPr>
              <w:jc w:val="center"/>
              <w:rPr>
                <w:rFonts w:cs="Times New Roman"/>
                <w:sz w:val="20"/>
                <w:szCs w:val="20"/>
                <w:lang w:val="en-US"/>
              </w:rPr>
            </w:pPr>
            <w:r w:rsidRPr="00924318">
              <w:rPr>
                <w:rFonts w:cs="Times New Roman"/>
                <w:sz w:val="20"/>
                <w:szCs w:val="20"/>
                <w:lang w:val="en-US"/>
              </w:rPr>
              <w:t xml:space="preserve">SM (compact storage modules) are widely established aluminum cases </w:t>
            </w:r>
            <w:r w:rsidR="001C18D7">
              <w:rPr>
                <w:rFonts w:cs="Times New Roman"/>
                <w:sz w:val="20"/>
                <w:szCs w:val="20"/>
                <w:lang w:val="en-US"/>
              </w:rPr>
              <w:t>that</w:t>
            </w:r>
            <w:r w:rsidRPr="00924318">
              <w:rPr>
                <w:rFonts w:cs="Times New Roman"/>
                <w:sz w:val="20"/>
                <w:szCs w:val="20"/>
                <w:lang w:val="en-US"/>
              </w:rPr>
              <w:t xml:space="preserve"> are filled with PCMs</w:t>
            </w:r>
            <w:r w:rsidR="00784D2D">
              <w:rPr>
                <w:rFonts w:cs="Times New Roman"/>
                <w:sz w:val="20"/>
                <w:szCs w:val="20"/>
                <w:lang w:val="en-US"/>
              </w:rPr>
              <w:t xml:space="preserve">. </w:t>
            </w:r>
            <w:r w:rsidRPr="00924318">
              <w:rPr>
                <w:rFonts w:cs="Times New Roman"/>
                <w:sz w:val="20"/>
                <w:szCs w:val="20"/>
                <w:lang w:val="en-US"/>
              </w:rPr>
              <w:t>This packaging, which is also called macroencapsulation, enables a variety of applications. The advantage lies in the fact that phase change (from solid to liquid and vice versa) is established within the case</w:t>
            </w:r>
          </w:p>
        </w:tc>
        <w:tc>
          <w:tcPr>
            <w:tcW w:w="2557" w:type="dxa"/>
            <w:vAlign w:val="center"/>
          </w:tcPr>
          <w:p w14:paraId="4913C736" w14:textId="77777777" w:rsidR="000F6463" w:rsidRPr="00924318" w:rsidRDefault="000F6463" w:rsidP="00924318">
            <w:pPr>
              <w:keepNext/>
              <w:jc w:val="center"/>
              <w:rPr>
                <w:rFonts w:cs="Times New Roman"/>
                <w:sz w:val="20"/>
                <w:szCs w:val="20"/>
              </w:rPr>
            </w:pPr>
            <w:r w:rsidRPr="00924318">
              <w:rPr>
                <w:rFonts w:cs="Times New Roman"/>
                <w:noProof/>
                <w:sz w:val="20"/>
                <w:szCs w:val="20"/>
                <w:lang w:val="nb-NO"/>
              </w:rPr>
              <w:drawing>
                <wp:inline distT="0" distB="0" distL="0" distR="0" wp14:anchorId="1D565343" wp14:editId="13C4E74B">
                  <wp:extent cx="1303020" cy="1013460"/>
                  <wp:effectExtent l="0" t="0" r="0" b="0"/>
                  <wp:docPr id="10842168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421684" name=""/>
                          <pic:cNvPicPr/>
                        </pic:nvPicPr>
                        <pic:blipFill>
                          <a:blip r:embed="rId70"/>
                          <a:stretch>
                            <a:fillRect/>
                          </a:stretch>
                        </pic:blipFill>
                        <pic:spPr>
                          <a:xfrm>
                            <a:off x="0" y="0"/>
                            <a:ext cx="1303020" cy="1013460"/>
                          </a:xfrm>
                          <a:prstGeom prst="rect">
                            <a:avLst/>
                          </a:prstGeom>
                        </pic:spPr>
                      </pic:pic>
                    </a:graphicData>
                  </a:graphic>
                </wp:inline>
              </w:drawing>
            </w:r>
          </w:p>
        </w:tc>
      </w:tr>
    </w:tbl>
    <w:p w14:paraId="0FBC3FC1" w14:textId="4E7EA151" w:rsidR="000F6463" w:rsidRDefault="000F6463" w:rsidP="000F6463">
      <w:pPr>
        <w:pStyle w:val="Caption"/>
        <w:rPr>
          <w:rFonts w:ascii="Times New Roman" w:hAnsi="Times New Roman" w:cs="Times New Roman"/>
          <w:b/>
          <w:bCs/>
        </w:rPr>
      </w:pPr>
      <w:bookmarkStart w:id="68" w:name="_Toc214362621"/>
      <w:bookmarkEnd w:id="65"/>
      <w:r w:rsidRPr="004C04A7">
        <w:rPr>
          <w:rFonts w:ascii="Times New Roman" w:hAnsi="Times New Roman" w:cs="Times New Roman"/>
        </w:rPr>
        <w:t xml:space="preserve">Table </w:t>
      </w:r>
      <w:r w:rsidR="00F43E9A">
        <w:rPr>
          <w:rFonts w:ascii="Times New Roman" w:hAnsi="Times New Roman" w:cs="Times New Roman"/>
        </w:rPr>
        <w:fldChar w:fldCharType="begin"/>
      </w:r>
      <w:r w:rsidR="00F43E9A">
        <w:rPr>
          <w:rFonts w:ascii="Times New Roman" w:hAnsi="Times New Roman" w:cs="Times New Roman"/>
        </w:rPr>
        <w:instrText xml:space="preserve"> STYLEREF 1 \s </w:instrText>
      </w:r>
      <w:r w:rsidR="00F43E9A">
        <w:rPr>
          <w:rFonts w:ascii="Times New Roman" w:hAnsi="Times New Roman" w:cs="Times New Roman"/>
        </w:rPr>
        <w:fldChar w:fldCharType="separate"/>
      </w:r>
      <w:r w:rsidR="000412CE">
        <w:rPr>
          <w:rFonts w:ascii="Times New Roman" w:hAnsi="Times New Roman" w:cs="Times New Roman"/>
          <w:noProof/>
        </w:rPr>
        <w:t>1</w:t>
      </w:r>
      <w:r w:rsidR="00F43E9A">
        <w:rPr>
          <w:rFonts w:ascii="Times New Roman" w:hAnsi="Times New Roman" w:cs="Times New Roman"/>
        </w:rPr>
        <w:fldChar w:fldCharType="end"/>
      </w:r>
      <w:r w:rsidR="00F43E9A">
        <w:rPr>
          <w:rFonts w:ascii="Times New Roman" w:hAnsi="Times New Roman" w:cs="Times New Roman"/>
        </w:rPr>
        <w:t>.</w:t>
      </w:r>
      <w:r w:rsidR="00F43E9A">
        <w:rPr>
          <w:rFonts w:ascii="Times New Roman" w:hAnsi="Times New Roman" w:cs="Times New Roman"/>
        </w:rPr>
        <w:fldChar w:fldCharType="begin"/>
      </w:r>
      <w:r w:rsidR="00F43E9A">
        <w:rPr>
          <w:rFonts w:ascii="Times New Roman" w:hAnsi="Times New Roman" w:cs="Times New Roman"/>
        </w:rPr>
        <w:instrText xml:space="preserve"> SEQ Table \* ARABIC \s 1 </w:instrText>
      </w:r>
      <w:r w:rsidR="00F43E9A">
        <w:rPr>
          <w:rFonts w:ascii="Times New Roman" w:hAnsi="Times New Roman" w:cs="Times New Roman"/>
        </w:rPr>
        <w:fldChar w:fldCharType="separate"/>
      </w:r>
      <w:r w:rsidR="000412CE">
        <w:rPr>
          <w:rFonts w:ascii="Times New Roman" w:hAnsi="Times New Roman" w:cs="Times New Roman"/>
          <w:noProof/>
        </w:rPr>
        <w:t>16</w:t>
      </w:r>
      <w:r w:rsidR="00F43E9A">
        <w:rPr>
          <w:rFonts w:ascii="Times New Roman" w:hAnsi="Times New Roman" w:cs="Times New Roman"/>
        </w:rPr>
        <w:fldChar w:fldCharType="end"/>
      </w:r>
      <w:r w:rsidRPr="004C04A7">
        <w:rPr>
          <w:rFonts w:ascii="Times New Roman" w:hAnsi="Times New Roman" w:cs="Times New Roman"/>
        </w:rPr>
        <w:t>. Overview of representative PCM products: pure PCMs with melting-temperature ranges and heat-storage capacity; bound PX powders; and encapsulated solutions with brief application notes</w:t>
      </w:r>
      <w:r w:rsidRPr="004C04A7">
        <w:t>.</w:t>
      </w:r>
      <w:bookmarkEnd w:id="68"/>
    </w:p>
    <w:p w14:paraId="43E686EF" w14:textId="0BD323C7" w:rsidR="000F6463" w:rsidRPr="00924318" w:rsidRDefault="000F6463" w:rsidP="000F6463">
      <w:pPr>
        <w:rPr>
          <w:rFonts w:cs="Times New Roman"/>
          <w:lang w:val="en-US"/>
        </w:rPr>
      </w:pPr>
      <w:r w:rsidRPr="00924318">
        <w:rPr>
          <w:rFonts w:cs="Times New Roman"/>
          <w:b/>
          <w:bCs/>
          <w:lang w:val="en-US"/>
        </w:rPr>
        <w:t>Phase Change Solutions</w:t>
      </w:r>
      <w:r w:rsidRPr="00924318">
        <w:rPr>
          <w:rFonts w:cs="Times New Roman"/>
          <w:lang w:val="en-US"/>
        </w:rPr>
        <w:t>. Phase Change Solutions is a global leader in thermal control and energy-efficient technologies, using PCMs to maintain stable temperatures across a wide range of applications. Its BioPCM® products are used in food and pharmaceutical logistics, building systems, telecommunications, and data centers, helping to save energy and support the achievement of the Sustainable Development Goals (SDGs).</w:t>
      </w:r>
      <w:hyperlink r:id="rId71" w:history="1">
        <w:r w:rsidRPr="00924318">
          <w:rPr>
            <w:rStyle w:val="Hyperlink"/>
            <w:rFonts w:cs="Times New Roman"/>
            <w:lang w:val="en-US"/>
          </w:rPr>
          <w:t>https://phasechange.com/products-biopcm/</w:t>
        </w:r>
      </w:hyperlink>
      <w:r w:rsidRPr="00924318">
        <w:rPr>
          <w:rFonts w:cs="Times New Roman"/>
          <w:lang w:val="en-US"/>
        </w:rPr>
        <w:t xml:space="preserve"> </w:t>
      </w:r>
    </w:p>
    <w:p w14:paraId="7DD36506" w14:textId="69EED607" w:rsidR="000F6463" w:rsidRDefault="000F6463" w:rsidP="000F6463">
      <w:pPr>
        <w:rPr>
          <w:rFonts w:cs="Times New Roman"/>
          <w:lang w:val="en-US"/>
        </w:rPr>
      </w:pPr>
      <w:r w:rsidRPr="00924318">
        <w:rPr>
          <w:rFonts w:cs="Times New Roman"/>
          <w:i/>
          <w:iCs/>
          <w:lang w:val="en-US"/>
        </w:rPr>
        <w:t>BioPCM</w:t>
      </w:r>
      <w:r w:rsidRPr="00924318">
        <w:rPr>
          <w:rFonts w:cs="Times New Roman"/>
          <w:lang w:val="en-US"/>
        </w:rPr>
        <w:t xml:space="preserve">. It is a tunable, non-toxic, non-corrosive, non-flammable, recyclable, and eco-friendly material, available in different forms (liquid, gel, or solid). Thanks to this versatility, it can be used in various types of packaging and is also available in dual-temperature formulations. Table </w:t>
      </w:r>
      <w:r w:rsidR="00924318" w:rsidRPr="00924318">
        <w:rPr>
          <w:rFonts w:cs="Times New Roman"/>
          <w:lang w:val="en-US"/>
        </w:rPr>
        <w:t>1.</w:t>
      </w:r>
      <w:r w:rsidRPr="00924318">
        <w:rPr>
          <w:rFonts w:cs="Times New Roman"/>
          <w:lang w:val="en-US"/>
        </w:rPr>
        <w:t>17 presents BioPCM® grades Q20, Q23, and Q25</w:t>
      </w:r>
      <w:r w:rsidR="001C18D7">
        <w:rPr>
          <w:rFonts w:cs="Times New Roman"/>
          <w:lang w:val="en-US"/>
        </w:rPr>
        <w:t>,</w:t>
      </w:r>
      <w:r w:rsidRPr="00924318">
        <w:rPr>
          <w:rFonts w:cs="Times New Roman"/>
          <w:lang w:val="en-US"/>
        </w:rPr>
        <w:t xml:space="preserve"> summarizing their key properties and typical operating range.</w:t>
      </w:r>
    </w:p>
    <w:p w14:paraId="770CE0DA" w14:textId="77777777" w:rsidR="00E21C63" w:rsidRDefault="00E21C63" w:rsidP="000F6463">
      <w:pPr>
        <w:rPr>
          <w:rFonts w:cs="Times New Roman"/>
          <w:lang w:val="en-US"/>
        </w:rPr>
      </w:pPr>
    </w:p>
    <w:tbl>
      <w:tblPr>
        <w:tblStyle w:val="TableGrid"/>
        <w:tblW w:w="9163" w:type="dxa"/>
        <w:tblLook w:val="04A0" w:firstRow="1" w:lastRow="0" w:firstColumn="1" w:lastColumn="0" w:noHBand="0" w:noVBand="1"/>
      </w:tblPr>
      <w:tblGrid>
        <w:gridCol w:w="4266"/>
        <w:gridCol w:w="4897"/>
      </w:tblGrid>
      <w:tr w:rsidR="00924318" w:rsidRPr="00924318" w14:paraId="76D40B76" w14:textId="77777777" w:rsidTr="00E21C63">
        <w:trPr>
          <w:trHeight w:val="510"/>
        </w:trPr>
        <w:tc>
          <w:tcPr>
            <w:tcW w:w="4266" w:type="dxa"/>
            <w:shd w:val="clear" w:color="auto" w:fill="8EA5B6"/>
            <w:vAlign w:val="center"/>
          </w:tcPr>
          <w:p w14:paraId="4B2F2A9D" w14:textId="77777777" w:rsidR="00E21C63" w:rsidRPr="00E21C63" w:rsidRDefault="00E21C63" w:rsidP="00E21C63">
            <w:pPr>
              <w:jc w:val="center"/>
              <w:rPr>
                <w:rFonts w:cs="Times New Roman"/>
                <w:b/>
                <w:bCs/>
                <w:sz w:val="18"/>
                <w:szCs w:val="18"/>
                <w:lang w:val="en-US"/>
              </w:rPr>
            </w:pPr>
            <w:bookmarkStart w:id="69" w:name="_Hlk211154906"/>
            <w:r w:rsidRPr="00924318">
              <w:rPr>
                <w:rFonts w:cs="Times New Roman"/>
                <w:b/>
                <w:bCs/>
                <w:sz w:val="18"/>
                <w:szCs w:val="18"/>
                <w:lang w:val="en-US"/>
              </w:rPr>
              <w:t>Product</w:t>
            </w:r>
          </w:p>
          <w:p w14:paraId="5EEB77A3" w14:textId="147AEEFD" w:rsidR="00924318" w:rsidRPr="00924318" w:rsidRDefault="00E21C63" w:rsidP="00E21C63">
            <w:pPr>
              <w:jc w:val="center"/>
              <w:rPr>
                <w:rFonts w:cs="Times New Roman"/>
                <w:b/>
                <w:bCs/>
                <w:sz w:val="18"/>
                <w:szCs w:val="18"/>
                <w:lang w:val="en-US"/>
              </w:rPr>
            </w:pPr>
            <w:r w:rsidRPr="00E21C63">
              <w:rPr>
                <w:rFonts w:cs="Times New Roman"/>
                <w:b/>
                <w:bCs/>
                <w:sz w:val="18"/>
                <w:szCs w:val="18"/>
              </w:rPr>
              <w:t xml:space="preserve"> </w:t>
            </w:r>
            <w:r w:rsidR="00924318" w:rsidRPr="00924318">
              <w:rPr>
                <w:rFonts w:cs="Times New Roman"/>
                <w:b/>
                <w:bCs/>
                <w:sz w:val="18"/>
                <w:szCs w:val="18"/>
              </w:rPr>
              <w:object w:dxaOrig="2730" w:dyaOrig="630" w14:anchorId="000360E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8pt;height:31.5pt" o:ole="">
                  <v:imagedata r:id="rId72" o:title=""/>
                </v:shape>
                <o:OLEObject Type="Embed" ProgID="PBrush" ShapeID="_x0000_i1025" DrawAspect="Content" ObjectID="_1824977756" r:id="rId73"/>
              </w:object>
            </w:r>
          </w:p>
          <w:p w14:paraId="0A598D4C" w14:textId="77777777" w:rsidR="00924318" w:rsidRPr="00924318" w:rsidRDefault="00924318" w:rsidP="00E21C63">
            <w:pPr>
              <w:jc w:val="center"/>
              <w:rPr>
                <w:rFonts w:cs="Times New Roman"/>
                <w:b/>
                <w:bCs/>
                <w:sz w:val="18"/>
                <w:szCs w:val="18"/>
                <w:lang w:val="en-US"/>
              </w:rPr>
            </w:pPr>
          </w:p>
        </w:tc>
        <w:tc>
          <w:tcPr>
            <w:tcW w:w="4897" w:type="dxa"/>
            <w:shd w:val="clear" w:color="auto" w:fill="8EA5B6"/>
            <w:vAlign w:val="center"/>
            <w:hideMark/>
          </w:tcPr>
          <w:p w14:paraId="02B5A51D" w14:textId="77777777" w:rsidR="00E21C63" w:rsidRPr="00E21C63" w:rsidRDefault="00E21C63" w:rsidP="00E21C63">
            <w:pPr>
              <w:jc w:val="center"/>
              <w:rPr>
                <w:rFonts w:cs="Times New Roman"/>
                <w:b/>
                <w:bCs/>
                <w:sz w:val="18"/>
                <w:szCs w:val="18"/>
              </w:rPr>
            </w:pPr>
            <w:r w:rsidRPr="00E21C63">
              <w:rPr>
                <w:rFonts w:cs="Times New Roman"/>
                <w:b/>
                <w:bCs/>
                <w:sz w:val="18"/>
                <w:szCs w:val="18"/>
              </w:rPr>
              <w:t>Q20</w:t>
            </w:r>
          </w:p>
          <w:p w14:paraId="288E515C" w14:textId="53EE9421" w:rsidR="00924318" w:rsidRPr="00924318" w:rsidRDefault="00924318" w:rsidP="00E21C63">
            <w:pPr>
              <w:jc w:val="center"/>
              <w:rPr>
                <w:rFonts w:cs="Times New Roman"/>
                <w:b/>
                <w:bCs/>
                <w:sz w:val="18"/>
                <w:szCs w:val="18"/>
                <w:lang w:val="en-US"/>
              </w:rPr>
            </w:pPr>
            <w:r w:rsidRPr="00924318">
              <w:rPr>
                <w:rFonts w:cs="Times New Roman"/>
                <w:b/>
                <w:bCs/>
                <w:sz w:val="18"/>
                <w:szCs w:val="18"/>
              </w:rPr>
              <w:object w:dxaOrig="3405" w:dyaOrig="2535" w14:anchorId="1CA91213">
                <v:shape id="_x0000_i1026" type="#_x0000_t75" style="width:170.95pt;height:126pt" o:ole="">
                  <v:imagedata r:id="rId74" o:title=""/>
                </v:shape>
                <o:OLEObject Type="Embed" ProgID="PBrush" ShapeID="_x0000_i1026" DrawAspect="Content" ObjectID="_1824977757" r:id="rId75"/>
              </w:object>
            </w:r>
          </w:p>
        </w:tc>
      </w:tr>
      <w:tr w:rsidR="00924318" w:rsidRPr="00736B36" w14:paraId="0D3097AD" w14:textId="77777777" w:rsidTr="00E21C63">
        <w:trPr>
          <w:trHeight w:val="457"/>
        </w:trPr>
        <w:tc>
          <w:tcPr>
            <w:tcW w:w="4266" w:type="dxa"/>
            <w:vAlign w:val="center"/>
            <w:hideMark/>
          </w:tcPr>
          <w:p w14:paraId="3FC8B44A"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Type of material</w:t>
            </w:r>
          </w:p>
        </w:tc>
        <w:tc>
          <w:tcPr>
            <w:tcW w:w="4897" w:type="dxa"/>
            <w:vAlign w:val="center"/>
          </w:tcPr>
          <w:p w14:paraId="11B94FA1"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Derived from natural agricultural sources (such as vegetable oils and their derivatives)</w:t>
            </w:r>
          </w:p>
        </w:tc>
      </w:tr>
      <w:tr w:rsidR="00924318" w:rsidRPr="00924318" w14:paraId="329FB3A4" w14:textId="77777777" w:rsidTr="00E21C63">
        <w:tc>
          <w:tcPr>
            <w:tcW w:w="4266" w:type="dxa"/>
            <w:vAlign w:val="center"/>
            <w:hideMark/>
          </w:tcPr>
          <w:p w14:paraId="1C378691"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Melting temperature [°C]</w:t>
            </w:r>
          </w:p>
        </w:tc>
        <w:tc>
          <w:tcPr>
            <w:tcW w:w="4897" w:type="dxa"/>
            <w:vAlign w:val="center"/>
            <w:hideMark/>
          </w:tcPr>
          <w:p w14:paraId="19321D6E"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20</w:t>
            </w:r>
          </w:p>
        </w:tc>
      </w:tr>
      <w:tr w:rsidR="00924318" w:rsidRPr="00924318" w14:paraId="0C9F48D0" w14:textId="77777777" w:rsidTr="00E21C63">
        <w:tc>
          <w:tcPr>
            <w:tcW w:w="4266" w:type="dxa"/>
            <w:vAlign w:val="center"/>
            <w:hideMark/>
          </w:tcPr>
          <w:p w14:paraId="33BB7AA3"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Density [g/mL]</w:t>
            </w:r>
          </w:p>
        </w:tc>
        <w:tc>
          <w:tcPr>
            <w:tcW w:w="4897" w:type="dxa"/>
            <w:vAlign w:val="center"/>
            <w:hideMark/>
          </w:tcPr>
          <w:p w14:paraId="3A5C93CF"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0.85 - 1.4</w:t>
            </w:r>
          </w:p>
        </w:tc>
      </w:tr>
      <w:tr w:rsidR="00924318" w:rsidRPr="00924318" w14:paraId="3047014D" w14:textId="77777777" w:rsidTr="00E21C63">
        <w:tc>
          <w:tcPr>
            <w:tcW w:w="4266" w:type="dxa"/>
            <w:vAlign w:val="center"/>
            <w:hideMark/>
          </w:tcPr>
          <w:p w14:paraId="55B91A85" w14:textId="77777777" w:rsidR="00924318" w:rsidRPr="00924318" w:rsidRDefault="00924318" w:rsidP="00E21C63">
            <w:pPr>
              <w:jc w:val="center"/>
              <w:rPr>
                <w:rFonts w:cs="Times New Roman"/>
                <w:sz w:val="18"/>
                <w:szCs w:val="18"/>
                <w:lang w:val="nb-NO"/>
              </w:rPr>
            </w:pPr>
            <w:r w:rsidRPr="00924318">
              <w:rPr>
                <w:rFonts w:cs="Times New Roman"/>
                <w:sz w:val="18"/>
                <w:szCs w:val="18"/>
                <w:lang w:val="nb-NO"/>
              </w:rPr>
              <w:t>Latent heat [J/g]</w:t>
            </w:r>
          </w:p>
        </w:tc>
        <w:tc>
          <w:tcPr>
            <w:tcW w:w="4897" w:type="dxa"/>
            <w:vAlign w:val="center"/>
            <w:hideMark/>
          </w:tcPr>
          <w:p w14:paraId="393B3AAE"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210 – 250</w:t>
            </w:r>
          </w:p>
        </w:tc>
      </w:tr>
      <w:tr w:rsidR="00924318" w:rsidRPr="00924318" w14:paraId="757AC4EF" w14:textId="77777777" w:rsidTr="00E21C63">
        <w:tc>
          <w:tcPr>
            <w:tcW w:w="4266" w:type="dxa"/>
            <w:vAlign w:val="center"/>
          </w:tcPr>
          <w:p w14:paraId="2F09A384"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Specific heat [J/g]</w:t>
            </w:r>
          </w:p>
        </w:tc>
        <w:tc>
          <w:tcPr>
            <w:tcW w:w="4897" w:type="dxa"/>
            <w:vAlign w:val="center"/>
            <w:hideMark/>
          </w:tcPr>
          <w:p w14:paraId="1FD2CFCE"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2.2 - 4.5</w:t>
            </w:r>
          </w:p>
        </w:tc>
      </w:tr>
      <w:tr w:rsidR="00924318" w:rsidRPr="00924318" w14:paraId="5C2EE505" w14:textId="77777777" w:rsidTr="00E21C63">
        <w:tc>
          <w:tcPr>
            <w:tcW w:w="4266" w:type="dxa"/>
            <w:vAlign w:val="center"/>
            <w:hideMark/>
          </w:tcPr>
          <w:p w14:paraId="01E20063"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lastRenderedPageBreak/>
              <w:t>Thermal conductivity [W/mK]</w:t>
            </w:r>
          </w:p>
        </w:tc>
        <w:tc>
          <w:tcPr>
            <w:tcW w:w="4897" w:type="dxa"/>
            <w:vAlign w:val="center"/>
            <w:hideMark/>
          </w:tcPr>
          <w:p w14:paraId="5635774F"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0.15 - 2.5</w:t>
            </w:r>
          </w:p>
        </w:tc>
      </w:tr>
      <w:tr w:rsidR="00924318" w:rsidRPr="00924318" w14:paraId="055B6018" w14:textId="77777777" w:rsidTr="00E21C63">
        <w:tc>
          <w:tcPr>
            <w:tcW w:w="4266" w:type="dxa"/>
            <w:vAlign w:val="center"/>
            <w:hideMark/>
          </w:tcPr>
          <w:p w14:paraId="0E14E110"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Heat storage capacity [J/m</w:t>
            </w:r>
            <w:r w:rsidRPr="00924318">
              <w:rPr>
                <w:rFonts w:cs="Times New Roman"/>
                <w:sz w:val="18"/>
                <w:szCs w:val="18"/>
                <w:vertAlign w:val="superscript"/>
                <w:lang w:val="en-US"/>
              </w:rPr>
              <w:t>2</w:t>
            </w:r>
            <w:r w:rsidRPr="00924318">
              <w:rPr>
                <w:rFonts w:cs="Times New Roman"/>
                <w:sz w:val="18"/>
                <w:szCs w:val="18"/>
                <w:lang w:val="en-US"/>
              </w:rPr>
              <w:t>]</w:t>
            </w:r>
          </w:p>
        </w:tc>
        <w:tc>
          <w:tcPr>
            <w:tcW w:w="4897" w:type="dxa"/>
            <w:vAlign w:val="center"/>
            <w:hideMark/>
          </w:tcPr>
          <w:p w14:paraId="520ADA09"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400 – 1250</w:t>
            </w:r>
          </w:p>
        </w:tc>
      </w:tr>
      <w:tr w:rsidR="00924318" w:rsidRPr="00924318" w14:paraId="210F1790" w14:textId="77777777" w:rsidTr="00E21C63">
        <w:tc>
          <w:tcPr>
            <w:tcW w:w="4266" w:type="dxa"/>
            <w:vAlign w:val="center"/>
          </w:tcPr>
          <w:p w14:paraId="1D821D83" w14:textId="77777777" w:rsidR="00924318" w:rsidRPr="00924318" w:rsidRDefault="00924318" w:rsidP="00E21C63">
            <w:pPr>
              <w:jc w:val="center"/>
              <w:rPr>
                <w:rFonts w:cs="Times New Roman"/>
                <w:sz w:val="18"/>
                <w:szCs w:val="18"/>
                <w:lang w:val="en-US"/>
              </w:rPr>
            </w:pPr>
          </w:p>
        </w:tc>
        <w:tc>
          <w:tcPr>
            <w:tcW w:w="4897" w:type="dxa"/>
            <w:vAlign w:val="center"/>
          </w:tcPr>
          <w:p w14:paraId="23B2E530" w14:textId="77777777" w:rsidR="00924318" w:rsidRPr="00924318" w:rsidRDefault="00924318" w:rsidP="00E21C63">
            <w:pPr>
              <w:jc w:val="center"/>
              <w:rPr>
                <w:rFonts w:cs="Times New Roman"/>
                <w:sz w:val="18"/>
                <w:szCs w:val="18"/>
                <w:lang w:val="en-US"/>
              </w:rPr>
            </w:pPr>
          </w:p>
        </w:tc>
      </w:tr>
      <w:tr w:rsidR="00924318" w:rsidRPr="00924318" w14:paraId="1440D695" w14:textId="77777777" w:rsidTr="00E21C63">
        <w:trPr>
          <w:trHeight w:val="953"/>
        </w:trPr>
        <w:tc>
          <w:tcPr>
            <w:tcW w:w="4266" w:type="dxa"/>
            <w:shd w:val="clear" w:color="auto" w:fill="8EA5B6"/>
            <w:vAlign w:val="center"/>
          </w:tcPr>
          <w:p w14:paraId="5B07C0D5" w14:textId="77777777" w:rsidR="00924318" w:rsidRPr="00924318" w:rsidRDefault="00924318" w:rsidP="00E21C63">
            <w:pPr>
              <w:jc w:val="center"/>
              <w:rPr>
                <w:rFonts w:cs="Times New Roman"/>
                <w:b/>
                <w:bCs/>
                <w:sz w:val="18"/>
                <w:szCs w:val="18"/>
                <w:lang w:val="en-US"/>
              </w:rPr>
            </w:pPr>
            <w:r w:rsidRPr="00924318">
              <w:rPr>
                <w:rFonts w:cs="Times New Roman"/>
                <w:b/>
                <w:bCs/>
                <w:sz w:val="18"/>
                <w:szCs w:val="18"/>
                <w:lang w:val="en-US"/>
              </w:rPr>
              <w:t>Product</w:t>
            </w:r>
          </w:p>
          <w:p w14:paraId="537D9D32" w14:textId="77777777" w:rsidR="00924318" w:rsidRPr="00924318" w:rsidRDefault="00924318" w:rsidP="00E21C63">
            <w:pPr>
              <w:jc w:val="center"/>
              <w:rPr>
                <w:rFonts w:cs="Times New Roman"/>
                <w:b/>
                <w:bCs/>
                <w:sz w:val="18"/>
                <w:szCs w:val="18"/>
                <w:lang w:val="en-US"/>
              </w:rPr>
            </w:pPr>
            <w:r w:rsidRPr="00924318">
              <w:rPr>
                <w:rFonts w:cs="Times New Roman"/>
                <w:b/>
                <w:bCs/>
                <w:sz w:val="18"/>
                <w:szCs w:val="18"/>
              </w:rPr>
              <w:object w:dxaOrig="2745" w:dyaOrig="555" w14:anchorId="1D27376D">
                <v:shape id="_x0000_i1027" type="#_x0000_t75" style="width:137.95pt;height:28.5pt" o:ole="">
                  <v:imagedata r:id="rId76" o:title=""/>
                </v:shape>
                <o:OLEObject Type="Embed" ProgID="PBrush" ShapeID="_x0000_i1027" DrawAspect="Content" ObjectID="_1824977758" r:id="rId77"/>
              </w:object>
            </w:r>
          </w:p>
          <w:p w14:paraId="15045DA2" w14:textId="77777777" w:rsidR="00924318" w:rsidRPr="00924318" w:rsidRDefault="00924318" w:rsidP="00E21C63">
            <w:pPr>
              <w:jc w:val="center"/>
              <w:rPr>
                <w:rFonts w:cs="Times New Roman"/>
                <w:b/>
                <w:bCs/>
                <w:sz w:val="18"/>
                <w:szCs w:val="18"/>
                <w:lang w:val="en-US"/>
              </w:rPr>
            </w:pPr>
          </w:p>
        </w:tc>
        <w:tc>
          <w:tcPr>
            <w:tcW w:w="4897" w:type="dxa"/>
            <w:shd w:val="clear" w:color="auto" w:fill="8EA5B6"/>
            <w:vAlign w:val="center"/>
            <w:hideMark/>
          </w:tcPr>
          <w:p w14:paraId="6388DADA" w14:textId="77777777" w:rsidR="00924318" w:rsidRPr="00924318" w:rsidRDefault="00924318" w:rsidP="00E21C63">
            <w:pPr>
              <w:jc w:val="center"/>
              <w:rPr>
                <w:rFonts w:cs="Times New Roman"/>
                <w:b/>
                <w:bCs/>
                <w:sz w:val="18"/>
                <w:szCs w:val="18"/>
                <w:lang w:val="en-US"/>
              </w:rPr>
            </w:pPr>
            <w:r w:rsidRPr="00924318">
              <w:rPr>
                <w:rFonts w:cs="Times New Roman"/>
                <w:b/>
                <w:bCs/>
                <w:sz w:val="18"/>
                <w:szCs w:val="18"/>
                <w:lang w:val="en-US"/>
              </w:rPr>
              <w:t>Q23</w:t>
            </w:r>
          </w:p>
        </w:tc>
      </w:tr>
      <w:tr w:rsidR="00924318" w:rsidRPr="00736B36" w14:paraId="7F5ABC23" w14:textId="77777777" w:rsidTr="00E21C63">
        <w:tc>
          <w:tcPr>
            <w:tcW w:w="4266" w:type="dxa"/>
            <w:vAlign w:val="center"/>
            <w:hideMark/>
          </w:tcPr>
          <w:p w14:paraId="1674CF7F"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Type of material</w:t>
            </w:r>
          </w:p>
        </w:tc>
        <w:tc>
          <w:tcPr>
            <w:tcW w:w="4897" w:type="dxa"/>
            <w:vAlign w:val="center"/>
            <w:hideMark/>
          </w:tcPr>
          <w:p w14:paraId="1A490BE9"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Derived from natural agricultural sources (such as vegetable oils and their derivatives)</w:t>
            </w:r>
          </w:p>
        </w:tc>
      </w:tr>
      <w:tr w:rsidR="00924318" w:rsidRPr="00924318" w14:paraId="67A93926" w14:textId="77777777" w:rsidTr="00E21C63">
        <w:tc>
          <w:tcPr>
            <w:tcW w:w="4266" w:type="dxa"/>
            <w:vAlign w:val="center"/>
            <w:hideMark/>
          </w:tcPr>
          <w:p w14:paraId="56F08A64"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Melting temperature [°C]</w:t>
            </w:r>
          </w:p>
        </w:tc>
        <w:tc>
          <w:tcPr>
            <w:tcW w:w="4897" w:type="dxa"/>
            <w:vAlign w:val="center"/>
            <w:hideMark/>
          </w:tcPr>
          <w:p w14:paraId="64FA0BF2"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23</w:t>
            </w:r>
          </w:p>
        </w:tc>
      </w:tr>
      <w:tr w:rsidR="00924318" w:rsidRPr="00924318" w14:paraId="1BFF5038" w14:textId="77777777" w:rsidTr="00E21C63">
        <w:tc>
          <w:tcPr>
            <w:tcW w:w="4266" w:type="dxa"/>
            <w:vAlign w:val="center"/>
            <w:hideMark/>
          </w:tcPr>
          <w:p w14:paraId="620258C5"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Density [g/mL]</w:t>
            </w:r>
          </w:p>
        </w:tc>
        <w:tc>
          <w:tcPr>
            <w:tcW w:w="4897" w:type="dxa"/>
            <w:vAlign w:val="center"/>
            <w:hideMark/>
          </w:tcPr>
          <w:p w14:paraId="0F1461F9"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0.85 - 1.4</w:t>
            </w:r>
          </w:p>
        </w:tc>
      </w:tr>
      <w:tr w:rsidR="00924318" w:rsidRPr="00924318" w14:paraId="26B121A2" w14:textId="77777777" w:rsidTr="00E21C63">
        <w:tc>
          <w:tcPr>
            <w:tcW w:w="4266" w:type="dxa"/>
            <w:vAlign w:val="center"/>
            <w:hideMark/>
          </w:tcPr>
          <w:p w14:paraId="2CB5481D"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Latent heat [J/g]</w:t>
            </w:r>
          </w:p>
        </w:tc>
        <w:tc>
          <w:tcPr>
            <w:tcW w:w="4897" w:type="dxa"/>
            <w:vAlign w:val="center"/>
            <w:hideMark/>
          </w:tcPr>
          <w:p w14:paraId="419C5D39"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210 – 250</w:t>
            </w:r>
          </w:p>
        </w:tc>
      </w:tr>
      <w:tr w:rsidR="00924318" w:rsidRPr="00924318" w14:paraId="1136AF3F" w14:textId="77777777" w:rsidTr="00E21C63">
        <w:tc>
          <w:tcPr>
            <w:tcW w:w="4266" w:type="dxa"/>
            <w:vAlign w:val="center"/>
            <w:hideMark/>
          </w:tcPr>
          <w:p w14:paraId="74641A17"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Specific heat [J/gK]</w:t>
            </w:r>
          </w:p>
        </w:tc>
        <w:tc>
          <w:tcPr>
            <w:tcW w:w="4897" w:type="dxa"/>
            <w:vAlign w:val="center"/>
            <w:hideMark/>
          </w:tcPr>
          <w:p w14:paraId="3F49E72E"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2.2 - 4.5</w:t>
            </w:r>
          </w:p>
        </w:tc>
      </w:tr>
      <w:tr w:rsidR="00924318" w:rsidRPr="00924318" w14:paraId="369382D7" w14:textId="77777777" w:rsidTr="00E21C63">
        <w:tc>
          <w:tcPr>
            <w:tcW w:w="4266" w:type="dxa"/>
            <w:vAlign w:val="center"/>
          </w:tcPr>
          <w:p w14:paraId="79EDCE10"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Thermal conductivity [W/mK]</w:t>
            </w:r>
          </w:p>
        </w:tc>
        <w:tc>
          <w:tcPr>
            <w:tcW w:w="4897" w:type="dxa"/>
            <w:vAlign w:val="center"/>
            <w:hideMark/>
          </w:tcPr>
          <w:p w14:paraId="33073546"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0.15 - 2.5</w:t>
            </w:r>
          </w:p>
        </w:tc>
      </w:tr>
      <w:tr w:rsidR="00924318" w:rsidRPr="00924318" w14:paraId="43A282F5" w14:textId="77777777" w:rsidTr="00E21C63">
        <w:trPr>
          <w:trHeight w:val="172"/>
        </w:trPr>
        <w:tc>
          <w:tcPr>
            <w:tcW w:w="4266" w:type="dxa"/>
            <w:vAlign w:val="center"/>
          </w:tcPr>
          <w:p w14:paraId="540F45B9"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Heat storage capacity [J/m</w:t>
            </w:r>
            <w:r w:rsidRPr="00924318">
              <w:rPr>
                <w:rFonts w:cs="Times New Roman"/>
                <w:sz w:val="18"/>
                <w:szCs w:val="18"/>
                <w:vertAlign w:val="superscript"/>
                <w:lang w:val="en-US"/>
              </w:rPr>
              <w:t>2</w:t>
            </w:r>
            <w:r w:rsidRPr="00924318">
              <w:rPr>
                <w:rFonts w:cs="Times New Roman"/>
                <w:sz w:val="18"/>
                <w:szCs w:val="18"/>
                <w:lang w:val="en-US"/>
              </w:rPr>
              <w:t>]</w:t>
            </w:r>
          </w:p>
        </w:tc>
        <w:tc>
          <w:tcPr>
            <w:tcW w:w="4897" w:type="dxa"/>
            <w:vAlign w:val="center"/>
            <w:hideMark/>
          </w:tcPr>
          <w:p w14:paraId="68F2BF51"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400 – 1250</w:t>
            </w:r>
          </w:p>
        </w:tc>
      </w:tr>
      <w:tr w:rsidR="00924318" w:rsidRPr="00924318" w14:paraId="02C14D68" w14:textId="77777777" w:rsidTr="00E21C63">
        <w:trPr>
          <w:trHeight w:val="847"/>
        </w:trPr>
        <w:tc>
          <w:tcPr>
            <w:tcW w:w="4266" w:type="dxa"/>
            <w:shd w:val="clear" w:color="auto" w:fill="8EA5B6"/>
            <w:vAlign w:val="center"/>
            <w:hideMark/>
          </w:tcPr>
          <w:p w14:paraId="35484742" w14:textId="62226087" w:rsidR="00E21C63" w:rsidRPr="00E21C63" w:rsidRDefault="00E21C63" w:rsidP="00E21C63">
            <w:pPr>
              <w:jc w:val="center"/>
              <w:rPr>
                <w:rFonts w:cs="Times New Roman"/>
                <w:b/>
                <w:bCs/>
                <w:sz w:val="18"/>
                <w:szCs w:val="18"/>
              </w:rPr>
            </w:pPr>
            <w:r w:rsidRPr="00E21C63">
              <w:rPr>
                <w:rFonts w:cs="Times New Roman"/>
                <w:b/>
                <w:bCs/>
                <w:sz w:val="18"/>
                <w:szCs w:val="18"/>
              </w:rPr>
              <w:t>P</w:t>
            </w:r>
            <w:r>
              <w:rPr>
                <w:rFonts w:cs="Times New Roman"/>
                <w:b/>
                <w:bCs/>
                <w:sz w:val="18"/>
                <w:szCs w:val="18"/>
              </w:rPr>
              <w:t>r</w:t>
            </w:r>
            <w:r w:rsidRPr="00E21C63">
              <w:rPr>
                <w:rFonts w:cs="Times New Roman"/>
                <w:b/>
                <w:bCs/>
                <w:sz w:val="18"/>
                <w:szCs w:val="18"/>
              </w:rPr>
              <w:t xml:space="preserve">oduct </w:t>
            </w:r>
          </w:p>
          <w:p w14:paraId="3405C60F" w14:textId="45E9CC1D" w:rsidR="00924318" w:rsidRPr="00924318" w:rsidRDefault="00924318" w:rsidP="00E21C63">
            <w:pPr>
              <w:jc w:val="center"/>
              <w:rPr>
                <w:rFonts w:cs="Times New Roman"/>
                <w:b/>
                <w:bCs/>
                <w:sz w:val="18"/>
                <w:szCs w:val="18"/>
                <w:lang w:val="en-US"/>
              </w:rPr>
            </w:pPr>
            <w:r w:rsidRPr="00924318">
              <w:rPr>
                <w:rFonts w:cs="Times New Roman"/>
                <w:b/>
                <w:bCs/>
                <w:sz w:val="18"/>
                <w:szCs w:val="18"/>
              </w:rPr>
              <w:object w:dxaOrig="2940" w:dyaOrig="675" w14:anchorId="04860DB5">
                <v:shape id="_x0000_i1028" type="#_x0000_t75" style="width:147pt;height:33pt" o:ole="">
                  <v:imagedata r:id="rId78" o:title=""/>
                </v:shape>
                <o:OLEObject Type="Embed" ProgID="PBrush" ShapeID="_x0000_i1028" DrawAspect="Content" ObjectID="_1824977759" r:id="rId79"/>
              </w:object>
            </w:r>
          </w:p>
        </w:tc>
        <w:tc>
          <w:tcPr>
            <w:tcW w:w="4897" w:type="dxa"/>
            <w:shd w:val="clear" w:color="auto" w:fill="8EA5B6"/>
            <w:vAlign w:val="center"/>
          </w:tcPr>
          <w:p w14:paraId="5C8C05A4" w14:textId="777C6F7C" w:rsidR="00924318" w:rsidRPr="00924318" w:rsidRDefault="00E21C63" w:rsidP="00E21C63">
            <w:pPr>
              <w:jc w:val="center"/>
              <w:rPr>
                <w:rFonts w:cs="Times New Roman"/>
                <w:b/>
                <w:bCs/>
                <w:sz w:val="18"/>
                <w:szCs w:val="18"/>
                <w:lang w:val="en-US"/>
              </w:rPr>
            </w:pPr>
            <w:r w:rsidRPr="00E21C63">
              <w:rPr>
                <w:rFonts w:cs="Times New Roman"/>
                <w:b/>
                <w:bCs/>
                <w:sz w:val="18"/>
                <w:szCs w:val="18"/>
                <w:lang w:val="en-US"/>
              </w:rPr>
              <w:t>Q25</w:t>
            </w:r>
          </w:p>
        </w:tc>
      </w:tr>
      <w:tr w:rsidR="00924318" w:rsidRPr="00736B36" w14:paraId="6686CB3F" w14:textId="77777777" w:rsidTr="00E21C63">
        <w:tc>
          <w:tcPr>
            <w:tcW w:w="4266" w:type="dxa"/>
            <w:vAlign w:val="center"/>
            <w:hideMark/>
          </w:tcPr>
          <w:p w14:paraId="4CC346AD"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Type of material</w:t>
            </w:r>
          </w:p>
        </w:tc>
        <w:tc>
          <w:tcPr>
            <w:tcW w:w="4897" w:type="dxa"/>
            <w:vAlign w:val="center"/>
            <w:hideMark/>
          </w:tcPr>
          <w:p w14:paraId="7A7B4804"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Derived from natural agricultural sources (such as vegetable oils and their derivatives)</w:t>
            </w:r>
          </w:p>
        </w:tc>
      </w:tr>
      <w:tr w:rsidR="00924318" w:rsidRPr="00924318" w14:paraId="3000C7BA" w14:textId="77777777" w:rsidTr="00E21C63">
        <w:tc>
          <w:tcPr>
            <w:tcW w:w="4266" w:type="dxa"/>
            <w:vAlign w:val="center"/>
            <w:hideMark/>
          </w:tcPr>
          <w:p w14:paraId="5C300B39"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Melting temperature [°C]</w:t>
            </w:r>
          </w:p>
        </w:tc>
        <w:tc>
          <w:tcPr>
            <w:tcW w:w="4897" w:type="dxa"/>
            <w:vAlign w:val="center"/>
            <w:hideMark/>
          </w:tcPr>
          <w:p w14:paraId="3A2B73A8"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25</w:t>
            </w:r>
          </w:p>
        </w:tc>
      </w:tr>
      <w:tr w:rsidR="00924318" w:rsidRPr="00924318" w14:paraId="7B62C853" w14:textId="77777777" w:rsidTr="00E21C63">
        <w:tc>
          <w:tcPr>
            <w:tcW w:w="4266" w:type="dxa"/>
            <w:vAlign w:val="center"/>
            <w:hideMark/>
          </w:tcPr>
          <w:p w14:paraId="28FB004A"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Density [g/mL]</w:t>
            </w:r>
          </w:p>
        </w:tc>
        <w:tc>
          <w:tcPr>
            <w:tcW w:w="4897" w:type="dxa"/>
            <w:vAlign w:val="center"/>
            <w:hideMark/>
          </w:tcPr>
          <w:p w14:paraId="4046E8EE"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0.85 - 1.4</w:t>
            </w:r>
          </w:p>
        </w:tc>
      </w:tr>
      <w:tr w:rsidR="00924318" w:rsidRPr="00924318" w14:paraId="3F64A63A" w14:textId="77777777" w:rsidTr="00E21C63">
        <w:tc>
          <w:tcPr>
            <w:tcW w:w="4266" w:type="dxa"/>
            <w:vAlign w:val="center"/>
            <w:hideMark/>
          </w:tcPr>
          <w:p w14:paraId="17AC1E80"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Latent heat [J/g]</w:t>
            </w:r>
          </w:p>
        </w:tc>
        <w:tc>
          <w:tcPr>
            <w:tcW w:w="4897" w:type="dxa"/>
            <w:vAlign w:val="center"/>
            <w:hideMark/>
          </w:tcPr>
          <w:p w14:paraId="411AE233"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210 – 250</w:t>
            </w:r>
          </w:p>
        </w:tc>
      </w:tr>
      <w:tr w:rsidR="00924318" w:rsidRPr="00924318" w14:paraId="09CD9AF4" w14:textId="77777777" w:rsidTr="00E21C63">
        <w:tc>
          <w:tcPr>
            <w:tcW w:w="4266" w:type="dxa"/>
            <w:vAlign w:val="center"/>
            <w:hideMark/>
          </w:tcPr>
          <w:p w14:paraId="1349E7E6"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Specific heat [J/gK]</w:t>
            </w:r>
          </w:p>
        </w:tc>
        <w:tc>
          <w:tcPr>
            <w:tcW w:w="4897" w:type="dxa"/>
            <w:vAlign w:val="center"/>
            <w:hideMark/>
          </w:tcPr>
          <w:p w14:paraId="15521A74"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2.2 - 4.5</w:t>
            </w:r>
          </w:p>
        </w:tc>
      </w:tr>
      <w:tr w:rsidR="00924318" w:rsidRPr="00924318" w14:paraId="1B472601" w14:textId="77777777" w:rsidTr="00E21C63">
        <w:tc>
          <w:tcPr>
            <w:tcW w:w="4266" w:type="dxa"/>
            <w:vAlign w:val="center"/>
            <w:hideMark/>
          </w:tcPr>
          <w:p w14:paraId="2FBE28B5"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Thermal conductivity [W/mK]</w:t>
            </w:r>
          </w:p>
        </w:tc>
        <w:tc>
          <w:tcPr>
            <w:tcW w:w="4897" w:type="dxa"/>
            <w:vAlign w:val="center"/>
            <w:hideMark/>
          </w:tcPr>
          <w:p w14:paraId="2D2C65B9" w14:textId="77777777" w:rsidR="00924318" w:rsidRPr="00924318" w:rsidRDefault="00924318" w:rsidP="00E21C63">
            <w:pPr>
              <w:jc w:val="center"/>
              <w:rPr>
                <w:rFonts w:cs="Times New Roman"/>
                <w:sz w:val="18"/>
                <w:szCs w:val="18"/>
                <w:lang w:val="en-US"/>
              </w:rPr>
            </w:pPr>
            <w:r w:rsidRPr="00924318">
              <w:rPr>
                <w:rFonts w:cs="Times New Roman"/>
                <w:sz w:val="18"/>
                <w:szCs w:val="18"/>
                <w:lang w:val="en-US"/>
              </w:rPr>
              <w:t>0.15 - 2.5</w:t>
            </w:r>
          </w:p>
        </w:tc>
      </w:tr>
      <w:tr w:rsidR="00924318" w:rsidRPr="00924318" w14:paraId="29EEBB0B" w14:textId="77777777" w:rsidTr="00E21C63">
        <w:tc>
          <w:tcPr>
            <w:tcW w:w="4266" w:type="dxa"/>
            <w:vAlign w:val="center"/>
            <w:hideMark/>
          </w:tcPr>
          <w:p w14:paraId="22ADF824" w14:textId="69131AA6" w:rsidR="00924318" w:rsidRPr="00924318" w:rsidRDefault="00924318" w:rsidP="00E21C63">
            <w:pPr>
              <w:jc w:val="center"/>
              <w:rPr>
                <w:rFonts w:cs="Times New Roman"/>
                <w:sz w:val="18"/>
                <w:szCs w:val="18"/>
                <w:lang w:val="en-US"/>
              </w:rPr>
            </w:pPr>
            <w:r w:rsidRPr="00924318">
              <w:rPr>
                <w:rFonts w:cs="Times New Roman"/>
                <w:sz w:val="18"/>
                <w:szCs w:val="18"/>
                <w:lang w:val="en-US"/>
              </w:rPr>
              <w:t>Heat storage capacity [kJ/m</w:t>
            </w:r>
            <w:r w:rsidRPr="00924318">
              <w:rPr>
                <w:rFonts w:cs="Times New Roman"/>
                <w:sz w:val="18"/>
                <w:szCs w:val="18"/>
                <w:vertAlign w:val="superscript"/>
                <w:lang w:val="en-US"/>
              </w:rPr>
              <w:t>2</w:t>
            </w:r>
            <w:r w:rsidRPr="00924318">
              <w:rPr>
                <w:rFonts w:cs="Times New Roman"/>
                <w:sz w:val="18"/>
                <w:szCs w:val="18"/>
                <w:lang w:val="en-US"/>
              </w:rPr>
              <w:t>]</w:t>
            </w:r>
          </w:p>
          <w:p w14:paraId="07154E87" w14:textId="1765D95C" w:rsidR="00924318" w:rsidRPr="00924318" w:rsidRDefault="00924318" w:rsidP="00E21C63">
            <w:pPr>
              <w:jc w:val="center"/>
              <w:rPr>
                <w:rFonts w:cs="Times New Roman"/>
                <w:sz w:val="18"/>
                <w:szCs w:val="18"/>
                <w:lang w:val="en-US"/>
              </w:rPr>
            </w:pPr>
          </w:p>
        </w:tc>
        <w:tc>
          <w:tcPr>
            <w:tcW w:w="4897" w:type="dxa"/>
            <w:vAlign w:val="center"/>
            <w:hideMark/>
          </w:tcPr>
          <w:p w14:paraId="733A9839" w14:textId="01CEA01D" w:rsidR="00924318" w:rsidRPr="00924318" w:rsidRDefault="00924318" w:rsidP="00E21C63">
            <w:pPr>
              <w:jc w:val="center"/>
              <w:rPr>
                <w:rFonts w:cs="Times New Roman"/>
                <w:sz w:val="18"/>
                <w:szCs w:val="18"/>
                <w:lang w:val="en-US"/>
              </w:rPr>
            </w:pPr>
            <w:r w:rsidRPr="00924318">
              <w:rPr>
                <w:rFonts w:cs="Times New Roman"/>
                <w:sz w:val="18"/>
                <w:szCs w:val="18"/>
                <w:lang w:val="en-US"/>
              </w:rPr>
              <w:t>400 – 1250</w:t>
            </w:r>
          </w:p>
        </w:tc>
      </w:tr>
      <w:tr w:rsidR="00E21C63" w:rsidRPr="00736B36" w14:paraId="1F9D37DF" w14:textId="77777777" w:rsidTr="00E21C63">
        <w:tc>
          <w:tcPr>
            <w:tcW w:w="4266" w:type="dxa"/>
            <w:vAlign w:val="center"/>
          </w:tcPr>
          <w:p w14:paraId="6FA9BFBE" w14:textId="3B08EB37" w:rsidR="00E21C63" w:rsidRPr="00924318" w:rsidRDefault="00E21C63" w:rsidP="00E21C63">
            <w:pPr>
              <w:jc w:val="center"/>
              <w:rPr>
                <w:rFonts w:cs="Times New Roman"/>
                <w:sz w:val="18"/>
                <w:szCs w:val="18"/>
                <w:lang w:val="en-US"/>
              </w:rPr>
            </w:pPr>
            <w:r w:rsidRPr="00924318">
              <w:rPr>
                <w:rFonts w:cs="Times New Roman"/>
                <w:sz w:val="18"/>
                <w:szCs w:val="18"/>
                <w:lang w:val="en-US"/>
              </w:rPr>
              <w:t>BioPCM</w:t>
            </w:r>
          </w:p>
        </w:tc>
        <w:tc>
          <w:tcPr>
            <w:tcW w:w="4897" w:type="dxa"/>
            <w:vAlign w:val="center"/>
          </w:tcPr>
          <w:p w14:paraId="0EC88E39" w14:textId="77777777" w:rsidR="00E21C63" w:rsidRPr="00924318" w:rsidRDefault="00E21C63" w:rsidP="00E21C63">
            <w:pPr>
              <w:jc w:val="center"/>
              <w:rPr>
                <w:rFonts w:cs="Times New Roman"/>
                <w:sz w:val="18"/>
                <w:szCs w:val="18"/>
                <w:lang w:val="en-US"/>
              </w:rPr>
            </w:pPr>
            <w:r w:rsidRPr="00924318">
              <w:rPr>
                <w:rFonts w:cs="Times New Roman"/>
                <w:sz w:val="18"/>
                <w:szCs w:val="18"/>
                <w:lang w:val="en-US"/>
              </w:rPr>
              <w:t>Temperature range [°C]: -25 &lt;&gt; +25</w:t>
            </w:r>
          </w:p>
          <w:p w14:paraId="5E2DD6FB" w14:textId="3F04E0EC" w:rsidR="00E21C63" w:rsidRPr="00924318" w:rsidRDefault="00E21C63" w:rsidP="00E21C63">
            <w:pPr>
              <w:jc w:val="center"/>
              <w:rPr>
                <w:rFonts w:cs="Times New Roman"/>
                <w:sz w:val="18"/>
                <w:szCs w:val="18"/>
                <w:lang w:val="en-US"/>
              </w:rPr>
            </w:pPr>
            <w:r w:rsidRPr="00924318">
              <w:rPr>
                <w:rFonts w:cs="Times New Roman"/>
                <w:sz w:val="18"/>
                <w:szCs w:val="18"/>
                <w:lang w:val="en-US"/>
              </w:rPr>
              <w:t>Energy density [J/g]: 200 &lt;&gt; 210</w:t>
            </w:r>
          </w:p>
        </w:tc>
      </w:tr>
    </w:tbl>
    <w:p w14:paraId="29E35228" w14:textId="70EC1C6A" w:rsidR="000F6463" w:rsidRDefault="00E21C63" w:rsidP="00E21C63">
      <w:pPr>
        <w:pStyle w:val="Caption"/>
        <w:rPr>
          <w:rFonts w:ascii="Times New Roman" w:hAnsi="Times New Roman" w:cs="Times New Roman"/>
        </w:rPr>
      </w:pPr>
      <w:bookmarkStart w:id="70" w:name="_Toc214362622"/>
      <w:bookmarkEnd w:id="69"/>
      <w:r>
        <w:lastRenderedPageBreak/>
        <w:t xml:space="preserve">Table </w:t>
      </w:r>
      <w:r w:rsidR="00F43E9A">
        <w:fldChar w:fldCharType="begin"/>
      </w:r>
      <w:r w:rsidR="00F43E9A">
        <w:instrText xml:space="preserve"> STYLEREF 1 \s </w:instrText>
      </w:r>
      <w:r w:rsidR="00F43E9A">
        <w:fldChar w:fldCharType="separate"/>
      </w:r>
      <w:r w:rsidR="000412CE">
        <w:rPr>
          <w:noProof/>
        </w:rPr>
        <w:t>1</w:t>
      </w:r>
      <w:r w:rsidR="00F43E9A">
        <w:fldChar w:fldCharType="end"/>
      </w:r>
      <w:r w:rsidR="00F43E9A">
        <w:t>.</w:t>
      </w:r>
      <w:r w:rsidR="00F43E9A">
        <w:fldChar w:fldCharType="begin"/>
      </w:r>
      <w:r w:rsidR="00F43E9A">
        <w:instrText xml:space="preserve"> SEQ Table \* ARABIC \s 1 </w:instrText>
      </w:r>
      <w:r w:rsidR="00F43E9A">
        <w:fldChar w:fldCharType="separate"/>
      </w:r>
      <w:r w:rsidR="000412CE">
        <w:rPr>
          <w:noProof/>
        </w:rPr>
        <w:t>17</w:t>
      </w:r>
      <w:r w:rsidR="00F43E9A">
        <w:fldChar w:fldCharType="end"/>
      </w:r>
      <w:r w:rsidRPr="001F506E">
        <w:t>. Key properties of BioPCM® Q20/Q23/Q25 (plant-based): melting point, density, latent heat, specific heat, thermal conductivity, and heat-storage capacity; typical range</w:t>
      </w:r>
      <w:r w:rsidR="00A165BA">
        <w:t>.</w:t>
      </w:r>
      <w:bookmarkEnd w:id="70"/>
    </w:p>
    <w:p w14:paraId="6DFC15A6" w14:textId="7793C0FE" w:rsidR="000F6463" w:rsidRDefault="00E21C63" w:rsidP="000F6463">
      <w:pPr>
        <w:rPr>
          <w:rFonts w:cs="Times New Roman"/>
          <w:lang w:val="en-US"/>
        </w:rPr>
      </w:pPr>
      <w:r w:rsidRPr="00E21C63">
        <w:rPr>
          <w:rFonts w:cs="Times New Roman"/>
          <w:lang w:val="en-US"/>
        </w:rPr>
        <w:t>T</w:t>
      </w:r>
      <w:r w:rsidR="000F6463" w:rsidRPr="00E21C63">
        <w:rPr>
          <w:rFonts w:cs="Times New Roman"/>
          <w:lang w:val="en-US"/>
        </w:rPr>
        <w:t xml:space="preserve">able </w:t>
      </w:r>
      <w:r w:rsidRPr="00E21C63">
        <w:rPr>
          <w:rFonts w:cs="Times New Roman"/>
          <w:lang w:val="en-US"/>
        </w:rPr>
        <w:t>1.</w:t>
      </w:r>
      <w:r w:rsidR="000F6463" w:rsidRPr="00E21C63">
        <w:rPr>
          <w:rFonts w:cs="Times New Roman"/>
          <w:lang w:val="en-US"/>
        </w:rPr>
        <w:t>18 introduces two BioPCM® commercial solutions, ENRG Blanket and Apollo™ Panel, summarizing their key operating features and typical applications (building envelope and refrigeration).</w:t>
      </w:r>
    </w:p>
    <w:tbl>
      <w:tblPr>
        <w:tblStyle w:val="TableGrid"/>
        <w:tblW w:w="8221" w:type="dxa"/>
        <w:jc w:val="center"/>
        <w:tblLayout w:type="fixed"/>
        <w:tblLook w:val="04A0" w:firstRow="1" w:lastRow="0" w:firstColumn="1" w:lastColumn="0" w:noHBand="0" w:noVBand="1"/>
      </w:tblPr>
      <w:tblGrid>
        <w:gridCol w:w="1697"/>
        <w:gridCol w:w="3546"/>
        <w:gridCol w:w="2978"/>
      </w:tblGrid>
      <w:tr w:rsidR="00241CF0" w:rsidRPr="00241CF0" w14:paraId="0BE93095" w14:textId="77777777" w:rsidTr="00241CF0">
        <w:trPr>
          <w:jc w:val="center"/>
        </w:trPr>
        <w:tc>
          <w:tcPr>
            <w:tcW w:w="1697" w:type="dxa"/>
            <w:shd w:val="clear" w:color="auto" w:fill="8EA5B6"/>
            <w:vAlign w:val="center"/>
            <w:hideMark/>
          </w:tcPr>
          <w:p w14:paraId="203BF58D" w14:textId="77777777" w:rsidR="00241CF0" w:rsidRPr="00241CF0" w:rsidRDefault="00241CF0" w:rsidP="00241CF0">
            <w:pPr>
              <w:jc w:val="center"/>
              <w:rPr>
                <w:rFonts w:cs="Times New Roman"/>
                <w:b/>
                <w:bCs/>
                <w:sz w:val="20"/>
                <w:szCs w:val="18"/>
                <w:lang w:val="en-US"/>
              </w:rPr>
            </w:pPr>
            <w:r w:rsidRPr="00241CF0">
              <w:rPr>
                <w:rFonts w:cs="Times New Roman"/>
                <w:b/>
                <w:bCs/>
                <w:sz w:val="20"/>
                <w:szCs w:val="18"/>
                <w:lang w:val="en-US"/>
              </w:rPr>
              <w:t>Product</w:t>
            </w:r>
          </w:p>
        </w:tc>
        <w:tc>
          <w:tcPr>
            <w:tcW w:w="3546" w:type="dxa"/>
            <w:shd w:val="clear" w:color="auto" w:fill="8EA5B6"/>
            <w:vAlign w:val="center"/>
            <w:hideMark/>
          </w:tcPr>
          <w:p w14:paraId="3747E13D" w14:textId="77777777" w:rsidR="00241CF0" w:rsidRPr="00241CF0" w:rsidRDefault="00241CF0" w:rsidP="00905F27">
            <w:pPr>
              <w:jc w:val="center"/>
              <w:rPr>
                <w:rFonts w:cs="Times New Roman"/>
                <w:b/>
                <w:bCs/>
                <w:sz w:val="20"/>
                <w:szCs w:val="18"/>
                <w:lang w:val="en-US"/>
              </w:rPr>
            </w:pPr>
            <w:r w:rsidRPr="00241CF0">
              <w:rPr>
                <w:rFonts w:cs="Times New Roman"/>
                <w:b/>
                <w:bCs/>
                <w:sz w:val="20"/>
                <w:szCs w:val="18"/>
                <w:lang w:val="en-US"/>
              </w:rPr>
              <w:t>Description</w:t>
            </w:r>
          </w:p>
        </w:tc>
        <w:tc>
          <w:tcPr>
            <w:tcW w:w="2978" w:type="dxa"/>
            <w:shd w:val="clear" w:color="auto" w:fill="8EA5B6"/>
            <w:vAlign w:val="center"/>
          </w:tcPr>
          <w:p w14:paraId="5B98B1C8" w14:textId="77777777" w:rsidR="00241CF0" w:rsidRPr="00241CF0" w:rsidRDefault="00241CF0" w:rsidP="00241CF0">
            <w:pPr>
              <w:jc w:val="center"/>
              <w:rPr>
                <w:rFonts w:cs="Times New Roman"/>
                <w:b/>
                <w:bCs/>
                <w:sz w:val="20"/>
                <w:szCs w:val="18"/>
                <w:lang w:val="en-US"/>
              </w:rPr>
            </w:pPr>
          </w:p>
        </w:tc>
      </w:tr>
      <w:tr w:rsidR="00241CF0" w:rsidRPr="00736B36" w14:paraId="39B4F840" w14:textId="77777777" w:rsidTr="00241CF0">
        <w:trPr>
          <w:trHeight w:val="2388"/>
          <w:jc w:val="center"/>
        </w:trPr>
        <w:tc>
          <w:tcPr>
            <w:tcW w:w="1697" w:type="dxa"/>
            <w:vAlign w:val="center"/>
            <w:hideMark/>
          </w:tcPr>
          <w:p w14:paraId="0BF97F53" w14:textId="77777777" w:rsidR="00241CF0" w:rsidRPr="00241CF0" w:rsidRDefault="00241CF0" w:rsidP="00241CF0">
            <w:pPr>
              <w:jc w:val="center"/>
              <w:rPr>
                <w:rFonts w:cs="Times New Roman"/>
                <w:b/>
                <w:bCs/>
                <w:sz w:val="20"/>
                <w:szCs w:val="18"/>
                <w:lang w:val="en-US"/>
              </w:rPr>
            </w:pPr>
            <w:r w:rsidRPr="00241CF0">
              <w:rPr>
                <w:rFonts w:cs="Times New Roman"/>
                <w:b/>
                <w:bCs/>
                <w:sz w:val="20"/>
                <w:szCs w:val="18"/>
                <w:lang w:val="en-US"/>
              </w:rPr>
              <w:t>ENRG Blanket</w:t>
            </w:r>
          </w:p>
        </w:tc>
        <w:tc>
          <w:tcPr>
            <w:tcW w:w="3546" w:type="dxa"/>
            <w:vAlign w:val="center"/>
            <w:hideMark/>
          </w:tcPr>
          <w:p w14:paraId="7D9659A8" w14:textId="77777777" w:rsidR="00241CF0" w:rsidRPr="00241CF0" w:rsidRDefault="00241CF0" w:rsidP="00905F27">
            <w:pPr>
              <w:rPr>
                <w:rFonts w:cs="Times New Roman"/>
                <w:sz w:val="20"/>
                <w:szCs w:val="18"/>
                <w:lang w:val="en-US"/>
              </w:rPr>
            </w:pPr>
            <w:r w:rsidRPr="00241CF0">
              <w:rPr>
                <w:rFonts w:cs="Times New Roman"/>
                <w:sz w:val="20"/>
                <w:szCs w:val="18"/>
                <w:lang w:val="en-US"/>
              </w:rPr>
              <w:t>The ENRG Blanket encloses the natural BioPCM—a non-toxic and non-corrosive PCM—between two durable aluminum layers. Its design simplifies both handling and installation. The BioPCM used in ENRG Blanket can be formulated with a melting temperature ranging from 20°C to 25°C. The ENRG Blanket can be installed in various positions and across all parts of the building envelope, including the roof. ENRG Blanket products are shipped as prefabricated sheets measuring 24 × 48 cm or 16 × 48 cm, with custom dimensions available upon customer request.</w:t>
            </w:r>
          </w:p>
          <w:p w14:paraId="0BFA7F51" w14:textId="77777777" w:rsidR="00241CF0" w:rsidRPr="00241CF0" w:rsidRDefault="00241CF0" w:rsidP="00905F27">
            <w:pPr>
              <w:rPr>
                <w:rFonts w:cs="Times New Roman"/>
                <w:sz w:val="20"/>
                <w:szCs w:val="18"/>
                <w:lang w:val="en-US"/>
              </w:rPr>
            </w:pPr>
          </w:p>
        </w:tc>
        <w:tc>
          <w:tcPr>
            <w:tcW w:w="2978" w:type="dxa"/>
            <w:vAlign w:val="center"/>
            <w:hideMark/>
          </w:tcPr>
          <w:p w14:paraId="23F2EE84" w14:textId="77777777" w:rsidR="00241CF0" w:rsidRPr="00241CF0" w:rsidRDefault="00241CF0" w:rsidP="00241CF0">
            <w:pPr>
              <w:jc w:val="center"/>
              <w:rPr>
                <w:rFonts w:cs="Times New Roman"/>
                <w:sz w:val="20"/>
                <w:szCs w:val="18"/>
                <w:lang w:val="en-US"/>
              </w:rPr>
            </w:pPr>
            <w:r w:rsidRPr="00241CF0">
              <w:rPr>
                <w:rFonts w:cs="Times New Roman"/>
                <w:noProof/>
                <w:sz w:val="20"/>
                <w:szCs w:val="18"/>
                <w:lang w:val="en-US"/>
              </w:rPr>
              <w:drawing>
                <wp:anchor distT="0" distB="0" distL="114300" distR="114300" simplePos="0" relativeHeight="251694080" behindDoc="0" locked="0" layoutInCell="1" allowOverlap="1" wp14:anchorId="292E4A0C" wp14:editId="6FDB656E">
                  <wp:simplePos x="0" y="0"/>
                  <wp:positionH relativeFrom="column">
                    <wp:posOffset>113030</wp:posOffset>
                  </wp:positionH>
                  <wp:positionV relativeFrom="paragraph">
                    <wp:posOffset>-1034415</wp:posOffset>
                  </wp:positionV>
                  <wp:extent cx="1428750" cy="1024255"/>
                  <wp:effectExtent l="0" t="0" r="0" b="4445"/>
                  <wp:wrapSquare wrapText="bothSides"/>
                  <wp:docPr id="2109337202" name="Immagine 2109337202" descr="Immagine che contiene tessut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magine 13" descr="Immagine che contiene tessuto&#10;&#10;Il contenuto generato dall'IA potrebbe non essere corretto."/>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428750" cy="1024255"/>
                          </a:xfrm>
                          <a:prstGeom prst="rect">
                            <a:avLst/>
                          </a:prstGeom>
                          <a:noFill/>
                        </pic:spPr>
                      </pic:pic>
                    </a:graphicData>
                  </a:graphic>
                  <wp14:sizeRelH relativeFrom="margin">
                    <wp14:pctWidth>0</wp14:pctWidth>
                  </wp14:sizeRelH>
                  <wp14:sizeRelV relativeFrom="margin">
                    <wp14:pctHeight>0</wp14:pctHeight>
                  </wp14:sizeRelV>
                </wp:anchor>
              </w:drawing>
            </w:r>
          </w:p>
        </w:tc>
      </w:tr>
      <w:tr w:rsidR="00241CF0" w:rsidRPr="00241CF0" w14:paraId="6E4A0853" w14:textId="77777777" w:rsidTr="00241CF0">
        <w:trPr>
          <w:trHeight w:val="1634"/>
          <w:jc w:val="center"/>
        </w:trPr>
        <w:tc>
          <w:tcPr>
            <w:tcW w:w="1697" w:type="dxa"/>
            <w:vAlign w:val="center"/>
            <w:hideMark/>
          </w:tcPr>
          <w:p w14:paraId="6EA46EDD" w14:textId="77777777" w:rsidR="00241CF0" w:rsidRPr="00241CF0" w:rsidRDefault="00241CF0" w:rsidP="00241CF0">
            <w:pPr>
              <w:jc w:val="center"/>
              <w:rPr>
                <w:rFonts w:cs="Times New Roman"/>
                <w:b/>
                <w:bCs/>
                <w:sz w:val="20"/>
                <w:szCs w:val="18"/>
                <w:lang w:val="en-US"/>
              </w:rPr>
            </w:pPr>
            <w:r w:rsidRPr="00241CF0">
              <w:rPr>
                <w:rFonts w:cs="Times New Roman"/>
                <w:b/>
                <w:bCs/>
                <w:sz w:val="20"/>
                <w:szCs w:val="18"/>
                <w:lang w:val="en-US"/>
              </w:rPr>
              <w:t>Apollo Panel</w:t>
            </w:r>
          </w:p>
        </w:tc>
        <w:tc>
          <w:tcPr>
            <w:tcW w:w="3546" w:type="dxa"/>
            <w:vAlign w:val="center"/>
          </w:tcPr>
          <w:p w14:paraId="353DF64B" w14:textId="77777777" w:rsidR="00241CF0" w:rsidRPr="00241CF0" w:rsidRDefault="00241CF0" w:rsidP="00905F27">
            <w:pPr>
              <w:rPr>
                <w:rFonts w:cs="Times New Roman"/>
                <w:sz w:val="20"/>
                <w:szCs w:val="18"/>
                <w:lang w:val="en-US"/>
              </w:rPr>
            </w:pPr>
            <w:r w:rsidRPr="00241CF0">
              <w:rPr>
                <w:rFonts w:cs="Times New Roman"/>
                <w:sz w:val="20"/>
                <w:szCs w:val="18"/>
                <w:lang w:val="en-US"/>
              </w:rPr>
              <w:t>The Apollo™ Panel by Phase Change Solutions is a BioPCM®-based panel designed to maintain consistent temperatures inside refrigerators, freezers, and storage facilities. Operating at around 7°C with an energy density of 210 J/g, the panel improves energy efficiency by up to 30%, reducing waste of temperature-sensitive products such as pharmaceuticals and perishable foods. It is easy to install (mounted under shelves in less than 45 minutes) and requires no maintenance or external power, providing up to 7 hours of thermal stability during power outages.</w:t>
            </w:r>
          </w:p>
          <w:p w14:paraId="251E6534" w14:textId="77777777" w:rsidR="00241CF0" w:rsidRPr="00241CF0" w:rsidRDefault="00241CF0" w:rsidP="00905F27">
            <w:pPr>
              <w:rPr>
                <w:rFonts w:cs="Times New Roman"/>
                <w:sz w:val="20"/>
                <w:szCs w:val="18"/>
                <w:lang w:val="en-US"/>
              </w:rPr>
            </w:pPr>
          </w:p>
        </w:tc>
        <w:tc>
          <w:tcPr>
            <w:tcW w:w="2978" w:type="dxa"/>
            <w:vAlign w:val="center"/>
            <w:hideMark/>
          </w:tcPr>
          <w:p w14:paraId="1A1D3A15" w14:textId="77777777" w:rsidR="00241CF0" w:rsidRPr="00241CF0" w:rsidRDefault="00241CF0" w:rsidP="00241CF0">
            <w:pPr>
              <w:keepNext/>
              <w:jc w:val="center"/>
              <w:rPr>
                <w:rFonts w:cs="Times New Roman"/>
                <w:sz w:val="20"/>
                <w:szCs w:val="18"/>
                <w:lang w:val="en-US"/>
              </w:rPr>
            </w:pPr>
            <w:r w:rsidRPr="00241CF0">
              <w:rPr>
                <w:rFonts w:cs="Times New Roman"/>
                <w:noProof/>
                <w:sz w:val="20"/>
                <w:szCs w:val="18"/>
                <w:lang w:val="en-US"/>
              </w:rPr>
              <w:drawing>
                <wp:inline distT="0" distB="0" distL="0" distR="0" wp14:anchorId="4ECF1A35" wp14:editId="7A2D36CC">
                  <wp:extent cx="1753870" cy="1513840"/>
                  <wp:effectExtent l="0" t="0" r="0" b="0"/>
                  <wp:docPr id="44230596" name="Immagine 1" descr="Immagine che contiene interno, elettrodomestico da cucina, scolapiatti, metal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230596" name="Immagine 1" descr="Immagine che contiene interno, elettrodomestico da cucina, scolapiatti, metallo&#10;&#10;Il contenuto generato dall'IA potrebbe non essere corretto."/>
                          <pic:cNvPicPr/>
                        </pic:nvPicPr>
                        <pic:blipFill>
                          <a:blip r:embed="rId81"/>
                          <a:stretch>
                            <a:fillRect/>
                          </a:stretch>
                        </pic:blipFill>
                        <pic:spPr>
                          <a:xfrm>
                            <a:off x="0" y="0"/>
                            <a:ext cx="1753870" cy="1513840"/>
                          </a:xfrm>
                          <a:prstGeom prst="rect">
                            <a:avLst/>
                          </a:prstGeom>
                        </pic:spPr>
                      </pic:pic>
                    </a:graphicData>
                  </a:graphic>
                </wp:inline>
              </w:drawing>
            </w:r>
          </w:p>
        </w:tc>
      </w:tr>
    </w:tbl>
    <w:p w14:paraId="55836819" w14:textId="4AB9D111" w:rsidR="00241CF0" w:rsidRDefault="00241CF0">
      <w:pPr>
        <w:pStyle w:val="Caption"/>
      </w:pPr>
      <w:bookmarkStart w:id="71" w:name="_Toc214362623"/>
      <w:r>
        <w:t xml:space="preserve">Table </w:t>
      </w:r>
      <w:r w:rsidR="00F43E9A">
        <w:fldChar w:fldCharType="begin"/>
      </w:r>
      <w:r w:rsidR="00F43E9A">
        <w:instrText xml:space="preserve"> STYLEREF 1 \s </w:instrText>
      </w:r>
      <w:r w:rsidR="00F43E9A">
        <w:fldChar w:fldCharType="separate"/>
      </w:r>
      <w:r w:rsidR="000412CE">
        <w:rPr>
          <w:noProof/>
        </w:rPr>
        <w:t>1</w:t>
      </w:r>
      <w:r w:rsidR="00F43E9A">
        <w:fldChar w:fldCharType="end"/>
      </w:r>
      <w:r w:rsidR="00F43E9A">
        <w:t>.</w:t>
      </w:r>
      <w:r w:rsidR="00F43E9A">
        <w:fldChar w:fldCharType="begin"/>
      </w:r>
      <w:r w:rsidR="00F43E9A">
        <w:instrText xml:space="preserve"> SEQ Table \* ARABIC \s 1 </w:instrText>
      </w:r>
      <w:r w:rsidR="00F43E9A">
        <w:fldChar w:fldCharType="separate"/>
      </w:r>
      <w:r w:rsidR="000412CE">
        <w:rPr>
          <w:noProof/>
        </w:rPr>
        <w:t>18</w:t>
      </w:r>
      <w:r w:rsidR="00F43E9A">
        <w:fldChar w:fldCharType="end"/>
      </w:r>
      <w:r w:rsidRPr="003B7C9E">
        <w:t>. PCM® commercial solutions: ENRG Blanket and Apollo™ Panel</w:t>
      </w:r>
      <w:r w:rsidR="00A165BA">
        <w:t>.</w:t>
      </w:r>
      <w:bookmarkEnd w:id="71"/>
    </w:p>
    <w:p w14:paraId="43073010" w14:textId="73F748EF" w:rsidR="000F6463" w:rsidRPr="00241CF0" w:rsidRDefault="000F6463" w:rsidP="000F6463">
      <w:pPr>
        <w:rPr>
          <w:rFonts w:cs="Times New Roman"/>
          <w:b/>
          <w:bCs/>
          <w:lang w:val="en-US"/>
        </w:rPr>
      </w:pPr>
      <w:r w:rsidRPr="00241CF0">
        <w:rPr>
          <w:rFonts w:cs="Times New Roman"/>
          <w:b/>
          <w:bCs/>
          <w:lang w:val="en-US"/>
        </w:rPr>
        <w:lastRenderedPageBreak/>
        <w:t>PCM Products Ltd</w:t>
      </w:r>
      <w:r w:rsidRPr="00241CF0">
        <w:rPr>
          <w:rFonts w:cs="Times New Roman"/>
          <w:lang w:val="en-US"/>
        </w:rPr>
        <w:t xml:space="preserve">. PCM Products Ltd is a UK-based company specializing in the development and supply of PCMs for applications in energy efficiency, thermal management, and heat storage. The company provides both pure PCMs, such as hydrated salts, paraffins, and eutectic mixtures, and engineered solutions based on these materials, designed for different temperature ranges and application fields. The following table presents the main categories of solid/liquid PCMs offered by PCM Products, classified according to their chemical nature and operating temperature range. Table </w:t>
      </w:r>
      <w:r w:rsidR="00241CF0">
        <w:rPr>
          <w:rFonts w:cs="Times New Roman"/>
          <w:lang w:val="en-US"/>
        </w:rPr>
        <w:t>1.</w:t>
      </w:r>
      <w:r w:rsidRPr="00241CF0">
        <w:rPr>
          <w:rFonts w:cs="Times New Roman"/>
          <w:lang w:val="en-US"/>
        </w:rPr>
        <w:t>19 presents PCM Products Ltd’s offering and illustrative encapsulated products</w:t>
      </w:r>
      <w:r w:rsidRPr="00241CF0">
        <w:rPr>
          <w:rFonts w:cs="Times New Roman"/>
          <w:b/>
          <w:bCs/>
          <w:lang w:val="en-US"/>
        </w:rPr>
        <w:t xml:space="preserve"> </w:t>
      </w:r>
      <w:hyperlink r:id="rId82" w:history="1">
        <w:r w:rsidRPr="00241CF0">
          <w:rPr>
            <w:rStyle w:val="Hyperlink"/>
            <w:rFonts w:cs="Times New Roman"/>
            <w:lang w:val="en-US"/>
          </w:rPr>
          <w:t>https://www.pcmproducts.net/Phase-Change-Material-Solutions.htm</w:t>
        </w:r>
      </w:hyperlink>
    </w:p>
    <w:tbl>
      <w:tblPr>
        <w:tblStyle w:val="TableGrid"/>
        <w:tblW w:w="0" w:type="auto"/>
        <w:jc w:val="center"/>
        <w:tblLook w:val="04A0" w:firstRow="1" w:lastRow="0" w:firstColumn="1" w:lastColumn="0" w:noHBand="0" w:noVBand="1"/>
      </w:tblPr>
      <w:tblGrid>
        <w:gridCol w:w="1685"/>
        <w:gridCol w:w="1432"/>
        <w:gridCol w:w="1323"/>
        <w:gridCol w:w="1226"/>
        <w:gridCol w:w="1235"/>
        <w:gridCol w:w="1361"/>
      </w:tblGrid>
      <w:tr w:rsidR="00241CF0" w:rsidRPr="00241CF0" w14:paraId="697C7379" w14:textId="77777777" w:rsidTr="00241CF0">
        <w:trPr>
          <w:jc w:val="center"/>
        </w:trPr>
        <w:tc>
          <w:tcPr>
            <w:tcW w:w="1685" w:type="dxa"/>
            <w:shd w:val="clear" w:color="auto" w:fill="8EA5B6"/>
            <w:vAlign w:val="center"/>
          </w:tcPr>
          <w:p w14:paraId="0BF73D91" w14:textId="5B40B4B7" w:rsidR="00241CF0" w:rsidRPr="00241CF0" w:rsidRDefault="00241CF0" w:rsidP="00241CF0">
            <w:pPr>
              <w:jc w:val="center"/>
              <w:rPr>
                <w:rFonts w:ascii="Times New Roman" w:hAnsi="Times New Roman" w:cs="Times New Roman"/>
                <w:b/>
                <w:bCs/>
                <w:sz w:val="20"/>
                <w:szCs w:val="20"/>
                <w:lang w:val="en-US"/>
              </w:rPr>
            </w:pPr>
            <w:r>
              <w:rPr>
                <w:rFonts w:ascii="Times New Roman" w:hAnsi="Times New Roman" w:cs="Times New Roman"/>
                <w:b/>
                <w:bCs/>
                <w:sz w:val="20"/>
                <w:szCs w:val="20"/>
                <w:lang w:val="en-US"/>
              </w:rPr>
              <w:t>Type</w:t>
            </w:r>
          </w:p>
        </w:tc>
        <w:tc>
          <w:tcPr>
            <w:tcW w:w="1432" w:type="dxa"/>
            <w:shd w:val="clear" w:color="auto" w:fill="8EA5B6"/>
            <w:vAlign w:val="center"/>
          </w:tcPr>
          <w:p w14:paraId="27019EDF" w14:textId="77777777" w:rsidR="00241CF0" w:rsidRPr="00241CF0" w:rsidRDefault="00241CF0" w:rsidP="00241CF0">
            <w:pPr>
              <w:jc w:val="center"/>
              <w:rPr>
                <w:rFonts w:ascii="Times New Roman" w:hAnsi="Times New Roman" w:cs="Times New Roman"/>
                <w:b/>
                <w:bCs/>
                <w:sz w:val="20"/>
                <w:szCs w:val="20"/>
                <w:lang w:val="nb-NO"/>
              </w:rPr>
            </w:pPr>
            <w:r w:rsidRPr="00241CF0">
              <w:rPr>
                <w:rFonts w:ascii="Times New Roman" w:hAnsi="Times New Roman" w:cs="Times New Roman"/>
                <w:b/>
                <w:bCs/>
                <w:sz w:val="20"/>
                <w:szCs w:val="20"/>
                <w:lang w:val="nb-NO"/>
              </w:rPr>
              <w:t>Phase change Temperature [°C]</w:t>
            </w:r>
          </w:p>
        </w:tc>
        <w:tc>
          <w:tcPr>
            <w:tcW w:w="1323" w:type="dxa"/>
            <w:shd w:val="clear" w:color="auto" w:fill="8EA5B6"/>
            <w:vAlign w:val="center"/>
          </w:tcPr>
          <w:p w14:paraId="04389786" w14:textId="77777777" w:rsidR="00241CF0" w:rsidRPr="00241CF0" w:rsidRDefault="00241CF0" w:rsidP="00241CF0">
            <w:pPr>
              <w:jc w:val="center"/>
              <w:rPr>
                <w:rFonts w:ascii="Times New Roman" w:hAnsi="Times New Roman" w:cs="Times New Roman"/>
                <w:b/>
                <w:bCs/>
                <w:sz w:val="20"/>
                <w:szCs w:val="20"/>
                <w:lang w:val="nb-NO"/>
              </w:rPr>
            </w:pPr>
            <w:r w:rsidRPr="00241CF0">
              <w:rPr>
                <w:rFonts w:ascii="Times New Roman" w:hAnsi="Times New Roman" w:cs="Times New Roman"/>
                <w:b/>
                <w:bCs/>
                <w:sz w:val="20"/>
                <w:szCs w:val="20"/>
                <w:lang w:val="nb-NO"/>
              </w:rPr>
              <w:t>Density [kg/m</w:t>
            </w:r>
            <w:r w:rsidRPr="00241CF0">
              <w:rPr>
                <w:rFonts w:ascii="Times New Roman" w:hAnsi="Times New Roman" w:cs="Times New Roman"/>
                <w:b/>
                <w:bCs/>
                <w:sz w:val="20"/>
                <w:szCs w:val="20"/>
                <w:vertAlign w:val="superscript"/>
                <w:lang w:val="nb-NO"/>
              </w:rPr>
              <w:t>3</w:t>
            </w:r>
            <w:r w:rsidRPr="00241CF0">
              <w:rPr>
                <w:rFonts w:ascii="Times New Roman" w:hAnsi="Times New Roman" w:cs="Times New Roman"/>
                <w:b/>
                <w:bCs/>
                <w:sz w:val="20"/>
                <w:szCs w:val="20"/>
                <w:lang w:val="nb-NO"/>
              </w:rPr>
              <w:t>]</w:t>
            </w:r>
          </w:p>
        </w:tc>
        <w:tc>
          <w:tcPr>
            <w:tcW w:w="1226" w:type="dxa"/>
            <w:shd w:val="clear" w:color="auto" w:fill="8EA5B6"/>
            <w:vAlign w:val="center"/>
          </w:tcPr>
          <w:p w14:paraId="0A19A03D" w14:textId="77777777" w:rsidR="00241CF0" w:rsidRPr="00241CF0" w:rsidRDefault="00241CF0" w:rsidP="00241CF0">
            <w:pPr>
              <w:jc w:val="center"/>
              <w:rPr>
                <w:rFonts w:ascii="Times New Roman" w:hAnsi="Times New Roman" w:cs="Times New Roman"/>
                <w:b/>
                <w:bCs/>
                <w:sz w:val="20"/>
                <w:szCs w:val="20"/>
                <w:lang w:val="en-US"/>
              </w:rPr>
            </w:pPr>
            <w:r w:rsidRPr="00241CF0">
              <w:rPr>
                <w:rFonts w:ascii="Times New Roman" w:hAnsi="Times New Roman" w:cs="Times New Roman"/>
                <w:b/>
                <w:bCs/>
                <w:sz w:val="20"/>
                <w:szCs w:val="20"/>
                <w:lang w:val="en-US"/>
              </w:rPr>
              <w:t>Latent Heat capacity [kJ/kg]</w:t>
            </w:r>
          </w:p>
        </w:tc>
        <w:tc>
          <w:tcPr>
            <w:tcW w:w="1235" w:type="dxa"/>
            <w:shd w:val="clear" w:color="auto" w:fill="8EA5B6"/>
            <w:vAlign w:val="center"/>
          </w:tcPr>
          <w:p w14:paraId="1424EC40" w14:textId="77777777" w:rsidR="00241CF0" w:rsidRPr="00241CF0" w:rsidRDefault="00241CF0" w:rsidP="00241CF0">
            <w:pPr>
              <w:jc w:val="center"/>
              <w:rPr>
                <w:rFonts w:ascii="Times New Roman" w:hAnsi="Times New Roman" w:cs="Times New Roman"/>
                <w:b/>
                <w:bCs/>
                <w:sz w:val="20"/>
                <w:szCs w:val="20"/>
                <w:lang w:val="en-US"/>
              </w:rPr>
            </w:pPr>
            <w:r w:rsidRPr="00241CF0">
              <w:rPr>
                <w:rFonts w:ascii="Times New Roman" w:hAnsi="Times New Roman" w:cs="Times New Roman"/>
                <w:b/>
                <w:bCs/>
                <w:sz w:val="20"/>
                <w:szCs w:val="20"/>
                <w:lang w:val="en-US"/>
              </w:rPr>
              <w:t>Specific Heat capacity [kJ/kgK]</w:t>
            </w:r>
          </w:p>
        </w:tc>
        <w:tc>
          <w:tcPr>
            <w:tcW w:w="1361" w:type="dxa"/>
            <w:shd w:val="clear" w:color="auto" w:fill="8EA5B6"/>
            <w:vAlign w:val="center"/>
          </w:tcPr>
          <w:p w14:paraId="67880D8B" w14:textId="77777777" w:rsidR="00241CF0" w:rsidRPr="00241CF0" w:rsidRDefault="00241CF0" w:rsidP="00241CF0">
            <w:pPr>
              <w:jc w:val="center"/>
              <w:rPr>
                <w:rFonts w:ascii="Times New Roman" w:hAnsi="Times New Roman" w:cs="Times New Roman"/>
                <w:b/>
                <w:bCs/>
                <w:sz w:val="20"/>
                <w:szCs w:val="20"/>
                <w:lang w:val="en-US"/>
              </w:rPr>
            </w:pPr>
            <w:r w:rsidRPr="00241CF0">
              <w:rPr>
                <w:rFonts w:ascii="Times New Roman" w:hAnsi="Times New Roman" w:cs="Times New Roman"/>
                <w:b/>
                <w:bCs/>
                <w:sz w:val="20"/>
                <w:szCs w:val="20"/>
                <w:lang w:val="en-US"/>
              </w:rPr>
              <w:t>Thermal conductivity [W/mK]</w:t>
            </w:r>
          </w:p>
        </w:tc>
      </w:tr>
      <w:tr w:rsidR="00241CF0" w:rsidRPr="00241CF0" w14:paraId="4D5ACB0A" w14:textId="77777777" w:rsidTr="00241CF0">
        <w:trPr>
          <w:jc w:val="center"/>
        </w:trPr>
        <w:tc>
          <w:tcPr>
            <w:tcW w:w="1685" w:type="dxa"/>
            <w:vAlign w:val="center"/>
          </w:tcPr>
          <w:p w14:paraId="7E27BCC1"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S</w:t>
            </w:r>
          </w:p>
        </w:tc>
        <w:tc>
          <w:tcPr>
            <w:tcW w:w="1432" w:type="dxa"/>
            <w:vAlign w:val="center"/>
          </w:tcPr>
          <w:p w14:paraId="55813EAF"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8 &lt;&gt; 77</w:t>
            </w:r>
          </w:p>
        </w:tc>
        <w:tc>
          <w:tcPr>
            <w:tcW w:w="1323" w:type="dxa"/>
            <w:vAlign w:val="center"/>
          </w:tcPr>
          <w:p w14:paraId="5A4EA21B"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1.45 &lt;&gt;2.1</w:t>
            </w:r>
          </w:p>
        </w:tc>
        <w:tc>
          <w:tcPr>
            <w:tcW w:w="1226" w:type="dxa"/>
            <w:vAlign w:val="center"/>
          </w:tcPr>
          <w:p w14:paraId="15ADBA2E"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100&lt;&gt; 215</w:t>
            </w:r>
          </w:p>
        </w:tc>
        <w:tc>
          <w:tcPr>
            <w:tcW w:w="1235" w:type="dxa"/>
            <w:vAlign w:val="center"/>
          </w:tcPr>
          <w:p w14:paraId="44CC3E6B"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1.9&lt;&gt;2.61</w:t>
            </w:r>
          </w:p>
        </w:tc>
        <w:tc>
          <w:tcPr>
            <w:tcW w:w="1361" w:type="dxa"/>
            <w:vAlign w:val="center"/>
          </w:tcPr>
          <w:p w14:paraId="6A836230"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0.43&lt;&gt; 0.7</w:t>
            </w:r>
          </w:p>
        </w:tc>
      </w:tr>
      <w:tr w:rsidR="00241CF0" w:rsidRPr="00241CF0" w14:paraId="74BD168C" w14:textId="77777777" w:rsidTr="00241CF0">
        <w:trPr>
          <w:jc w:val="center"/>
        </w:trPr>
        <w:tc>
          <w:tcPr>
            <w:tcW w:w="1685" w:type="dxa"/>
            <w:vAlign w:val="center"/>
          </w:tcPr>
          <w:p w14:paraId="2F2C2549" w14:textId="6F65495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A</w:t>
            </w:r>
          </w:p>
        </w:tc>
        <w:tc>
          <w:tcPr>
            <w:tcW w:w="1432" w:type="dxa"/>
            <w:vAlign w:val="center"/>
          </w:tcPr>
          <w:p w14:paraId="4B9F3584"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2 &lt;&gt; 155</w:t>
            </w:r>
          </w:p>
        </w:tc>
        <w:tc>
          <w:tcPr>
            <w:tcW w:w="1323" w:type="dxa"/>
            <w:vAlign w:val="center"/>
          </w:tcPr>
          <w:p w14:paraId="35D4D42F"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765 &lt;&gt; 910</w:t>
            </w:r>
          </w:p>
        </w:tc>
        <w:tc>
          <w:tcPr>
            <w:tcW w:w="1226" w:type="dxa"/>
            <w:vAlign w:val="center"/>
          </w:tcPr>
          <w:p w14:paraId="40DCD0A3"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120&lt;&gt;280</w:t>
            </w:r>
          </w:p>
        </w:tc>
        <w:tc>
          <w:tcPr>
            <w:tcW w:w="1235" w:type="dxa"/>
            <w:vAlign w:val="center"/>
          </w:tcPr>
          <w:p w14:paraId="723CD494"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2.16&lt;&gt;2.85</w:t>
            </w:r>
          </w:p>
        </w:tc>
        <w:tc>
          <w:tcPr>
            <w:tcW w:w="1361" w:type="dxa"/>
            <w:vAlign w:val="center"/>
          </w:tcPr>
          <w:p w14:paraId="22B42A07"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0.18&lt;&gt;0.23</w:t>
            </w:r>
          </w:p>
        </w:tc>
      </w:tr>
      <w:tr w:rsidR="00241CF0" w:rsidRPr="00241CF0" w14:paraId="6757F7BF" w14:textId="77777777" w:rsidTr="00241CF0">
        <w:trPr>
          <w:jc w:val="center"/>
        </w:trPr>
        <w:tc>
          <w:tcPr>
            <w:tcW w:w="1685" w:type="dxa"/>
            <w:vAlign w:val="center"/>
          </w:tcPr>
          <w:p w14:paraId="1516E80E"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E</w:t>
            </w:r>
          </w:p>
        </w:tc>
        <w:tc>
          <w:tcPr>
            <w:tcW w:w="1432" w:type="dxa"/>
            <w:vAlign w:val="center"/>
          </w:tcPr>
          <w:p w14:paraId="2AD129D8"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-74&lt;&gt; 0</w:t>
            </w:r>
          </w:p>
        </w:tc>
        <w:tc>
          <w:tcPr>
            <w:tcW w:w="1323" w:type="dxa"/>
            <w:vAlign w:val="center"/>
          </w:tcPr>
          <w:p w14:paraId="353F0542"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1000&lt;&gt;1510</w:t>
            </w:r>
          </w:p>
        </w:tc>
        <w:tc>
          <w:tcPr>
            <w:tcW w:w="1226" w:type="dxa"/>
            <w:vAlign w:val="center"/>
          </w:tcPr>
          <w:p w14:paraId="4DB97AE2"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200&lt;&gt;395</w:t>
            </w:r>
          </w:p>
        </w:tc>
        <w:tc>
          <w:tcPr>
            <w:tcW w:w="1235" w:type="dxa"/>
            <w:vAlign w:val="center"/>
          </w:tcPr>
          <w:p w14:paraId="5FAC1BFF"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3.15&lt;&gt;4.19</w:t>
            </w:r>
          </w:p>
        </w:tc>
        <w:tc>
          <w:tcPr>
            <w:tcW w:w="1361" w:type="dxa"/>
            <w:vAlign w:val="center"/>
          </w:tcPr>
          <w:p w14:paraId="68BAF50E"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0.53&lt;&gt;0.64</w:t>
            </w:r>
          </w:p>
        </w:tc>
      </w:tr>
      <w:tr w:rsidR="00241CF0" w:rsidRPr="00241CF0" w14:paraId="5B591620" w14:textId="77777777" w:rsidTr="00241CF0">
        <w:trPr>
          <w:jc w:val="center"/>
        </w:trPr>
        <w:tc>
          <w:tcPr>
            <w:tcW w:w="1685" w:type="dxa"/>
            <w:vAlign w:val="center"/>
          </w:tcPr>
          <w:p w14:paraId="34C8362D"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X</w:t>
            </w:r>
            <w:r w:rsidRPr="00241CF0">
              <w:rPr>
                <w:rFonts w:ascii="Times New Roman" w:hAnsi="Times New Roman" w:cs="Times New Roman"/>
                <w:sz w:val="20"/>
                <w:szCs w:val="20"/>
                <w:lang w:val="nb-NO"/>
              </w:rPr>
              <w:tab/>
              <w:t>- solid solid PCMs</w:t>
            </w:r>
          </w:p>
        </w:tc>
        <w:tc>
          <w:tcPr>
            <w:tcW w:w="1432" w:type="dxa"/>
            <w:vAlign w:val="center"/>
          </w:tcPr>
          <w:p w14:paraId="7FD32360"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25 &lt;&gt; 180</w:t>
            </w:r>
          </w:p>
        </w:tc>
        <w:tc>
          <w:tcPr>
            <w:tcW w:w="1323" w:type="dxa"/>
            <w:vAlign w:val="center"/>
          </w:tcPr>
          <w:p w14:paraId="62012192"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1046&lt;&gt;1330</w:t>
            </w:r>
          </w:p>
        </w:tc>
        <w:tc>
          <w:tcPr>
            <w:tcW w:w="1226" w:type="dxa"/>
            <w:vAlign w:val="center"/>
          </w:tcPr>
          <w:p w14:paraId="6071B614"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110&lt;&gt;315</w:t>
            </w:r>
          </w:p>
        </w:tc>
        <w:tc>
          <w:tcPr>
            <w:tcW w:w="1235" w:type="dxa"/>
            <w:vAlign w:val="center"/>
          </w:tcPr>
          <w:p w14:paraId="05630785"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1.4&lt;&gt;1.67</w:t>
            </w:r>
          </w:p>
        </w:tc>
        <w:tc>
          <w:tcPr>
            <w:tcW w:w="1361" w:type="dxa"/>
            <w:vAlign w:val="center"/>
          </w:tcPr>
          <w:p w14:paraId="43241C28"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0.34&lt;&gt;0.37</w:t>
            </w:r>
          </w:p>
        </w:tc>
      </w:tr>
      <w:tr w:rsidR="00241CF0" w:rsidRPr="00241CF0" w14:paraId="37E64141" w14:textId="77777777" w:rsidTr="00241CF0">
        <w:trPr>
          <w:jc w:val="center"/>
        </w:trPr>
        <w:tc>
          <w:tcPr>
            <w:tcW w:w="1685" w:type="dxa"/>
            <w:vAlign w:val="center"/>
          </w:tcPr>
          <w:p w14:paraId="03B2C38A"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H</w:t>
            </w:r>
          </w:p>
        </w:tc>
        <w:tc>
          <w:tcPr>
            <w:tcW w:w="1432" w:type="dxa"/>
            <w:vAlign w:val="center"/>
          </w:tcPr>
          <w:p w14:paraId="7C04268C"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104 &lt;&gt;885</w:t>
            </w:r>
          </w:p>
        </w:tc>
        <w:tc>
          <w:tcPr>
            <w:tcW w:w="1323" w:type="dxa"/>
            <w:vAlign w:val="center"/>
          </w:tcPr>
          <w:p w14:paraId="4647C983"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1553&lt;&gt;2530</w:t>
            </w:r>
          </w:p>
        </w:tc>
        <w:tc>
          <w:tcPr>
            <w:tcW w:w="1226" w:type="dxa"/>
            <w:vAlign w:val="center"/>
          </w:tcPr>
          <w:p w14:paraId="4B0A7BC8"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100&lt;&gt;602</w:t>
            </w:r>
          </w:p>
        </w:tc>
        <w:tc>
          <w:tcPr>
            <w:tcW w:w="1235" w:type="dxa"/>
            <w:vAlign w:val="center"/>
          </w:tcPr>
          <w:p w14:paraId="6C3B95A6"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1.5&lt;&gt;1.6</w:t>
            </w:r>
          </w:p>
        </w:tc>
        <w:tc>
          <w:tcPr>
            <w:tcW w:w="1361" w:type="dxa"/>
            <w:vAlign w:val="center"/>
          </w:tcPr>
          <w:p w14:paraId="44E8F405"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0.5 &lt;&gt; 0.59</w:t>
            </w:r>
          </w:p>
        </w:tc>
      </w:tr>
    </w:tbl>
    <w:p w14:paraId="47C7FB78" w14:textId="77777777" w:rsidR="00241CF0" w:rsidRDefault="00241CF0"/>
    <w:p w14:paraId="3FDDA437" w14:textId="77777777" w:rsidR="00241CF0" w:rsidRDefault="00241CF0"/>
    <w:tbl>
      <w:tblPr>
        <w:tblStyle w:val="TableGrid"/>
        <w:tblW w:w="0" w:type="auto"/>
        <w:jc w:val="center"/>
        <w:tblLook w:val="04A0" w:firstRow="1" w:lastRow="0" w:firstColumn="1" w:lastColumn="0" w:noHBand="0" w:noVBand="1"/>
      </w:tblPr>
      <w:tblGrid>
        <w:gridCol w:w="2949"/>
        <w:gridCol w:w="3117"/>
        <w:gridCol w:w="2994"/>
      </w:tblGrid>
      <w:tr w:rsidR="00241CF0" w:rsidRPr="00241CF0" w14:paraId="377943C9" w14:textId="77777777" w:rsidTr="00702398">
        <w:trPr>
          <w:trHeight w:val="340"/>
          <w:jc w:val="center"/>
        </w:trPr>
        <w:tc>
          <w:tcPr>
            <w:tcW w:w="2949" w:type="dxa"/>
            <w:shd w:val="clear" w:color="auto" w:fill="8EA5B6"/>
            <w:vAlign w:val="center"/>
          </w:tcPr>
          <w:p w14:paraId="713B6BC6" w14:textId="77777777" w:rsidR="00241CF0" w:rsidRPr="00241CF0" w:rsidRDefault="00241CF0" w:rsidP="00241CF0">
            <w:pPr>
              <w:jc w:val="center"/>
              <w:rPr>
                <w:rFonts w:ascii="Times New Roman" w:hAnsi="Times New Roman" w:cs="Times New Roman"/>
                <w:b/>
                <w:bCs/>
                <w:sz w:val="20"/>
                <w:szCs w:val="20"/>
                <w:lang w:val="nb-NO"/>
              </w:rPr>
            </w:pPr>
            <w:r w:rsidRPr="00241CF0">
              <w:rPr>
                <w:rFonts w:ascii="Times New Roman" w:hAnsi="Times New Roman" w:cs="Times New Roman"/>
                <w:b/>
                <w:bCs/>
                <w:sz w:val="20"/>
                <w:szCs w:val="20"/>
                <w:lang w:val="nb-NO"/>
              </w:rPr>
              <w:t>Encapsulated PCM products</w:t>
            </w:r>
          </w:p>
        </w:tc>
        <w:tc>
          <w:tcPr>
            <w:tcW w:w="3117" w:type="dxa"/>
            <w:shd w:val="clear" w:color="auto" w:fill="8EA5B6"/>
            <w:vAlign w:val="center"/>
          </w:tcPr>
          <w:p w14:paraId="0FA279AD" w14:textId="77777777" w:rsidR="00241CF0" w:rsidRPr="00241CF0" w:rsidRDefault="00241CF0" w:rsidP="00905F27">
            <w:pPr>
              <w:jc w:val="center"/>
              <w:rPr>
                <w:rFonts w:ascii="Times New Roman" w:hAnsi="Times New Roman" w:cs="Times New Roman"/>
                <w:b/>
                <w:bCs/>
                <w:sz w:val="20"/>
                <w:szCs w:val="20"/>
                <w:lang w:val="nb-NO"/>
              </w:rPr>
            </w:pPr>
            <w:r w:rsidRPr="00241CF0">
              <w:rPr>
                <w:rFonts w:ascii="Times New Roman" w:hAnsi="Times New Roman" w:cs="Times New Roman"/>
                <w:b/>
                <w:bCs/>
                <w:sz w:val="20"/>
                <w:szCs w:val="20"/>
                <w:lang w:val="nb-NO"/>
              </w:rPr>
              <w:t>Description</w:t>
            </w:r>
          </w:p>
        </w:tc>
        <w:tc>
          <w:tcPr>
            <w:tcW w:w="2994" w:type="dxa"/>
            <w:shd w:val="clear" w:color="auto" w:fill="8EA5B6"/>
            <w:vAlign w:val="center"/>
          </w:tcPr>
          <w:p w14:paraId="6722A74E" w14:textId="77777777" w:rsidR="00241CF0" w:rsidRPr="00241CF0" w:rsidRDefault="00241CF0" w:rsidP="00241CF0">
            <w:pPr>
              <w:jc w:val="center"/>
              <w:rPr>
                <w:rFonts w:ascii="Times New Roman" w:hAnsi="Times New Roman" w:cs="Times New Roman"/>
                <w:b/>
                <w:bCs/>
                <w:sz w:val="20"/>
                <w:szCs w:val="20"/>
                <w:lang w:val="nb-NO"/>
              </w:rPr>
            </w:pPr>
          </w:p>
        </w:tc>
      </w:tr>
      <w:tr w:rsidR="00241CF0" w:rsidRPr="00241CF0" w14:paraId="2F51E077" w14:textId="77777777" w:rsidTr="00241CF0">
        <w:trPr>
          <w:trHeight w:val="1474"/>
          <w:jc w:val="center"/>
        </w:trPr>
        <w:tc>
          <w:tcPr>
            <w:tcW w:w="2949" w:type="dxa"/>
            <w:vAlign w:val="center"/>
          </w:tcPr>
          <w:p w14:paraId="422A57CD"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Flat Ice Containers</w:t>
            </w:r>
          </w:p>
        </w:tc>
        <w:tc>
          <w:tcPr>
            <w:tcW w:w="3117" w:type="dxa"/>
            <w:vAlign w:val="center"/>
          </w:tcPr>
          <w:p w14:paraId="6D772EE2" w14:textId="76DFBD44" w:rsidR="00241CF0" w:rsidRPr="00241CF0" w:rsidRDefault="00241CF0" w:rsidP="00905F27">
            <w:pPr>
              <w:rPr>
                <w:rFonts w:ascii="Times New Roman" w:hAnsi="Times New Roman" w:cs="Times New Roman"/>
                <w:sz w:val="20"/>
                <w:szCs w:val="20"/>
                <w:lang w:val="en-US"/>
              </w:rPr>
            </w:pPr>
            <w:r w:rsidRPr="00241CF0">
              <w:rPr>
                <w:rFonts w:ascii="Times New Roman" w:hAnsi="Times New Roman" w:cs="Times New Roman"/>
                <w:sz w:val="20"/>
                <w:szCs w:val="20"/>
                <w:lang w:val="en-US"/>
              </w:rPr>
              <w:t>These containers are constructed of blow-molded HDPE and can be filled with positive or negative temperature PCMs, although high temperature PCMs may be unsuitable due to softening of the plastic</w:t>
            </w:r>
            <w:r w:rsidR="00905F27">
              <w:rPr>
                <w:rFonts w:ascii="Times New Roman" w:hAnsi="Times New Roman" w:cs="Times New Roman"/>
                <w:sz w:val="20"/>
                <w:szCs w:val="20"/>
                <w:lang w:val="en-US"/>
              </w:rPr>
              <w:t>.</w:t>
            </w:r>
          </w:p>
        </w:tc>
        <w:tc>
          <w:tcPr>
            <w:tcW w:w="2994" w:type="dxa"/>
            <w:vAlign w:val="center"/>
          </w:tcPr>
          <w:p w14:paraId="104E8506"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noProof/>
                <w:sz w:val="20"/>
                <w:szCs w:val="20"/>
                <w:lang w:val="nb-NO"/>
              </w:rPr>
              <w:drawing>
                <wp:inline distT="0" distB="0" distL="0" distR="0" wp14:anchorId="40DDF776" wp14:editId="1E6B47E8">
                  <wp:extent cx="975360" cy="906672"/>
                  <wp:effectExtent l="0" t="0" r="0" b="8255"/>
                  <wp:docPr id="1498560738" name="Immagine 1" descr="Immagine che contiene telecomando, controllo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8560738" name="Immagine 1" descr="Immagine che contiene telecomando, controllore&#10;&#10;Il contenuto generato dall'IA potrebbe non essere corretto."/>
                          <pic:cNvPicPr/>
                        </pic:nvPicPr>
                        <pic:blipFill>
                          <a:blip r:embed="rId83"/>
                          <a:stretch>
                            <a:fillRect/>
                          </a:stretch>
                        </pic:blipFill>
                        <pic:spPr>
                          <a:xfrm>
                            <a:off x="0" y="0"/>
                            <a:ext cx="975360" cy="906672"/>
                          </a:xfrm>
                          <a:prstGeom prst="rect">
                            <a:avLst/>
                          </a:prstGeom>
                        </pic:spPr>
                      </pic:pic>
                    </a:graphicData>
                  </a:graphic>
                </wp:inline>
              </w:drawing>
            </w:r>
          </w:p>
        </w:tc>
      </w:tr>
      <w:tr w:rsidR="00241CF0" w:rsidRPr="00241CF0" w14:paraId="1B2EEF8B" w14:textId="77777777" w:rsidTr="00241CF0">
        <w:trPr>
          <w:trHeight w:val="1474"/>
          <w:jc w:val="center"/>
        </w:trPr>
        <w:tc>
          <w:tcPr>
            <w:tcW w:w="2949" w:type="dxa"/>
            <w:vAlign w:val="center"/>
          </w:tcPr>
          <w:p w14:paraId="731D124A"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Tube Ice PCM</w:t>
            </w:r>
          </w:p>
        </w:tc>
        <w:tc>
          <w:tcPr>
            <w:tcW w:w="3117" w:type="dxa"/>
            <w:vAlign w:val="center"/>
          </w:tcPr>
          <w:p w14:paraId="3D5391A6" w14:textId="77777777" w:rsidR="00241CF0" w:rsidRPr="00241CF0" w:rsidRDefault="00241CF0" w:rsidP="00905F27">
            <w:pPr>
              <w:rPr>
                <w:rFonts w:ascii="Times New Roman" w:hAnsi="Times New Roman" w:cs="Times New Roman"/>
                <w:sz w:val="20"/>
                <w:szCs w:val="20"/>
                <w:lang w:val="en-US"/>
              </w:rPr>
            </w:pPr>
            <w:r w:rsidRPr="00241CF0">
              <w:rPr>
                <w:rFonts w:ascii="Times New Roman" w:hAnsi="Times New Roman" w:cs="Times New Roman"/>
                <w:sz w:val="20"/>
                <w:szCs w:val="20"/>
                <w:lang w:val="en-US"/>
              </w:rPr>
              <w:t>These containers operate on a similar principle to the FlatICE containers, and are supplied as fully sealed PCM-filled HDPE tubes.</w:t>
            </w:r>
          </w:p>
        </w:tc>
        <w:tc>
          <w:tcPr>
            <w:tcW w:w="2994" w:type="dxa"/>
            <w:vAlign w:val="center"/>
          </w:tcPr>
          <w:p w14:paraId="4A077561"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noProof/>
                <w:sz w:val="20"/>
                <w:szCs w:val="20"/>
                <w:lang w:val="nb-NO"/>
              </w:rPr>
              <w:drawing>
                <wp:inline distT="0" distB="0" distL="0" distR="0" wp14:anchorId="14B24130" wp14:editId="157B80DE">
                  <wp:extent cx="922020" cy="783085"/>
                  <wp:effectExtent l="0" t="0" r="0" b="0"/>
                  <wp:docPr id="1189363882" name="Immagine 1" descr="Immagine che contiene interno, argento, art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9363882" name="Immagine 1" descr="Immagine che contiene interno, argento, arte&#10;&#10;Il contenuto generato dall'IA potrebbe non essere corretto."/>
                          <pic:cNvPicPr/>
                        </pic:nvPicPr>
                        <pic:blipFill>
                          <a:blip r:embed="rId84"/>
                          <a:stretch>
                            <a:fillRect/>
                          </a:stretch>
                        </pic:blipFill>
                        <pic:spPr>
                          <a:xfrm>
                            <a:off x="0" y="0"/>
                            <a:ext cx="927861" cy="788046"/>
                          </a:xfrm>
                          <a:prstGeom prst="rect">
                            <a:avLst/>
                          </a:prstGeom>
                        </pic:spPr>
                      </pic:pic>
                    </a:graphicData>
                  </a:graphic>
                </wp:inline>
              </w:drawing>
            </w:r>
          </w:p>
        </w:tc>
      </w:tr>
      <w:tr w:rsidR="00241CF0" w:rsidRPr="00241CF0" w14:paraId="1207063A" w14:textId="77777777" w:rsidTr="00241CF0">
        <w:trPr>
          <w:trHeight w:val="1474"/>
          <w:jc w:val="center"/>
        </w:trPr>
        <w:tc>
          <w:tcPr>
            <w:tcW w:w="2949" w:type="dxa"/>
            <w:vAlign w:val="center"/>
          </w:tcPr>
          <w:p w14:paraId="72A87126"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lastRenderedPageBreak/>
              <w:t>Thin Ice PCM</w:t>
            </w:r>
          </w:p>
        </w:tc>
        <w:tc>
          <w:tcPr>
            <w:tcW w:w="3117" w:type="dxa"/>
            <w:vAlign w:val="center"/>
          </w:tcPr>
          <w:p w14:paraId="4309ADD9" w14:textId="77777777" w:rsidR="00241CF0" w:rsidRPr="00241CF0" w:rsidRDefault="00241CF0" w:rsidP="00905F27">
            <w:pPr>
              <w:rPr>
                <w:rFonts w:ascii="Times New Roman" w:hAnsi="Times New Roman" w:cs="Times New Roman"/>
                <w:sz w:val="20"/>
                <w:szCs w:val="20"/>
                <w:lang w:val="en-US"/>
              </w:rPr>
            </w:pPr>
            <w:r w:rsidRPr="00241CF0">
              <w:rPr>
                <w:rFonts w:ascii="Times New Roman" w:hAnsi="Times New Roman" w:cs="Times New Roman"/>
                <w:sz w:val="20"/>
                <w:szCs w:val="20"/>
                <w:lang w:val="en-US"/>
              </w:rPr>
              <w:t>ThinICE PCM modules have been carefully sized to fit above a standard suspended ceiling grid. These can be fitted above perforated metallic suspended ceilings for the best performance.</w:t>
            </w:r>
          </w:p>
        </w:tc>
        <w:tc>
          <w:tcPr>
            <w:tcW w:w="2994" w:type="dxa"/>
            <w:vAlign w:val="center"/>
          </w:tcPr>
          <w:p w14:paraId="655F3F29"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noProof/>
                <w:sz w:val="20"/>
                <w:szCs w:val="20"/>
                <w:lang w:val="nb-NO"/>
              </w:rPr>
              <w:drawing>
                <wp:inline distT="0" distB="0" distL="0" distR="0" wp14:anchorId="3E0B817E" wp14:editId="5A738521">
                  <wp:extent cx="1011777" cy="731520"/>
                  <wp:effectExtent l="0" t="0" r="0" b="0"/>
                  <wp:docPr id="363878775" name="Immagine 1" descr="Immagine che contiene Lampada fluorescente, schermata, Plafonier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878775" name="Immagine 1" descr="Immagine che contiene Lampada fluorescente, schermata, Plafoniera, linea&#10;&#10;Il contenuto generato dall'IA potrebbe non essere corretto."/>
                          <pic:cNvPicPr/>
                        </pic:nvPicPr>
                        <pic:blipFill>
                          <a:blip r:embed="rId85"/>
                          <a:stretch>
                            <a:fillRect/>
                          </a:stretch>
                        </pic:blipFill>
                        <pic:spPr>
                          <a:xfrm>
                            <a:off x="0" y="0"/>
                            <a:ext cx="1033150" cy="746973"/>
                          </a:xfrm>
                          <a:prstGeom prst="rect">
                            <a:avLst/>
                          </a:prstGeom>
                        </pic:spPr>
                      </pic:pic>
                    </a:graphicData>
                  </a:graphic>
                </wp:inline>
              </w:drawing>
            </w:r>
          </w:p>
        </w:tc>
      </w:tr>
      <w:tr w:rsidR="00241CF0" w:rsidRPr="00241CF0" w14:paraId="6E3EF1F5" w14:textId="77777777" w:rsidTr="00241CF0">
        <w:trPr>
          <w:trHeight w:val="1474"/>
          <w:jc w:val="center"/>
        </w:trPr>
        <w:tc>
          <w:tcPr>
            <w:tcW w:w="2949" w:type="dxa"/>
            <w:vAlign w:val="center"/>
          </w:tcPr>
          <w:p w14:paraId="32869BFD"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Eutectic Plates PCM</w:t>
            </w:r>
          </w:p>
        </w:tc>
        <w:tc>
          <w:tcPr>
            <w:tcW w:w="3117" w:type="dxa"/>
            <w:vAlign w:val="center"/>
          </w:tcPr>
          <w:p w14:paraId="711B063C" w14:textId="77777777" w:rsidR="00241CF0" w:rsidRPr="00241CF0" w:rsidRDefault="00241CF0" w:rsidP="00905F27">
            <w:pPr>
              <w:rPr>
                <w:rFonts w:ascii="Times New Roman" w:hAnsi="Times New Roman" w:cs="Times New Roman"/>
                <w:sz w:val="20"/>
                <w:szCs w:val="20"/>
                <w:lang w:val="en-US"/>
              </w:rPr>
            </w:pPr>
            <w:r w:rsidRPr="00241CF0">
              <w:rPr>
                <w:rFonts w:ascii="Times New Roman" w:hAnsi="Times New Roman" w:cs="Times New Roman"/>
                <w:sz w:val="20"/>
                <w:szCs w:val="20"/>
                <w:lang w:val="en-US"/>
              </w:rPr>
              <w:t>The methods of encapsulation available for our sub-zero eutectic PCMs, and their typical modes of application and uses.</w:t>
            </w:r>
          </w:p>
        </w:tc>
        <w:tc>
          <w:tcPr>
            <w:tcW w:w="2994" w:type="dxa"/>
            <w:vAlign w:val="center"/>
          </w:tcPr>
          <w:p w14:paraId="34CB1705"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noProof/>
                <w:sz w:val="20"/>
                <w:szCs w:val="20"/>
                <w:lang w:val="nb-NO"/>
              </w:rPr>
              <w:drawing>
                <wp:inline distT="0" distB="0" distL="0" distR="0" wp14:anchorId="1CC73256" wp14:editId="20E2BD93">
                  <wp:extent cx="1028700" cy="727854"/>
                  <wp:effectExtent l="0" t="0" r="0" b="0"/>
                  <wp:docPr id="608041562" name="Immagine 1" descr="Immagine che contiene telecomand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8041562" name="Immagine 1" descr="Immagine che contiene telecomando&#10;&#10;Il contenuto generato dall'IA potrebbe non essere corretto."/>
                          <pic:cNvPicPr/>
                        </pic:nvPicPr>
                        <pic:blipFill>
                          <a:blip r:embed="rId86"/>
                          <a:stretch>
                            <a:fillRect/>
                          </a:stretch>
                        </pic:blipFill>
                        <pic:spPr>
                          <a:xfrm>
                            <a:off x="0" y="0"/>
                            <a:ext cx="1048174" cy="741633"/>
                          </a:xfrm>
                          <a:prstGeom prst="rect">
                            <a:avLst/>
                          </a:prstGeom>
                        </pic:spPr>
                      </pic:pic>
                    </a:graphicData>
                  </a:graphic>
                </wp:inline>
              </w:drawing>
            </w:r>
          </w:p>
        </w:tc>
      </w:tr>
      <w:tr w:rsidR="00241CF0" w:rsidRPr="00241CF0" w14:paraId="0D1B0E3A" w14:textId="77777777" w:rsidTr="00241CF0">
        <w:trPr>
          <w:trHeight w:val="1474"/>
          <w:jc w:val="center"/>
        </w:trPr>
        <w:tc>
          <w:tcPr>
            <w:tcW w:w="2949" w:type="dxa"/>
            <w:vAlign w:val="center"/>
          </w:tcPr>
          <w:p w14:paraId="7FD5275B"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PCM Pouches</w:t>
            </w:r>
          </w:p>
        </w:tc>
        <w:tc>
          <w:tcPr>
            <w:tcW w:w="3117" w:type="dxa"/>
            <w:vAlign w:val="center"/>
          </w:tcPr>
          <w:p w14:paraId="2F53C8DE" w14:textId="77777777" w:rsidR="00241CF0" w:rsidRPr="00241CF0" w:rsidRDefault="00241CF0" w:rsidP="00905F27">
            <w:pPr>
              <w:rPr>
                <w:rFonts w:ascii="Times New Roman" w:hAnsi="Times New Roman" w:cs="Times New Roman"/>
                <w:sz w:val="20"/>
                <w:szCs w:val="20"/>
                <w:lang w:val="en-US"/>
              </w:rPr>
            </w:pPr>
            <w:r w:rsidRPr="00241CF0">
              <w:rPr>
                <w:rFonts w:ascii="Times New Roman" w:hAnsi="Times New Roman" w:cs="Times New Roman"/>
                <w:sz w:val="20"/>
                <w:szCs w:val="20"/>
                <w:lang w:val="en-US"/>
              </w:rPr>
              <w:t>The bulk of the range of  PCMs can be supplied prefilled in a wide variety of flexible metallic or non-metallic pouches.</w:t>
            </w:r>
          </w:p>
        </w:tc>
        <w:tc>
          <w:tcPr>
            <w:tcW w:w="2994" w:type="dxa"/>
            <w:vAlign w:val="center"/>
          </w:tcPr>
          <w:p w14:paraId="3C4DBB66"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noProof/>
                <w:sz w:val="20"/>
                <w:szCs w:val="20"/>
                <w:lang w:val="nb-NO"/>
              </w:rPr>
              <w:drawing>
                <wp:inline distT="0" distB="0" distL="0" distR="0" wp14:anchorId="358F69F3" wp14:editId="59E055EF">
                  <wp:extent cx="1136825" cy="861060"/>
                  <wp:effectExtent l="0" t="0" r="6350" b="0"/>
                  <wp:docPr id="1667582552" name="Immagine 1" descr="Immagine che contiene intern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7582552" name="Immagine 1" descr="Immagine che contiene interno&#10;&#10;Il contenuto generato dall'IA potrebbe non essere corretto."/>
                          <pic:cNvPicPr/>
                        </pic:nvPicPr>
                        <pic:blipFill>
                          <a:blip r:embed="rId87"/>
                          <a:stretch>
                            <a:fillRect/>
                          </a:stretch>
                        </pic:blipFill>
                        <pic:spPr>
                          <a:xfrm>
                            <a:off x="0" y="0"/>
                            <a:ext cx="1144967" cy="867227"/>
                          </a:xfrm>
                          <a:prstGeom prst="rect">
                            <a:avLst/>
                          </a:prstGeom>
                        </pic:spPr>
                      </pic:pic>
                    </a:graphicData>
                  </a:graphic>
                </wp:inline>
              </w:drawing>
            </w:r>
          </w:p>
        </w:tc>
      </w:tr>
      <w:tr w:rsidR="00241CF0" w:rsidRPr="00241CF0" w14:paraId="53A2E398" w14:textId="77777777" w:rsidTr="00241CF0">
        <w:trPr>
          <w:trHeight w:val="1474"/>
          <w:jc w:val="center"/>
        </w:trPr>
        <w:tc>
          <w:tcPr>
            <w:tcW w:w="2949" w:type="dxa"/>
            <w:vAlign w:val="center"/>
          </w:tcPr>
          <w:p w14:paraId="61FD7633"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Board Ice PCM</w:t>
            </w:r>
          </w:p>
        </w:tc>
        <w:tc>
          <w:tcPr>
            <w:tcW w:w="3117" w:type="dxa"/>
            <w:vAlign w:val="center"/>
          </w:tcPr>
          <w:p w14:paraId="53AC6608" w14:textId="1A5BBC85" w:rsidR="00241CF0" w:rsidRPr="00241CF0" w:rsidRDefault="00241CF0" w:rsidP="00905F27">
            <w:pPr>
              <w:rPr>
                <w:rFonts w:ascii="Times New Roman" w:hAnsi="Times New Roman" w:cs="Times New Roman"/>
                <w:sz w:val="20"/>
                <w:szCs w:val="20"/>
                <w:lang w:val="en-US"/>
              </w:rPr>
            </w:pPr>
            <w:r w:rsidRPr="00241CF0">
              <w:rPr>
                <w:rFonts w:ascii="Times New Roman" w:hAnsi="Times New Roman" w:cs="Times New Roman"/>
                <w:sz w:val="20"/>
                <w:szCs w:val="20"/>
                <w:lang w:val="en-US"/>
              </w:rPr>
              <w:t xml:space="preserve">This new technology utilizes a natural fibre board as the encapsulation material, which is then infused with </w:t>
            </w:r>
            <w:r w:rsidR="00905F27">
              <w:rPr>
                <w:rFonts w:ascii="Times New Roman" w:hAnsi="Times New Roman" w:cs="Times New Roman"/>
                <w:sz w:val="20"/>
                <w:szCs w:val="20"/>
                <w:lang w:val="en-US"/>
              </w:rPr>
              <w:t>a</w:t>
            </w:r>
            <w:r w:rsidRPr="00241CF0">
              <w:rPr>
                <w:rFonts w:ascii="Times New Roman" w:hAnsi="Times New Roman" w:cs="Times New Roman"/>
                <w:sz w:val="20"/>
                <w:szCs w:val="20"/>
                <w:lang w:val="en-US"/>
              </w:rPr>
              <w:t xml:space="preserve"> range </w:t>
            </w:r>
            <w:r w:rsidR="00905F27">
              <w:rPr>
                <w:rFonts w:ascii="Times New Roman" w:hAnsi="Times New Roman" w:cs="Times New Roman"/>
                <w:sz w:val="20"/>
                <w:szCs w:val="20"/>
                <w:lang w:val="en-US"/>
              </w:rPr>
              <w:t xml:space="preserve">of </w:t>
            </w:r>
            <w:r w:rsidRPr="00241CF0">
              <w:rPr>
                <w:rFonts w:ascii="Times New Roman" w:hAnsi="Times New Roman" w:cs="Times New Roman"/>
                <w:sz w:val="20"/>
                <w:szCs w:val="20"/>
                <w:lang w:val="en-US"/>
              </w:rPr>
              <w:t>organic PCM solutions</w:t>
            </w:r>
            <w:r w:rsidR="00905F27">
              <w:rPr>
                <w:rFonts w:ascii="Times New Roman" w:hAnsi="Times New Roman" w:cs="Times New Roman"/>
                <w:sz w:val="20"/>
                <w:szCs w:val="20"/>
                <w:lang w:val="en-US"/>
              </w:rPr>
              <w:t>.</w:t>
            </w:r>
          </w:p>
          <w:p w14:paraId="17D32324" w14:textId="77777777" w:rsidR="00241CF0" w:rsidRPr="00241CF0" w:rsidRDefault="00241CF0" w:rsidP="00905F27">
            <w:pPr>
              <w:rPr>
                <w:rFonts w:ascii="Times New Roman" w:hAnsi="Times New Roman" w:cs="Times New Roman"/>
                <w:sz w:val="20"/>
                <w:szCs w:val="20"/>
                <w:lang w:val="en-US"/>
              </w:rPr>
            </w:pPr>
          </w:p>
        </w:tc>
        <w:tc>
          <w:tcPr>
            <w:tcW w:w="2994" w:type="dxa"/>
            <w:vAlign w:val="center"/>
          </w:tcPr>
          <w:p w14:paraId="19F7D494"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noProof/>
                <w:sz w:val="20"/>
                <w:szCs w:val="20"/>
                <w:lang w:val="nb-NO"/>
              </w:rPr>
              <w:drawing>
                <wp:inline distT="0" distB="0" distL="0" distR="0" wp14:anchorId="0E4D96AE" wp14:editId="519A576B">
                  <wp:extent cx="1244346" cy="876300"/>
                  <wp:effectExtent l="0" t="0" r="0" b="0"/>
                  <wp:docPr id="277078026" name="Immagine 1" descr="Immagine che contiene computer, interno, chius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7078026" name="Immagine 1" descr="Immagine che contiene computer, interno, chiuso&#10;&#10;Il contenuto generato dall'IA potrebbe non essere corretto."/>
                          <pic:cNvPicPr/>
                        </pic:nvPicPr>
                        <pic:blipFill>
                          <a:blip r:embed="rId88"/>
                          <a:stretch>
                            <a:fillRect/>
                          </a:stretch>
                        </pic:blipFill>
                        <pic:spPr>
                          <a:xfrm>
                            <a:off x="0" y="0"/>
                            <a:ext cx="1249933" cy="880234"/>
                          </a:xfrm>
                          <a:prstGeom prst="rect">
                            <a:avLst/>
                          </a:prstGeom>
                        </pic:spPr>
                      </pic:pic>
                    </a:graphicData>
                  </a:graphic>
                </wp:inline>
              </w:drawing>
            </w:r>
          </w:p>
        </w:tc>
      </w:tr>
      <w:tr w:rsidR="00241CF0" w:rsidRPr="00241CF0" w14:paraId="777AE632" w14:textId="77777777" w:rsidTr="00241CF0">
        <w:trPr>
          <w:trHeight w:val="1474"/>
          <w:jc w:val="center"/>
        </w:trPr>
        <w:tc>
          <w:tcPr>
            <w:tcW w:w="2949" w:type="dxa"/>
            <w:vAlign w:val="center"/>
          </w:tcPr>
          <w:p w14:paraId="2B02100B" w14:textId="77777777" w:rsidR="00241CF0" w:rsidRPr="00241CF0" w:rsidRDefault="00241CF0" w:rsidP="00241CF0">
            <w:pPr>
              <w:jc w:val="center"/>
              <w:rPr>
                <w:rFonts w:ascii="Times New Roman" w:hAnsi="Times New Roman" w:cs="Times New Roman"/>
                <w:sz w:val="20"/>
                <w:szCs w:val="20"/>
                <w:lang w:val="nb-NO"/>
              </w:rPr>
            </w:pPr>
            <w:r w:rsidRPr="00241CF0">
              <w:rPr>
                <w:rFonts w:ascii="Times New Roman" w:hAnsi="Times New Roman" w:cs="Times New Roman"/>
                <w:sz w:val="20"/>
                <w:szCs w:val="20"/>
                <w:lang w:val="nb-NO"/>
              </w:rPr>
              <w:t>PCM for Cold Storage</w:t>
            </w:r>
          </w:p>
        </w:tc>
        <w:tc>
          <w:tcPr>
            <w:tcW w:w="3117" w:type="dxa"/>
            <w:vAlign w:val="center"/>
          </w:tcPr>
          <w:p w14:paraId="092E36F6" w14:textId="77777777" w:rsidR="00241CF0" w:rsidRPr="00241CF0" w:rsidRDefault="00241CF0" w:rsidP="00905F27">
            <w:pPr>
              <w:rPr>
                <w:rFonts w:ascii="Times New Roman" w:hAnsi="Times New Roman" w:cs="Times New Roman"/>
                <w:sz w:val="20"/>
                <w:szCs w:val="20"/>
                <w:lang w:val="en-US"/>
              </w:rPr>
            </w:pPr>
            <w:r w:rsidRPr="00241CF0">
              <w:rPr>
                <w:rFonts w:ascii="Times New Roman" w:hAnsi="Times New Roman" w:cs="Times New Roman"/>
                <w:sz w:val="20"/>
                <w:szCs w:val="20"/>
                <w:lang w:val="en-US"/>
              </w:rPr>
              <w:t>Static PCM storage provides a stand-by capability against any power or refrigeration failures and therefore peace of mind for the operators.</w:t>
            </w:r>
          </w:p>
        </w:tc>
        <w:tc>
          <w:tcPr>
            <w:tcW w:w="2994" w:type="dxa"/>
            <w:vAlign w:val="center"/>
          </w:tcPr>
          <w:p w14:paraId="4CFF415A" w14:textId="77777777" w:rsidR="00241CF0" w:rsidRPr="00241CF0" w:rsidRDefault="00241CF0" w:rsidP="00241CF0">
            <w:pPr>
              <w:keepNext/>
              <w:jc w:val="center"/>
              <w:rPr>
                <w:rFonts w:ascii="Times New Roman" w:hAnsi="Times New Roman" w:cs="Times New Roman"/>
                <w:sz w:val="20"/>
                <w:szCs w:val="20"/>
                <w:lang w:val="nb-NO"/>
              </w:rPr>
            </w:pPr>
            <w:r w:rsidRPr="00241CF0">
              <w:rPr>
                <w:rFonts w:ascii="Times New Roman" w:hAnsi="Times New Roman" w:cs="Times New Roman"/>
                <w:noProof/>
                <w:sz w:val="20"/>
                <w:szCs w:val="20"/>
                <w:lang w:val="nb-NO"/>
              </w:rPr>
              <w:drawing>
                <wp:inline distT="0" distB="0" distL="0" distR="0" wp14:anchorId="29188548" wp14:editId="2CBDD3BB">
                  <wp:extent cx="1249274" cy="883920"/>
                  <wp:effectExtent l="0" t="0" r="8255" b="0"/>
                  <wp:docPr id="318731049" name="Immagine 1" descr="Immagine che contiene candela, cilindro, interno, tazz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731049" name="Immagine 1" descr="Immagine che contiene candela, cilindro, interno, tazza&#10;&#10;Il contenuto generato dall'IA potrebbe non essere corretto."/>
                          <pic:cNvPicPr/>
                        </pic:nvPicPr>
                        <pic:blipFill>
                          <a:blip r:embed="rId89"/>
                          <a:stretch>
                            <a:fillRect/>
                          </a:stretch>
                        </pic:blipFill>
                        <pic:spPr>
                          <a:xfrm>
                            <a:off x="0" y="0"/>
                            <a:ext cx="1256828" cy="889265"/>
                          </a:xfrm>
                          <a:prstGeom prst="rect">
                            <a:avLst/>
                          </a:prstGeom>
                        </pic:spPr>
                      </pic:pic>
                    </a:graphicData>
                  </a:graphic>
                </wp:inline>
              </w:drawing>
            </w:r>
          </w:p>
        </w:tc>
      </w:tr>
    </w:tbl>
    <w:p w14:paraId="18C6E8E8" w14:textId="11A96E03" w:rsidR="000F6463" w:rsidRPr="00780CCF" w:rsidRDefault="00241CF0" w:rsidP="00241CF0">
      <w:pPr>
        <w:pStyle w:val="Caption"/>
        <w:rPr>
          <w:rFonts w:ascii="Times New Roman" w:hAnsi="Times New Roman" w:cs="Times New Roman"/>
          <w:b/>
          <w:bCs/>
        </w:rPr>
      </w:pPr>
      <w:bookmarkStart w:id="72" w:name="_Toc214362624"/>
      <w:r>
        <w:t xml:space="preserve">Table </w:t>
      </w:r>
      <w:r w:rsidR="00F43E9A">
        <w:fldChar w:fldCharType="begin"/>
      </w:r>
      <w:r w:rsidR="00F43E9A">
        <w:instrText xml:space="preserve"> STYLEREF 1 \s </w:instrText>
      </w:r>
      <w:r w:rsidR="00F43E9A">
        <w:fldChar w:fldCharType="separate"/>
      </w:r>
      <w:r w:rsidR="000412CE">
        <w:rPr>
          <w:noProof/>
        </w:rPr>
        <w:t>1</w:t>
      </w:r>
      <w:r w:rsidR="00F43E9A">
        <w:fldChar w:fldCharType="end"/>
      </w:r>
      <w:r w:rsidR="00F43E9A">
        <w:t>.</w:t>
      </w:r>
      <w:r w:rsidR="00F43E9A">
        <w:fldChar w:fldCharType="begin"/>
      </w:r>
      <w:r w:rsidR="00F43E9A">
        <w:instrText xml:space="preserve"> SEQ Table \* ARABIC \s 1 </w:instrText>
      </w:r>
      <w:r w:rsidR="00F43E9A">
        <w:fldChar w:fldCharType="separate"/>
      </w:r>
      <w:r w:rsidR="000412CE">
        <w:rPr>
          <w:noProof/>
        </w:rPr>
        <w:t>19</w:t>
      </w:r>
      <w:r w:rsidR="00F43E9A">
        <w:fldChar w:fldCharType="end"/>
      </w:r>
      <w:r w:rsidR="00DE026D">
        <w:t>.</w:t>
      </w:r>
      <w:r>
        <w:t xml:space="preserve"> </w:t>
      </w:r>
      <w:r w:rsidRPr="001E30AB">
        <w:t>PCM Products Ltd: properties of PCM types (S, A, E, X, H) and examples of encapsulated products.</w:t>
      </w:r>
      <w:bookmarkEnd w:id="72"/>
    </w:p>
    <w:p w14:paraId="3304F7B4" w14:textId="77777777" w:rsidR="00241CF0" w:rsidRPr="00241CF0" w:rsidRDefault="000F6463" w:rsidP="000F6463">
      <w:pPr>
        <w:rPr>
          <w:rFonts w:cs="Times New Roman"/>
          <w:lang w:val="en-US"/>
        </w:rPr>
      </w:pPr>
      <w:r w:rsidRPr="00241CF0">
        <w:rPr>
          <w:rFonts w:cs="Times New Roman"/>
          <w:b/>
          <w:bCs/>
          <w:lang w:val="en-US"/>
        </w:rPr>
        <w:t>Axiotherm</w:t>
      </w:r>
      <w:r w:rsidRPr="00241CF0">
        <w:rPr>
          <w:rFonts w:cs="Times New Roman"/>
          <w:lang w:val="en-US"/>
        </w:rPr>
        <w:t>. Axiotherm is a company specializing in thermal energy storage solutions based on PCMs. With extensive experience in development and application planning, it provides efficient and cost-effective systems using approved macroencapsulation technologies, working in partnership with leading industrial companies.</w:t>
      </w:r>
      <w:r w:rsidRPr="00241CF0">
        <w:rPr>
          <w:lang w:val="en-US"/>
        </w:rPr>
        <w:t xml:space="preserve"> </w:t>
      </w:r>
      <w:r w:rsidRPr="00241CF0">
        <w:rPr>
          <w:rFonts w:cs="Times New Roman"/>
          <w:lang w:val="en-US"/>
        </w:rPr>
        <w:t xml:space="preserve">Table </w:t>
      </w:r>
      <w:r w:rsidR="00241CF0">
        <w:rPr>
          <w:rFonts w:cs="Times New Roman"/>
          <w:lang w:val="en-US"/>
        </w:rPr>
        <w:t>1.</w:t>
      </w:r>
      <w:r w:rsidRPr="00241CF0">
        <w:rPr>
          <w:rFonts w:cs="Times New Roman"/>
          <w:lang w:val="en-US"/>
        </w:rPr>
        <w:t xml:space="preserve">20 presents Axiotherm’s ATS and ATP PCM series, with phase-transition ranges and heat-storage capacities. </w:t>
      </w:r>
      <w:hyperlink r:id="rId90" w:history="1">
        <w:r w:rsidRPr="00241CF0">
          <w:rPr>
            <w:rStyle w:val="Hyperlink"/>
            <w:rFonts w:cs="Times New Roman"/>
            <w:lang w:val="en-US"/>
          </w:rPr>
          <w:t>https://www.axiotherm.de/en/produkte/axiotherm-pcm/</w:t>
        </w:r>
      </w:hyperlink>
    </w:p>
    <w:tbl>
      <w:tblPr>
        <w:tblStyle w:val="TableGrid"/>
        <w:tblW w:w="9022" w:type="dxa"/>
        <w:jc w:val="center"/>
        <w:tblLook w:val="04A0" w:firstRow="1" w:lastRow="0" w:firstColumn="1" w:lastColumn="0" w:noHBand="0" w:noVBand="1"/>
      </w:tblPr>
      <w:tblGrid>
        <w:gridCol w:w="1137"/>
        <w:gridCol w:w="3664"/>
        <w:gridCol w:w="2192"/>
        <w:gridCol w:w="2029"/>
      </w:tblGrid>
      <w:tr w:rsidR="00241CF0" w:rsidRPr="00736B36" w14:paraId="38854AC4" w14:textId="77777777" w:rsidTr="00241CF0">
        <w:trPr>
          <w:trHeight w:val="504"/>
          <w:jc w:val="center"/>
        </w:trPr>
        <w:tc>
          <w:tcPr>
            <w:tcW w:w="0" w:type="auto"/>
            <w:shd w:val="clear" w:color="auto" w:fill="8EA5B6"/>
            <w:vAlign w:val="center"/>
            <w:hideMark/>
          </w:tcPr>
          <w:p w14:paraId="609F95B9" w14:textId="77777777" w:rsidR="00241CF0" w:rsidRPr="00241CF0" w:rsidRDefault="00241CF0" w:rsidP="00241CF0">
            <w:pPr>
              <w:jc w:val="center"/>
              <w:rPr>
                <w:b/>
                <w:bCs/>
                <w:sz w:val="20"/>
                <w:szCs w:val="20"/>
                <w:lang w:val="en-US"/>
              </w:rPr>
            </w:pPr>
            <w:r w:rsidRPr="00241CF0">
              <w:rPr>
                <w:b/>
                <w:bCs/>
                <w:sz w:val="20"/>
                <w:szCs w:val="20"/>
                <w:lang w:val="en-US"/>
              </w:rPr>
              <w:t>PCM Type</w:t>
            </w:r>
          </w:p>
        </w:tc>
        <w:tc>
          <w:tcPr>
            <w:tcW w:w="0" w:type="auto"/>
            <w:shd w:val="clear" w:color="auto" w:fill="8EA5B6"/>
            <w:vAlign w:val="center"/>
            <w:hideMark/>
          </w:tcPr>
          <w:p w14:paraId="653FB22C" w14:textId="77777777" w:rsidR="00241CF0" w:rsidRPr="00241CF0" w:rsidRDefault="00241CF0" w:rsidP="00241CF0">
            <w:pPr>
              <w:jc w:val="center"/>
              <w:rPr>
                <w:b/>
                <w:bCs/>
                <w:sz w:val="20"/>
                <w:szCs w:val="20"/>
                <w:lang w:val="en-US"/>
              </w:rPr>
            </w:pPr>
            <w:r w:rsidRPr="00241CF0">
              <w:rPr>
                <w:b/>
                <w:bCs/>
                <w:sz w:val="20"/>
                <w:szCs w:val="20"/>
                <w:lang w:val="en-US"/>
              </w:rPr>
              <w:t>Phase Transition Temperature Range (°C)</w:t>
            </w:r>
          </w:p>
        </w:tc>
        <w:tc>
          <w:tcPr>
            <w:tcW w:w="2192" w:type="dxa"/>
            <w:shd w:val="clear" w:color="auto" w:fill="8EA5B6"/>
            <w:vAlign w:val="center"/>
            <w:hideMark/>
          </w:tcPr>
          <w:p w14:paraId="57A32543" w14:textId="77777777" w:rsidR="00241CF0" w:rsidRPr="00241CF0" w:rsidRDefault="00241CF0" w:rsidP="00241CF0">
            <w:pPr>
              <w:jc w:val="center"/>
              <w:rPr>
                <w:b/>
                <w:bCs/>
                <w:sz w:val="20"/>
                <w:szCs w:val="20"/>
                <w:lang w:val="en-US"/>
              </w:rPr>
            </w:pPr>
            <w:r w:rsidRPr="00241CF0">
              <w:rPr>
                <w:b/>
                <w:bCs/>
                <w:sz w:val="20"/>
                <w:szCs w:val="20"/>
                <w:lang w:val="en-US"/>
              </w:rPr>
              <w:t>Heat Storage Capacity Range (kJ/kg)</w:t>
            </w:r>
          </w:p>
        </w:tc>
        <w:tc>
          <w:tcPr>
            <w:tcW w:w="2029" w:type="dxa"/>
            <w:shd w:val="clear" w:color="auto" w:fill="8EA5B6"/>
            <w:vAlign w:val="center"/>
          </w:tcPr>
          <w:p w14:paraId="28D96F08" w14:textId="77777777" w:rsidR="00241CF0" w:rsidRPr="00241CF0" w:rsidRDefault="00241CF0" w:rsidP="00241CF0">
            <w:pPr>
              <w:jc w:val="center"/>
              <w:rPr>
                <w:b/>
                <w:bCs/>
                <w:sz w:val="20"/>
                <w:szCs w:val="20"/>
                <w:lang w:val="en-US"/>
              </w:rPr>
            </w:pPr>
          </w:p>
        </w:tc>
      </w:tr>
      <w:tr w:rsidR="00241CF0" w:rsidRPr="00241CF0" w14:paraId="096B8DEC" w14:textId="77777777" w:rsidTr="00241CF0">
        <w:trPr>
          <w:trHeight w:val="856"/>
          <w:jc w:val="center"/>
        </w:trPr>
        <w:tc>
          <w:tcPr>
            <w:tcW w:w="0" w:type="auto"/>
            <w:vAlign w:val="center"/>
            <w:hideMark/>
          </w:tcPr>
          <w:p w14:paraId="6C921844" w14:textId="77777777" w:rsidR="00241CF0" w:rsidRPr="00241CF0" w:rsidRDefault="00241CF0" w:rsidP="00241CF0">
            <w:pPr>
              <w:jc w:val="center"/>
              <w:rPr>
                <w:sz w:val="20"/>
                <w:szCs w:val="20"/>
                <w:lang w:val="en-US"/>
              </w:rPr>
            </w:pPr>
            <w:r w:rsidRPr="00241CF0">
              <w:rPr>
                <w:sz w:val="20"/>
                <w:szCs w:val="20"/>
                <w:lang w:val="en-US"/>
              </w:rPr>
              <w:t>ATS Series</w:t>
            </w:r>
          </w:p>
        </w:tc>
        <w:tc>
          <w:tcPr>
            <w:tcW w:w="0" w:type="auto"/>
            <w:vAlign w:val="center"/>
            <w:hideMark/>
          </w:tcPr>
          <w:p w14:paraId="3BB9EB74" w14:textId="2F1CD083" w:rsidR="00241CF0" w:rsidRPr="00241CF0" w:rsidRDefault="00241CF0" w:rsidP="00241CF0">
            <w:pPr>
              <w:jc w:val="center"/>
              <w:rPr>
                <w:sz w:val="20"/>
                <w:szCs w:val="20"/>
                <w:lang w:val="en-US"/>
              </w:rPr>
            </w:pPr>
            <w:r w:rsidRPr="00241CF0">
              <w:rPr>
                <w:sz w:val="20"/>
                <w:szCs w:val="20"/>
                <w:lang w:val="en-US"/>
              </w:rPr>
              <w:t>–63 &lt;&gt; –10</w:t>
            </w:r>
          </w:p>
        </w:tc>
        <w:tc>
          <w:tcPr>
            <w:tcW w:w="2192" w:type="dxa"/>
            <w:vAlign w:val="center"/>
            <w:hideMark/>
          </w:tcPr>
          <w:p w14:paraId="668A99A1" w14:textId="7F7807FB" w:rsidR="00241CF0" w:rsidRPr="00241CF0" w:rsidRDefault="00241CF0" w:rsidP="00241CF0">
            <w:pPr>
              <w:jc w:val="center"/>
              <w:rPr>
                <w:sz w:val="20"/>
                <w:szCs w:val="20"/>
                <w:lang w:val="nb-NO"/>
              </w:rPr>
            </w:pPr>
            <w:r w:rsidRPr="00241CF0">
              <w:rPr>
                <w:sz w:val="20"/>
                <w:szCs w:val="20"/>
                <w:lang w:val="nb-NO"/>
              </w:rPr>
              <w:t>180 &lt;&gt; 60</w:t>
            </w:r>
          </w:p>
        </w:tc>
        <w:tc>
          <w:tcPr>
            <w:tcW w:w="2029" w:type="dxa"/>
            <w:vAlign w:val="center"/>
          </w:tcPr>
          <w:p w14:paraId="6579B6ED" w14:textId="77DEEEE7" w:rsidR="00241CF0" w:rsidRPr="00241CF0" w:rsidRDefault="00241CF0" w:rsidP="00241CF0">
            <w:pPr>
              <w:jc w:val="center"/>
              <w:rPr>
                <w:sz w:val="20"/>
                <w:szCs w:val="20"/>
                <w:lang w:val="nb-NO"/>
              </w:rPr>
            </w:pPr>
            <w:r w:rsidRPr="00241CF0">
              <w:rPr>
                <w:noProof/>
                <w:sz w:val="20"/>
                <w:szCs w:val="20"/>
                <w:lang w:val="nb-NO"/>
              </w:rPr>
              <w:drawing>
                <wp:inline distT="0" distB="0" distL="0" distR="0" wp14:anchorId="767597F4" wp14:editId="19934145">
                  <wp:extent cx="913020" cy="377190"/>
                  <wp:effectExtent l="0" t="0" r="1905" b="3810"/>
                  <wp:docPr id="1290610963" name="Immagine 1" descr="A group of black circl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0610963" name="Immagine 1" descr="A group of black circles&#10;&#10;AI-generated content may be incorrect."/>
                          <pic:cNvPicPr/>
                        </pic:nvPicPr>
                        <pic:blipFill>
                          <a:blip r:embed="rId91"/>
                          <a:stretch>
                            <a:fillRect/>
                          </a:stretch>
                        </pic:blipFill>
                        <pic:spPr>
                          <a:xfrm>
                            <a:off x="0" y="0"/>
                            <a:ext cx="975165" cy="402863"/>
                          </a:xfrm>
                          <a:prstGeom prst="rect">
                            <a:avLst/>
                          </a:prstGeom>
                        </pic:spPr>
                      </pic:pic>
                    </a:graphicData>
                  </a:graphic>
                </wp:inline>
              </w:drawing>
            </w:r>
          </w:p>
        </w:tc>
      </w:tr>
      <w:tr w:rsidR="00241CF0" w:rsidRPr="00241CF0" w14:paraId="002715A2" w14:textId="77777777" w:rsidTr="00241CF0">
        <w:trPr>
          <w:trHeight w:val="1159"/>
          <w:jc w:val="center"/>
        </w:trPr>
        <w:tc>
          <w:tcPr>
            <w:tcW w:w="0" w:type="auto"/>
            <w:vAlign w:val="center"/>
            <w:hideMark/>
          </w:tcPr>
          <w:p w14:paraId="7E3058D1" w14:textId="77777777" w:rsidR="00241CF0" w:rsidRPr="00241CF0" w:rsidRDefault="00241CF0" w:rsidP="00241CF0">
            <w:pPr>
              <w:jc w:val="center"/>
              <w:rPr>
                <w:sz w:val="20"/>
                <w:szCs w:val="20"/>
                <w:lang w:val="en-US"/>
              </w:rPr>
            </w:pPr>
            <w:r w:rsidRPr="00241CF0">
              <w:rPr>
                <w:sz w:val="20"/>
                <w:szCs w:val="20"/>
                <w:lang w:val="en-US"/>
              </w:rPr>
              <w:lastRenderedPageBreak/>
              <w:t>ATP Series</w:t>
            </w:r>
          </w:p>
        </w:tc>
        <w:tc>
          <w:tcPr>
            <w:tcW w:w="0" w:type="auto"/>
            <w:vAlign w:val="center"/>
            <w:hideMark/>
          </w:tcPr>
          <w:p w14:paraId="1FCC5213" w14:textId="77777777" w:rsidR="00241CF0" w:rsidRPr="00241CF0" w:rsidRDefault="00241CF0" w:rsidP="00241CF0">
            <w:pPr>
              <w:jc w:val="center"/>
              <w:rPr>
                <w:sz w:val="20"/>
                <w:szCs w:val="20"/>
                <w:lang w:val="en-US"/>
              </w:rPr>
            </w:pPr>
            <w:r w:rsidRPr="00241CF0">
              <w:rPr>
                <w:sz w:val="20"/>
                <w:szCs w:val="20"/>
                <w:lang w:val="en-US"/>
              </w:rPr>
              <w:t>4 &lt;&gt; 115</w:t>
            </w:r>
          </w:p>
        </w:tc>
        <w:tc>
          <w:tcPr>
            <w:tcW w:w="2192" w:type="dxa"/>
            <w:vAlign w:val="center"/>
            <w:hideMark/>
          </w:tcPr>
          <w:p w14:paraId="7C755806" w14:textId="3AD71295" w:rsidR="00241CF0" w:rsidRPr="00241CF0" w:rsidRDefault="00241CF0" w:rsidP="00241CF0">
            <w:pPr>
              <w:jc w:val="center"/>
              <w:rPr>
                <w:sz w:val="20"/>
                <w:szCs w:val="20"/>
                <w:lang w:val="nb-NO"/>
              </w:rPr>
            </w:pPr>
            <w:r w:rsidRPr="00241CF0">
              <w:rPr>
                <w:sz w:val="20"/>
                <w:szCs w:val="20"/>
                <w:lang w:val="nb-NO"/>
              </w:rPr>
              <w:t>145 &lt;&gt; 275</w:t>
            </w:r>
          </w:p>
        </w:tc>
        <w:tc>
          <w:tcPr>
            <w:tcW w:w="2029" w:type="dxa"/>
            <w:vAlign w:val="center"/>
          </w:tcPr>
          <w:p w14:paraId="3CBED611" w14:textId="77777777" w:rsidR="00241CF0" w:rsidRPr="00241CF0" w:rsidRDefault="00241CF0" w:rsidP="00241CF0">
            <w:pPr>
              <w:keepNext/>
              <w:jc w:val="center"/>
              <w:rPr>
                <w:sz w:val="20"/>
                <w:szCs w:val="20"/>
                <w:lang w:val="nb-NO"/>
              </w:rPr>
            </w:pPr>
            <w:r w:rsidRPr="00241CF0">
              <w:rPr>
                <w:noProof/>
                <w:sz w:val="20"/>
                <w:szCs w:val="20"/>
                <w:lang w:val="nb-NO"/>
              </w:rPr>
              <w:drawing>
                <wp:inline distT="0" distB="0" distL="0" distR="0" wp14:anchorId="5123F735" wp14:editId="07EF55D0">
                  <wp:extent cx="711200" cy="628431"/>
                  <wp:effectExtent l="0" t="0" r="0" b="635"/>
                  <wp:docPr id="2037064063" name="Immagine 1" descr="A black plastic cube with black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7064063" name="Immagine 1" descr="A black plastic cube with black lines&#10;&#10;AI-generated content may be incorrect."/>
                          <pic:cNvPicPr/>
                        </pic:nvPicPr>
                        <pic:blipFill>
                          <a:blip r:embed="rId92"/>
                          <a:stretch>
                            <a:fillRect/>
                          </a:stretch>
                        </pic:blipFill>
                        <pic:spPr>
                          <a:xfrm rot="10800000" flipV="1">
                            <a:off x="0" y="0"/>
                            <a:ext cx="732785" cy="647504"/>
                          </a:xfrm>
                          <a:prstGeom prst="rect">
                            <a:avLst/>
                          </a:prstGeom>
                        </pic:spPr>
                      </pic:pic>
                    </a:graphicData>
                  </a:graphic>
                </wp:inline>
              </w:drawing>
            </w:r>
          </w:p>
        </w:tc>
      </w:tr>
    </w:tbl>
    <w:p w14:paraId="21E1C322" w14:textId="21E07961" w:rsidR="000F6463" w:rsidRPr="00241CF0" w:rsidRDefault="00241CF0" w:rsidP="00241CF0">
      <w:pPr>
        <w:pStyle w:val="Caption"/>
        <w:rPr>
          <w:rFonts w:cs="Times New Roman"/>
          <w:sz w:val="20"/>
          <w:szCs w:val="16"/>
        </w:rPr>
      </w:pPr>
      <w:bookmarkStart w:id="73" w:name="_Toc214362625"/>
      <w:r w:rsidRPr="00241CF0">
        <w:rPr>
          <w:sz w:val="20"/>
          <w:szCs w:val="16"/>
        </w:rPr>
        <w:t xml:space="preserve">Table </w:t>
      </w:r>
      <w:r w:rsidR="00F43E9A">
        <w:rPr>
          <w:sz w:val="20"/>
          <w:szCs w:val="16"/>
        </w:rPr>
        <w:fldChar w:fldCharType="begin"/>
      </w:r>
      <w:r w:rsidR="00F43E9A">
        <w:rPr>
          <w:sz w:val="20"/>
          <w:szCs w:val="16"/>
        </w:rPr>
        <w:instrText xml:space="preserve"> STYLEREF 1 \s </w:instrText>
      </w:r>
      <w:r w:rsidR="00F43E9A">
        <w:rPr>
          <w:sz w:val="20"/>
          <w:szCs w:val="16"/>
        </w:rPr>
        <w:fldChar w:fldCharType="separate"/>
      </w:r>
      <w:r w:rsidR="000412CE">
        <w:rPr>
          <w:noProof/>
          <w:sz w:val="20"/>
          <w:szCs w:val="16"/>
        </w:rPr>
        <w:t>1</w:t>
      </w:r>
      <w:r w:rsidR="00F43E9A">
        <w:rPr>
          <w:sz w:val="20"/>
          <w:szCs w:val="16"/>
        </w:rPr>
        <w:fldChar w:fldCharType="end"/>
      </w:r>
      <w:r w:rsidR="00F43E9A">
        <w:rPr>
          <w:sz w:val="20"/>
          <w:szCs w:val="16"/>
        </w:rPr>
        <w:t>.</w:t>
      </w:r>
      <w:r w:rsidR="00F43E9A">
        <w:rPr>
          <w:sz w:val="20"/>
          <w:szCs w:val="16"/>
        </w:rPr>
        <w:fldChar w:fldCharType="begin"/>
      </w:r>
      <w:r w:rsidR="00F43E9A">
        <w:rPr>
          <w:sz w:val="20"/>
          <w:szCs w:val="16"/>
        </w:rPr>
        <w:instrText xml:space="preserve"> SEQ Table \* ARABIC \s 1 </w:instrText>
      </w:r>
      <w:r w:rsidR="00F43E9A">
        <w:rPr>
          <w:sz w:val="20"/>
          <w:szCs w:val="16"/>
        </w:rPr>
        <w:fldChar w:fldCharType="separate"/>
      </w:r>
      <w:r w:rsidR="000412CE">
        <w:rPr>
          <w:noProof/>
          <w:sz w:val="20"/>
          <w:szCs w:val="16"/>
        </w:rPr>
        <w:t>20</w:t>
      </w:r>
      <w:r w:rsidR="00F43E9A">
        <w:rPr>
          <w:sz w:val="20"/>
          <w:szCs w:val="16"/>
        </w:rPr>
        <w:fldChar w:fldCharType="end"/>
      </w:r>
      <w:r w:rsidR="00DE026D">
        <w:rPr>
          <w:sz w:val="20"/>
          <w:szCs w:val="16"/>
        </w:rPr>
        <w:t>.</w:t>
      </w:r>
      <w:r w:rsidRPr="00241CF0">
        <w:rPr>
          <w:sz w:val="20"/>
          <w:szCs w:val="16"/>
        </w:rPr>
        <w:t xml:space="preserve"> Axiotherm products: ATS and ATP: phase transition ranges and heat-storage capacity.</w:t>
      </w:r>
      <w:bookmarkEnd w:id="73"/>
    </w:p>
    <w:p w14:paraId="76781A80" w14:textId="60691C22" w:rsidR="000F6463" w:rsidRPr="00241CF0" w:rsidRDefault="00241CF0" w:rsidP="000F6463">
      <w:pPr>
        <w:rPr>
          <w:rFonts w:cs="Times New Roman"/>
          <w:lang w:val="en-US"/>
        </w:rPr>
      </w:pPr>
      <w:r w:rsidRPr="00241CF0">
        <w:rPr>
          <w:rFonts w:cs="Times New Roman"/>
          <w:lang w:val="en-US"/>
        </w:rPr>
        <w:t>T</w:t>
      </w:r>
      <w:r w:rsidR="000F6463" w:rsidRPr="00241CF0">
        <w:rPr>
          <w:rFonts w:cs="Times New Roman"/>
          <w:lang w:val="en-US"/>
        </w:rPr>
        <w:t xml:space="preserve">able </w:t>
      </w:r>
      <w:r w:rsidRPr="00241CF0">
        <w:rPr>
          <w:rFonts w:cs="Times New Roman"/>
          <w:lang w:val="en-US"/>
        </w:rPr>
        <w:t>1.</w:t>
      </w:r>
      <w:r w:rsidR="000F6463" w:rsidRPr="00241CF0">
        <w:rPr>
          <w:rFonts w:cs="Times New Roman"/>
          <w:lang w:val="en-US"/>
        </w:rPr>
        <w:t>21 presents three Axiotherm products</w:t>
      </w:r>
      <w:r w:rsidR="000F32C4">
        <w:rPr>
          <w:rFonts w:cs="Times New Roman"/>
          <w:lang w:val="en-US"/>
        </w:rPr>
        <w:t>,</w:t>
      </w:r>
      <w:r w:rsidR="000F6463" w:rsidRPr="00241CF0">
        <w:rPr>
          <w:rFonts w:cs="Times New Roman"/>
          <w:lang w:val="en-US"/>
        </w:rPr>
        <w:t xml:space="preserve"> like BlackIce, HeatSel, and HeatStaxx Air</w:t>
      </w:r>
      <w:r w:rsidR="000F32C4">
        <w:rPr>
          <w:rFonts w:cs="Times New Roman"/>
          <w:lang w:val="en-US"/>
        </w:rPr>
        <w:t>,</w:t>
      </w:r>
      <w:r w:rsidR="000F6463" w:rsidRPr="00241CF0">
        <w:rPr>
          <w:rFonts w:cs="Times New Roman"/>
          <w:lang w:val="en-US"/>
        </w:rPr>
        <w:t xml:space="preserve"> briefly summarizing their functions and typical thermal energy storage applications.</w:t>
      </w:r>
    </w:p>
    <w:tbl>
      <w:tblPr>
        <w:tblStyle w:val="TableGrid"/>
        <w:tblW w:w="0" w:type="auto"/>
        <w:tblLook w:val="04A0" w:firstRow="1" w:lastRow="0" w:firstColumn="1" w:lastColumn="0" w:noHBand="0" w:noVBand="1"/>
      </w:tblPr>
      <w:tblGrid>
        <w:gridCol w:w="2598"/>
        <w:gridCol w:w="3774"/>
        <w:gridCol w:w="2688"/>
      </w:tblGrid>
      <w:tr w:rsidR="000F6463" w:rsidRPr="00241CF0" w14:paraId="26F2693F" w14:textId="77777777" w:rsidTr="008C2228">
        <w:tc>
          <w:tcPr>
            <w:tcW w:w="2791" w:type="dxa"/>
            <w:shd w:val="clear" w:color="auto" w:fill="8EA5B6"/>
            <w:vAlign w:val="center"/>
          </w:tcPr>
          <w:p w14:paraId="789D9503" w14:textId="77777777" w:rsidR="000F6463" w:rsidRPr="008C2228" w:rsidRDefault="000F6463" w:rsidP="008C2228">
            <w:pPr>
              <w:jc w:val="center"/>
              <w:rPr>
                <w:rFonts w:cs="Times New Roman"/>
                <w:b/>
                <w:bCs/>
                <w:sz w:val="18"/>
                <w:szCs w:val="18"/>
                <w:lang w:val="nb-NO"/>
              </w:rPr>
            </w:pPr>
            <w:r w:rsidRPr="008C2228">
              <w:rPr>
                <w:rFonts w:cs="Times New Roman"/>
                <w:b/>
                <w:bCs/>
                <w:sz w:val="18"/>
                <w:szCs w:val="18"/>
                <w:lang w:val="nb-NO"/>
              </w:rPr>
              <w:t>Product</w:t>
            </w:r>
          </w:p>
        </w:tc>
        <w:tc>
          <w:tcPr>
            <w:tcW w:w="4071" w:type="dxa"/>
            <w:shd w:val="clear" w:color="auto" w:fill="8EA5B6"/>
            <w:vAlign w:val="center"/>
          </w:tcPr>
          <w:p w14:paraId="506A7F50" w14:textId="77777777" w:rsidR="000F6463" w:rsidRPr="008C2228" w:rsidRDefault="000F6463" w:rsidP="000F32C4">
            <w:pPr>
              <w:jc w:val="center"/>
              <w:rPr>
                <w:rFonts w:cs="Times New Roman"/>
                <w:b/>
                <w:bCs/>
                <w:sz w:val="18"/>
                <w:szCs w:val="18"/>
                <w:lang w:val="nb-NO"/>
              </w:rPr>
            </w:pPr>
            <w:r w:rsidRPr="008C2228">
              <w:rPr>
                <w:rFonts w:cs="Times New Roman"/>
                <w:b/>
                <w:bCs/>
                <w:sz w:val="18"/>
                <w:szCs w:val="18"/>
                <w:lang w:val="nb-NO"/>
              </w:rPr>
              <w:t>Description</w:t>
            </w:r>
          </w:p>
        </w:tc>
        <w:tc>
          <w:tcPr>
            <w:tcW w:w="2766" w:type="dxa"/>
            <w:shd w:val="clear" w:color="auto" w:fill="8EA5B6"/>
            <w:vAlign w:val="center"/>
          </w:tcPr>
          <w:p w14:paraId="20A2F735" w14:textId="77777777" w:rsidR="000F6463" w:rsidRPr="008C2228" w:rsidRDefault="000F6463" w:rsidP="008C2228">
            <w:pPr>
              <w:jc w:val="center"/>
              <w:rPr>
                <w:rFonts w:cs="Times New Roman"/>
                <w:b/>
                <w:bCs/>
                <w:lang w:val="nb-NO"/>
              </w:rPr>
            </w:pPr>
          </w:p>
        </w:tc>
      </w:tr>
      <w:tr w:rsidR="000F6463" w:rsidRPr="00736B36" w14:paraId="60E11A3E" w14:textId="77777777" w:rsidTr="008C2228">
        <w:tc>
          <w:tcPr>
            <w:tcW w:w="2791" w:type="dxa"/>
            <w:vAlign w:val="center"/>
          </w:tcPr>
          <w:p w14:paraId="3CBC6A2E" w14:textId="77777777" w:rsidR="000F6463" w:rsidRPr="00241CF0" w:rsidRDefault="000F6463" w:rsidP="008C2228">
            <w:pPr>
              <w:jc w:val="center"/>
              <w:rPr>
                <w:rFonts w:cs="Times New Roman"/>
                <w:sz w:val="18"/>
                <w:szCs w:val="18"/>
                <w:lang w:val="nb-NO"/>
              </w:rPr>
            </w:pPr>
            <w:r w:rsidRPr="00241CF0">
              <w:rPr>
                <w:rFonts w:cs="Times New Roman"/>
                <w:sz w:val="18"/>
                <w:szCs w:val="18"/>
                <w:lang w:val="nb-NO"/>
              </w:rPr>
              <w:t>BlackIce</w:t>
            </w:r>
          </w:p>
        </w:tc>
        <w:tc>
          <w:tcPr>
            <w:tcW w:w="4071" w:type="dxa"/>
            <w:vAlign w:val="center"/>
          </w:tcPr>
          <w:p w14:paraId="41AFFC01" w14:textId="7082EDCD" w:rsidR="000F6463" w:rsidRPr="00241CF0" w:rsidRDefault="000F6463" w:rsidP="000F32C4">
            <w:pPr>
              <w:rPr>
                <w:rFonts w:cs="Times New Roman"/>
                <w:sz w:val="18"/>
                <w:szCs w:val="18"/>
                <w:lang w:val="en-US"/>
              </w:rPr>
            </w:pPr>
            <w:r w:rsidRPr="00241CF0">
              <w:rPr>
                <w:rFonts w:cs="Times New Roman"/>
                <w:sz w:val="18"/>
                <w:szCs w:val="18"/>
                <w:lang w:val="en-US"/>
              </w:rPr>
              <w:t>BlackIce® is a polymer-based PCM compound designed to provide thermal stabilization for electronic components and systems, preventing temperature peaks and extending their lifespan. It is lightweight, leak-proof, easy to process, and can be customized with additives to enhance thermal performance, making it suitable for automotive, aviation, and logistics applications.</w:t>
            </w:r>
          </w:p>
        </w:tc>
        <w:tc>
          <w:tcPr>
            <w:tcW w:w="2766" w:type="dxa"/>
            <w:vAlign w:val="center"/>
          </w:tcPr>
          <w:p w14:paraId="17638B3B" w14:textId="77777777" w:rsidR="000F6463" w:rsidRPr="00241CF0" w:rsidRDefault="000F6463" w:rsidP="008C2228">
            <w:pPr>
              <w:jc w:val="center"/>
              <w:rPr>
                <w:rFonts w:cs="Times New Roman"/>
                <w:lang w:val="en-US"/>
              </w:rPr>
            </w:pPr>
            <w:r w:rsidRPr="00241CF0">
              <w:rPr>
                <w:rFonts w:cs="Times New Roman"/>
                <w:noProof/>
                <w:lang w:val="nb-NO"/>
              </w:rPr>
              <w:drawing>
                <wp:anchor distT="0" distB="0" distL="114300" distR="114300" simplePos="0" relativeHeight="251687936" behindDoc="0" locked="0" layoutInCell="1" allowOverlap="1" wp14:anchorId="2078C212" wp14:editId="53B9E290">
                  <wp:simplePos x="0" y="0"/>
                  <wp:positionH relativeFrom="column">
                    <wp:posOffset>432435</wp:posOffset>
                  </wp:positionH>
                  <wp:positionV relativeFrom="paragraph">
                    <wp:posOffset>120650</wp:posOffset>
                  </wp:positionV>
                  <wp:extent cx="812800" cy="819785"/>
                  <wp:effectExtent l="0" t="0" r="6350" b="0"/>
                  <wp:wrapSquare wrapText="bothSides"/>
                  <wp:docPr id="512916107" name="Immagine 1" descr="Immagine che contiene metallo, griglia, terren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916107" name="Immagine 1" descr="Immagine che contiene metallo, griglia, terreno&#10;&#10;Il contenuto generato dall'IA potrebbe non essere corretto."/>
                          <pic:cNvPicPr/>
                        </pic:nvPicPr>
                        <pic:blipFill>
                          <a:blip r:embed="rId93" cstate="print">
                            <a:extLst>
                              <a:ext uri="{28A0092B-C50C-407E-A947-70E740481C1C}">
                                <a14:useLocalDpi xmlns:a14="http://schemas.microsoft.com/office/drawing/2010/main" val="0"/>
                              </a:ext>
                            </a:extLst>
                          </a:blip>
                          <a:stretch>
                            <a:fillRect/>
                          </a:stretch>
                        </pic:blipFill>
                        <pic:spPr>
                          <a:xfrm>
                            <a:off x="0" y="0"/>
                            <a:ext cx="812800" cy="819785"/>
                          </a:xfrm>
                          <a:prstGeom prst="rect">
                            <a:avLst/>
                          </a:prstGeom>
                        </pic:spPr>
                      </pic:pic>
                    </a:graphicData>
                  </a:graphic>
                  <wp14:sizeRelH relativeFrom="margin">
                    <wp14:pctWidth>0</wp14:pctWidth>
                  </wp14:sizeRelH>
                  <wp14:sizeRelV relativeFrom="margin">
                    <wp14:pctHeight>0</wp14:pctHeight>
                  </wp14:sizeRelV>
                </wp:anchor>
              </w:drawing>
            </w:r>
          </w:p>
        </w:tc>
      </w:tr>
      <w:tr w:rsidR="000F6463" w:rsidRPr="00736B36" w14:paraId="5D6C3764" w14:textId="77777777" w:rsidTr="008C2228">
        <w:tc>
          <w:tcPr>
            <w:tcW w:w="2791" w:type="dxa"/>
            <w:vAlign w:val="center"/>
          </w:tcPr>
          <w:p w14:paraId="36B8A520" w14:textId="77777777" w:rsidR="000F6463" w:rsidRPr="00241CF0" w:rsidRDefault="000F6463" w:rsidP="008C2228">
            <w:pPr>
              <w:jc w:val="center"/>
              <w:rPr>
                <w:rFonts w:cs="Times New Roman"/>
                <w:sz w:val="18"/>
                <w:szCs w:val="18"/>
                <w:lang w:val="nb-NO"/>
              </w:rPr>
            </w:pPr>
            <w:r w:rsidRPr="00241CF0">
              <w:rPr>
                <w:rFonts w:cs="Times New Roman"/>
                <w:sz w:val="18"/>
                <w:szCs w:val="18"/>
                <w:lang w:val="nb-NO"/>
              </w:rPr>
              <w:t>HeatSel</w:t>
            </w:r>
          </w:p>
        </w:tc>
        <w:tc>
          <w:tcPr>
            <w:tcW w:w="4071" w:type="dxa"/>
            <w:vAlign w:val="center"/>
          </w:tcPr>
          <w:p w14:paraId="64A385FA" w14:textId="77777777" w:rsidR="000F6463" w:rsidRPr="00241CF0" w:rsidRDefault="000F6463" w:rsidP="000F32C4">
            <w:pPr>
              <w:rPr>
                <w:rFonts w:cs="Times New Roman"/>
                <w:sz w:val="18"/>
                <w:szCs w:val="18"/>
                <w:lang w:val="en-US"/>
              </w:rPr>
            </w:pPr>
            <w:r w:rsidRPr="00241CF0">
              <w:rPr>
                <w:rFonts w:cs="Times New Roman"/>
                <w:sz w:val="18"/>
                <w:szCs w:val="18"/>
                <w:lang w:val="en-US"/>
              </w:rPr>
              <w:t>HeatSel®, developed by Axiotherm, is a high-performance thermal energy storage system designed for water-based applications. It uses a hybrid macro-encapsulation structure optimized for efficient heat transfer and maintaining stable temperatures during heat storage and release. Suitable for cooling and heating systems, it is applied in HVAC and industrial thermal storage. Recognized by the European Commission as one of the most innovative energy solutions, HeatSel® combines efficiency, modularity, and reliability.</w:t>
            </w:r>
          </w:p>
          <w:p w14:paraId="7057C15A" w14:textId="77777777" w:rsidR="000F6463" w:rsidRPr="00241CF0" w:rsidRDefault="000F6463" w:rsidP="000F32C4">
            <w:pPr>
              <w:rPr>
                <w:rFonts w:cs="Times New Roman"/>
                <w:sz w:val="18"/>
                <w:szCs w:val="18"/>
                <w:lang w:val="en-US"/>
              </w:rPr>
            </w:pPr>
          </w:p>
        </w:tc>
        <w:tc>
          <w:tcPr>
            <w:tcW w:w="2766" w:type="dxa"/>
            <w:vAlign w:val="center"/>
          </w:tcPr>
          <w:p w14:paraId="71A18B5C" w14:textId="77777777" w:rsidR="000F6463" w:rsidRPr="00241CF0" w:rsidRDefault="000F6463" w:rsidP="008C2228">
            <w:pPr>
              <w:jc w:val="center"/>
              <w:rPr>
                <w:rFonts w:cs="Times New Roman"/>
                <w:lang w:val="en-US"/>
              </w:rPr>
            </w:pPr>
            <w:r w:rsidRPr="00241CF0">
              <w:rPr>
                <w:rFonts w:cs="Times New Roman"/>
                <w:noProof/>
              </w:rPr>
              <w:drawing>
                <wp:anchor distT="0" distB="0" distL="114300" distR="114300" simplePos="0" relativeHeight="251688960" behindDoc="0" locked="0" layoutInCell="1" allowOverlap="1" wp14:anchorId="1D3586BB" wp14:editId="297E744C">
                  <wp:simplePos x="0" y="0"/>
                  <wp:positionH relativeFrom="column">
                    <wp:posOffset>171450</wp:posOffset>
                  </wp:positionH>
                  <wp:positionV relativeFrom="paragraph">
                    <wp:posOffset>337820</wp:posOffset>
                  </wp:positionV>
                  <wp:extent cx="1320165" cy="851535"/>
                  <wp:effectExtent l="5715" t="0" r="0" b="0"/>
                  <wp:wrapSquare wrapText="bothSides"/>
                  <wp:docPr id="1884965806" name="Immagine 1" descr="Immagine che contiene origami&#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4965806" name="Immagine 1" descr="Immagine che contiene origami&#10;&#10;Il contenuto generato dall'IA potrebbe non essere corretto."/>
                          <pic:cNvPicPr/>
                        </pic:nvPicPr>
                        <pic:blipFill>
                          <a:blip r:embed="rId94">
                            <a:extLst>
                              <a:ext uri="{28A0092B-C50C-407E-A947-70E740481C1C}">
                                <a14:useLocalDpi xmlns:a14="http://schemas.microsoft.com/office/drawing/2010/main" val="0"/>
                              </a:ext>
                            </a:extLst>
                          </a:blip>
                          <a:stretch>
                            <a:fillRect/>
                          </a:stretch>
                        </pic:blipFill>
                        <pic:spPr>
                          <a:xfrm rot="16200000">
                            <a:off x="0" y="0"/>
                            <a:ext cx="1320165" cy="851535"/>
                          </a:xfrm>
                          <a:prstGeom prst="rect">
                            <a:avLst/>
                          </a:prstGeom>
                        </pic:spPr>
                      </pic:pic>
                    </a:graphicData>
                  </a:graphic>
                  <wp14:sizeRelH relativeFrom="margin">
                    <wp14:pctWidth>0</wp14:pctWidth>
                  </wp14:sizeRelH>
                  <wp14:sizeRelV relativeFrom="margin">
                    <wp14:pctHeight>0</wp14:pctHeight>
                  </wp14:sizeRelV>
                </wp:anchor>
              </w:drawing>
            </w:r>
          </w:p>
        </w:tc>
      </w:tr>
      <w:tr w:rsidR="000F6463" w:rsidRPr="00736B36" w14:paraId="69BECAA8" w14:textId="77777777" w:rsidTr="008C2228">
        <w:tc>
          <w:tcPr>
            <w:tcW w:w="2791" w:type="dxa"/>
            <w:vAlign w:val="center"/>
          </w:tcPr>
          <w:p w14:paraId="1B95D19F" w14:textId="77777777" w:rsidR="000F6463" w:rsidRPr="00241CF0" w:rsidRDefault="000F6463" w:rsidP="008C2228">
            <w:pPr>
              <w:jc w:val="center"/>
              <w:rPr>
                <w:rFonts w:cs="Times New Roman"/>
                <w:sz w:val="18"/>
                <w:szCs w:val="18"/>
              </w:rPr>
            </w:pPr>
            <w:r w:rsidRPr="00241CF0">
              <w:rPr>
                <w:rFonts w:cs="Times New Roman"/>
                <w:sz w:val="18"/>
                <w:szCs w:val="18"/>
                <w:lang w:val="nb-NO"/>
              </w:rPr>
              <w:t>HeatStaxx</w:t>
            </w:r>
          </w:p>
        </w:tc>
        <w:tc>
          <w:tcPr>
            <w:tcW w:w="4071" w:type="dxa"/>
            <w:vAlign w:val="center"/>
          </w:tcPr>
          <w:p w14:paraId="5D976F84" w14:textId="77777777" w:rsidR="000F6463" w:rsidRPr="00241CF0" w:rsidRDefault="000F6463" w:rsidP="000F32C4">
            <w:pPr>
              <w:tabs>
                <w:tab w:val="left" w:pos="3480"/>
              </w:tabs>
              <w:rPr>
                <w:rFonts w:cs="Times New Roman"/>
                <w:sz w:val="18"/>
                <w:szCs w:val="18"/>
                <w:lang w:val="en-US"/>
              </w:rPr>
            </w:pPr>
            <w:r w:rsidRPr="00241CF0">
              <w:rPr>
                <w:rFonts w:cs="Times New Roman"/>
                <w:sz w:val="18"/>
                <w:szCs w:val="18"/>
                <w:lang w:val="en-US"/>
              </w:rPr>
              <w:t>HeatStaxx® Air is a high-performance thermal storage system designed for air-based applications. Made from a specially tailored synthetic material with advanced macro-encapsulation, it ensures efficient heat transfer even with small temperature variations and minimal pressure loss. It is ideal for air conditioning, night cooling, solar heating, and heat recovery ventilation systems.</w:t>
            </w:r>
          </w:p>
        </w:tc>
        <w:tc>
          <w:tcPr>
            <w:tcW w:w="2766" w:type="dxa"/>
            <w:vAlign w:val="center"/>
          </w:tcPr>
          <w:p w14:paraId="159E01FC" w14:textId="77777777" w:rsidR="000F6463" w:rsidRPr="00241CF0" w:rsidRDefault="000F6463" w:rsidP="008C2228">
            <w:pPr>
              <w:keepNext/>
              <w:jc w:val="center"/>
              <w:rPr>
                <w:rFonts w:cs="Times New Roman"/>
                <w:lang w:val="en-US"/>
              </w:rPr>
            </w:pPr>
            <w:r w:rsidRPr="00241CF0">
              <w:rPr>
                <w:rFonts w:cs="Times New Roman"/>
                <w:noProof/>
                <w:lang w:val="nb-NO"/>
              </w:rPr>
              <w:drawing>
                <wp:anchor distT="0" distB="0" distL="114300" distR="114300" simplePos="0" relativeHeight="251686912" behindDoc="0" locked="0" layoutInCell="1" allowOverlap="1" wp14:anchorId="73406292" wp14:editId="4F99D24F">
                  <wp:simplePos x="0" y="0"/>
                  <wp:positionH relativeFrom="column">
                    <wp:posOffset>229235</wp:posOffset>
                  </wp:positionH>
                  <wp:positionV relativeFrom="paragraph">
                    <wp:posOffset>109220</wp:posOffset>
                  </wp:positionV>
                  <wp:extent cx="1168400" cy="765175"/>
                  <wp:effectExtent l="0" t="0" r="0" b="0"/>
                  <wp:wrapSquare wrapText="bothSides"/>
                  <wp:docPr id="848470598" name="Immagine 1" descr="A stack of black foam padd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8470598" name="Immagine 1" descr="A stack of black foam padding&#10;&#10;AI-generated content may be incorrect."/>
                          <pic:cNvPicPr/>
                        </pic:nvPicPr>
                        <pic:blipFill>
                          <a:blip r:embed="rId95" cstate="print">
                            <a:extLst>
                              <a:ext uri="{28A0092B-C50C-407E-A947-70E740481C1C}">
                                <a14:useLocalDpi xmlns:a14="http://schemas.microsoft.com/office/drawing/2010/main" val="0"/>
                              </a:ext>
                            </a:extLst>
                          </a:blip>
                          <a:stretch>
                            <a:fillRect/>
                          </a:stretch>
                        </pic:blipFill>
                        <pic:spPr>
                          <a:xfrm>
                            <a:off x="0" y="0"/>
                            <a:ext cx="1168400" cy="765175"/>
                          </a:xfrm>
                          <a:prstGeom prst="rect">
                            <a:avLst/>
                          </a:prstGeom>
                        </pic:spPr>
                      </pic:pic>
                    </a:graphicData>
                  </a:graphic>
                  <wp14:sizeRelH relativeFrom="margin">
                    <wp14:pctWidth>0</wp14:pctWidth>
                  </wp14:sizeRelH>
                  <wp14:sizeRelV relativeFrom="margin">
                    <wp14:pctHeight>0</wp14:pctHeight>
                  </wp14:sizeRelV>
                </wp:anchor>
              </w:drawing>
            </w:r>
          </w:p>
        </w:tc>
      </w:tr>
    </w:tbl>
    <w:p w14:paraId="3549BF41" w14:textId="27849397" w:rsidR="000F6463" w:rsidRPr="00780CCF" w:rsidRDefault="000F6463" w:rsidP="000F6463">
      <w:pPr>
        <w:pStyle w:val="Caption"/>
        <w:rPr>
          <w:rFonts w:ascii="Times New Roman" w:hAnsi="Times New Roman" w:cs="Times New Roman"/>
        </w:rPr>
      </w:pPr>
      <w:bookmarkStart w:id="74" w:name="_Toc214362626"/>
      <w:r w:rsidRPr="00780CCF">
        <w:rPr>
          <w:rFonts w:ascii="Times New Roman" w:hAnsi="Times New Roman" w:cs="Times New Roman"/>
        </w:rPr>
        <w:lastRenderedPageBreak/>
        <w:t xml:space="preserve">Table </w:t>
      </w:r>
      <w:r w:rsidR="00F43E9A">
        <w:rPr>
          <w:rFonts w:ascii="Times New Roman" w:hAnsi="Times New Roman" w:cs="Times New Roman"/>
        </w:rPr>
        <w:fldChar w:fldCharType="begin"/>
      </w:r>
      <w:r w:rsidR="00F43E9A">
        <w:rPr>
          <w:rFonts w:ascii="Times New Roman" w:hAnsi="Times New Roman" w:cs="Times New Roman"/>
        </w:rPr>
        <w:instrText xml:space="preserve"> STYLEREF 1 \s </w:instrText>
      </w:r>
      <w:r w:rsidR="00F43E9A">
        <w:rPr>
          <w:rFonts w:ascii="Times New Roman" w:hAnsi="Times New Roman" w:cs="Times New Roman"/>
        </w:rPr>
        <w:fldChar w:fldCharType="separate"/>
      </w:r>
      <w:r w:rsidR="000412CE">
        <w:rPr>
          <w:rFonts w:ascii="Times New Roman" w:hAnsi="Times New Roman" w:cs="Times New Roman"/>
          <w:noProof/>
        </w:rPr>
        <w:t>1</w:t>
      </w:r>
      <w:r w:rsidR="00F43E9A">
        <w:rPr>
          <w:rFonts w:ascii="Times New Roman" w:hAnsi="Times New Roman" w:cs="Times New Roman"/>
        </w:rPr>
        <w:fldChar w:fldCharType="end"/>
      </w:r>
      <w:r w:rsidR="00F43E9A">
        <w:rPr>
          <w:rFonts w:ascii="Times New Roman" w:hAnsi="Times New Roman" w:cs="Times New Roman"/>
        </w:rPr>
        <w:t>.</w:t>
      </w:r>
      <w:r w:rsidR="00F43E9A">
        <w:rPr>
          <w:rFonts w:ascii="Times New Roman" w:hAnsi="Times New Roman" w:cs="Times New Roman"/>
        </w:rPr>
        <w:fldChar w:fldCharType="begin"/>
      </w:r>
      <w:r w:rsidR="00F43E9A">
        <w:rPr>
          <w:rFonts w:ascii="Times New Roman" w:hAnsi="Times New Roman" w:cs="Times New Roman"/>
        </w:rPr>
        <w:instrText xml:space="preserve"> SEQ Table \* ARABIC \s 1 </w:instrText>
      </w:r>
      <w:r w:rsidR="00F43E9A">
        <w:rPr>
          <w:rFonts w:ascii="Times New Roman" w:hAnsi="Times New Roman" w:cs="Times New Roman"/>
        </w:rPr>
        <w:fldChar w:fldCharType="separate"/>
      </w:r>
      <w:r w:rsidR="000412CE">
        <w:rPr>
          <w:rFonts w:ascii="Times New Roman" w:hAnsi="Times New Roman" w:cs="Times New Roman"/>
          <w:noProof/>
        </w:rPr>
        <w:t>21</w:t>
      </w:r>
      <w:r w:rsidR="00F43E9A">
        <w:rPr>
          <w:rFonts w:ascii="Times New Roman" w:hAnsi="Times New Roman" w:cs="Times New Roman"/>
        </w:rPr>
        <w:fldChar w:fldCharType="end"/>
      </w:r>
      <w:r w:rsidRPr="00780CCF">
        <w:rPr>
          <w:rFonts w:ascii="Times New Roman" w:hAnsi="Times New Roman" w:cs="Times New Roman"/>
        </w:rPr>
        <w:t>. Axiotherm products: BlackIce, HeatSel, and HeatStaxx Air: brief descriptions and typical TES applications.</w:t>
      </w:r>
      <w:bookmarkEnd w:id="74"/>
    </w:p>
    <w:p w14:paraId="693AE65F" w14:textId="104771D7" w:rsidR="000F6463" w:rsidRPr="008C2228" w:rsidRDefault="000F6463" w:rsidP="000F6463">
      <w:pPr>
        <w:rPr>
          <w:lang w:val="en-US"/>
        </w:rPr>
      </w:pPr>
      <w:r w:rsidRPr="008C2228">
        <w:rPr>
          <w:rFonts w:cs="Times New Roman"/>
          <w:b/>
          <w:bCs/>
          <w:lang w:val="en-US"/>
        </w:rPr>
        <w:t>PureTemp</w:t>
      </w:r>
      <w:r w:rsidRPr="008C2228">
        <w:rPr>
          <w:rFonts w:cs="Times New Roman"/>
          <w:lang w:val="en-US"/>
        </w:rPr>
        <w:t xml:space="preserve">. PureTemp is a biobased specialty chemical company headquartered in Minneapolis, Minnesota. PureTemp LLC, originally known as Entropy Solutions, began producing the world’s first 100% renewable PCM in 2007. These patented PCMs, developed through three years of research sponsored by the U.S. Department of Agriculture, are used in a wide variety of temperature-control applications — from cooling vests and warming blankets to refrigeration systems and thermal energy storage tanks. Derived entirely from sustainable sources such as animal fats and plant oils, PureTemp’s PCMs are nontoxic and biodegradable. They are engineered to maintain more than 200 distinct transition temperatures with consistent and repeatable performance. Table </w:t>
      </w:r>
      <w:r w:rsidR="008C2228">
        <w:rPr>
          <w:rFonts w:cs="Times New Roman"/>
          <w:lang w:val="en-US"/>
        </w:rPr>
        <w:t>1.</w:t>
      </w:r>
      <w:r w:rsidRPr="008C2228">
        <w:rPr>
          <w:rFonts w:cs="Times New Roman"/>
          <w:lang w:val="en-US"/>
        </w:rPr>
        <w:t xml:space="preserve">22 summarizes key properties of PureTemp bio-based PCMs, including melting temperature, solid/liquid density, latent heat, thermal conductivity, and heat-storage capacity </w:t>
      </w:r>
      <w:hyperlink r:id="rId96" w:history="1">
        <w:r w:rsidRPr="008C2228">
          <w:rPr>
            <w:rStyle w:val="Hyperlink"/>
            <w:rFonts w:cs="Times New Roman"/>
            <w:lang w:val="en-US"/>
          </w:rPr>
          <w:t>https://puretemp.com/</w:t>
        </w:r>
      </w:hyperlink>
    </w:p>
    <w:tbl>
      <w:tblPr>
        <w:tblStyle w:val="TableGrid"/>
        <w:tblW w:w="9638" w:type="dxa"/>
        <w:tblLook w:val="04A0" w:firstRow="1" w:lastRow="0" w:firstColumn="1" w:lastColumn="0" w:noHBand="0" w:noVBand="1"/>
      </w:tblPr>
      <w:tblGrid>
        <w:gridCol w:w="6003"/>
        <w:gridCol w:w="3635"/>
      </w:tblGrid>
      <w:tr w:rsidR="008C2228" w:rsidRPr="008C2228" w14:paraId="3E34D99B" w14:textId="77777777" w:rsidTr="008C2228">
        <w:tc>
          <w:tcPr>
            <w:tcW w:w="6017" w:type="dxa"/>
            <w:shd w:val="clear" w:color="auto" w:fill="8EA5B6"/>
            <w:vAlign w:val="center"/>
            <w:hideMark/>
          </w:tcPr>
          <w:p w14:paraId="384CC9B4" w14:textId="77777777" w:rsidR="008C2228" w:rsidRPr="008C2228" w:rsidRDefault="008C2228" w:rsidP="008C2228">
            <w:pPr>
              <w:jc w:val="center"/>
              <w:rPr>
                <w:b/>
                <w:bCs/>
                <w:i/>
                <w:iCs/>
                <w:sz w:val="20"/>
                <w:szCs w:val="20"/>
                <w:lang w:val="en-US"/>
              </w:rPr>
            </w:pPr>
            <w:r w:rsidRPr="008C2228">
              <w:rPr>
                <w:b/>
                <w:bCs/>
                <w:sz w:val="20"/>
                <w:szCs w:val="20"/>
                <w:lang w:val="en-US"/>
              </w:rPr>
              <w:t>Product</w:t>
            </w:r>
          </w:p>
        </w:tc>
        <w:tc>
          <w:tcPr>
            <w:tcW w:w="3621" w:type="dxa"/>
            <w:shd w:val="clear" w:color="auto" w:fill="8EA5B6"/>
            <w:vAlign w:val="center"/>
            <w:hideMark/>
          </w:tcPr>
          <w:p w14:paraId="74E2DC93" w14:textId="77777777" w:rsidR="008C2228" w:rsidRPr="008C2228" w:rsidRDefault="008C2228" w:rsidP="008C2228">
            <w:pPr>
              <w:jc w:val="center"/>
              <w:rPr>
                <w:b/>
                <w:bCs/>
                <w:sz w:val="20"/>
                <w:szCs w:val="20"/>
                <w:lang w:val="en-US"/>
              </w:rPr>
            </w:pPr>
            <w:r w:rsidRPr="008C2228">
              <w:rPr>
                <w:b/>
                <w:bCs/>
                <w:sz w:val="20"/>
                <w:szCs w:val="20"/>
                <w:lang w:val="en-US"/>
              </w:rPr>
              <w:t>PureTemp 20</w:t>
            </w:r>
          </w:p>
        </w:tc>
      </w:tr>
      <w:tr w:rsidR="008C2228" w:rsidRPr="008C2228" w14:paraId="7FD75F44" w14:textId="77777777" w:rsidTr="008C2228">
        <w:trPr>
          <w:trHeight w:val="457"/>
        </w:trPr>
        <w:tc>
          <w:tcPr>
            <w:tcW w:w="6017" w:type="dxa"/>
            <w:vAlign w:val="center"/>
            <w:hideMark/>
          </w:tcPr>
          <w:p w14:paraId="0C8CDFDC" w14:textId="25148F2A" w:rsidR="008C2228" w:rsidRPr="008C2228" w:rsidRDefault="008C2228" w:rsidP="008C2228">
            <w:pPr>
              <w:rPr>
                <w:sz w:val="20"/>
                <w:szCs w:val="20"/>
                <w:lang w:val="en-US"/>
              </w:rPr>
            </w:pPr>
            <w:r w:rsidRPr="008C2228">
              <w:rPr>
                <w:b/>
                <w:bCs/>
                <w:noProof/>
                <w:sz w:val="20"/>
                <w:szCs w:val="20"/>
                <w:lang w:val="en-US"/>
              </w:rPr>
              <w:drawing>
                <wp:anchor distT="0" distB="0" distL="114300" distR="114300" simplePos="0" relativeHeight="251696128" behindDoc="0" locked="0" layoutInCell="1" allowOverlap="1" wp14:anchorId="0394444F" wp14:editId="6A0D2C57">
                  <wp:simplePos x="0" y="0"/>
                  <wp:positionH relativeFrom="column">
                    <wp:posOffset>782955</wp:posOffset>
                  </wp:positionH>
                  <wp:positionV relativeFrom="paragraph">
                    <wp:posOffset>97790</wp:posOffset>
                  </wp:positionV>
                  <wp:extent cx="1047750" cy="1311910"/>
                  <wp:effectExtent l="0" t="0" r="0" b="2540"/>
                  <wp:wrapTopAndBottom/>
                  <wp:docPr id="14" name="Immagine 14" descr="BlockVes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3" descr="BlockVesl"/>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1047750" cy="1311910"/>
                          </a:xfrm>
                          <a:prstGeom prst="rect">
                            <a:avLst/>
                          </a:prstGeom>
                          <a:noFill/>
                        </pic:spPr>
                      </pic:pic>
                    </a:graphicData>
                  </a:graphic>
                  <wp14:sizeRelH relativeFrom="margin">
                    <wp14:pctWidth>0</wp14:pctWidth>
                  </wp14:sizeRelH>
                  <wp14:sizeRelV relativeFrom="margin">
                    <wp14:pctHeight>0</wp14:pctHeight>
                  </wp14:sizeRelV>
                </wp:anchor>
              </w:drawing>
            </w:r>
          </w:p>
        </w:tc>
        <w:tc>
          <w:tcPr>
            <w:tcW w:w="3621" w:type="dxa"/>
            <w:vAlign w:val="center"/>
            <w:hideMark/>
          </w:tcPr>
          <w:p w14:paraId="1374B884" w14:textId="77777777" w:rsidR="008C2228" w:rsidRPr="008C2228" w:rsidRDefault="008C2228" w:rsidP="008C2228">
            <w:pPr>
              <w:jc w:val="center"/>
              <w:rPr>
                <w:sz w:val="20"/>
                <w:szCs w:val="20"/>
                <w:lang w:val="en-US"/>
              </w:rPr>
            </w:pPr>
            <w:r w:rsidRPr="008C2228">
              <w:rPr>
                <w:sz w:val="20"/>
                <w:szCs w:val="20"/>
              </w:rPr>
              <w:object w:dxaOrig="3405" w:dyaOrig="2490" w14:anchorId="75B19277">
                <v:shape id="_x0000_i1029" type="#_x0000_t75" style="width:170.95pt;height:124.5pt" o:ole="">
                  <v:imagedata r:id="rId98" o:title=""/>
                </v:shape>
                <o:OLEObject Type="Embed" ProgID="PBrush" ShapeID="_x0000_i1029" DrawAspect="Content" ObjectID="_1824977760" r:id="rId99"/>
              </w:object>
            </w:r>
          </w:p>
        </w:tc>
      </w:tr>
      <w:tr w:rsidR="008C2228" w:rsidRPr="008C2228" w14:paraId="12983D66" w14:textId="77777777" w:rsidTr="008C2228">
        <w:tc>
          <w:tcPr>
            <w:tcW w:w="6017" w:type="dxa"/>
            <w:vAlign w:val="center"/>
            <w:hideMark/>
          </w:tcPr>
          <w:p w14:paraId="2DB599CE" w14:textId="77777777" w:rsidR="008C2228" w:rsidRPr="008C2228" w:rsidRDefault="008C2228" w:rsidP="008C2228">
            <w:pPr>
              <w:jc w:val="center"/>
              <w:rPr>
                <w:i/>
                <w:iCs/>
                <w:sz w:val="20"/>
                <w:szCs w:val="20"/>
                <w:lang w:val="en-US"/>
              </w:rPr>
            </w:pPr>
            <w:r w:rsidRPr="008C2228">
              <w:rPr>
                <w:sz w:val="20"/>
                <w:szCs w:val="20"/>
                <w:lang w:val="en-US"/>
              </w:rPr>
              <w:t>Melting temperature (°C)</w:t>
            </w:r>
          </w:p>
        </w:tc>
        <w:tc>
          <w:tcPr>
            <w:tcW w:w="3621" w:type="dxa"/>
            <w:vAlign w:val="center"/>
            <w:hideMark/>
          </w:tcPr>
          <w:p w14:paraId="2ADA4510" w14:textId="77777777" w:rsidR="008C2228" w:rsidRPr="008C2228" w:rsidRDefault="008C2228" w:rsidP="008C2228">
            <w:pPr>
              <w:jc w:val="center"/>
              <w:rPr>
                <w:sz w:val="20"/>
                <w:szCs w:val="20"/>
                <w:lang w:val="en-US"/>
              </w:rPr>
            </w:pPr>
            <w:r w:rsidRPr="008C2228">
              <w:rPr>
                <w:sz w:val="20"/>
                <w:szCs w:val="20"/>
                <w:lang w:val="en-US"/>
              </w:rPr>
              <w:t>20</w:t>
            </w:r>
          </w:p>
        </w:tc>
      </w:tr>
      <w:tr w:rsidR="008C2228" w:rsidRPr="008C2228" w14:paraId="3031C2C1" w14:textId="77777777" w:rsidTr="008C2228">
        <w:tc>
          <w:tcPr>
            <w:tcW w:w="6017" w:type="dxa"/>
            <w:vAlign w:val="center"/>
            <w:hideMark/>
          </w:tcPr>
          <w:p w14:paraId="75782993" w14:textId="77777777" w:rsidR="008C2228" w:rsidRPr="008C2228" w:rsidRDefault="008C2228" w:rsidP="008C2228">
            <w:pPr>
              <w:jc w:val="center"/>
              <w:rPr>
                <w:i/>
                <w:iCs/>
                <w:sz w:val="20"/>
                <w:szCs w:val="20"/>
                <w:lang w:val="en-US"/>
              </w:rPr>
            </w:pPr>
            <w:r w:rsidRPr="008C2228">
              <w:rPr>
                <w:sz w:val="20"/>
                <w:szCs w:val="20"/>
                <w:lang w:val="en-US"/>
              </w:rPr>
              <w:t>Liquid- density (g/ml)</w:t>
            </w:r>
          </w:p>
        </w:tc>
        <w:tc>
          <w:tcPr>
            <w:tcW w:w="3621" w:type="dxa"/>
            <w:vAlign w:val="center"/>
            <w:hideMark/>
          </w:tcPr>
          <w:p w14:paraId="1DDFDD19" w14:textId="77777777" w:rsidR="008C2228" w:rsidRPr="008C2228" w:rsidRDefault="008C2228" w:rsidP="008C2228">
            <w:pPr>
              <w:jc w:val="center"/>
              <w:rPr>
                <w:sz w:val="20"/>
                <w:szCs w:val="20"/>
                <w:lang w:val="en-US"/>
              </w:rPr>
            </w:pPr>
            <w:r w:rsidRPr="008C2228">
              <w:rPr>
                <w:sz w:val="20"/>
                <w:szCs w:val="20"/>
                <w:lang w:val="en-US"/>
              </w:rPr>
              <w:t>0.86</w:t>
            </w:r>
          </w:p>
        </w:tc>
      </w:tr>
      <w:tr w:rsidR="008C2228" w:rsidRPr="008C2228" w14:paraId="2928B0DD" w14:textId="77777777" w:rsidTr="008C2228">
        <w:tc>
          <w:tcPr>
            <w:tcW w:w="6017" w:type="dxa"/>
            <w:vAlign w:val="center"/>
            <w:hideMark/>
          </w:tcPr>
          <w:p w14:paraId="00092236" w14:textId="77777777" w:rsidR="008C2228" w:rsidRPr="008C2228" w:rsidRDefault="008C2228" w:rsidP="008C2228">
            <w:pPr>
              <w:jc w:val="center"/>
              <w:rPr>
                <w:i/>
                <w:iCs/>
                <w:sz w:val="20"/>
                <w:szCs w:val="20"/>
                <w:lang w:val="en-US"/>
              </w:rPr>
            </w:pPr>
            <w:r w:rsidRPr="008C2228">
              <w:rPr>
                <w:sz w:val="20"/>
                <w:szCs w:val="20"/>
                <w:lang w:val="en-US"/>
              </w:rPr>
              <w:t>Solid-density (g/ml)</w:t>
            </w:r>
          </w:p>
        </w:tc>
        <w:tc>
          <w:tcPr>
            <w:tcW w:w="3621" w:type="dxa"/>
            <w:vAlign w:val="center"/>
            <w:hideMark/>
          </w:tcPr>
          <w:p w14:paraId="797218A7" w14:textId="77777777" w:rsidR="008C2228" w:rsidRPr="008C2228" w:rsidRDefault="008C2228" w:rsidP="008C2228">
            <w:pPr>
              <w:jc w:val="center"/>
              <w:rPr>
                <w:sz w:val="20"/>
                <w:szCs w:val="20"/>
                <w:lang w:val="en-US"/>
              </w:rPr>
            </w:pPr>
            <w:r w:rsidRPr="008C2228">
              <w:rPr>
                <w:sz w:val="20"/>
                <w:szCs w:val="20"/>
                <w:lang w:val="en-US"/>
              </w:rPr>
              <w:t>0.95</w:t>
            </w:r>
          </w:p>
        </w:tc>
      </w:tr>
      <w:tr w:rsidR="008C2228" w:rsidRPr="008C2228" w14:paraId="18C1B3EC" w14:textId="77777777" w:rsidTr="008C2228">
        <w:tc>
          <w:tcPr>
            <w:tcW w:w="6017" w:type="dxa"/>
            <w:vAlign w:val="center"/>
            <w:hideMark/>
          </w:tcPr>
          <w:p w14:paraId="1915C8A8" w14:textId="77777777" w:rsidR="008C2228" w:rsidRPr="008C2228" w:rsidRDefault="008C2228" w:rsidP="008C2228">
            <w:pPr>
              <w:jc w:val="center"/>
              <w:rPr>
                <w:i/>
                <w:iCs/>
                <w:sz w:val="20"/>
                <w:szCs w:val="20"/>
                <w:lang w:val="en-US"/>
              </w:rPr>
            </w:pPr>
            <w:r w:rsidRPr="008C2228">
              <w:rPr>
                <w:sz w:val="20"/>
                <w:szCs w:val="20"/>
                <w:lang w:val="en-US"/>
              </w:rPr>
              <w:t>Latent Heat (kJ/kg)</w:t>
            </w:r>
          </w:p>
        </w:tc>
        <w:tc>
          <w:tcPr>
            <w:tcW w:w="3621" w:type="dxa"/>
            <w:vAlign w:val="center"/>
            <w:hideMark/>
          </w:tcPr>
          <w:p w14:paraId="73BF9B9C" w14:textId="77777777" w:rsidR="008C2228" w:rsidRPr="008C2228" w:rsidRDefault="008C2228" w:rsidP="008C2228">
            <w:pPr>
              <w:jc w:val="center"/>
              <w:rPr>
                <w:sz w:val="20"/>
                <w:szCs w:val="20"/>
                <w:lang w:val="en-US"/>
              </w:rPr>
            </w:pPr>
            <w:r w:rsidRPr="008C2228">
              <w:rPr>
                <w:sz w:val="20"/>
                <w:szCs w:val="20"/>
                <w:lang w:val="en-US"/>
              </w:rPr>
              <w:t>180</w:t>
            </w:r>
          </w:p>
        </w:tc>
      </w:tr>
      <w:tr w:rsidR="008C2228" w:rsidRPr="008C2228" w14:paraId="395BFFD1" w14:textId="77777777" w:rsidTr="008C2228">
        <w:tc>
          <w:tcPr>
            <w:tcW w:w="6017" w:type="dxa"/>
            <w:vAlign w:val="center"/>
            <w:hideMark/>
          </w:tcPr>
          <w:p w14:paraId="5A202F23" w14:textId="77777777" w:rsidR="008C2228" w:rsidRPr="008C2228" w:rsidRDefault="008C2228" w:rsidP="008C2228">
            <w:pPr>
              <w:jc w:val="center"/>
              <w:rPr>
                <w:i/>
                <w:iCs/>
                <w:sz w:val="20"/>
                <w:szCs w:val="20"/>
                <w:lang w:val="en-US"/>
              </w:rPr>
            </w:pPr>
            <w:r w:rsidRPr="008C2228">
              <w:rPr>
                <w:sz w:val="20"/>
                <w:szCs w:val="20"/>
                <w:lang w:val="en-US"/>
              </w:rPr>
              <w:t>Liquid-thermal conductivity  (W/m°C)</w:t>
            </w:r>
          </w:p>
        </w:tc>
        <w:tc>
          <w:tcPr>
            <w:tcW w:w="3621" w:type="dxa"/>
            <w:vAlign w:val="center"/>
            <w:hideMark/>
          </w:tcPr>
          <w:p w14:paraId="1FBD39B8" w14:textId="77777777" w:rsidR="008C2228" w:rsidRPr="008C2228" w:rsidRDefault="008C2228" w:rsidP="008C2228">
            <w:pPr>
              <w:jc w:val="center"/>
              <w:rPr>
                <w:sz w:val="20"/>
                <w:szCs w:val="20"/>
                <w:lang w:val="en-US"/>
              </w:rPr>
            </w:pPr>
            <w:r w:rsidRPr="008C2228">
              <w:rPr>
                <w:sz w:val="20"/>
                <w:szCs w:val="20"/>
                <w:lang w:val="en-US"/>
              </w:rPr>
              <w:t>0.14</w:t>
            </w:r>
          </w:p>
        </w:tc>
      </w:tr>
      <w:tr w:rsidR="008C2228" w:rsidRPr="008C2228" w14:paraId="13CA005F" w14:textId="77777777" w:rsidTr="008C2228">
        <w:tc>
          <w:tcPr>
            <w:tcW w:w="6017" w:type="dxa"/>
            <w:vAlign w:val="center"/>
            <w:hideMark/>
          </w:tcPr>
          <w:p w14:paraId="1971C2B4" w14:textId="77777777" w:rsidR="008C2228" w:rsidRPr="008C2228" w:rsidRDefault="008C2228" w:rsidP="008C2228">
            <w:pPr>
              <w:jc w:val="center"/>
              <w:rPr>
                <w:i/>
                <w:iCs/>
                <w:sz w:val="20"/>
                <w:szCs w:val="20"/>
                <w:lang w:val="en-US"/>
              </w:rPr>
            </w:pPr>
            <w:r w:rsidRPr="008C2228">
              <w:rPr>
                <w:sz w:val="20"/>
                <w:szCs w:val="20"/>
                <w:lang w:val="en-US"/>
              </w:rPr>
              <w:t>Solid-thermal conductivity (W/m°C)</w:t>
            </w:r>
          </w:p>
        </w:tc>
        <w:tc>
          <w:tcPr>
            <w:tcW w:w="3621" w:type="dxa"/>
            <w:vAlign w:val="center"/>
            <w:hideMark/>
          </w:tcPr>
          <w:p w14:paraId="3C473BB2" w14:textId="77777777" w:rsidR="008C2228" w:rsidRPr="008C2228" w:rsidRDefault="008C2228" w:rsidP="008C2228">
            <w:pPr>
              <w:jc w:val="center"/>
              <w:rPr>
                <w:sz w:val="20"/>
                <w:szCs w:val="20"/>
                <w:lang w:val="en-US"/>
              </w:rPr>
            </w:pPr>
            <w:r w:rsidRPr="008C2228">
              <w:rPr>
                <w:sz w:val="20"/>
                <w:szCs w:val="20"/>
                <w:lang w:val="en-US"/>
              </w:rPr>
              <w:t>0.23</w:t>
            </w:r>
          </w:p>
        </w:tc>
      </w:tr>
      <w:tr w:rsidR="008C2228" w:rsidRPr="008C2228" w14:paraId="44783C85" w14:textId="77777777" w:rsidTr="008C2228">
        <w:tc>
          <w:tcPr>
            <w:tcW w:w="6017" w:type="dxa"/>
            <w:vAlign w:val="center"/>
            <w:hideMark/>
          </w:tcPr>
          <w:p w14:paraId="477CF4C8" w14:textId="77777777" w:rsidR="008C2228" w:rsidRPr="008C2228" w:rsidRDefault="008C2228" w:rsidP="008C2228">
            <w:pPr>
              <w:jc w:val="center"/>
              <w:rPr>
                <w:i/>
                <w:iCs/>
                <w:sz w:val="20"/>
                <w:szCs w:val="20"/>
                <w:lang w:val="en-US"/>
              </w:rPr>
            </w:pPr>
            <w:r w:rsidRPr="008C2228">
              <w:rPr>
                <w:sz w:val="20"/>
                <w:szCs w:val="20"/>
                <w:lang w:val="en-US"/>
              </w:rPr>
              <w:t>Heat storage capacity (J/g)</w:t>
            </w:r>
          </w:p>
        </w:tc>
        <w:tc>
          <w:tcPr>
            <w:tcW w:w="3621" w:type="dxa"/>
            <w:vAlign w:val="center"/>
            <w:hideMark/>
          </w:tcPr>
          <w:p w14:paraId="1FC7864F" w14:textId="77777777" w:rsidR="008C2228" w:rsidRPr="008C2228" w:rsidRDefault="008C2228" w:rsidP="008C2228">
            <w:pPr>
              <w:jc w:val="center"/>
              <w:rPr>
                <w:sz w:val="20"/>
                <w:szCs w:val="20"/>
                <w:lang w:val="en-US"/>
              </w:rPr>
            </w:pPr>
            <w:r w:rsidRPr="008C2228">
              <w:rPr>
                <w:sz w:val="20"/>
                <w:szCs w:val="20"/>
                <w:lang w:val="en-US"/>
              </w:rPr>
              <w:t>171</w:t>
            </w:r>
          </w:p>
        </w:tc>
      </w:tr>
      <w:tr w:rsidR="008C2228" w:rsidRPr="008C2228" w14:paraId="77499D98" w14:textId="77777777" w:rsidTr="008C2228">
        <w:trPr>
          <w:trHeight w:val="348"/>
        </w:trPr>
        <w:tc>
          <w:tcPr>
            <w:tcW w:w="6017" w:type="dxa"/>
            <w:shd w:val="clear" w:color="auto" w:fill="8EA5B6"/>
            <w:vAlign w:val="center"/>
            <w:hideMark/>
          </w:tcPr>
          <w:p w14:paraId="39A511D7" w14:textId="77777777" w:rsidR="008C2228" w:rsidRPr="008C2228" w:rsidRDefault="008C2228" w:rsidP="008C2228">
            <w:pPr>
              <w:jc w:val="center"/>
              <w:rPr>
                <w:b/>
                <w:bCs/>
                <w:i/>
                <w:iCs/>
                <w:sz w:val="20"/>
                <w:szCs w:val="20"/>
                <w:lang w:val="en-US"/>
              </w:rPr>
            </w:pPr>
            <w:r w:rsidRPr="008C2228">
              <w:rPr>
                <w:b/>
                <w:bCs/>
                <w:sz w:val="20"/>
                <w:szCs w:val="20"/>
                <w:lang w:val="en-US"/>
              </w:rPr>
              <w:t>Product</w:t>
            </w:r>
          </w:p>
        </w:tc>
        <w:tc>
          <w:tcPr>
            <w:tcW w:w="3621" w:type="dxa"/>
            <w:shd w:val="clear" w:color="auto" w:fill="8EA5B6"/>
            <w:vAlign w:val="center"/>
          </w:tcPr>
          <w:p w14:paraId="0CAA2B3E" w14:textId="77777777" w:rsidR="008C2228" w:rsidRPr="008C2228" w:rsidRDefault="008C2228" w:rsidP="008C2228">
            <w:pPr>
              <w:jc w:val="center"/>
              <w:rPr>
                <w:b/>
                <w:bCs/>
                <w:sz w:val="20"/>
                <w:szCs w:val="20"/>
                <w:lang w:val="en-US"/>
              </w:rPr>
            </w:pPr>
            <w:r w:rsidRPr="008C2228">
              <w:rPr>
                <w:b/>
                <w:bCs/>
                <w:sz w:val="20"/>
                <w:szCs w:val="20"/>
                <w:lang w:val="en-US"/>
              </w:rPr>
              <w:t>PureTemp 23</w:t>
            </w:r>
          </w:p>
        </w:tc>
      </w:tr>
      <w:tr w:rsidR="008C2228" w:rsidRPr="008C2228" w14:paraId="2EAD8DF7" w14:textId="77777777" w:rsidTr="008C2228">
        <w:tc>
          <w:tcPr>
            <w:tcW w:w="6017" w:type="dxa"/>
            <w:vAlign w:val="center"/>
            <w:hideMark/>
          </w:tcPr>
          <w:p w14:paraId="5E2FD9A3" w14:textId="77777777" w:rsidR="008C2228" w:rsidRPr="008C2228" w:rsidRDefault="008C2228" w:rsidP="008C2228">
            <w:pPr>
              <w:jc w:val="center"/>
              <w:rPr>
                <w:i/>
                <w:iCs/>
                <w:sz w:val="20"/>
                <w:szCs w:val="20"/>
                <w:lang w:val="en-US"/>
              </w:rPr>
            </w:pPr>
            <w:r w:rsidRPr="008C2228">
              <w:rPr>
                <w:sz w:val="20"/>
                <w:szCs w:val="20"/>
                <w:lang w:val="en-US"/>
              </w:rPr>
              <w:t>Melting temperature (°C)</w:t>
            </w:r>
          </w:p>
        </w:tc>
        <w:tc>
          <w:tcPr>
            <w:tcW w:w="3621" w:type="dxa"/>
            <w:vAlign w:val="center"/>
            <w:hideMark/>
          </w:tcPr>
          <w:p w14:paraId="6CBD2126" w14:textId="77777777" w:rsidR="008C2228" w:rsidRPr="008C2228" w:rsidRDefault="008C2228" w:rsidP="008C2228">
            <w:pPr>
              <w:jc w:val="center"/>
              <w:rPr>
                <w:sz w:val="20"/>
                <w:szCs w:val="20"/>
                <w:lang w:val="en-US"/>
              </w:rPr>
            </w:pPr>
            <w:r w:rsidRPr="008C2228">
              <w:rPr>
                <w:sz w:val="20"/>
                <w:szCs w:val="20"/>
                <w:lang w:val="en-US"/>
              </w:rPr>
              <w:t>23</w:t>
            </w:r>
          </w:p>
        </w:tc>
      </w:tr>
      <w:tr w:rsidR="008C2228" w:rsidRPr="008C2228" w14:paraId="7507E0FF" w14:textId="77777777" w:rsidTr="008C2228">
        <w:tc>
          <w:tcPr>
            <w:tcW w:w="6017" w:type="dxa"/>
            <w:vAlign w:val="center"/>
            <w:hideMark/>
          </w:tcPr>
          <w:p w14:paraId="532C0A95" w14:textId="77777777" w:rsidR="008C2228" w:rsidRPr="008C2228" w:rsidRDefault="008C2228" w:rsidP="008C2228">
            <w:pPr>
              <w:jc w:val="center"/>
              <w:rPr>
                <w:i/>
                <w:iCs/>
                <w:sz w:val="20"/>
                <w:szCs w:val="20"/>
                <w:lang w:val="en-US"/>
              </w:rPr>
            </w:pPr>
            <w:r w:rsidRPr="008C2228">
              <w:rPr>
                <w:sz w:val="20"/>
                <w:szCs w:val="20"/>
                <w:lang w:val="en-US"/>
              </w:rPr>
              <w:t>Liquid- density (g/ml)</w:t>
            </w:r>
          </w:p>
        </w:tc>
        <w:tc>
          <w:tcPr>
            <w:tcW w:w="3621" w:type="dxa"/>
            <w:vAlign w:val="center"/>
            <w:hideMark/>
          </w:tcPr>
          <w:p w14:paraId="5B9EC567" w14:textId="77777777" w:rsidR="008C2228" w:rsidRPr="008C2228" w:rsidRDefault="008C2228" w:rsidP="008C2228">
            <w:pPr>
              <w:jc w:val="center"/>
              <w:rPr>
                <w:sz w:val="20"/>
                <w:szCs w:val="20"/>
                <w:lang w:val="en-US"/>
              </w:rPr>
            </w:pPr>
            <w:r w:rsidRPr="008C2228">
              <w:rPr>
                <w:sz w:val="20"/>
                <w:szCs w:val="20"/>
                <w:lang w:val="en-US"/>
              </w:rPr>
              <w:t>0.83</w:t>
            </w:r>
          </w:p>
        </w:tc>
      </w:tr>
      <w:tr w:rsidR="008C2228" w:rsidRPr="008C2228" w14:paraId="67124123" w14:textId="77777777" w:rsidTr="008C2228">
        <w:tc>
          <w:tcPr>
            <w:tcW w:w="6017" w:type="dxa"/>
            <w:vAlign w:val="center"/>
            <w:hideMark/>
          </w:tcPr>
          <w:p w14:paraId="4A4F9C02" w14:textId="77777777" w:rsidR="008C2228" w:rsidRPr="008C2228" w:rsidRDefault="008C2228" w:rsidP="008C2228">
            <w:pPr>
              <w:jc w:val="center"/>
              <w:rPr>
                <w:i/>
                <w:iCs/>
                <w:sz w:val="20"/>
                <w:szCs w:val="20"/>
                <w:lang w:val="en-US"/>
              </w:rPr>
            </w:pPr>
            <w:r w:rsidRPr="008C2228">
              <w:rPr>
                <w:sz w:val="20"/>
                <w:szCs w:val="20"/>
                <w:lang w:val="en-US"/>
              </w:rPr>
              <w:lastRenderedPageBreak/>
              <w:t>Solid-density (g/ml)</w:t>
            </w:r>
          </w:p>
        </w:tc>
        <w:tc>
          <w:tcPr>
            <w:tcW w:w="3621" w:type="dxa"/>
            <w:vAlign w:val="center"/>
            <w:hideMark/>
          </w:tcPr>
          <w:p w14:paraId="6B20DEDA" w14:textId="77777777" w:rsidR="008C2228" w:rsidRPr="008C2228" w:rsidRDefault="008C2228" w:rsidP="008C2228">
            <w:pPr>
              <w:jc w:val="center"/>
              <w:rPr>
                <w:sz w:val="20"/>
                <w:szCs w:val="20"/>
                <w:lang w:val="en-US"/>
              </w:rPr>
            </w:pPr>
            <w:r w:rsidRPr="008C2228">
              <w:rPr>
                <w:sz w:val="20"/>
                <w:szCs w:val="20"/>
                <w:lang w:val="en-US"/>
              </w:rPr>
              <w:t>0.91</w:t>
            </w:r>
          </w:p>
        </w:tc>
      </w:tr>
      <w:tr w:rsidR="008C2228" w:rsidRPr="008C2228" w14:paraId="190F5A60" w14:textId="77777777" w:rsidTr="008C2228">
        <w:tc>
          <w:tcPr>
            <w:tcW w:w="6017" w:type="dxa"/>
            <w:vAlign w:val="center"/>
            <w:hideMark/>
          </w:tcPr>
          <w:p w14:paraId="4259C3F1" w14:textId="77777777" w:rsidR="008C2228" w:rsidRPr="008C2228" w:rsidRDefault="008C2228" w:rsidP="008C2228">
            <w:pPr>
              <w:jc w:val="center"/>
              <w:rPr>
                <w:i/>
                <w:iCs/>
                <w:sz w:val="20"/>
                <w:szCs w:val="20"/>
                <w:lang w:val="en-US"/>
              </w:rPr>
            </w:pPr>
            <w:r w:rsidRPr="008C2228">
              <w:rPr>
                <w:sz w:val="20"/>
                <w:szCs w:val="20"/>
                <w:lang w:val="en-US"/>
              </w:rPr>
              <w:t>Latent Heat (kJ/kg)</w:t>
            </w:r>
          </w:p>
        </w:tc>
        <w:tc>
          <w:tcPr>
            <w:tcW w:w="3621" w:type="dxa"/>
            <w:vAlign w:val="center"/>
            <w:hideMark/>
          </w:tcPr>
          <w:p w14:paraId="08BEC16E" w14:textId="77777777" w:rsidR="008C2228" w:rsidRPr="008C2228" w:rsidRDefault="008C2228" w:rsidP="008C2228">
            <w:pPr>
              <w:jc w:val="center"/>
              <w:rPr>
                <w:sz w:val="20"/>
                <w:szCs w:val="20"/>
                <w:lang w:val="en-US"/>
              </w:rPr>
            </w:pPr>
            <w:r w:rsidRPr="008C2228">
              <w:rPr>
                <w:sz w:val="20"/>
                <w:szCs w:val="20"/>
                <w:lang w:val="en-US"/>
              </w:rPr>
              <w:t>203</w:t>
            </w:r>
          </w:p>
        </w:tc>
      </w:tr>
      <w:tr w:rsidR="008C2228" w:rsidRPr="008C2228" w14:paraId="6CF37F93" w14:textId="77777777" w:rsidTr="008C2228">
        <w:tc>
          <w:tcPr>
            <w:tcW w:w="6017" w:type="dxa"/>
            <w:vAlign w:val="center"/>
            <w:hideMark/>
          </w:tcPr>
          <w:p w14:paraId="7D0ADE4D" w14:textId="77777777" w:rsidR="008C2228" w:rsidRPr="008C2228" w:rsidRDefault="008C2228" w:rsidP="008C2228">
            <w:pPr>
              <w:jc w:val="center"/>
              <w:rPr>
                <w:i/>
                <w:iCs/>
                <w:sz w:val="20"/>
                <w:szCs w:val="20"/>
                <w:lang w:val="en-US"/>
              </w:rPr>
            </w:pPr>
            <w:r w:rsidRPr="008C2228">
              <w:rPr>
                <w:sz w:val="20"/>
                <w:szCs w:val="20"/>
                <w:lang w:val="en-US"/>
              </w:rPr>
              <w:t>Liquid-thermal conductivity  (W/m°C)</w:t>
            </w:r>
          </w:p>
        </w:tc>
        <w:tc>
          <w:tcPr>
            <w:tcW w:w="3621" w:type="dxa"/>
            <w:vAlign w:val="center"/>
            <w:hideMark/>
          </w:tcPr>
          <w:p w14:paraId="24FF307A" w14:textId="77777777" w:rsidR="008C2228" w:rsidRPr="008C2228" w:rsidRDefault="008C2228" w:rsidP="008C2228">
            <w:pPr>
              <w:jc w:val="center"/>
              <w:rPr>
                <w:sz w:val="20"/>
                <w:szCs w:val="20"/>
                <w:lang w:val="en-US"/>
              </w:rPr>
            </w:pPr>
            <w:r w:rsidRPr="008C2228">
              <w:rPr>
                <w:sz w:val="20"/>
                <w:szCs w:val="20"/>
                <w:lang w:val="en-US"/>
              </w:rPr>
              <w:t>0.15</w:t>
            </w:r>
          </w:p>
        </w:tc>
      </w:tr>
      <w:tr w:rsidR="008C2228" w:rsidRPr="008C2228" w14:paraId="73022BDA" w14:textId="77777777" w:rsidTr="008C2228">
        <w:tc>
          <w:tcPr>
            <w:tcW w:w="6017" w:type="dxa"/>
            <w:vAlign w:val="center"/>
            <w:hideMark/>
          </w:tcPr>
          <w:p w14:paraId="547220A3" w14:textId="77777777" w:rsidR="008C2228" w:rsidRPr="008C2228" w:rsidRDefault="008C2228" w:rsidP="008C2228">
            <w:pPr>
              <w:jc w:val="center"/>
              <w:rPr>
                <w:i/>
                <w:iCs/>
                <w:sz w:val="20"/>
                <w:szCs w:val="20"/>
                <w:lang w:val="en-US"/>
              </w:rPr>
            </w:pPr>
            <w:r w:rsidRPr="008C2228">
              <w:rPr>
                <w:sz w:val="20"/>
                <w:szCs w:val="20"/>
                <w:lang w:val="en-US"/>
              </w:rPr>
              <w:t>Solid-thermal conductivity (W/m°C)</w:t>
            </w:r>
          </w:p>
        </w:tc>
        <w:tc>
          <w:tcPr>
            <w:tcW w:w="3621" w:type="dxa"/>
            <w:vAlign w:val="center"/>
            <w:hideMark/>
          </w:tcPr>
          <w:p w14:paraId="395AFF55" w14:textId="77777777" w:rsidR="008C2228" w:rsidRPr="008C2228" w:rsidRDefault="008C2228" w:rsidP="008C2228">
            <w:pPr>
              <w:jc w:val="center"/>
              <w:rPr>
                <w:sz w:val="20"/>
                <w:szCs w:val="20"/>
                <w:lang w:val="en-US"/>
              </w:rPr>
            </w:pPr>
            <w:r w:rsidRPr="008C2228">
              <w:rPr>
                <w:sz w:val="20"/>
                <w:szCs w:val="20"/>
                <w:lang w:val="en-US"/>
              </w:rPr>
              <w:t>0.25</w:t>
            </w:r>
          </w:p>
        </w:tc>
      </w:tr>
      <w:tr w:rsidR="008C2228" w:rsidRPr="008C2228" w14:paraId="22D5068E" w14:textId="77777777" w:rsidTr="008C2228">
        <w:tc>
          <w:tcPr>
            <w:tcW w:w="6017" w:type="dxa"/>
            <w:vAlign w:val="center"/>
            <w:hideMark/>
          </w:tcPr>
          <w:p w14:paraId="35595171" w14:textId="77777777" w:rsidR="008C2228" w:rsidRPr="008C2228" w:rsidRDefault="008C2228" w:rsidP="008C2228">
            <w:pPr>
              <w:jc w:val="center"/>
              <w:rPr>
                <w:i/>
                <w:iCs/>
                <w:sz w:val="20"/>
                <w:szCs w:val="20"/>
                <w:lang w:val="en-US"/>
              </w:rPr>
            </w:pPr>
            <w:r w:rsidRPr="008C2228">
              <w:rPr>
                <w:sz w:val="20"/>
                <w:szCs w:val="20"/>
                <w:lang w:val="en-US"/>
              </w:rPr>
              <w:t>Heat storage capacity (J/g)</w:t>
            </w:r>
          </w:p>
        </w:tc>
        <w:tc>
          <w:tcPr>
            <w:tcW w:w="3621" w:type="dxa"/>
            <w:vAlign w:val="center"/>
            <w:hideMark/>
          </w:tcPr>
          <w:p w14:paraId="3E9630A5" w14:textId="77777777" w:rsidR="008C2228" w:rsidRPr="008C2228" w:rsidRDefault="008C2228" w:rsidP="008C2228">
            <w:pPr>
              <w:jc w:val="center"/>
              <w:rPr>
                <w:sz w:val="20"/>
                <w:szCs w:val="20"/>
                <w:lang w:val="en-US"/>
              </w:rPr>
            </w:pPr>
            <w:r w:rsidRPr="008C2228">
              <w:rPr>
                <w:sz w:val="20"/>
                <w:szCs w:val="20"/>
                <w:lang w:val="en-US"/>
              </w:rPr>
              <w:t>201</w:t>
            </w:r>
          </w:p>
        </w:tc>
      </w:tr>
      <w:tr w:rsidR="008C2228" w:rsidRPr="008C2228" w14:paraId="469AAC7E" w14:textId="77777777" w:rsidTr="008C2228">
        <w:tc>
          <w:tcPr>
            <w:tcW w:w="6017" w:type="dxa"/>
            <w:shd w:val="clear" w:color="auto" w:fill="8EA5B6"/>
            <w:vAlign w:val="center"/>
            <w:hideMark/>
          </w:tcPr>
          <w:p w14:paraId="5700FDA1" w14:textId="77777777" w:rsidR="008C2228" w:rsidRPr="008C2228" w:rsidRDefault="008C2228" w:rsidP="008C2228">
            <w:pPr>
              <w:jc w:val="center"/>
              <w:rPr>
                <w:b/>
                <w:bCs/>
                <w:i/>
                <w:iCs/>
                <w:sz w:val="20"/>
                <w:szCs w:val="20"/>
                <w:lang w:val="en-US"/>
              </w:rPr>
            </w:pPr>
            <w:r w:rsidRPr="008C2228">
              <w:rPr>
                <w:b/>
                <w:bCs/>
                <w:sz w:val="20"/>
                <w:szCs w:val="20"/>
                <w:lang w:val="en-US"/>
              </w:rPr>
              <w:t>Product</w:t>
            </w:r>
          </w:p>
        </w:tc>
        <w:tc>
          <w:tcPr>
            <w:tcW w:w="3621" w:type="dxa"/>
            <w:shd w:val="clear" w:color="auto" w:fill="8EA5B6"/>
            <w:vAlign w:val="center"/>
            <w:hideMark/>
          </w:tcPr>
          <w:p w14:paraId="5C0F00B3" w14:textId="77777777" w:rsidR="008C2228" w:rsidRPr="008C2228" w:rsidRDefault="008C2228" w:rsidP="008C2228">
            <w:pPr>
              <w:jc w:val="center"/>
              <w:rPr>
                <w:b/>
                <w:bCs/>
                <w:sz w:val="20"/>
                <w:szCs w:val="20"/>
                <w:lang w:val="en-US"/>
              </w:rPr>
            </w:pPr>
            <w:r w:rsidRPr="008C2228">
              <w:rPr>
                <w:b/>
                <w:bCs/>
                <w:sz w:val="20"/>
                <w:szCs w:val="20"/>
                <w:lang w:val="en-US"/>
              </w:rPr>
              <w:t>PureTemp 25</w:t>
            </w:r>
          </w:p>
        </w:tc>
      </w:tr>
      <w:tr w:rsidR="008C2228" w:rsidRPr="008C2228" w14:paraId="60BC7AEC" w14:textId="77777777" w:rsidTr="008C2228">
        <w:tc>
          <w:tcPr>
            <w:tcW w:w="6017" w:type="dxa"/>
            <w:vAlign w:val="center"/>
            <w:hideMark/>
          </w:tcPr>
          <w:p w14:paraId="36D832F8" w14:textId="77777777" w:rsidR="008C2228" w:rsidRPr="008C2228" w:rsidRDefault="008C2228" w:rsidP="008C2228">
            <w:pPr>
              <w:jc w:val="center"/>
              <w:rPr>
                <w:i/>
                <w:iCs/>
                <w:sz w:val="20"/>
                <w:szCs w:val="20"/>
                <w:lang w:val="en-US"/>
              </w:rPr>
            </w:pPr>
            <w:r w:rsidRPr="008C2228">
              <w:rPr>
                <w:sz w:val="20"/>
                <w:szCs w:val="20"/>
                <w:lang w:val="en-US"/>
              </w:rPr>
              <w:t>Melting temperature (°C)</w:t>
            </w:r>
          </w:p>
        </w:tc>
        <w:tc>
          <w:tcPr>
            <w:tcW w:w="3621" w:type="dxa"/>
            <w:vAlign w:val="center"/>
            <w:hideMark/>
          </w:tcPr>
          <w:p w14:paraId="1F281BBA" w14:textId="77777777" w:rsidR="008C2228" w:rsidRPr="008C2228" w:rsidRDefault="008C2228" w:rsidP="008C2228">
            <w:pPr>
              <w:jc w:val="center"/>
              <w:rPr>
                <w:sz w:val="20"/>
                <w:szCs w:val="20"/>
                <w:lang w:val="en-US"/>
              </w:rPr>
            </w:pPr>
            <w:r w:rsidRPr="008C2228">
              <w:rPr>
                <w:sz w:val="20"/>
                <w:szCs w:val="20"/>
                <w:lang w:val="en-US"/>
              </w:rPr>
              <w:t>25</w:t>
            </w:r>
          </w:p>
        </w:tc>
      </w:tr>
      <w:tr w:rsidR="008C2228" w:rsidRPr="008C2228" w14:paraId="0D508928" w14:textId="77777777" w:rsidTr="008C2228">
        <w:tc>
          <w:tcPr>
            <w:tcW w:w="6017" w:type="dxa"/>
            <w:vAlign w:val="center"/>
            <w:hideMark/>
          </w:tcPr>
          <w:p w14:paraId="39C48D19" w14:textId="77777777" w:rsidR="008C2228" w:rsidRPr="008C2228" w:rsidRDefault="008C2228" w:rsidP="008C2228">
            <w:pPr>
              <w:jc w:val="center"/>
              <w:rPr>
                <w:i/>
                <w:iCs/>
                <w:sz w:val="20"/>
                <w:szCs w:val="20"/>
                <w:lang w:val="en-US"/>
              </w:rPr>
            </w:pPr>
            <w:r w:rsidRPr="008C2228">
              <w:rPr>
                <w:sz w:val="20"/>
                <w:szCs w:val="20"/>
                <w:lang w:val="en-US"/>
              </w:rPr>
              <w:t>Liquid- density (g/ml)</w:t>
            </w:r>
          </w:p>
        </w:tc>
        <w:tc>
          <w:tcPr>
            <w:tcW w:w="3621" w:type="dxa"/>
            <w:vAlign w:val="center"/>
            <w:hideMark/>
          </w:tcPr>
          <w:p w14:paraId="4465B7FF" w14:textId="77777777" w:rsidR="008C2228" w:rsidRPr="008C2228" w:rsidRDefault="008C2228" w:rsidP="008C2228">
            <w:pPr>
              <w:jc w:val="center"/>
              <w:rPr>
                <w:sz w:val="20"/>
                <w:szCs w:val="20"/>
                <w:lang w:val="en-US"/>
              </w:rPr>
            </w:pPr>
            <w:r w:rsidRPr="008C2228">
              <w:rPr>
                <w:sz w:val="20"/>
                <w:szCs w:val="20"/>
                <w:lang w:val="en-US"/>
              </w:rPr>
              <w:t>0.86</w:t>
            </w:r>
          </w:p>
        </w:tc>
      </w:tr>
      <w:tr w:rsidR="008C2228" w:rsidRPr="008C2228" w14:paraId="4D078EB2" w14:textId="77777777" w:rsidTr="008C2228">
        <w:tc>
          <w:tcPr>
            <w:tcW w:w="6017" w:type="dxa"/>
            <w:vAlign w:val="center"/>
            <w:hideMark/>
          </w:tcPr>
          <w:p w14:paraId="65AA7D00" w14:textId="77777777" w:rsidR="008C2228" w:rsidRPr="008C2228" w:rsidRDefault="008C2228" w:rsidP="008C2228">
            <w:pPr>
              <w:jc w:val="center"/>
              <w:rPr>
                <w:i/>
                <w:iCs/>
                <w:sz w:val="20"/>
                <w:szCs w:val="20"/>
                <w:lang w:val="en-US"/>
              </w:rPr>
            </w:pPr>
            <w:r w:rsidRPr="008C2228">
              <w:rPr>
                <w:sz w:val="20"/>
                <w:szCs w:val="20"/>
                <w:lang w:val="en-US"/>
              </w:rPr>
              <w:t>Solid-density (g/ml)</w:t>
            </w:r>
          </w:p>
        </w:tc>
        <w:tc>
          <w:tcPr>
            <w:tcW w:w="3621" w:type="dxa"/>
            <w:vAlign w:val="center"/>
            <w:hideMark/>
          </w:tcPr>
          <w:p w14:paraId="588A4F0D" w14:textId="77777777" w:rsidR="008C2228" w:rsidRPr="008C2228" w:rsidRDefault="008C2228" w:rsidP="008C2228">
            <w:pPr>
              <w:jc w:val="center"/>
              <w:rPr>
                <w:sz w:val="20"/>
                <w:szCs w:val="20"/>
                <w:lang w:val="en-US"/>
              </w:rPr>
            </w:pPr>
            <w:r w:rsidRPr="008C2228">
              <w:rPr>
                <w:sz w:val="20"/>
                <w:szCs w:val="20"/>
                <w:lang w:val="en-US"/>
              </w:rPr>
              <w:t>0.95</w:t>
            </w:r>
          </w:p>
        </w:tc>
      </w:tr>
      <w:tr w:rsidR="008C2228" w:rsidRPr="008C2228" w14:paraId="30E2825F" w14:textId="77777777" w:rsidTr="008C2228">
        <w:tc>
          <w:tcPr>
            <w:tcW w:w="6017" w:type="dxa"/>
            <w:vAlign w:val="center"/>
            <w:hideMark/>
          </w:tcPr>
          <w:p w14:paraId="35FA2EDD" w14:textId="77777777" w:rsidR="008C2228" w:rsidRPr="008C2228" w:rsidRDefault="008C2228" w:rsidP="008C2228">
            <w:pPr>
              <w:jc w:val="center"/>
              <w:rPr>
                <w:i/>
                <w:iCs/>
                <w:sz w:val="20"/>
                <w:szCs w:val="20"/>
                <w:lang w:val="en-US"/>
              </w:rPr>
            </w:pPr>
            <w:r w:rsidRPr="008C2228">
              <w:rPr>
                <w:sz w:val="20"/>
                <w:szCs w:val="20"/>
                <w:lang w:val="en-US"/>
              </w:rPr>
              <w:t>Latent Heat (kJ/kg)</w:t>
            </w:r>
          </w:p>
        </w:tc>
        <w:tc>
          <w:tcPr>
            <w:tcW w:w="3621" w:type="dxa"/>
            <w:vAlign w:val="center"/>
            <w:hideMark/>
          </w:tcPr>
          <w:p w14:paraId="59E492D9" w14:textId="77777777" w:rsidR="008C2228" w:rsidRPr="008C2228" w:rsidRDefault="008C2228" w:rsidP="008C2228">
            <w:pPr>
              <w:jc w:val="center"/>
              <w:rPr>
                <w:sz w:val="20"/>
                <w:szCs w:val="20"/>
                <w:lang w:val="en-US"/>
              </w:rPr>
            </w:pPr>
            <w:r w:rsidRPr="008C2228">
              <w:rPr>
                <w:sz w:val="20"/>
                <w:szCs w:val="20"/>
                <w:lang w:val="en-US"/>
              </w:rPr>
              <w:t>187</w:t>
            </w:r>
          </w:p>
        </w:tc>
      </w:tr>
      <w:tr w:rsidR="008C2228" w:rsidRPr="008C2228" w14:paraId="6D631C82" w14:textId="77777777" w:rsidTr="008C2228">
        <w:tc>
          <w:tcPr>
            <w:tcW w:w="6017" w:type="dxa"/>
            <w:vAlign w:val="center"/>
            <w:hideMark/>
          </w:tcPr>
          <w:p w14:paraId="7CB053CB" w14:textId="77777777" w:rsidR="008C2228" w:rsidRPr="008C2228" w:rsidRDefault="008C2228" w:rsidP="008C2228">
            <w:pPr>
              <w:jc w:val="center"/>
              <w:rPr>
                <w:i/>
                <w:iCs/>
                <w:sz w:val="20"/>
                <w:szCs w:val="20"/>
                <w:lang w:val="en-US"/>
              </w:rPr>
            </w:pPr>
            <w:r w:rsidRPr="008C2228">
              <w:rPr>
                <w:sz w:val="20"/>
                <w:szCs w:val="20"/>
                <w:lang w:val="en-US"/>
              </w:rPr>
              <w:t>Liquid-thermal conductivity  (W/m°C)</w:t>
            </w:r>
          </w:p>
        </w:tc>
        <w:tc>
          <w:tcPr>
            <w:tcW w:w="3621" w:type="dxa"/>
            <w:vAlign w:val="center"/>
            <w:hideMark/>
          </w:tcPr>
          <w:p w14:paraId="138B986C" w14:textId="77777777" w:rsidR="008C2228" w:rsidRPr="008C2228" w:rsidRDefault="008C2228" w:rsidP="008C2228">
            <w:pPr>
              <w:jc w:val="center"/>
              <w:rPr>
                <w:sz w:val="20"/>
                <w:szCs w:val="20"/>
                <w:lang w:val="en-US"/>
              </w:rPr>
            </w:pPr>
            <w:r w:rsidRPr="008C2228">
              <w:rPr>
                <w:sz w:val="20"/>
                <w:szCs w:val="20"/>
                <w:lang w:val="en-US"/>
              </w:rPr>
              <w:t>0.15</w:t>
            </w:r>
          </w:p>
        </w:tc>
      </w:tr>
      <w:tr w:rsidR="008C2228" w:rsidRPr="008C2228" w14:paraId="412A35C3" w14:textId="77777777" w:rsidTr="008C2228">
        <w:tc>
          <w:tcPr>
            <w:tcW w:w="6017" w:type="dxa"/>
            <w:vAlign w:val="center"/>
            <w:hideMark/>
          </w:tcPr>
          <w:p w14:paraId="0E4986B0" w14:textId="77777777" w:rsidR="008C2228" w:rsidRPr="008C2228" w:rsidRDefault="008C2228" w:rsidP="008C2228">
            <w:pPr>
              <w:jc w:val="center"/>
              <w:rPr>
                <w:i/>
                <w:iCs/>
                <w:sz w:val="20"/>
                <w:szCs w:val="20"/>
                <w:lang w:val="en-US"/>
              </w:rPr>
            </w:pPr>
            <w:r w:rsidRPr="008C2228">
              <w:rPr>
                <w:sz w:val="20"/>
                <w:szCs w:val="20"/>
                <w:lang w:val="en-US"/>
              </w:rPr>
              <w:t>Solid-thermal conductivity (W/m°C)</w:t>
            </w:r>
          </w:p>
        </w:tc>
        <w:tc>
          <w:tcPr>
            <w:tcW w:w="3621" w:type="dxa"/>
            <w:vAlign w:val="center"/>
            <w:hideMark/>
          </w:tcPr>
          <w:p w14:paraId="35C0D14D" w14:textId="77777777" w:rsidR="008C2228" w:rsidRPr="008C2228" w:rsidRDefault="008C2228" w:rsidP="008C2228">
            <w:pPr>
              <w:jc w:val="center"/>
              <w:rPr>
                <w:sz w:val="20"/>
                <w:szCs w:val="20"/>
                <w:lang w:val="en-US"/>
              </w:rPr>
            </w:pPr>
            <w:r w:rsidRPr="008C2228">
              <w:rPr>
                <w:sz w:val="20"/>
                <w:szCs w:val="20"/>
                <w:lang w:val="en-US"/>
              </w:rPr>
              <w:t>0.25</w:t>
            </w:r>
          </w:p>
        </w:tc>
      </w:tr>
      <w:tr w:rsidR="008C2228" w:rsidRPr="008C2228" w14:paraId="5FF63676" w14:textId="77777777" w:rsidTr="008C2228">
        <w:tc>
          <w:tcPr>
            <w:tcW w:w="6017" w:type="dxa"/>
            <w:vAlign w:val="center"/>
            <w:hideMark/>
          </w:tcPr>
          <w:p w14:paraId="0B5D5BED" w14:textId="77777777" w:rsidR="008C2228" w:rsidRPr="008C2228" w:rsidRDefault="008C2228" w:rsidP="008C2228">
            <w:pPr>
              <w:jc w:val="center"/>
              <w:rPr>
                <w:i/>
                <w:iCs/>
                <w:sz w:val="20"/>
                <w:szCs w:val="20"/>
                <w:lang w:val="en-US"/>
              </w:rPr>
            </w:pPr>
            <w:r w:rsidRPr="008C2228">
              <w:rPr>
                <w:sz w:val="20"/>
                <w:szCs w:val="20"/>
                <w:lang w:val="en-US"/>
              </w:rPr>
              <w:t>Heat storage capacity (J/g)</w:t>
            </w:r>
          </w:p>
        </w:tc>
        <w:tc>
          <w:tcPr>
            <w:tcW w:w="3621" w:type="dxa"/>
            <w:vAlign w:val="center"/>
            <w:hideMark/>
          </w:tcPr>
          <w:p w14:paraId="179C3DA9" w14:textId="77777777" w:rsidR="008C2228" w:rsidRPr="008C2228" w:rsidRDefault="008C2228" w:rsidP="008C2228">
            <w:pPr>
              <w:keepNext/>
              <w:jc w:val="center"/>
              <w:rPr>
                <w:sz w:val="20"/>
                <w:szCs w:val="20"/>
                <w:lang w:val="en-US"/>
              </w:rPr>
            </w:pPr>
            <w:r w:rsidRPr="008C2228">
              <w:rPr>
                <w:sz w:val="20"/>
                <w:szCs w:val="20"/>
                <w:lang w:val="en-US"/>
              </w:rPr>
              <w:t>187</w:t>
            </w:r>
          </w:p>
        </w:tc>
      </w:tr>
    </w:tbl>
    <w:p w14:paraId="20B2123C" w14:textId="713B48C4" w:rsidR="008C2228" w:rsidRPr="008C2228" w:rsidRDefault="008C2228" w:rsidP="008C2228">
      <w:pPr>
        <w:pStyle w:val="Caption"/>
      </w:pPr>
      <w:bookmarkStart w:id="75" w:name="_Toc214362627"/>
      <w:r>
        <w:t xml:space="preserve">Table </w:t>
      </w:r>
      <w:r w:rsidR="00F43E9A">
        <w:fldChar w:fldCharType="begin"/>
      </w:r>
      <w:r w:rsidR="00F43E9A">
        <w:instrText xml:space="preserve"> STYLEREF 1 \s </w:instrText>
      </w:r>
      <w:r w:rsidR="00F43E9A">
        <w:fldChar w:fldCharType="separate"/>
      </w:r>
      <w:r w:rsidR="000412CE">
        <w:rPr>
          <w:noProof/>
        </w:rPr>
        <w:t>1</w:t>
      </w:r>
      <w:r w:rsidR="00F43E9A">
        <w:fldChar w:fldCharType="end"/>
      </w:r>
      <w:r w:rsidR="00F43E9A">
        <w:t>.</w:t>
      </w:r>
      <w:r w:rsidR="00F43E9A">
        <w:fldChar w:fldCharType="begin"/>
      </w:r>
      <w:r w:rsidR="00F43E9A">
        <w:instrText xml:space="preserve"> SEQ Table \* ARABIC \s 1 </w:instrText>
      </w:r>
      <w:r w:rsidR="00F43E9A">
        <w:fldChar w:fldCharType="separate"/>
      </w:r>
      <w:r w:rsidR="000412CE">
        <w:rPr>
          <w:noProof/>
        </w:rPr>
        <w:t>22</w:t>
      </w:r>
      <w:r w:rsidR="00F43E9A">
        <w:fldChar w:fldCharType="end"/>
      </w:r>
      <w:r w:rsidR="00DE026D">
        <w:t>.</w:t>
      </w:r>
      <w:r>
        <w:t xml:space="preserve"> </w:t>
      </w:r>
      <w:r w:rsidRPr="00B0355C">
        <w:t>PureTemp bio-based PCMs: melting point, solid/liquid density, latent heat, thermal conductivity, and heat-storage capacity.</w:t>
      </w:r>
      <w:bookmarkEnd w:id="75"/>
    </w:p>
    <w:p w14:paraId="3E218C66" w14:textId="08D5E787" w:rsidR="000F6463" w:rsidRDefault="008C2228" w:rsidP="00DE026D">
      <w:pPr>
        <w:spacing w:before="0" w:after="160" w:line="259" w:lineRule="auto"/>
        <w:jc w:val="left"/>
        <w:rPr>
          <w:rFonts w:ascii="Times New Roman" w:hAnsi="Times New Roman" w:cs="Times New Roman"/>
          <w:lang w:val="en-US"/>
        </w:rPr>
      </w:pPr>
      <w:r>
        <w:rPr>
          <w:rFonts w:ascii="Times New Roman" w:hAnsi="Times New Roman" w:cs="Times New Roman"/>
          <w:lang w:val="en-US"/>
        </w:rPr>
        <w:br w:type="page"/>
      </w:r>
      <w:r w:rsidR="000F6463" w:rsidRPr="00801AA5">
        <w:rPr>
          <w:rFonts w:ascii="Times New Roman" w:hAnsi="Times New Roman" w:cs="Times New Roman"/>
          <w:lang w:val="en-US"/>
        </w:rPr>
        <w:lastRenderedPageBreak/>
        <w:t xml:space="preserve">Table </w:t>
      </w:r>
      <w:r>
        <w:rPr>
          <w:rFonts w:ascii="Times New Roman" w:hAnsi="Times New Roman" w:cs="Times New Roman"/>
          <w:lang w:val="en-US"/>
        </w:rPr>
        <w:t>1.</w:t>
      </w:r>
      <w:r w:rsidR="000F6463" w:rsidRPr="00801AA5">
        <w:rPr>
          <w:rFonts w:ascii="Times New Roman" w:hAnsi="Times New Roman" w:cs="Times New Roman"/>
          <w:lang w:val="en-US"/>
        </w:rPr>
        <w:t>23 presents two PCM products</w:t>
      </w:r>
      <w:r w:rsidR="000F32C4">
        <w:rPr>
          <w:rFonts w:ascii="Times New Roman" w:hAnsi="Times New Roman" w:cs="Times New Roman"/>
          <w:lang w:val="en-US"/>
        </w:rPr>
        <w:t>,</w:t>
      </w:r>
      <w:r w:rsidR="000F6463">
        <w:rPr>
          <w:rFonts w:ascii="Times New Roman" w:hAnsi="Times New Roman" w:cs="Times New Roman"/>
          <w:lang w:val="en-US"/>
        </w:rPr>
        <w:t xml:space="preserve"> like </w:t>
      </w:r>
      <w:r w:rsidR="000F6463" w:rsidRPr="00801AA5">
        <w:rPr>
          <w:rFonts w:ascii="Times New Roman" w:hAnsi="Times New Roman" w:cs="Times New Roman"/>
          <w:lang w:val="en-US"/>
        </w:rPr>
        <w:t>BlockVe</w:t>
      </w:r>
      <w:r w:rsidR="00875B59">
        <w:rPr>
          <w:rFonts w:ascii="Times New Roman" w:hAnsi="Times New Roman" w:cs="Times New Roman"/>
          <w:lang w:val="en-US"/>
        </w:rPr>
        <w:t>s</w:t>
      </w:r>
      <w:r w:rsidR="000F6463" w:rsidRPr="00801AA5">
        <w:rPr>
          <w:rFonts w:ascii="Times New Roman" w:hAnsi="Times New Roman" w:cs="Times New Roman"/>
          <w:lang w:val="en-US"/>
        </w:rPr>
        <w:t>l tiles and MatVe</w:t>
      </w:r>
      <w:r w:rsidR="00875B59">
        <w:rPr>
          <w:rFonts w:ascii="Times New Roman" w:hAnsi="Times New Roman" w:cs="Times New Roman"/>
          <w:lang w:val="en-US"/>
        </w:rPr>
        <w:t>s</w:t>
      </w:r>
      <w:r w:rsidR="000F6463" w:rsidRPr="00801AA5">
        <w:rPr>
          <w:rFonts w:ascii="Times New Roman" w:hAnsi="Times New Roman" w:cs="Times New Roman"/>
          <w:lang w:val="en-US"/>
        </w:rPr>
        <w:t>l film pouches</w:t>
      </w:r>
      <w:r w:rsidR="000F6463">
        <w:rPr>
          <w:rFonts w:ascii="Times New Roman" w:hAnsi="Times New Roman" w:cs="Times New Roman"/>
          <w:lang w:val="en-US"/>
        </w:rPr>
        <w:t xml:space="preserve">, </w:t>
      </w:r>
      <w:r w:rsidR="000F6463" w:rsidRPr="00801AA5">
        <w:rPr>
          <w:rFonts w:ascii="Times New Roman" w:hAnsi="Times New Roman" w:cs="Times New Roman"/>
          <w:lang w:val="en-US"/>
        </w:rPr>
        <w:t>highlighting form factor and melting-temperature range.</w:t>
      </w:r>
    </w:p>
    <w:tbl>
      <w:tblPr>
        <w:tblStyle w:val="TableGrid"/>
        <w:tblW w:w="9060" w:type="dxa"/>
        <w:tblLook w:val="04A0" w:firstRow="1" w:lastRow="0" w:firstColumn="1" w:lastColumn="0" w:noHBand="0" w:noVBand="1"/>
      </w:tblPr>
      <w:tblGrid>
        <w:gridCol w:w="3020"/>
        <w:gridCol w:w="3020"/>
        <w:gridCol w:w="3020"/>
      </w:tblGrid>
      <w:tr w:rsidR="008C2228" w:rsidRPr="008C2228" w14:paraId="27603804" w14:textId="77777777" w:rsidTr="008C2228">
        <w:tc>
          <w:tcPr>
            <w:tcW w:w="3020" w:type="dxa"/>
            <w:shd w:val="clear" w:color="auto" w:fill="8EA5B6"/>
            <w:vAlign w:val="center"/>
          </w:tcPr>
          <w:p w14:paraId="59D84630" w14:textId="7C7768B6" w:rsidR="008C2228" w:rsidRPr="008C2228" w:rsidRDefault="008C2228" w:rsidP="008C2228">
            <w:pPr>
              <w:jc w:val="center"/>
              <w:rPr>
                <w:rFonts w:cs="Times New Roman"/>
                <w:b/>
                <w:bCs/>
                <w:sz w:val="20"/>
                <w:szCs w:val="20"/>
                <w:lang w:val="en-US"/>
              </w:rPr>
            </w:pPr>
            <w:r w:rsidRPr="008C2228">
              <w:rPr>
                <w:rFonts w:cs="Times New Roman"/>
                <w:b/>
                <w:bCs/>
                <w:sz w:val="20"/>
                <w:szCs w:val="20"/>
                <w:lang w:val="en-US"/>
              </w:rPr>
              <w:t>Product</w:t>
            </w:r>
          </w:p>
        </w:tc>
        <w:tc>
          <w:tcPr>
            <w:tcW w:w="3020" w:type="dxa"/>
            <w:shd w:val="clear" w:color="auto" w:fill="8EA5B6"/>
            <w:vAlign w:val="center"/>
          </w:tcPr>
          <w:p w14:paraId="05AF0F7E" w14:textId="5D869711" w:rsidR="008C2228" w:rsidRPr="008C2228" w:rsidRDefault="008C2228" w:rsidP="000F32C4">
            <w:pPr>
              <w:jc w:val="center"/>
              <w:rPr>
                <w:rFonts w:cs="Times New Roman"/>
                <w:b/>
                <w:bCs/>
                <w:sz w:val="20"/>
                <w:szCs w:val="20"/>
                <w:lang w:val="en-US"/>
              </w:rPr>
            </w:pPr>
            <w:r w:rsidRPr="008C2228">
              <w:rPr>
                <w:rFonts w:cs="Times New Roman"/>
                <w:b/>
                <w:bCs/>
                <w:sz w:val="20"/>
                <w:szCs w:val="20"/>
                <w:lang w:val="en-US"/>
              </w:rPr>
              <w:t>Description</w:t>
            </w:r>
          </w:p>
        </w:tc>
        <w:tc>
          <w:tcPr>
            <w:tcW w:w="3020" w:type="dxa"/>
            <w:shd w:val="clear" w:color="auto" w:fill="8EA5B6"/>
            <w:vAlign w:val="center"/>
          </w:tcPr>
          <w:p w14:paraId="27F20388" w14:textId="77777777" w:rsidR="008C2228" w:rsidRPr="008C2228" w:rsidRDefault="008C2228" w:rsidP="008C2228">
            <w:pPr>
              <w:jc w:val="center"/>
              <w:rPr>
                <w:rFonts w:cs="Times New Roman"/>
                <w:b/>
                <w:bCs/>
                <w:sz w:val="20"/>
                <w:szCs w:val="20"/>
                <w:lang w:val="en-US"/>
              </w:rPr>
            </w:pPr>
          </w:p>
        </w:tc>
      </w:tr>
      <w:tr w:rsidR="008C2228" w:rsidRPr="008C2228" w14:paraId="40548D32" w14:textId="77777777" w:rsidTr="008C2228">
        <w:tc>
          <w:tcPr>
            <w:tcW w:w="3020" w:type="dxa"/>
            <w:vAlign w:val="center"/>
          </w:tcPr>
          <w:p w14:paraId="5D7853B4" w14:textId="424F9F6A" w:rsidR="008C2228" w:rsidRPr="008C2228" w:rsidRDefault="008C2228" w:rsidP="008C2228">
            <w:pPr>
              <w:jc w:val="center"/>
              <w:rPr>
                <w:rFonts w:cs="Times New Roman"/>
                <w:sz w:val="20"/>
                <w:szCs w:val="20"/>
                <w:lang w:val="en-US"/>
              </w:rPr>
            </w:pPr>
            <w:r w:rsidRPr="008C2228">
              <w:rPr>
                <w:rFonts w:cs="Times New Roman"/>
                <w:sz w:val="20"/>
                <w:szCs w:val="20"/>
                <w:lang w:val="en-US"/>
              </w:rPr>
              <w:t>BlockVesl</w:t>
            </w:r>
          </w:p>
        </w:tc>
        <w:tc>
          <w:tcPr>
            <w:tcW w:w="3020" w:type="dxa"/>
            <w:vAlign w:val="center"/>
          </w:tcPr>
          <w:p w14:paraId="4F0CC114" w14:textId="145A5760" w:rsidR="008C2228" w:rsidRPr="008C2228" w:rsidRDefault="008C2228" w:rsidP="000F32C4">
            <w:pPr>
              <w:rPr>
                <w:rFonts w:cs="Times New Roman"/>
                <w:sz w:val="20"/>
                <w:szCs w:val="20"/>
                <w:lang w:val="en-US"/>
              </w:rPr>
            </w:pPr>
            <w:r w:rsidRPr="008C2228">
              <w:rPr>
                <w:rFonts w:cs="Times New Roman"/>
                <w:sz w:val="20"/>
                <w:szCs w:val="20"/>
                <w:lang w:val="en-US"/>
              </w:rPr>
              <w:t>BlockVesl is a plastic plate measuring 30 × 255 × 39 mm, specifically designed to contain a natural, biodegradable, and non-toxic PCM. The plates can be assembled to form wall coverings. The PCM contained inside BlockVesl can be manufactured with a melting temperature ranging from -15</w:t>
            </w:r>
            <w:r w:rsidR="000F32C4">
              <w:rPr>
                <w:rFonts w:cs="Times New Roman"/>
                <w:sz w:val="20"/>
                <w:szCs w:val="20"/>
                <w:lang w:val="en-US"/>
              </w:rPr>
              <w:t xml:space="preserve"> </w:t>
            </w:r>
            <w:r w:rsidRPr="008C2228">
              <w:rPr>
                <w:rFonts w:cs="Times New Roman"/>
                <w:sz w:val="20"/>
                <w:szCs w:val="20"/>
                <w:lang w:val="en-US"/>
              </w:rPr>
              <w:t>°C to 29</w:t>
            </w:r>
            <w:r w:rsidR="000F32C4">
              <w:rPr>
                <w:rFonts w:cs="Times New Roman"/>
                <w:sz w:val="20"/>
                <w:szCs w:val="20"/>
                <w:lang w:val="en-US"/>
              </w:rPr>
              <w:t xml:space="preserve"> </w:t>
            </w:r>
            <w:r w:rsidRPr="008C2228">
              <w:rPr>
                <w:rFonts w:cs="Times New Roman"/>
                <w:sz w:val="20"/>
                <w:szCs w:val="20"/>
                <w:lang w:val="en-US"/>
              </w:rPr>
              <w:t>°C</w:t>
            </w:r>
            <w:r w:rsidR="000F32C4">
              <w:rPr>
                <w:rFonts w:cs="Times New Roman"/>
                <w:sz w:val="20"/>
                <w:szCs w:val="20"/>
                <w:lang w:val="en-US"/>
              </w:rPr>
              <w:t>.</w:t>
            </w:r>
          </w:p>
        </w:tc>
        <w:tc>
          <w:tcPr>
            <w:tcW w:w="3020" w:type="dxa"/>
            <w:vAlign w:val="center"/>
          </w:tcPr>
          <w:p w14:paraId="3757F1E9" w14:textId="5266834B" w:rsidR="008C2228" w:rsidRPr="008C2228" w:rsidRDefault="008C2228" w:rsidP="008C2228">
            <w:pPr>
              <w:jc w:val="center"/>
              <w:rPr>
                <w:rFonts w:cs="Times New Roman"/>
                <w:sz w:val="20"/>
                <w:szCs w:val="20"/>
                <w:lang w:val="en-US"/>
              </w:rPr>
            </w:pPr>
            <w:r w:rsidRPr="002C55C4">
              <w:rPr>
                <w:rFonts w:ascii="Times New Roman" w:eastAsiaTheme="minorEastAsia" w:hAnsi="Times New Roman" w:cs="Times New Roman"/>
                <w:noProof/>
                <w:color w:val="333333"/>
                <w:sz w:val="18"/>
                <w:szCs w:val="18"/>
              </w:rPr>
              <w:drawing>
                <wp:inline distT="0" distB="0" distL="0" distR="0" wp14:anchorId="41C7B7AD" wp14:editId="0D2AD667">
                  <wp:extent cx="925195" cy="864870"/>
                  <wp:effectExtent l="0" t="0" r="8255" b="0"/>
                  <wp:docPr id="1885409886"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4"/>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925195" cy="864870"/>
                          </a:xfrm>
                          <a:prstGeom prst="rect">
                            <a:avLst/>
                          </a:prstGeom>
                          <a:noFill/>
                        </pic:spPr>
                      </pic:pic>
                    </a:graphicData>
                  </a:graphic>
                </wp:inline>
              </w:drawing>
            </w:r>
          </w:p>
        </w:tc>
      </w:tr>
      <w:tr w:rsidR="008C2228" w:rsidRPr="008C2228" w14:paraId="7EDCF83B" w14:textId="77777777" w:rsidTr="008C2228">
        <w:tc>
          <w:tcPr>
            <w:tcW w:w="3020" w:type="dxa"/>
            <w:vAlign w:val="center"/>
          </w:tcPr>
          <w:p w14:paraId="081835AD" w14:textId="3E600FF6" w:rsidR="008C2228" w:rsidRPr="008C2228" w:rsidRDefault="008C2228" w:rsidP="008C2228">
            <w:pPr>
              <w:jc w:val="center"/>
              <w:rPr>
                <w:rFonts w:cs="Times New Roman"/>
                <w:sz w:val="20"/>
                <w:szCs w:val="20"/>
                <w:lang w:val="en-US"/>
              </w:rPr>
            </w:pPr>
            <w:r w:rsidRPr="008C2228">
              <w:rPr>
                <w:rFonts w:cs="Times New Roman"/>
                <w:sz w:val="20"/>
                <w:szCs w:val="20"/>
                <w:lang w:val="en-US"/>
              </w:rPr>
              <w:t>MatVesl</w:t>
            </w:r>
          </w:p>
        </w:tc>
        <w:tc>
          <w:tcPr>
            <w:tcW w:w="3020" w:type="dxa"/>
            <w:vAlign w:val="center"/>
          </w:tcPr>
          <w:p w14:paraId="06B996C7" w14:textId="225AAB43" w:rsidR="008C2228" w:rsidRPr="008C2228" w:rsidRDefault="008C2228" w:rsidP="000F32C4">
            <w:pPr>
              <w:rPr>
                <w:rFonts w:cs="Times New Roman"/>
                <w:sz w:val="20"/>
                <w:szCs w:val="20"/>
                <w:lang w:val="en-US"/>
              </w:rPr>
            </w:pPr>
            <w:r w:rsidRPr="008C2228">
              <w:rPr>
                <w:rFonts w:cs="Times New Roman"/>
                <w:sz w:val="20"/>
                <w:szCs w:val="20"/>
                <w:lang w:val="en-US"/>
              </w:rPr>
              <w:t>MatVesl are hermetically sealed multilayer film pouches filled with naturally derived PCM. These prefabricated sheets, measuring 27 × 106 cm and weighing 1.1 kg, are designed for a wide range of applications. The PCM inside has a melting temperature range between -15°C and 29°C.</w:t>
            </w:r>
          </w:p>
        </w:tc>
        <w:tc>
          <w:tcPr>
            <w:tcW w:w="3020" w:type="dxa"/>
            <w:vAlign w:val="center"/>
          </w:tcPr>
          <w:p w14:paraId="18D9FB14" w14:textId="55848D1A" w:rsidR="008C2228" w:rsidRPr="008C2228" w:rsidRDefault="008C2228" w:rsidP="008C2228">
            <w:pPr>
              <w:keepNext/>
              <w:jc w:val="center"/>
              <w:rPr>
                <w:rFonts w:cs="Times New Roman"/>
                <w:sz w:val="20"/>
                <w:szCs w:val="20"/>
                <w:lang w:val="en-US"/>
              </w:rPr>
            </w:pPr>
            <w:r w:rsidRPr="002C55C4">
              <w:rPr>
                <w:rFonts w:ascii="Times New Roman" w:eastAsiaTheme="minorEastAsia" w:hAnsi="Times New Roman" w:cs="Times New Roman"/>
                <w:noProof/>
                <w:color w:val="333333"/>
                <w:sz w:val="18"/>
                <w:szCs w:val="18"/>
              </w:rPr>
              <w:drawing>
                <wp:inline distT="0" distB="0" distL="0" distR="0" wp14:anchorId="592603E6" wp14:editId="521857F3">
                  <wp:extent cx="1228725" cy="883285"/>
                  <wp:effectExtent l="0" t="0" r="9525" b="0"/>
                  <wp:docPr id="555026885" name="Immagine 7" descr="Immagine che contiene ross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7" descr="Immagine che contiene rosso&#10;&#10;Il contenuto generato dall'IA potrebbe non essere corretto."/>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1228725" cy="883285"/>
                          </a:xfrm>
                          <a:prstGeom prst="rect">
                            <a:avLst/>
                          </a:prstGeom>
                          <a:noFill/>
                        </pic:spPr>
                      </pic:pic>
                    </a:graphicData>
                  </a:graphic>
                </wp:inline>
              </w:drawing>
            </w:r>
          </w:p>
        </w:tc>
      </w:tr>
    </w:tbl>
    <w:p w14:paraId="4375513E" w14:textId="0B3C2090" w:rsidR="008C2228" w:rsidRDefault="008C2228" w:rsidP="00A165BA">
      <w:pPr>
        <w:pStyle w:val="Caption"/>
        <w:rPr>
          <w:rFonts w:ascii="Times New Roman" w:hAnsi="Times New Roman" w:cs="Times New Roman"/>
          <w:b/>
          <w:bCs/>
          <w:szCs w:val="24"/>
        </w:rPr>
        <w:sectPr w:rsidR="008C2228" w:rsidSect="003D5AC9">
          <w:headerReference w:type="even" r:id="rId102"/>
          <w:headerReference w:type="default" r:id="rId103"/>
          <w:footerReference w:type="even" r:id="rId104"/>
          <w:footerReference w:type="default" r:id="rId105"/>
          <w:headerReference w:type="first" r:id="rId106"/>
          <w:footerReference w:type="first" r:id="rId107"/>
          <w:pgSz w:w="11906" w:h="16838" w:code="9"/>
          <w:pgMar w:top="1701" w:right="1418" w:bottom="1418" w:left="1418" w:header="851" w:footer="851" w:gutter="0"/>
          <w:cols w:space="708"/>
          <w:titlePg/>
          <w:docGrid w:linePitch="360"/>
        </w:sectPr>
      </w:pPr>
      <w:bookmarkStart w:id="76" w:name="_Toc214362628"/>
      <w:r>
        <w:t xml:space="preserve">Table </w:t>
      </w:r>
      <w:r w:rsidR="00F43E9A">
        <w:fldChar w:fldCharType="begin"/>
      </w:r>
      <w:r w:rsidR="00F43E9A">
        <w:instrText xml:space="preserve"> STYLEREF 1 \s </w:instrText>
      </w:r>
      <w:r w:rsidR="00F43E9A">
        <w:fldChar w:fldCharType="separate"/>
      </w:r>
      <w:r w:rsidR="000412CE">
        <w:rPr>
          <w:noProof/>
        </w:rPr>
        <w:t>1</w:t>
      </w:r>
      <w:r w:rsidR="00F43E9A">
        <w:fldChar w:fldCharType="end"/>
      </w:r>
      <w:r w:rsidR="00F43E9A">
        <w:t>.</w:t>
      </w:r>
      <w:r w:rsidR="00F43E9A">
        <w:fldChar w:fldCharType="begin"/>
      </w:r>
      <w:r w:rsidR="00F43E9A">
        <w:instrText xml:space="preserve"> SEQ Table \* ARABIC \s 1 </w:instrText>
      </w:r>
      <w:r w:rsidR="00F43E9A">
        <w:fldChar w:fldCharType="separate"/>
      </w:r>
      <w:r w:rsidR="000412CE">
        <w:rPr>
          <w:noProof/>
        </w:rPr>
        <w:t>23</w:t>
      </w:r>
      <w:r w:rsidR="00F43E9A">
        <w:fldChar w:fldCharType="end"/>
      </w:r>
      <w:r w:rsidR="00DE026D">
        <w:t>.</w:t>
      </w:r>
      <w:r>
        <w:t xml:space="preserve"> </w:t>
      </w:r>
      <w:r w:rsidRPr="00C37539">
        <w:t>BlockVe</w:t>
      </w:r>
      <w:r w:rsidR="00875B59">
        <w:t>s</w:t>
      </w:r>
      <w:r w:rsidRPr="00C37539">
        <w:t>l and MatVe</w:t>
      </w:r>
      <w:r w:rsidR="00875B59">
        <w:t>s</w:t>
      </w:r>
      <w:r w:rsidRPr="00C37539">
        <w:t>l: brief product overview</w:t>
      </w:r>
      <w:r w:rsidR="00A165BA">
        <w:t>.</w:t>
      </w:r>
      <w:bookmarkEnd w:id="76"/>
    </w:p>
    <w:p w14:paraId="2AA65FF5" w14:textId="702B7242" w:rsidR="00702398" w:rsidRDefault="001C6FAB" w:rsidP="00702398">
      <w:pPr>
        <w:pStyle w:val="Heading1"/>
        <w:rPr>
          <w:lang w:val="en-US"/>
        </w:rPr>
      </w:pPr>
      <w:bookmarkStart w:id="77" w:name="_Toc214356283"/>
      <w:r>
        <w:rPr>
          <w:lang w:val="en-US"/>
        </w:rPr>
        <w:lastRenderedPageBreak/>
        <w:t>Litera</w:t>
      </w:r>
      <w:r w:rsidR="0067768F">
        <w:rPr>
          <w:lang w:val="en-US"/>
        </w:rPr>
        <w:t>ture</w:t>
      </w:r>
      <w:r>
        <w:rPr>
          <w:lang w:val="en-US"/>
        </w:rPr>
        <w:t xml:space="preserve"> review</w:t>
      </w:r>
      <w:r w:rsidR="00F3557F">
        <w:rPr>
          <w:lang w:val="en-US"/>
        </w:rPr>
        <w:t xml:space="preserve"> and patents in different energy applications</w:t>
      </w:r>
      <w:bookmarkEnd w:id="77"/>
    </w:p>
    <w:p w14:paraId="298E96EF" w14:textId="77777777" w:rsidR="00702398" w:rsidRDefault="00702398" w:rsidP="00702398">
      <w:pPr>
        <w:rPr>
          <w:lang w:val="en-US"/>
        </w:rPr>
      </w:pPr>
    </w:p>
    <w:p w14:paraId="5C4327AB" w14:textId="77777777" w:rsidR="00702398" w:rsidRDefault="00702398" w:rsidP="00702398">
      <w:pPr>
        <w:pStyle w:val="Heading2"/>
        <w:rPr>
          <w:lang w:val="en-US"/>
        </w:rPr>
      </w:pPr>
      <w:bookmarkStart w:id="78" w:name="_Toc214356284"/>
      <w:r>
        <w:rPr>
          <w:lang w:val="en-US"/>
        </w:rPr>
        <w:t>Introduction</w:t>
      </w:r>
      <w:bookmarkEnd w:id="78"/>
    </w:p>
    <w:p w14:paraId="0B3ED5A0" w14:textId="2C296BE0" w:rsidR="00702398" w:rsidRDefault="00702398" w:rsidP="00702398">
      <w:pPr>
        <w:rPr>
          <w:lang w:val="en-US"/>
        </w:rPr>
      </w:pPr>
      <w:r w:rsidRPr="00702398">
        <w:rPr>
          <w:lang w:val="en-US"/>
        </w:rPr>
        <w:t xml:space="preserve">In the following, the applications of PCMs will be examined systematically across five areas: electronic devices, with a focus on data centers and distribution networks, photovoltaics (PVs), buildings, the cold chain, with particular attention to the biomedical sector and vaccine logistics, and the textile sector. For each application, articles will be retrieved from Scopus using a dedicated query, then classified according to the platform’s relevance indicator and subjected to a selection based on year of publication, prioritizing the most recent contributions, the prestige of the source, and the number of citations. </w:t>
      </w:r>
      <w:r w:rsidR="00DF5EA2">
        <w:rPr>
          <w:lang w:val="en-US"/>
        </w:rPr>
        <w:t>A</w:t>
      </w:r>
      <w:r w:rsidRPr="00702398">
        <w:rPr>
          <w:lang w:val="en-US"/>
        </w:rPr>
        <w:t>n analysis of publication trends over time and the geographical distribution by country</w:t>
      </w:r>
      <w:r w:rsidR="00DF5EA2">
        <w:rPr>
          <w:lang w:val="en-US"/>
        </w:rPr>
        <w:t xml:space="preserve"> is reported</w:t>
      </w:r>
      <w:r w:rsidRPr="00702398">
        <w:rPr>
          <w:lang w:val="en-US"/>
        </w:rPr>
        <w:t>, together with summary tables compiling the most relevant research articles and reviews. The application-focused sections will then examine the energy benefits of using PCMs and the related environmental and economic impacts, and each subsection will conclude with a discussion of future challenges.</w:t>
      </w:r>
    </w:p>
    <w:p w14:paraId="17953E15" w14:textId="78C0B8BF" w:rsidR="00702398" w:rsidRDefault="00702398" w:rsidP="00702398">
      <w:pPr>
        <w:pStyle w:val="Heading2"/>
        <w:rPr>
          <w:lang w:val="en-US"/>
        </w:rPr>
      </w:pPr>
      <w:bookmarkStart w:id="79" w:name="_Toc214356285"/>
      <w:r>
        <w:rPr>
          <w:lang w:val="en-US"/>
        </w:rPr>
        <w:t>Electronic devices</w:t>
      </w:r>
      <w:bookmarkEnd w:id="79"/>
    </w:p>
    <w:p w14:paraId="1E378DDF" w14:textId="77777777" w:rsidR="00702398" w:rsidRPr="00702398" w:rsidRDefault="00702398" w:rsidP="00702398">
      <w:pPr>
        <w:rPr>
          <w:rFonts w:cs="Times New Roman"/>
          <w:lang w:val="en-US"/>
        </w:rPr>
      </w:pPr>
      <w:r w:rsidRPr="00702398">
        <w:rPr>
          <w:rFonts w:cs="Times New Roman"/>
          <w:lang w:val="en-US"/>
        </w:rPr>
        <w:t>This paragraph presents a synthesis of the scientific literature concerning the application of PCMs in electronic devices and systems. The content was developed following a systematic search conducted on the Scopus database, using targeted queries to identify recent and relevant studies addressing the thermal management of electronic systems through PCM integration. The reviewed literature highlights how PCMs are increasingly employed to mitigate overheating, enhance energy efficiency, and stabilize the operating temperature of electronic components. Particular attention has been devoted to the coupling of PCMs with battery systems, data centers, and electrical and distribution networks, where thermal regulation plays a critical role in ensuring reliability, safety, and long-term performance. To explore the scientific literature on the use of PCMs in electronic systems, a bibliometric search was carried out on the Scopus database using the following query:</w:t>
      </w:r>
    </w:p>
    <w:p w14:paraId="544A748F" w14:textId="77777777" w:rsidR="00702398" w:rsidRPr="00702398" w:rsidRDefault="00702398" w:rsidP="00702398">
      <w:pPr>
        <w:rPr>
          <w:rFonts w:cs="Times New Roman"/>
          <w:b/>
          <w:bCs/>
          <w:i/>
          <w:iCs/>
          <w:lang w:val="en-US"/>
        </w:rPr>
      </w:pPr>
      <w:r w:rsidRPr="00702398">
        <w:rPr>
          <w:rFonts w:cs="Times New Roman"/>
          <w:b/>
          <w:bCs/>
          <w:i/>
          <w:iCs/>
          <w:lang w:val="en-US"/>
        </w:rPr>
        <w:lastRenderedPageBreak/>
        <w:t>("phase change materials" OR PCM) AND (electronics OR "electronic devices" OR "power electronics" OR batteries) AND (cooling OR "temperature control" OR "thermal management" OR "thermal regulation")</w:t>
      </w:r>
    </w:p>
    <w:p w14:paraId="476675E7" w14:textId="13B46DC8" w:rsidR="00702398" w:rsidRPr="00702398" w:rsidRDefault="00702398" w:rsidP="00702398">
      <w:pPr>
        <w:rPr>
          <w:rFonts w:cs="Times New Roman"/>
          <w:lang w:val="en-US"/>
        </w:rPr>
      </w:pPr>
      <w:r w:rsidRPr="00702398">
        <w:rPr>
          <w:rFonts w:cs="Times New Roman"/>
          <w:noProof/>
          <w:lang w:val="en-US"/>
        </w:rPr>
        <mc:AlternateContent>
          <mc:Choice Requires="wps">
            <w:drawing>
              <wp:anchor distT="45720" distB="45720" distL="114300" distR="114300" simplePos="0" relativeHeight="251699200" behindDoc="0" locked="0" layoutInCell="1" allowOverlap="1" wp14:anchorId="60A30916" wp14:editId="5EAEAD0A">
                <wp:simplePos x="0" y="0"/>
                <wp:positionH relativeFrom="column">
                  <wp:posOffset>4189730</wp:posOffset>
                </wp:positionH>
                <wp:positionV relativeFrom="paragraph">
                  <wp:posOffset>1000125</wp:posOffset>
                </wp:positionV>
                <wp:extent cx="365760" cy="457200"/>
                <wp:effectExtent l="0" t="0" r="0" b="0"/>
                <wp:wrapNone/>
                <wp:docPr id="9575445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 cy="457200"/>
                        </a:xfrm>
                        <a:prstGeom prst="rect">
                          <a:avLst/>
                        </a:prstGeom>
                        <a:noFill/>
                        <a:ln w="9525">
                          <a:noFill/>
                          <a:miter lim="800000"/>
                          <a:headEnd/>
                          <a:tailEnd/>
                        </a:ln>
                      </wps:spPr>
                      <wps:txbx>
                        <w:txbxContent>
                          <w:p w14:paraId="175EBF42" w14:textId="77777777" w:rsidR="00702398" w:rsidRPr="00801AA5" w:rsidRDefault="00702398" w:rsidP="00702398">
                            <w:pPr>
                              <w:rPr>
                                <w:lang w:val="en-US"/>
                              </w:rPr>
                            </w:pPr>
                            <w: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0A30916" id="_x0000_s1034" type="#_x0000_t202" style="position:absolute;left:0;text-align:left;margin-left:329.9pt;margin-top:78.75pt;width:28.8pt;height:36pt;z-index:2516992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" filled="f" stroked="f">
                <v:textbox>
                  <w:txbxContent>
                    <w:p w14:paraId="175EBF42" w14:textId="77777777" w:rsidR="00702398" w:rsidRPr="00801AA5" w:rsidRDefault="00702398" w:rsidP="00702398">
                      <w:pPr>
                        <w:rPr>
                          <w:lang w:val="en-US"/>
                        </w:rPr>
                      </w:pPr>
                      <w:r>
                        <w:t>b)</w:t>
                      </w:r>
                    </w:p>
                  </w:txbxContent>
                </v:textbox>
              </v:shape>
            </w:pict>
          </mc:Fallback>
        </mc:AlternateContent>
      </w:r>
      <w:r w:rsidRPr="00702398">
        <w:rPr>
          <w:rFonts w:cs="Times New Roman"/>
          <w:lang w:val="en-US"/>
        </w:rPr>
        <w:t xml:space="preserve">which returned 2,541 results. The analysis of these results highlights the growing interest of the scientific community in the integration of PCMs for thermal management in electronic applications. These include power electronics, batteries, and temperature control systems, where effective heat dissipation is crucial for improving performance, efficiency, and reliability. </w:t>
      </w:r>
    </w:p>
    <w:p w14:paraId="3FC22ED2" w14:textId="77777777" w:rsidR="00702398" w:rsidRDefault="00702398" w:rsidP="00702398">
      <w:pPr>
        <w:keepNext/>
      </w:pPr>
      <w:r w:rsidRPr="00801AA5">
        <w:rPr>
          <w:rFonts w:ascii="Times New Roman" w:hAnsi="Times New Roman" w:cs="Times New Roman"/>
          <w:noProof/>
          <w:lang w:val="en-US"/>
        </w:rPr>
        <mc:AlternateContent>
          <mc:Choice Requires="wps">
            <w:drawing>
              <wp:anchor distT="45720" distB="45720" distL="114300" distR="114300" simplePos="0" relativeHeight="251698176" behindDoc="0" locked="0" layoutInCell="1" allowOverlap="1" wp14:anchorId="3F87D357" wp14:editId="5A2501C7">
                <wp:simplePos x="0" y="0"/>
                <wp:positionH relativeFrom="column">
                  <wp:posOffset>1522730</wp:posOffset>
                </wp:positionH>
                <wp:positionV relativeFrom="paragraph">
                  <wp:posOffset>9525</wp:posOffset>
                </wp:positionV>
                <wp:extent cx="342900" cy="495300"/>
                <wp:effectExtent l="0" t="0" r="0" b="0"/>
                <wp:wrapNone/>
                <wp:docPr id="163435805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495300"/>
                        </a:xfrm>
                        <a:prstGeom prst="rect">
                          <a:avLst/>
                        </a:prstGeom>
                        <a:solidFill>
                          <a:srgbClr val="FFFFFF"/>
                        </a:solidFill>
                        <a:ln w="9525">
                          <a:noFill/>
                          <a:miter lim="800000"/>
                          <a:headEnd/>
                          <a:tailEnd/>
                        </a:ln>
                      </wps:spPr>
                      <wps:txbx>
                        <w:txbxContent>
                          <w:p w14:paraId="3F0D7917" w14:textId="77777777" w:rsidR="00702398" w:rsidRPr="00801AA5" w:rsidRDefault="00702398" w:rsidP="00702398">
                            <w:pPr>
                              <w:rPr>
                                <w:lang w:val="en-US"/>
                              </w:rPr>
                            </w:pPr>
                            <w: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F87D357" id="_x0000_s1035" type="#_x0000_t202" style="position:absolute;left:0;text-align:left;margin-left:119.9pt;margin-top:.75pt;width:27pt;height:39pt;z-index:2516981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" stroked="f">
                <v:textbox>
                  <w:txbxContent>
                    <w:p w14:paraId="3F0D7917" w14:textId="77777777" w:rsidR="00702398" w:rsidRPr="00801AA5" w:rsidRDefault="00702398" w:rsidP="00702398">
                      <w:pPr>
                        <w:rPr>
                          <w:lang w:val="en-US"/>
                        </w:rPr>
                      </w:pPr>
                      <w:r>
                        <w:t>a)</w:t>
                      </w:r>
                    </w:p>
                  </w:txbxContent>
                </v:textbox>
              </v:shape>
            </w:pict>
          </mc:Fallback>
        </mc:AlternateContent>
      </w:r>
      <w:r w:rsidRPr="00801AA5">
        <w:rPr>
          <w:rFonts w:ascii="Times New Roman" w:hAnsi="Times New Roman" w:cs="Times New Roman"/>
          <w:noProof/>
          <w:lang w:val="en-US"/>
        </w:rPr>
        <w:drawing>
          <wp:inline distT="0" distB="0" distL="0" distR="0" wp14:anchorId="4A1DFFD4" wp14:editId="0A9EF6C1">
            <wp:extent cx="5655310" cy="1891753"/>
            <wp:effectExtent l="0" t="0" r="2540" b="0"/>
            <wp:docPr id="200155416" name="Picture 1" descr="A graph and a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155416" name="Picture 1" descr="A graph and a chart&#10;&#10;AI-generated content may be incorrect."/>
                    <pic:cNvPicPr/>
                  </pic:nvPicPr>
                  <pic:blipFill>
                    <a:blip r:embed="rId108"/>
                    <a:stretch>
                      <a:fillRect/>
                    </a:stretch>
                  </pic:blipFill>
                  <pic:spPr>
                    <a:xfrm>
                      <a:off x="0" y="0"/>
                      <a:ext cx="5730528" cy="1916914"/>
                    </a:xfrm>
                    <a:prstGeom prst="rect">
                      <a:avLst/>
                    </a:prstGeom>
                  </pic:spPr>
                </pic:pic>
              </a:graphicData>
            </a:graphic>
          </wp:inline>
        </w:drawing>
      </w:r>
    </w:p>
    <w:p w14:paraId="20DF7FD9" w14:textId="30702191" w:rsidR="00702398" w:rsidRDefault="00702398" w:rsidP="00702398">
      <w:pPr>
        <w:pStyle w:val="Caption"/>
        <w:jc w:val="both"/>
      </w:pPr>
      <w:bookmarkStart w:id="80" w:name="_Toc214357729"/>
      <w:r>
        <w:t xml:space="preserve">Figure </w:t>
      </w:r>
      <w:r w:rsidR="00F824A5">
        <w:fldChar w:fldCharType="begin"/>
      </w:r>
      <w:r w:rsidR="00F824A5">
        <w:instrText xml:space="preserve"> STYLEREF 1 \s </w:instrText>
      </w:r>
      <w:r w:rsidR="00F824A5">
        <w:fldChar w:fldCharType="separate"/>
      </w:r>
      <w:r w:rsidR="000412CE">
        <w:rPr>
          <w:noProof/>
        </w:rPr>
        <w:t>2</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1</w:t>
      </w:r>
      <w:r w:rsidR="00F824A5">
        <w:fldChar w:fldCharType="end"/>
      </w:r>
      <w:r w:rsidR="00DE026D">
        <w:t>.</w:t>
      </w:r>
      <w:r>
        <w:t xml:space="preserve"> </w:t>
      </w:r>
      <w:r w:rsidRPr="00057810">
        <w:t>Scopus trends for PCM applications in electronic devices: (a) publications rising exponentially since the early 2010s; (b) country share led by China, then India</w:t>
      </w:r>
      <w:r w:rsidR="000F32C4">
        <w:t>,</w:t>
      </w:r>
      <w:r w:rsidRPr="00057810">
        <w:t xml:space="preserve"> and the United States.</w:t>
      </w:r>
      <w:bookmarkEnd w:id="80"/>
    </w:p>
    <w:p w14:paraId="6D62276D" w14:textId="514A5099" w:rsidR="00702398" w:rsidRPr="00702398" w:rsidRDefault="00702398" w:rsidP="00702398">
      <w:pPr>
        <w:rPr>
          <w:rFonts w:cs="Times New Roman"/>
          <w:lang w:val="en-US"/>
        </w:rPr>
      </w:pPr>
      <w:r w:rsidRPr="00702398">
        <w:rPr>
          <w:rFonts w:cs="Times New Roman"/>
          <w:lang w:val="en-US"/>
        </w:rPr>
        <w:t>Figure 2.1a illustrates the evolution of publications over time, showing a significant increase starting from the early 2010s, followed by an exponential growth in the past decade. This trend confirms the rapid development of PCM-based thermal management technologies driven by the miniaturization of electronic components and the rise of energy storage systems. Figure 2.1b shows the distribution of publications by country. The data indicate that China leads the field,</w:t>
      </w:r>
      <w:r w:rsidRPr="00702398">
        <w:rPr>
          <w:noProof/>
          <w:lang w:val="en-US"/>
        </w:rPr>
        <w:t xml:space="preserve"> </w:t>
      </w:r>
      <w:r w:rsidRPr="00702398">
        <w:rPr>
          <w:rFonts w:cs="Times New Roman"/>
          <w:lang w:val="en-US"/>
        </w:rPr>
        <w:t xml:space="preserve"> followed by India and the United States, reflecting these countries’ strong industrial and academic commitment to energy efficiency and electronic innovation. Other countries, such as the United Kingdom, Saudi Arabia, and Iran, also contribute substantially, confirming the global relevance of PCM-based solutions for electronic thermal control. To ensure the scientific reliability of the analysis, both research articles and review papers retrieved from the Scopus database were examined according to the relevance ranking suggested by Scopus. Among these, the selected papers were chosen following the criteria below:</w:t>
      </w:r>
    </w:p>
    <w:p w14:paraId="698F5F61" w14:textId="77777777" w:rsidR="00702398" w:rsidRPr="00702398" w:rsidRDefault="00702398">
      <w:pPr>
        <w:pStyle w:val="ListParagraph"/>
        <w:numPr>
          <w:ilvl w:val="0"/>
          <w:numId w:val="10"/>
        </w:numPr>
        <w:spacing w:before="0" w:after="160" w:line="259" w:lineRule="auto"/>
        <w:rPr>
          <w:rFonts w:cs="Times New Roman"/>
          <w:lang w:val="en-US"/>
        </w:rPr>
      </w:pPr>
      <w:r w:rsidRPr="00702398">
        <w:rPr>
          <w:rFonts w:cs="Times New Roman"/>
          <w:lang w:val="en-US"/>
        </w:rPr>
        <w:t>Priority was given to publications from well-established and high-impact journals in the fields of energy engineering and applied sciences, as these sources are recognized for their methodological rigor and relevance to the topic of PCM applications in electronic systems.</w:t>
      </w:r>
    </w:p>
    <w:p w14:paraId="3C4B03E6" w14:textId="77777777" w:rsidR="00702398" w:rsidRPr="00702398" w:rsidRDefault="00702398">
      <w:pPr>
        <w:pStyle w:val="ListParagraph"/>
        <w:numPr>
          <w:ilvl w:val="0"/>
          <w:numId w:val="10"/>
        </w:numPr>
        <w:spacing w:before="0" w:after="160" w:line="259" w:lineRule="auto"/>
        <w:rPr>
          <w:rFonts w:cs="Times New Roman"/>
          <w:lang w:val="en-US"/>
        </w:rPr>
      </w:pPr>
      <w:r w:rsidRPr="00702398">
        <w:rPr>
          <w:rFonts w:cs="Times New Roman"/>
          <w:lang w:val="en-US"/>
        </w:rPr>
        <w:lastRenderedPageBreak/>
        <w:t>Articles with the highest number of citations, relative to their year of publication, were also analyzed, as citation frequency is generally considered an indicator of scientific impact and recognition within the research community.</w:t>
      </w:r>
    </w:p>
    <w:p w14:paraId="24E16B78" w14:textId="1D251258" w:rsidR="00702398" w:rsidRPr="00702398" w:rsidRDefault="00702398" w:rsidP="00702398">
      <w:pPr>
        <w:tabs>
          <w:tab w:val="left" w:pos="1205"/>
        </w:tabs>
        <w:rPr>
          <w:rFonts w:cs="Times New Roman"/>
          <w:lang w:val="en-US"/>
        </w:rPr>
      </w:pPr>
      <w:r w:rsidRPr="00702398">
        <w:rPr>
          <w:rFonts w:cs="Times New Roman"/>
          <w:lang w:val="en-US"/>
        </w:rPr>
        <w:t xml:space="preserve">It is worth noting that most of the papers meeting these selection criteria were focused on the application of PCMs in </w:t>
      </w:r>
      <w:r w:rsidR="00784D2D">
        <w:rPr>
          <w:rFonts w:cs="Times New Roman"/>
          <w:lang w:val="en-US"/>
        </w:rPr>
        <w:t>B</w:t>
      </w:r>
      <w:r w:rsidRPr="00702398">
        <w:rPr>
          <w:rFonts w:cs="Times New Roman"/>
          <w:lang w:val="en-US"/>
        </w:rPr>
        <w:t xml:space="preserve">attery </w:t>
      </w:r>
      <w:r w:rsidR="00784D2D">
        <w:rPr>
          <w:rFonts w:cs="Times New Roman"/>
          <w:lang w:val="en-US"/>
        </w:rPr>
        <w:t>T</w:t>
      </w:r>
      <w:r w:rsidRPr="00702398">
        <w:rPr>
          <w:rFonts w:cs="Times New Roman"/>
          <w:lang w:val="en-US"/>
        </w:rPr>
        <w:t xml:space="preserve">hermal </w:t>
      </w:r>
      <w:r w:rsidR="00784D2D">
        <w:rPr>
          <w:rFonts w:cs="Times New Roman"/>
          <w:lang w:val="en-US"/>
        </w:rPr>
        <w:t>M</w:t>
      </w:r>
      <w:r w:rsidRPr="00702398">
        <w:rPr>
          <w:rFonts w:cs="Times New Roman"/>
          <w:lang w:val="en-US"/>
        </w:rPr>
        <w:t>anagement (BTM) systems, which currently represents the most extensively studied field within electronic PCM applications. Conversely, to identify works addressing the integration of PCMs in data centers and power distribution systems, a more in-depth search was required, employing additional and more restrictive queries to capture the relevant literature. Table 2</w:t>
      </w:r>
      <w:r>
        <w:rPr>
          <w:rFonts w:cs="Times New Roman"/>
          <w:lang w:val="en-US"/>
        </w:rPr>
        <w:t>.1</w:t>
      </w:r>
      <w:r w:rsidRPr="00702398">
        <w:rPr>
          <w:rFonts w:cs="Times New Roman"/>
          <w:lang w:val="en-US"/>
        </w:rPr>
        <w:t xml:space="preserve"> presents a selection of the most relevant contributions from the literature concerning the use of PCMs for the thermal management of electronic devices. For each study, the main bibliographic information, including title, authors, source, year of publication, number of citations, and the most significant results extracted from the abstracts</w:t>
      </w:r>
      <w:r w:rsidR="000F32C4">
        <w:rPr>
          <w:rFonts w:cs="Times New Roman"/>
          <w:lang w:val="en-US"/>
        </w:rPr>
        <w:t>,</w:t>
      </w:r>
      <w:r w:rsidRPr="00702398">
        <w:rPr>
          <w:rFonts w:cs="Times New Roman"/>
          <w:lang w:val="en-US"/>
        </w:rPr>
        <w:t xml:space="preserve"> </w:t>
      </w:r>
      <w:r w:rsidR="000F32C4">
        <w:rPr>
          <w:rFonts w:cs="Times New Roman"/>
          <w:lang w:val="en-US"/>
        </w:rPr>
        <w:t>is</w:t>
      </w:r>
      <w:r w:rsidRPr="00702398">
        <w:rPr>
          <w:rFonts w:cs="Times New Roman"/>
          <w:lang w:val="en-US"/>
        </w:rPr>
        <w:t xml:space="preserve"> summarized.</w:t>
      </w:r>
    </w:p>
    <w:tbl>
      <w:tblPr>
        <w:tblStyle w:val="TableGrid"/>
        <w:tblW w:w="9039" w:type="dxa"/>
        <w:jc w:val="center"/>
        <w:tblLook w:val="04A0" w:firstRow="1" w:lastRow="0" w:firstColumn="1" w:lastColumn="0" w:noHBand="0" w:noVBand="1"/>
      </w:tblPr>
      <w:tblGrid>
        <w:gridCol w:w="1761"/>
        <w:gridCol w:w="1285"/>
        <w:gridCol w:w="1370"/>
        <w:gridCol w:w="693"/>
        <w:gridCol w:w="966"/>
        <w:gridCol w:w="2964"/>
      </w:tblGrid>
      <w:tr w:rsidR="00702398" w:rsidRPr="00404E4F" w14:paraId="544597DF" w14:textId="77777777" w:rsidTr="00702398">
        <w:trPr>
          <w:jc w:val="center"/>
        </w:trPr>
        <w:tc>
          <w:tcPr>
            <w:tcW w:w="1768" w:type="dxa"/>
            <w:shd w:val="clear" w:color="auto" w:fill="8EA5B6"/>
            <w:vAlign w:val="center"/>
          </w:tcPr>
          <w:p w14:paraId="76E4970F" w14:textId="77777777" w:rsidR="00702398" w:rsidRPr="00702398" w:rsidRDefault="00702398" w:rsidP="00702398">
            <w:pPr>
              <w:jc w:val="center"/>
              <w:rPr>
                <w:rFonts w:cs="Times New Roman"/>
                <w:b/>
                <w:bCs/>
                <w:sz w:val="18"/>
                <w:szCs w:val="18"/>
              </w:rPr>
            </w:pPr>
            <w:r w:rsidRPr="00702398">
              <w:rPr>
                <w:rFonts w:cs="Times New Roman"/>
                <w:b/>
                <w:bCs/>
                <w:sz w:val="18"/>
                <w:szCs w:val="18"/>
              </w:rPr>
              <w:t>Title</w:t>
            </w:r>
          </w:p>
        </w:tc>
        <w:tc>
          <w:tcPr>
            <w:tcW w:w="1291" w:type="dxa"/>
            <w:shd w:val="clear" w:color="auto" w:fill="8EA5B6"/>
            <w:vAlign w:val="center"/>
          </w:tcPr>
          <w:p w14:paraId="3A840AB1" w14:textId="77777777" w:rsidR="00702398" w:rsidRPr="00702398" w:rsidRDefault="00702398" w:rsidP="00702398">
            <w:pPr>
              <w:jc w:val="center"/>
              <w:rPr>
                <w:rFonts w:cs="Times New Roman"/>
                <w:b/>
                <w:bCs/>
                <w:sz w:val="18"/>
                <w:szCs w:val="18"/>
              </w:rPr>
            </w:pPr>
            <w:r w:rsidRPr="00702398">
              <w:rPr>
                <w:rFonts w:cs="Times New Roman"/>
                <w:b/>
                <w:bCs/>
                <w:sz w:val="18"/>
                <w:szCs w:val="18"/>
              </w:rPr>
              <w:t>Authors</w:t>
            </w:r>
          </w:p>
        </w:tc>
        <w:tc>
          <w:tcPr>
            <w:tcW w:w="1371" w:type="dxa"/>
            <w:shd w:val="clear" w:color="auto" w:fill="8EA5B6"/>
            <w:vAlign w:val="center"/>
          </w:tcPr>
          <w:p w14:paraId="769B0608" w14:textId="77777777" w:rsidR="00702398" w:rsidRPr="00702398" w:rsidRDefault="00702398" w:rsidP="00702398">
            <w:pPr>
              <w:jc w:val="center"/>
              <w:rPr>
                <w:rFonts w:cs="Times New Roman"/>
                <w:b/>
                <w:bCs/>
                <w:sz w:val="18"/>
                <w:szCs w:val="18"/>
              </w:rPr>
            </w:pPr>
            <w:r w:rsidRPr="00702398">
              <w:rPr>
                <w:rFonts w:cs="Times New Roman"/>
                <w:b/>
                <w:bCs/>
                <w:sz w:val="18"/>
                <w:szCs w:val="18"/>
              </w:rPr>
              <w:t>Source</w:t>
            </w:r>
          </w:p>
        </w:tc>
        <w:tc>
          <w:tcPr>
            <w:tcW w:w="702" w:type="dxa"/>
            <w:shd w:val="clear" w:color="auto" w:fill="8EA5B6"/>
            <w:vAlign w:val="center"/>
          </w:tcPr>
          <w:p w14:paraId="34436A07" w14:textId="77777777" w:rsidR="00702398" w:rsidRPr="00702398" w:rsidRDefault="00702398" w:rsidP="00702398">
            <w:pPr>
              <w:jc w:val="center"/>
              <w:rPr>
                <w:rFonts w:cs="Times New Roman"/>
                <w:b/>
                <w:bCs/>
                <w:sz w:val="18"/>
                <w:szCs w:val="18"/>
              </w:rPr>
            </w:pPr>
            <w:r w:rsidRPr="00702398">
              <w:rPr>
                <w:rFonts w:cs="Times New Roman"/>
                <w:b/>
                <w:bCs/>
                <w:sz w:val="18"/>
                <w:szCs w:val="18"/>
              </w:rPr>
              <w:t>Year</w:t>
            </w:r>
          </w:p>
        </w:tc>
        <w:tc>
          <w:tcPr>
            <w:tcW w:w="917" w:type="dxa"/>
            <w:shd w:val="clear" w:color="auto" w:fill="8EA5B6"/>
            <w:vAlign w:val="center"/>
          </w:tcPr>
          <w:p w14:paraId="1947519B" w14:textId="77777777" w:rsidR="00702398" w:rsidRPr="00702398" w:rsidRDefault="00702398" w:rsidP="00702398">
            <w:pPr>
              <w:jc w:val="center"/>
              <w:rPr>
                <w:rFonts w:cs="Times New Roman"/>
                <w:b/>
                <w:bCs/>
                <w:sz w:val="18"/>
                <w:szCs w:val="18"/>
              </w:rPr>
            </w:pPr>
            <w:r w:rsidRPr="00702398">
              <w:rPr>
                <w:rFonts w:cs="Times New Roman"/>
                <w:b/>
                <w:bCs/>
                <w:sz w:val="18"/>
                <w:szCs w:val="18"/>
              </w:rPr>
              <w:t>Citations</w:t>
            </w:r>
          </w:p>
        </w:tc>
        <w:tc>
          <w:tcPr>
            <w:tcW w:w="2990" w:type="dxa"/>
            <w:shd w:val="clear" w:color="auto" w:fill="8EA5B6"/>
            <w:vAlign w:val="center"/>
          </w:tcPr>
          <w:p w14:paraId="3E761D0F" w14:textId="43AFB15F" w:rsidR="00702398" w:rsidRPr="00702398" w:rsidRDefault="00702398" w:rsidP="000F32C4">
            <w:pPr>
              <w:jc w:val="center"/>
              <w:rPr>
                <w:rFonts w:cs="Times New Roman"/>
                <w:b/>
                <w:bCs/>
                <w:sz w:val="18"/>
                <w:szCs w:val="18"/>
              </w:rPr>
            </w:pPr>
            <w:r w:rsidRPr="00702398">
              <w:rPr>
                <w:rFonts w:cs="Times New Roman"/>
                <w:b/>
                <w:bCs/>
                <w:sz w:val="18"/>
                <w:szCs w:val="18"/>
              </w:rPr>
              <w:t>Abstract summary</w:t>
            </w:r>
          </w:p>
        </w:tc>
      </w:tr>
      <w:tr w:rsidR="00702398" w:rsidRPr="00736B36" w14:paraId="560D7F24" w14:textId="77777777" w:rsidTr="00702398">
        <w:trPr>
          <w:jc w:val="center"/>
        </w:trPr>
        <w:tc>
          <w:tcPr>
            <w:tcW w:w="1768" w:type="dxa"/>
            <w:vAlign w:val="center"/>
          </w:tcPr>
          <w:p w14:paraId="0CE03489" w14:textId="77777777" w:rsidR="00702398" w:rsidRPr="00702398" w:rsidRDefault="00702398" w:rsidP="00702398">
            <w:pPr>
              <w:jc w:val="center"/>
              <w:rPr>
                <w:rFonts w:cs="Times New Roman"/>
                <w:sz w:val="18"/>
                <w:szCs w:val="18"/>
                <w:lang w:val="en-US"/>
              </w:rPr>
            </w:pPr>
            <w:r w:rsidRPr="00702398">
              <w:rPr>
                <w:rFonts w:cs="Times New Roman"/>
                <w:sz w:val="18"/>
                <w:szCs w:val="18"/>
                <w:lang w:val="en-US"/>
              </w:rPr>
              <w:t>Phase-change materials for thermal management of electronic devices</w:t>
            </w:r>
          </w:p>
        </w:tc>
        <w:tc>
          <w:tcPr>
            <w:tcW w:w="1291" w:type="dxa"/>
            <w:vAlign w:val="center"/>
          </w:tcPr>
          <w:p w14:paraId="104C1C2D" w14:textId="77777777" w:rsidR="00702398" w:rsidRPr="00702398" w:rsidRDefault="00702398" w:rsidP="00702398">
            <w:pPr>
              <w:jc w:val="center"/>
              <w:rPr>
                <w:rFonts w:cs="Times New Roman"/>
                <w:sz w:val="18"/>
                <w:szCs w:val="18"/>
              </w:rPr>
            </w:pPr>
            <w:r w:rsidRPr="00702398">
              <w:rPr>
                <w:rFonts w:cs="Times New Roman"/>
                <w:sz w:val="18"/>
                <w:szCs w:val="18"/>
              </w:rPr>
              <w:t>Bianco, V., De Rosa, M., Vafai, K.</w:t>
            </w:r>
          </w:p>
        </w:tc>
        <w:tc>
          <w:tcPr>
            <w:tcW w:w="1371" w:type="dxa"/>
            <w:vAlign w:val="center"/>
          </w:tcPr>
          <w:p w14:paraId="52E1AADC" w14:textId="77777777" w:rsidR="00702398" w:rsidRPr="00702398" w:rsidRDefault="00702398" w:rsidP="00702398">
            <w:pPr>
              <w:jc w:val="center"/>
              <w:rPr>
                <w:rFonts w:cs="Times New Roman"/>
                <w:sz w:val="18"/>
                <w:szCs w:val="18"/>
              </w:rPr>
            </w:pPr>
            <w:r w:rsidRPr="00702398">
              <w:rPr>
                <w:rFonts w:cs="Times New Roman"/>
                <w:sz w:val="18"/>
                <w:szCs w:val="18"/>
              </w:rPr>
              <w:t>Applied Thermal Engineering, 214, 118839</w:t>
            </w:r>
          </w:p>
        </w:tc>
        <w:tc>
          <w:tcPr>
            <w:tcW w:w="702" w:type="dxa"/>
            <w:vAlign w:val="center"/>
          </w:tcPr>
          <w:p w14:paraId="3664A2D3" w14:textId="77777777" w:rsidR="00702398" w:rsidRPr="00702398" w:rsidRDefault="00702398" w:rsidP="00702398">
            <w:pPr>
              <w:jc w:val="center"/>
              <w:rPr>
                <w:rFonts w:cs="Times New Roman"/>
                <w:sz w:val="18"/>
                <w:szCs w:val="18"/>
              </w:rPr>
            </w:pPr>
            <w:r w:rsidRPr="00702398">
              <w:rPr>
                <w:rFonts w:cs="Times New Roman"/>
                <w:sz w:val="18"/>
                <w:szCs w:val="18"/>
              </w:rPr>
              <w:t>2022</w:t>
            </w:r>
          </w:p>
        </w:tc>
        <w:tc>
          <w:tcPr>
            <w:tcW w:w="917" w:type="dxa"/>
            <w:vAlign w:val="center"/>
          </w:tcPr>
          <w:p w14:paraId="4DC73784" w14:textId="77777777" w:rsidR="00702398" w:rsidRPr="00702398" w:rsidRDefault="00702398" w:rsidP="00702398">
            <w:pPr>
              <w:jc w:val="center"/>
              <w:rPr>
                <w:rFonts w:cs="Times New Roman"/>
                <w:sz w:val="18"/>
                <w:szCs w:val="18"/>
              </w:rPr>
            </w:pPr>
            <w:r w:rsidRPr="00702398">
              <w:rPr>
                <w:rFonts w:cs="Times New Roman"/>
                <w:sz w:val="18"/>
                <w:szCs w:val="18"/>
              </w:rPr>
              <w:t>137</w:t>
            </w:r>
          </w:p>
        </w:tc>
        <w:tc>
          <w:tcPr>
            <w:tcW w:w="2990" w:type="dxa"/>
            <w:vAlign w:val="center"/>
          </w:tcPr>
          <w:p w14:paraId="7E386F29" w14:textId="1E6FB9D7" w:rsidR="00702398" w:rsidRPr="00702398" w:rsidRDefault="00702398" w:rsidP="000F32C4">
            <w:pPr>
              <w:rPr>
                <w:rFonts w:cs="Times New Roman"/>
                <w:sz w:val="18"/>
                <w:szCs w:val="18"/>
                <w:lang w:val="en-US"/>
              </w:rPr>
            </w:pPr>
            <w:r w:rsidRPr="00702398">
              <w:rPr>
                <w:rFonts w:cs="Times New Roman"/>
                <w:sz w:val="18"/>
                <w:szCs w:val="18"/>
                <w:lang w:val="en-US"/>
              </w:rPr>
              <w:t>Integrating PCMs into electronic heat sinks increases thermal inertia and reduces hotspots by 6–10%, but low conductivity and long-term validation remain issues.</w:t>
            </w:r>
          </w:p>
        </w:tc>
      </w:tr>
      <w:tr w:rsidR="00702398" w:rsidRPr="00736B36" w14:paraId="7556606F" w14:textId="77777777" w:rsidTr="00702398">
        <w:trPr>
          <w:jc w:val="center"/>
        </w:trPr>
        <w:tc>
          <w:tcPr>
            <w:tcW w:w="1768" w:type="dxa"/>
            <w:vAlign w:val="center"/>
          </w:tcPr>
          <w:p w14:paraId="5ED35CAC" w14:textId="77777777" w:rsidR="00702398" w:rsidRPr="00702398" w:rsidRDefault="00702398" w:rsidP="00702398">
            <w:pPr>
              <w:jc w:val="center"/>
              <w:rPr>
                <w:rFonts w:cs="Times New Roman"/>
                <w:sz w:val="18"/>
                <w:szCs w:val="18"/>
                <w:lang w:val="en-US"/>
              </w:rPr>
            </w:pPr>
            <w:r w:rsidRPr="00702398">
              <w:rPr>
                <w:rFonts w:cs="Times New Roman"/>
                <w:sz w:val="18"/>
                <w:szCs w:val="18"/>
                <w:lang w:val="en-US"/>
              </w:rPr>
              <w:t>Cooling high-power electronics using dynamic phase change material</w:t>
            </w:r>
          </w:p>
        </w:tc>
        <w:tc>
          <w:tcPr>
            <w:tcW w:w="1291" w:type="dxa"/>
            <w:vAlign w:val="center"/>
          </w:tcPr>
          <w:p w14:paraId="572AF90A" w14:textId="69402FDA" w:rsidR="00702398" w:rsidRPr="00702398" w:rsidRDefault="00702398" w:rsidP="00702398">
            <w:pPr>
              <w:jc w:val="center"/>
              <w:rPr>
                <w:rFonts w:cs="Times New Roman"/>
                <w:sz w:val="18"/>
                <w:szCs w:val="18"/>
                <w:lang w:val="en-US"/>
              </w:rPr>
            </w:pPr>
            <w:r w:rsidRPr="00702398">
              <w:rPr>
                <w:rFonts w:cs="Times New Roman"/>
                <w:sz w:val="18"/>
                <w:szCs w:val="18"/>
              </w:rPr>
              <w:t xml:space="preserve">Kim, S., Stavins, R.A., Garimella, V.S., ... </w:t>
            </w:r>
            <w:r w:rsidRPr="00702398">
              <w:rPr>
                <w:rFonts w:cs="Times New Roman"/>
                <w:sz w:val="18"/>
                <w:szCs w:val="18"/>
                <w:lang w:val="en-US"/>
              </w:rPr>
              <w:t>Miljkovic, N., King, W.P.</w:t>
            </w:r>
          </w:p>
        </w:tc>
        <w:tc>
          <w:tcPr>
            <w:tcW w:w="1371" w:type="dxa"/>
            <w:vAlign w:val="center"/>
          </w:tcPr>
          <w:p w14:paraId="26A0CF13" w14:textId="77777777" w:rsidR="00702398" w:rsidRPr="00702398" w:rsidRDefault="00702398" w:rsidP="00702398">
            <w:pPr>
              <w:jc w:val="center"/>
              <w:rPr>
                <w:rFonts w:cs="Times New Roman"/>
                <w:sz w:val="18"/>
                <w:szCs w:val="18"/>
                <w:lang w:val="en-US"/>
              </w:rPr>
            </w:pPr>
            <w:r w:rsidRPr="00702398">
              <w:rPr>
                <w:rFonts w:cs="Times New Roman"/>
                <w:sz w:val="18"/>
                <w:szCs w:val="18"/>
                <w:lang w:val="en-US"/>
              </w:rPr>
              <w:t>International Journal of Heat and Mass Transfer, 237, 126433</w:t>
            </w:r>
          </w:p>
        </w:tc>
        <w:tc>
          <w:tcPr>
            <w:tcW w:w="702" w:type="dxa"/>
            <w:vAlign w:val="center"/>
          </w:tcPr>
          <w:p w14:paraId="0234C899" w14:textId="77777777" w:rsidR="00702398" w:rsidRPr="00702398" w:rsidRDefault="00702398" w:rsidP="00702398">
            <w:pPr>
              <w:jc w:val="center"/>
              <w:rPr>
                <w:rFonts w:cs="Times New Roman"/>
                <w:sz w:val="18"/>
                <w:szCs w:val="18"/>
              </w:rPr>
            </w:pPr>
            <w:r w:rsidRPr="00702398">
              <w:rPr>
                <w:rFonts w:cs="Times New Roman"/>
                <w:sz w:val="18"/>
                <w:szCs w:val="18"/>
              </w:rPr>
              <w:t>2025</w:t>
            </w:r>
          </w:p>
        </w:tc>
        <w:tc>
          <w:tcPr>
            <w:tcW w:w="917" w:type="dxa"/>
            <w:vAlign w:val="center"/>
          </w:tcPr>
          <w:p w14:paraId="3E004E01" w14:textId="77777777" w:rsidR="00702398" w:rsidRPr="00702398" w:rsidRDefault="00702398" w:rsidP="00702398">
            <w:pPr>
              <w:jc w:val="center"/>
              <w:rPr>
                <w:rFonts w:cs="Times New Roman"/>
                <w:sz w:val="18"/>
                <w:szCs w:val="18"/>
              </w:rPr>
            </w:pPr>
            <w:r w:rsidRPr="00702398">
              <w:rPr>
                <w:rFonts w:cs="Times New Roman"/>
                <w:sz w:val="18"/>
                <w:szCs w:val="18"/>
              </w:rPr>
              <w:t>14</w:t>
            </w:r>
          </w:p>
        </w:tc>
        <w:tc>
          <w:tcPr>
            <w:tcW w:w="2990" w:type="dxa"/>
            <w:vAlign w:val="center"/>
          </w:tcPr>
          <w:p w14:paraId="2CBD4D97" w14:textId="77777777" w:rsidR="00702398" w:rsidRPr="00702398" w:rsidRDefault="00702398" w:rsidP="000F32C4">
            <w:pPr>
              <w:rPr>
                <w:rFonts w:cs="Times New Roman"/>
                <w:sz w:val="18"/>
                <w:szCs w:val="18"/>
                <w:lang w:val="en-US"/>
              </w:rPr>
            </w:pPr>
            <w:r w:rsidRPr="00702398">
              <w:rPr>
                <w:rFonts w:cs="Times New Roman"/>
                <w:sz w:val="18"/>
                <w:szCs w:val="18"/>
                <w:lang w:val="en-US"/>
              </w:rPr>
              <w:t>Pressure-assisted close-contact melting removes more heat, cutting junction temperature by &gt;50% vs. air and static PCM; guidelines for spreader/PCM design provided.</w:t>
            </w:r>
          </w:p>
        </w:tc>
      </w:tr>
      <w:tr w:rsidR="00702398" w:rsidRPr="00736B36" w14:paraId="54489943" w14:textId="77777777" w:rsidTr="00702398">
        <w:trPr>
          <w:jc w:val="center"/>
        </w:trPr>
        <w:tc>
          <w:tcPr>
            <w:tcW w:w="1768" w:type="dxa"/>
            <w:vAlign w:val="center"/>
          </w:tcPr>
          <w:p w14:paraId="613D7FCE" w14:textId="2FDF03C1" w:rsidR="00702398" w:rsidRPr="00702398" w:rsidRDefault="00702398" w:rsidP="00702398">
            <w:pPr>
              <w:jc w:val="center"/>
              <w:rPr>
                <w:rFonts w:eastAsiaTheme="majorEastAsia" w:cs="Times New Roman"/>
                <w:sz w:val="18"/>
                <w:szCs w:val="18"/>
                <w:lang w:val="en-US"/>
              </w:rPr>
            </w:pPr>
            <w:r w:rsidRPr="00702398">
              <w:rPr>
                <w:rFonts w:cs="Times New Roman"/>
                <w:sz w:val="18"/>
                <w:szCs w:val="18"/>
                <w:lang w:val="en-US"/>
              </w:rPr>
              <w:t>Phase change material integrated cooling for transient thermal management of electronic devices</w:t>
            </w:r>
          </w:p>
        </w:tc>
        <w:tc>
          <w:tcPr>
            <w:tcW w:w="1291" w:type="dxa"/>
            <w:vAlign w:val="center"/>
          </w:tcPr>
          <w:p w14:paraId="0F5CE9D7" w14:textId="77777777" w:rsidR="00702398" w:rsidRPr="00833865" w:rsidRDefault="00702398" w:rsidP="00702398">
            <w:pPr>
              <w:jc w:val="center"/>
              <w:rPr>
                <w:rFonts w:cs="Times New Roman"/>
                <w:sz w:val="18"/>
                <w:szCs w:val="18"/>
                <w:lang w:val="en-US"/>
              </w:rPr>
            </w:pPr>
            <w:r w:rsidRPr="00833865">
              <w:rPr>
                <w:rFonts w:cs="Times New Roman"/>
                <w:sz w:val="18"/>
                <w:szCs w:val="18"/>
                <w:lang w:val="en-US"/>
              </w:rPr>
              <w:t>Kim, S., Yang, T., Miljkovic, N., King, W.P.</w:t>
            </w:r>
          </w:p>
        </w:tc>
        <w:tc>
          <w:tcPr>
            <w:tcW w:w="1371" w:type="dxa"/>
            <w:vAlign w:val="center"/>
          </w:tcPr>
          <w:p w14:paraId="7A839513" w14:textId="77777777" w:rsidR="00702398" w:rsidRPr="00702398" w:rsidRDefault="00702398" w:rsidP="00702398">
            <w:pPr>
              <w:jc w:val="center"/>
              <w:rPr>
                <w:rFonts w:cs="Times New Roman"/>
                <w:sz w:val="18"/>
                <w:szCs w:val="18"/>
                <w:lang w:val="en-US"/>
              </w:rPr>
            </w:pPr>
            <w:r w:rsidRPr="00702398">
              <w:rPr>
                <w:rFonts w:cs="Times New Roman"/>
                <w:sz w:val="18"/>
                <w:szCs w:val="18"/>
                <w:lang w:val="en-US"/>
              </w:rPr>
              <w:t>International Journal of Heat and Mass Transfer, 213, 124263</w:t>
            </w:r>
          </w:p>
        </w:tc>
        <w:tc>
          <w:tcPr>
            <w:tcW w:w="702" w:type="dxa"/>
            <w:vAlign w:val="center"/>
          </w:tcPr>
          <w:p w14:paraId="24FAEE0B" w14:textId="77777777" w:rsidR="00702398" w:rsidRPr="00702398" w:rsidRDefault="00702398" w:rsidP="00702398">
            <w:pPr>
              <w:jc w:val="center"/>
              <w:rPr>
                <w:rFonts w:cs="Times New Roman"/>
                <w:sz w:val="18"/>
                <w:szCs w:val="18"/>
              </w:rPr>
            </w:pPr>
            <w:r w:rsidRPr="00702398">
              <w:rPr>
                <w:rFonts w:cs="Times New Roman"/>
                <w:sz w:val="18"/>
                <w:szCs w:val="18"/>
              </w:rPr>
              <w:t>2023</w:t>
            </w:r>
          </w:p>
        </w:tc>
        <w:tc>
          <w:tcPr>
            <w:tcW w:w="917" w:type="dxa"/>
            <w:vAlign w:val="center"/>
          </w:tcPr>
          <w:p w14:paraId="498AE474" w14:textId="77777777" w:rsidR="00702398" w:rsidRPr="00702398" w:rsidRDefault="00702398" w:rsidP="00702398">
            <w:pPr>
              <w:jc w:val="center"/>
              <w:rPr>
                <w:rFonts w:cs="Times New Roman"/>
                <w:sz w:val="18"/>
                <w:szCs w:val="18"/>
              </w:rPr>
            </w:pPr>
            <w:r w:rsidRPr="00702398">
              <w:rPr>
                <w:rFonts w:cs="Times New Roman"/>
                <w:sz w:val="18"/>
                <w:szCs w:val="18"/>
              </w:rPr>
              <w:t>35</w:t>
            </w:r>
          </w:p>
        </w:tc>
        <w:tc>
          <w:tcPr>
            <w:tcW w:w="2990" w:type="dxa"/>
            <w:vAlign w:val="center"/>
          </w:tcPr>
          <w:p w14:paraId="706B026A" w14:textId="77777777" w:rsidR="00702398" w:rsidRPr="00702398" w:rsidRDefault="00702398" w:rsidP="000F32C4">
            <w:pPr>
              <w:rPr>
                <w:rFonts w:cs="Times New Roman"/>
                <w:sz w:val="18"/>
                <w:szCs w:val="18"/>
                <w:lang w:val="en-US"/>
              </w:rPr>
            </w:pPr>
            <w:r w:rsidRPr="00702398">
              <w:rPr>
                <w:rFonts w:cs="Times New Roman"/>
                <w:sz w:val="18"/>
                <w:szCs w:val="18"/>
                <w:lang w:val="en-US"/>
              </w:rPr>
              <w:t>Copper foam + Field’s metal dampens thermal swings up to 21% but works best near PCM melting; a reduced-order model enables fast temperature prediction.</w:t>
            </w:r>
          </w:p>
        </w:tc>
      </w:tr>
      <w:tr w:rsidR="00702398" w:rsidRPr="00736B36" w14:paraId="0A7E15B8" w14:textId="77777777" w:rsidTr="00702398">
        <w:trPr>
          <w:jc w:val="center"/>
        </w:trPr>
        <w:tc>
          <w:tcPr>
            <w:tcW w:w="1768" w:type="dxa"/>
            <w:vAlign w:val="center"/>
          </w:tcPr>
          <w:p w14:paraId="47AFCEAC" w14:textId="5AC87820" w:rsidR="00702398" w:rsidRPr="00702398" w:rsidRDefault="00702398" w:rsidP="00702398">
            <w:pPr>
              <w:jc w:val="center"/>
              <w:rPr>
                <w:rFonts w:eastAsiaTheme="majorEastAsia" w:cs="Times New Roman"/>
                <w:sz w:val="18"/>
                <w:szCs w:val="18"/>
                <w:lang w:val="en-US"/>
              </w:rPr>
            </w:pPr>
            <w:r w:rsidRPr="00702398">
              <w:rPr>
                <w:rFonts w:cs="Times New Roman"/>
                <w:sz w:val="18"/>
                <w:szCs w:val="18"/>
                <w:lang w:val="en-US"/>
              </w:rPr>
              <w:t xml:space="preserve">Performance evaluation and heat transfer mechanism for battery thermal management of autonomous underwater vehicles based on </w:t>
            </w:r>
            <w:r w:rsidRPr="00702398">
              <w:rPr>
                <w:rFonts w:cs="Times New Roman"/>
                <w:sz w:val="18"/>
                <w:szCs w:val="18"/>
                <w:lang w:val="en-US"/>
              </w:rPr>
              <w:lastRenderedPageBreak/>
              <w:t>phase change material cooling</w:t>
            </w:r>
          </w:p>
        </w:tc>
        <w:tc>
          <w:tcPr>
            <w:tcW w:w="1291" w:type="dxa"/>
            <w:vAlign w:val="center"/>
          </w:tcPr>
          <w:p w14:paraId="3E987BB8" w14:textId="77777777" w:rsidR="00702398" w:rsidRPr="00702398" w:rsidRDefault="00702398" w:rsidP="00702398">
            <w:pPr>
              <w:jc w:val="center"/>
              <w:rPr>
                <w:rFonts w:cs="Times New Roman"/>
                <w:sz w:val="18"/>
                <w:szCs w:val="18"/>
              </w:rPr>
            </w:pPr>
            <w:r w:rsidRPr="00702398">
              <w:rPr>
                <w:rFonts w:cs="Times New Roman"/>
                <w:sz w:val="18"/>
                <w:szCs w:val="18"/>
              </w:rPr>
              <w:lastRenderedPageBreak/>
              <w:t>Li, B., Mao, Z., Song, B., ... Lu, C., Li, M.</w:t>
            </w:r>
          </w:p>
        </w:tc>
        <w:tc>
          <w:tcPr>
            <w:tcW w:w="1371" w:type="dxa"/>
            <w:vAlign w:val="center"/>
          </w:tcPr>
          <w:p w14:paraId="7ACF24E5" w14:textId="77777777" w:rsidR="00702398" w:rsidRPr="00702398" w:rsidRDefault="00702398" w:rsidP="00702398">
            <w:pPr>
              <w:jc w:val="center"/>
              <w:rPr>
                <w:rFonts w:cs="Times New Roman"/>
                <w:sz w:val="18"/>
                <w:szCs w:val="18"/>
              </w:rPr>
            </w:pPr>
            <w:r w:rsidRPr="00702398">
              <w:rPr>
                <w:rFonts w:cs="Times New Roman"/>
                <w:sz w:val="18"/>
                <w:szCs w:val="18"/>
              </w:rPr>
              <w:t>Applied Thermal Engineering, 219, 119655</w:t>
            </w:r>
          </w:p>
        </w:tc>
        <w:tc>
          <w:tcPr>
            <w:tcW w:w="702" w:type="dxa"/>
            <w:vAlign w:val="center"/>
          </w:tcPr>
          <w:p w14:paraId="77C76A56" w14:textId="77777777" w:rsidR="00702398" w:rsidRPr="00702398" w:rsidRDefault="00702398" w:rsidP="00702398">
            <w:pPr>
              <w:jc w:val="center"/>
              <w:rPr>
                <w:rFonts w:cs="Times New Roman"/>
                <w:sz w:val="18"/>
                <w:szCs w:val="18"/>
              </w:rPr>
            </w:pPr>
            <w:r w:rsidRPr="00702398">
              <w:rPr>
                <w:rFonts w:cs="Times New Roman"/>
                <w:sz w:val="18"/>
                <w:szCs w:val="18"/>
              </w:rPr>
              <w:t>2023</w:t>
            </w:r>
          </w:p>
        </w:tc>
        <w:tc>
          <w:tcPr>
            <w:tcW w:w="917" w:type="dxa"/>
            <w:vAlign w:val="center"/>
          </w:tcPr>
          <w:p w14:paraId="38475CE7" w14:textId="77777777" w:rsidR="00702398" w:rsidRPr="00702398" w:rsidRDefault="00702398" w:rsidP="00702398">
            <w:pPr>
              <w:jc w:val="center"/>
              <w:rPr>
                <w:rFonts w:cs="Times New Roman"/>
                <w:sz w:val="18"/>
                <w:szCs w:val="18"/>
              </w:rPr>
            </w:pPr>
            <w:r w:rsidRPr="00702398">
              <w:rPr>
                <w:rFonts w:cs="Times New Roman"/>
                <w:sz w:val="18"/>
                <w:szCs w:val="18"/>
              </w:rPr>
              <w:t>28</w:t>
            </w:r>
          </w:p>
        </w:tc>
        <w:tc>
          <w:tcPr>
            <w:tcW w:w="2990" w:type="dxa"/>
            <w:vAlign w:val="center"/>
          </w:tcPr>
          <w:p w14:paraId="24C3E6E8" w14:textId="77777777" w:rsidR="00702398" w:rsidRPr="00702398" w:rsidRDefault="00702398" w:rsidP="000F32C4">
            <w:pPr>
              <w:rPr>
                <w:rFonts w:cs="Times New Roman"/>
                <w:sz w:val="18"/>
                <w:szCs w:val="18"/>
                <w:lang w:val="en-US"/>
              </w:rPr>
            </w:pPr>
            <w:r w:rsidRPr="00702398">
              <w:rPr>
                <w:rFonts w:cs="Times New Roman"/>
                <w:sz w:val="18"/>
                <w:szCs w:val="18"/>
                <w:lang w:val="en-US"/>
              </w:rPr>
              <w:t>Natural-convection PCM around the battery, with optimized eccentricity (≈10 mm), speeds up melting and improves temperature-control and storage rates (+29% and +5.7%).</w:t>
            </w:r>
          </w:p>
        </w:tc>
      </w:tr>
      <w:tr w:rsidR="00702398" w:rsidRPr="00736B36" w14:paraId="26861DBE" w14:textId="77777777" w:rsidTr="00702398">
        <w:trPr>
          <w:jc w:val="center"/>
        </w:trPr>
        <w:tc>
          <w:tcPr>
            <w:tcW w:w="1768" w:type="dxa"/>
            <w:vAlign w:val="center"/>
          </w:tcPr>
          <w:p w14:paraId="735B66E7" w14:textId="6BC172D4" w:rsidR="00702398" w:rsidRPr="00702398" w:rsidRDefault="00702398" w:rsidP="00702398">
            <w:pPr>
              <w:jc w:val="center"/>
              <w:rPr>
                <w:rFonts w:cs="Times New Roman"/>
                <w:b/>
                <w:bCs/>
                <w:sz w:val="18"/>
                <w:szCs w:val="18"/>
                <w:lang w:val="en-US"/>
              </w:rPr>
            </w:pPr>
            <w:r w:rsidRPr="00702398">
              <w:rPr>
                <w:rFonts w:cs="Times New Roman"/>
                <w:sz w:val="18"/>
                <w:szCs w:val="18"/>
                <w:lang w:val="en-US"/>
              </w:rPr>
              <w:t>Research on thermal management systems of lithium-ion battery with a new type of spider web liquid cooling channel and phase change materials</w:t>
            </w:r>
          </w:p>
        </w:tc>
        <w:tc>
          <w:tcPr>
            <w:tcW w:w="1291" w:type="dxa"/>
            <w:vAlign w:val="center"/>
          </w:tcPr>
          <w:p w14:paraId="1487A395" w14:textId="77777777" w:rsidR="00702398" w:rsidRPr="00702398" w:rsidRDefault="00702398" w:rsidP="00702398">
            <w:pPr>
              <w:jc w:val="center"/>
              <w:rPr>
                <w:rFonts w:cs="Times New Roman"/>
                <w:sz w:val="18"/>
                <w:szCs w:val="18"/>
                <w:lang w:val="en-US"/>
              </w:rPr>
            </w:pPr>
            <w:r w:rsidRPr="00702398">
              <w:rPr>
                <w:rFonts w:cs="Times New Roman"/>
                <w:sz w:val="18"/>
                <w:szCs w:val="18"/>
                <w:lang w:val="en-US"/>
              </w:rPr>
              <w:t>Yao, F., Guan, X., Chen, Q., Lin, L.</w:t>
            </w:r>
          </w:p>
        </w:tc>
        <w:tc>
          <w:tcPr>
            <w:tcW w:w="1371" w:type="dxa"/>
            <w:vAlign w:val="center"/>
          </w:tcPr>
          <w:p w14:paraId="329B41C1" w14:textId="77777777" w:rsidR="00702398" w:rsidRPr="00702398" w:rsidRDefault="00702398" w:rsidP="00702398">
            <w:pPr>
              <w:jc w:val="center"/>
              <w:rPr>
                <w:rFonts w:cs="Times New Roman"/>
                <w:sz w:val="18"/>
                <w:szCs w:val="18"/>
              </w:rPr>
            </w:pPr>
            <w:r w:rsidRPr="00702398">
              <w:rPr>
                <w:rFonts w:cs="Times New Roman"/>
                <w:sz w:val="18"/>
                <w:szCs w:val="18"/>
              </w:rPr>
              <w:t>Journal of Energy Storage, 81, 110447</w:t>
            </w:r>
          </w:p>
        </w:tc>
        <w:tc>
          <w:tcPr>
            <w:tcW w:w="702" w:type="dxa"/>
            <w:vAlign w:val="center"/>
          </w:tcPr>
          <w:p w14:paraId="09364C8D" w14:textId="77777777" w:rsidR="00702398" w:rsidRPr="00702398" w:rsidRDefault="00702398" w:rsidP="00702398">
            <w:pPr>
              <w:jc w:val="center"/>
              <w:rPr>
                <w:rFonts w:cs="Times New Roman"/>
                <w:sz w:val="18"/>
                <w:szCs w:val="18"/>
              </w:rPr>
            </w:pPr>
            <w:r w:rsidRPr="00702398">
              <w:rPr>
                <w:rFonts w:cs="Times New Roman"/>
                <w:sz w:val="18"/>
                <w:szCs w:val="18"/>
              </w:rPr>
              <w:t>2024</w:t>
            </w:r>
          </w:p>
        </w:tc>
        <w:tc>
          <w:tcPr>
            <w:tcW w:w="917" w:type="dxa"/>
            <w:vAlign w:val="center"/>
          </w:tcPr>
          <w:p w14:paraId="032382FC" w14:textId="77777777" w:rsidR="00702398" w:rsidRPr="00702398" w:rsidRDefault="00702398" w:rsidP="00702398">
            <w:pPr>
              <w:jc w:val="center"/>
              <w:rPr>
                <w:rFonts w:cs="Times New Roman"/>
                <w:sz w:val="18"/>
                <w:szCs w:val="18"/>
              </w:rPr>
            </w:pPr>
            <w:r w:rsidRPr="00702398">
              <w:rPr>
                <w:rFonts w:cs="Times New Roman"/>
                <w:sz w:val="18"/>
                <w:szCs w:val="18"/>
              </w:rPr>
              <w:t>25</w:t>
            </w:r>
          </w:p>
        </w:tc>
        <w:tc>
          <w:tcPr>
            <w:tcW w:w="2990" w:type="dxa"/>
            <w:vAlign w:val="center"/>
          </w:tcPr>
          <w:p w14:paraId="0464B526" w14:textId="77777777" w:rsidR="00702398" w:rsidRPr="00702398" w:rsidRDefault="00702398" w:rsidP="000F32C4">
            <w:pPr>
              <w:rPr>
                <w:rFonts w:cs="Times New Roman"/>
                <w:sz w:val="18"/>
                <w:szCs w:val="18"/>
                <w:lang w:val="en-US"/>
              </w:rPr>
            </w:pPr>
            <w:r w:rsidRPr="00702398">
              <w:rPr>
                <w:rFonts w:cs="Times New Roman"/>
                <w:sz w:val="18"/>
                <w:szCs w:val="18"/>
                <w:lang w:val="en-US"/>
              </w:rPr>
              <w:t>PCM combined with a spider-web liquid channel keeps Tmax &lt; 40°C even at 5C and controls PCM melt fraction while limiting coolant pressure drop.</w:t>
            </w:r>
          </w:p>
        </w:tc>
      </w:tr>
      <w:tr w:rsidR="00702398" w:rsidRPr="00736B36" w14:paraId="5CFFD959" w14:textId="77777777" w:rsidTr="00702398">
        <w:trPr>
          <w:jc w:val="center"/>
        </w:trPr>
        <w:tc>
          <w:tcPr>
            <w:tcW w:w="1768" w:type="dxa"/>
            <w:vAlign w:val="center"/>
          </w:tcPr>
          <w:p w14:paraId="7F3AB830" w14:textId="19C75CBA" w:rsidR="00702398" w:rsidRPr="00702398" w:rsidRDefault="00702398" w:rsidP="00702398">
            <w:pPr>
              <w:jc w:val="center"/>
              <w:rPr>
                <w:rFonts w:cs="Times New Roman"/>
                <w:b/>
                <w:bCs/>
                <w:sz w:val="18"/>
                <w:szCs w:val="18"/>
                <w:lang w:val="en-US"/>
              </w:rPr>
            </w:pPr>
            <w:r w:rsidRPr="00702398">
              <w:rPr>
                <w:rFonts w:cs="Times New Roman"/>
                <w:sz w:val="18"/>
                <w:szCs w:val="18"/>
                <w:lang w:val="en-US"/>
              </w:rPr>
              <w:t>Enhanced thermal management system for Li-ion batteries using phase change material and liquid cooling under realistic driving cycles</w:t>
            </w:r>
          </w:p>
        </w:tc>
        <w:tc>
          <w:tcPr>
            <w:tcW w:w="1291" w:type="dxa"/>
            <w:vAlign w:val="center"/>
          </w:tcPr>
          <w:p w14:paraId="0AB90F14" w14:textId="77777777" w:rsidR="00702398" w:rsidRPr="00702398" w:rsidRDefault="00702398" w:rsidP="00702398">
            <w:pPr>
              <w:jc w:val="center"/>
              <w:rPr>
                <w:rFonts w:cs="Times New Roman"/>
                <w:sz w:val="18"/>
                <w:szCs w:val="18"/>
                <w:lang w:val="en-US"/>
              </w:rPr>
            </w:pPr>
            <w:r w:rsidRPr="00702398">
              <w:rPr>
                <w:rFonts w:cs="Times New Roman"/>
                <w:sz w:val="18"/>
                <w:szCs w:val="18"/>
                <w:lang w:val="en-US"/>
              </w:rPr>
              <w:t>Saxena, V., Sahu, S.K., Kundalwal, S.I., Tsai, P.A.</w:t>
            </w:r>
          </w:p>
        </w:tc>
        <w:tc>
          <w:tcPr>
            <w:tcW w:w="1371" w:type="dxa"/>
            <w:vAlign w:val="center"/>
          </w:tcPr>
          <w:p w14:paraId="788427FC" w14:textId="77777777" w:rsidR="00702398" w:rsidRPr="00702398" w:rsidRDefault="00702398" w:rsidP="00702398">
            <w:pPr>
              <w:jc w:val="center"/>
              <w:rPr>
                <w:rFonts w:cs="Times New Roman"/>
                <w:sz w:val="18"/>
                <w:szCs w:val="18"/>
              </w:rPr>
            </w:pPr>
            <w:r w:rsidRPr="00702398">
              <w:rPr>
                <w:rFonts w:cs="Times New Roman"/>
                <w:sz w:val="18"/>
                <w:szCs w:val="18"/>
              </w:rPr>
              <w:t>Energy, 318, 134759</w:t>
            </w:r>
          </w:p>
        </w:tc>
        <w:tc>
          <w:tcPr>
            <w:tcW w:w="702" w:type="dxa"/>
            <w:vAlign w:val="center"/>
          </w:tcPr>
          <w:p w14:paraId="00FEF7D2" w14:textId="77777777" w:rsidR="00702398" w:rsidRPr="00702398" w:rsidRDefault="00702398" w:rsidP="00702398">
            <w:pPr>
              <w:jc w:val="center"/>
              <w:rPr>
                <w:rFonts w:cs="Times New Roman"/>
                <w:sz w:val="18"/>
                <w:szCs w:val="18"/>
              </w:rPr>
            </w:pPr>
            <w:r w:rsidRPr="00702398">
              <w:rPr>
                <w:rFonts w:cs="Times New Roman"/>
                <w:sz w:val="18"/>
                <w:szCs w:val="18"/>
              </w:rPr>
              <w:t>2025</w:t>
            </w:r>
          </w:p>
        </w:tc>
        <w:tc>
          <w:tcPr>
            <w:tcW w:w="917" w:type="dxa"/>
            <w:vAlign w:val="center"/>
          </w:tcPr>
          <w:p w14:paraId="5075DDC6" w14:textId="77777777" w:rsidR="00702398" w:rsidRPr="00702398" w:rsidRDefault="00702398" w:rsidP="00702398">
            <w:pPr>
              <w:jc w:val="center"/>
              <w:rPr>
                <w:rFonts w:cs="Times New Roman"/>
                <w:sz w:val="18"/>
                <w:szCs w:val="18"/>
              </w:rPr>
            </w:pPr>
            <w:r w:rsidRPr="00702398">
              <w:rPr>
                <w:rFonts w:cs="Times New Roman"/>
                <w:sz w:val="18"/>
                <w:szCs w:val="18"/>
              </w:rPr>
              <w:t>8</w:t>
            </w:r>
          </w:p>
        </w:tc>
        <w:tc>
          <w:tcPr>
            <w:tcW w:w="2990" w:type="dxa"/>
            <w:vAlign w:val="center"/>
          </w:tcPr>
          <w:p w14:paraId="54C9CE65" w14:textId="77777777" w:rsidR="00702398" w:rsidRPr="00702398" w:rsidRDefault="00702398" w:rsidP="000F32C4">
            <w:pPr>
              <w:rPr>
                <w:rFonts w:cs="Times New Roman"/>
                <w:sz w:val="18"/>
                <w:szCs w:val="18"/>
                <w:lang w:val="en-US"/>
              </w:rPr>
            </w:pPr>
            <w:r w:rsidRPr="00702398">
              <w:rPr>
                <w:rFonts w:cs="Times New Roman"/>
                <w:sz w:val="18"/>
                <w:szCs w:val="18"/>
                <w:lang w:val="en-US"/>
              </w:rPr>
              <w:t>Zig-zag cold plate + PCM under intermittent cooling reduces pumping power by up to 83.9% while maintaining adequate battery temperatures.</w:t>
            </w:r>
          </w:p>
        </w:tc>
      </w:tr>
      <w:tr w:rsidR="00702398" w:rsidRPr="00736B36" w14:paraId="16DE9B90" w14:textId="77777777" w:rsidTr="00702398">
        <w:trPr>
          <w:jc w:val="center"/>
        </w:trPr>
        <w:tc>
          <w:tcPr>
            <w:tcW w:w="1768" w:type="dxa"/>
            <w:vAlign w:val="center"/>
          </w:tcPr>
          <w:p w14:paraId="279EE5B5" w14:textId="330539BD" w:rsidR="00702398" w:rsidRPr="00702398" w:rsidRDefault="00702398" w:rsidP="00702398">
            <w:pPr>
              <w:jc w:val="center"/>
              <w:rPr>
                <w:rFonts w:cs="Times New Roman"/>
                <w:b/>
                <w:bCs/>
                <w:sz w:val="18"/>
                <w:szCs w:val="18"/>
                <w:lang w:val="en-US"/>
              </w:rPr>
            </w:pPr>
            <w:r w:rsidRPr="00702398">
              <w:rPr>
                <w:rFonts w:cs="Times New Roman"/>
                <w:sz w:val="18"/>
                <w:szCs w:val="18"/>
                <w:lang w:val="en-US"/>
              </w:rPr>
              <w:t>Thermal management of electronic devices and concentrator photovoltaic systems using phase change material heat sinks: Experimental investigations</w:t>
            </w:r>
          </w:p>
        </w:tc>
        <w:tc>
          <w:tcPr>
            <w:tcW w:w="1291" w:type="dxa"/>
            <w:vAlign w:val="center"/>
          </w:tcPr>
          <w:p w14:paraId="15DF1AB6" w14:textId="77777777" w:rsidR="00702398" w:rsidRPr="00702398" w:rsidRDefault="00702398" w:rsidP="00702398">
            <w:pPr>
              <w:jc w:val="center"/>
              <w:rPr>
                <w:rFonts w:cs="Times New Roman"/>
                <w:sz w:val="18"/>
                <w:szCs w:val="18"/>
                <w:lang w:val="en-US"/>
              </w:rPr>
            </w:pPr>
            <w:r w:rsidRPr="00702398">
              <w:rPr>
                <w:rFonts w:cs="Times New Roman"/>
                <w:sz w:val="18"/>
                <w:szCs w:val="18"/>
                <w:lang w:val="en-US"/>
              </w:rPr>
              <w:t>Emam, M., Ookawara, S., Ahmed, M.</w:t>
            </w:r>
          </w:p>
        </w:tc>
        <w:tc>
          <w:tcPr>
            <w:tcW w:w="1371" w:type="dxa"/>
            <w:vAlign w:val="center"/>
          </w:tcPr>
          <w:p w14:paraId="2B10764F" w14:textId="77777777" w:rsidR="00702398" w:rsidRPr="00702398" w:rsidRDefault="00702398" w:rsidP="00702398">
            <w:pPr>
              <w:jc w:val="center"/>
              <w:rPr>
                <w:rFonts w:cs="Times New Roman"/>
                <w:sz w:val="18"/>
                <w:szCs w:val="18"/>
              </w:rPr>
            </w:pPr>
            <w:r w:rsidRPr="00702398">
              <w:rPr>
                <w:rFonts w:cs="Times New Roman"/>
                <w:sz w:val="18"/>
                <w:szCs w:val="18"/>
              </w:rPr>
              <w:t>Renewable Energy, 141, pp. 322–339</w:t>
            </w:r>
          </w:p>
        </w:tc>
        <w:tc>
          <w:tcPr>
            <w:tcW w:w="702" w:type="dxa"/>
            <w:vAlign w:val="center"/>
          </w:tcPr>
          <w:p w14:paraId="31978566" w14:textId="77777777" w:rsidR="00702398" w:rsidRPr="00702398" w:rsidRDefault="00702398" w:rsidP="00702398">
            <w:pPr>
              <w:jc w:val="center"/>
              <w:rPr>
                <w:rFonts w:cs="Times New Roman"/>
                <w:sz w:val="18"/>
                <w:szCs w:val="18"/>
              </w:rPr>
            </w:pPr>
            <w:r w:rsidRPr="00702398">
              <w:rPr>
                <w:rFonts w:cs="Times New Roman"/>
                <w:sz w:val="18"/>
                <w:szCs w:val="18"/>
              </w:rPr>
              <w:t>2019</w:t>
            </w:r>
          </w:p>
        </w:tc>
        <w:tc>
          <w:tcPr>
            <w:tcW w:w="917" w:type="dxa"/>
            <w:vAlign w:val="center"/>
          </w:tcPr>
          <w:p w14:paraId="1CE56596" w14:textId="77777777" w:rsidR="00702398" w:rsidRPr="00702398" w:rsidRDefault="00702398" w:rsidP="00702398">
            <w:pPr>
              <w:jc w:val="center"/>
              <w:rPr>
                <w:rFonts w:cs="Times New Roman"/>
                <w:sz w:val="18"/>
                <w:szCs w:val="18"/>
              </w:rPr>
            </w:pPr>
            <w:r w:rsidRPr="00702398">
              <w:rPr>
                <w:rFonts w:cs="Times New Roman"/>
                <w:sz w:val="18"/>
                <w:szCs w:val="18"/>
              </w:rPr>
              <w:t>92</w:t>
            </w:r>
          </w:p>
        </w:tc>
        <w:tc>
          <w:tcPr>
            <w:tcW w:w="2990" w:type="dxa"/>
            <w:vAlign w:val="center"/>
          </w:tcPr>
          <w:p w14:paraId="2776E291" w14:textId="77777777" w:rsidR="00702398" w:rsidRPr="00702398" w:rsidRDefault="00702398" w:rsidP="000F32C4">
            <w:pPr>
              <w:rPr>
                <w:rFonts w:cs="Times New Roman"/>
                <w:sz w:val="18"/>
                <w:szCs w:val="18"/>
                <w:lang w:val="en-US"/>
              </w:rPr>
            </w:pPr>
            <w:r w:rsidRPr="00702398">
              <w:rPr>
                <w:rFonts w:cs="Times New Roman"/>
                <w:sz w:val="18"/>
                <w:szCs w:val="18"/>
                <w:lang w:val="en-US"/>
              </w:rPr>
              <w:t>RT25–RT44 PCMs lower component wall temperatures by up to ~80°C; solidification slows with higher ambient T, but air cavities have little effect.</w:t>
            </w:r>
          </w:p>
        </w:tc>
      </w:tr>
      <w:tr w:rsidR="00702398" w:rsidRPr="00736B36" w14:paraId="4E0BA1F5" w14:textId="77777777" w:rsidTr="00702398">
        <w:trPr>
          <w:jc w:val="center"/>
        </w:trPr>
        <w:tc>
          <w:tcPr>
            <w:tcW w:w="1768" w:type="dxa"/>
            <w:vAlign w:val="center"/>
          </w:tcPr>
          <w:p w14:paraId="7E68602C" w14:textId="2E1A894C" w:rsidR="00702398" w:rsidRPr="00702398" w:rsidRDefault="00702398" w:rsidP="00702398">
            <w:pPr>
              <w:jc w:val="center"/>
              <w:rPr>
                <w:rFonts w:cs="Times New Roman"/>
                <w:b/>
                <w:bCs/>
                <w:sz w:val="18"/>
                <w:szCs w:val="18"/>
                <w:lang w:val="en-US"/>
              </w:rPr>
            </w:pPr>
            <w:r w:rsidRPr="00702398">
              <w:rPr>
                <w:rFonts w:cs="Times New Roman"/>
                <w:sz w:val="18"/>
                <w:szCs w:val="18"/>
                <w:lang w:val="en-US"/>
              </w:rPr>
              <w:t>Thermal performance enhancement of phase change material heat sinks for thermal management of electronic devices under constant and intermittent power loads</w:t>
            </w:r>
          </w:p>
        </w:tc>
        <w:tc>
          <w:tcPr>
            <w:tcW w:w="1291" w:type="dxa"/>
            <w:vAlign w:val="center"/>
          </w:tcPr>
          <w:p w14:paraId="053E80E2" w14:textId="77777777" w:rsidR="00702398" w:rsidRPr="00702398" w:rsidRDefault="00702398" w:rsidP="00702398">
            <w:pPr>
              <w:jc w:val="center"/>
              <w:rPr>
                <w:rFonts w:cs="Times New Roman"/>
                <w:sz w:val="18"/>
                <w:szCs w:val="18"/>
                <w:lang w:val="nb-NO"/>
              </w:rPr>
            </w:pPr>
            <w:r w:rsidRPr="00702398">
              <w:rPr>
                <w:rFonts w:cs="Times New Roman"/>
                <w:sz w:val="18"/>
                <w:szCs w:val="18"/>
                <w:lang w:val="nb-NO"/>
              </w:rPr>
              <w:t>Yang, H., Li, Y., Zhang, L., Zhu, Y.</w:t>
            </w:r>
          </w:p>
        </w:tc>
        <w:tc>
          <w:tcPr>
            <w:tcW w:w="1371" w:type="dxa"/>
            <w:vAlign w:val="center"/>
          </w:tcPr>
          <w:p w14:paraId="49E30C2F" w14:textId="77777777" w:rsidR="00702398" w:rsidRPr="00702398" w:rsidRDefault="00702398" w:rsidP="00702398">
            <w:pPr>
              <w:jc w:val="center"/>
              <w:rPr>
                <w:rFonts w:cs="Times New Roman"/>
                <w:sz w:val="18"/>
                <w:szCs w:val="18"/>
                <w:lang w:val="en-US"/>
              </w:rPr>
            </w:pPr>
            <w:r w:rsidRPr="00702398">
              <w:rPr>
                <w:rFonts w:cs="Times New Roman"/>
                <w:sz w:val="18"/>
                <w:szCs w:val="18"/>
                <w:lang w:val="en-US"/>
              </w:rPr>
              <w:t>International Journal of Heat and Mass Transfer, 181, 121899</w:t>
            </w:r>
          </w:p>
        </w:tc>
        <w:tc>
          <w:tcPr>
            <w:tcW w:w="702" w:type="dxa"/>
            <w:vAlign w:val="center"/>
          </w:tcPr>
          <w:p w14:paraId="265735C0" w14:textId="77777777" w:rsidR="00702398" w:rsidRPr="00702398" w:rsidRDefault="00702398" w:rsidP="00702398">
            <w:pPr>
              <w:jc w:val="center"/>
              <w:rPr>
                <w:rFonts w:cs="Times New Roman"/>
                <w:sz w:val="18"/>
                <w:szCs w:val="18"/>
              </w:rPr>
            </w:pPr>
            <w:r w:rsidRPr="00702398">
              <w:rPr>
                <w:rFonts w:cs="Times New Roman"/>
                <w:sz w:val="18"/>
                <w:szCs w:val="18"/>
              </w:rPr>
              <w:t>2021</w:t>
            </w:r>
          </w:p>
        </w:tc>
        <w:tc>
          <w:tcPr>
            <w:tcW w:w="917" w:type="dxa"/>
            <w:vAlign w:val="center"/>
          </w:tcPr>
          <w:p w14:paraId="7AB5D5F2" w14:textId="77777777" w:rsidR="00702398" w:rsidRPr="00702398" w:rsidRDefault="00702398" w:rsidP="00702398">
            <w:pPr>
              <w:jc w:val="center"/>
              <w:rPr>
                <w:rFonts w:cs="Times New Roman"/>
                <w:sz w:val="18"/>
                <w:szCs w:val="18"/>
              </w:rPr>
            </w:pPr>
            <w:r w:rsidRPr="00702398">
              <w:rPr>
                <w:rFonts w:cs="Times New Roman"/>
                <w:sz w:val="18"/>
                <w:szCs w:val="18"/>
              </w:rPr>
              <w:t>53</w:t>
            </w:r>
          </w:p>
        </w:tc>
        <w:tc>
          <w:tcPr>
            <w:tcW w:w="2990" w:type="dxa"/>
            <w:vAlign w:val="center"/>
          </w:tcPr>
          <w:p w14:paraId="2CDDA4E5" w14:textId="77777777" w:rsidR="00702398" w:rsidRPr="00702398" w:rsidRDefault="00702398" w:rsidP="000F32C4">
            <w:pPr>
              <w:rPr>
                <w:rFonts w:cs="Times New Roman"/>
                <w:sz w:val="18"/>
                <w:szCs w:val="18"/>
                <w:lang w:val="en-US"/>
              </w:rPr>
            </w:pPr>
            <w:r w:rsidRPr="00702398">
              <w:rPr>
                <w:rFonts w:cs="Times New Roman"/>
                <w:sz w:val="18"/>
                <w:szCs w:val="18"/>
                <w:lang w:val="en-US"/>
              </w:rPr>
              <w:t>Proper PCM filling and power-off intervals lengthen operating time and reduce peaks; under strong forced convection, a sink without PCM can outperform.</w:t>
            </w:r>
          </w:p>
        </w:tc>
      </w:tr>
      <w:tr w:rsidR="00702398" w:rsidRPr="00736B36" w14:paraId="61985EE5" w14:textId="77777777" w:rsidTr="00702398">
        <w:trPr>
          <w:jc w:val="center"/>
        </w:trPr>
        <w:tc>
          <w:tcPr>
            <w:tcW w:w="1768" w:type="dxa"/>
            <w:vAlign w:val="center"/>
          </w:tcPr>
          <w:p w14:paraId="5555F494" w14:textId="3FBC4D7C" w:rsidR="00702398" w:rsidRPr="00702398" w:rsidRDefault="00702398" w:rsidP="00702398">
            <w:pPr>
              <w:jc w:val="center"/>
              <w:rPr>
                <w:rFonts w:cs="Times New Roman"/>
                <w:b/>
                <w:bCs/>
                <w:sz w:val="18"/>
                <w:szCs w:val="18"/>
                <w:lang w:val="en-US"/>
              </w:rPr>
            </w:pPr>
            <w:r w:rsidRPr="00702398">
              <w:rPr>
                <w:rFonts w:cs="Times New Roman"/>
                <w:sz w:val="18"/>
                <w:szCs w:val="18"/>
                <w:lang w:val="en-US"/>
              </w:rPr>
              <w:t xml:space="preserve">Effect Analysis on Thermal Management of Power Batteries Utilizing a Form-Stable Silicone Grease/Composite </w:t>
            </w:r>
            <w:r w:rsidRPr="00702398">
              <w:rPr>
                <w:rFonts w:cs="Times New Roman"/>
                <w:sz w:val="18"/>
                <w:szCs w:val="18"/>
                <w:lang w:val="en-US"/>
              </w:rPr>
              <w:lastRenderedPageBreak/>
              <w:t>Phase Change Material</w:t>
            </w:r>
          </w:p>
        </w:tc>
        <w:tc>
          <w:tcPr>
            <w:tcW w:w="1291" w:type="dxa"/>
            <w:vAlign w:val="center"/>
          </w:tcPr>
          <w:p w14:paraId="5D94A815" w14:textId="77777777" w:rsidR="00702398" w:rsidRPr="00833865" w:rsidRDefault="00702398" w:rsidP="00702398">
            <w:pPr>
              <w:jc w:val="center"/>
              <w:rPr>
                <w:rFonts w:cs="Times New Roman"/>
                <w:sz w:val="18"/>
                <w:szCs w:val="18"/>
                <w:lang w:val="en-US"/>
              </w:rPr>
            </w:pPr>
            <w:r w:rsidRPr="00833865">
              <w:rPr>
                <w:rFonts w:cs="Times New Roman"/>
                <w:sz w:val="18"/>
                <w:szCs w:val="18"/>
                <w:lang w:val="en-US"/>
              </w:rPr>
              <w:lastRenderedPageBreak/>
              <w:t>Wu, T., Hu, Y., Liu, X., Wang, C.</w:t>
            </w:r>
          </w:p>
        </w:tc>
        <w:tc>
          <w:tcPr>
            <w:tcW w:w="1371" w:type="dxa"/>
            <w:vAlign w:val="center"/>
          </w:tcPr>
          <w:p w14:paraId="2B01110F" w14:textId="77777777" w:rsidR="00702398" w:rsidRPr="00702398" w:rsidRDefault="00702398" w:rsidP="00702398">
            <w:pPr>
              <w:jc w:val="center"/>
              <w:rPr>
                <w:rFonts w:cs="Times New Roman"/>
                <w:sz w:val="18"/>
                <w:szCs w:val="18"/>
                <w:lang w:val="en-US"/>
              </w:rPr>
            </w:pPr>
            <w:r w:rsidRPr="00702398">
              <w:rPr>
                <w:rFonts w:cs="Times New Roman"/>
                <w:sz w:val="18"/>
                <w:szCs w:val="18"/>
                <w:lang w:val="en-US"/>
              </w:rPr>
              <w:t>ACS Applied Energy Materials, 4(6), pp. 6233–6244</w:t>
            </w:r>
          </w:p>
        </w:tc>
        <w:tc>
          <w:tcPr>
            <w:tcW w:w="702" w:type="dxa"/>
            <w:vAlign w:val="center"/>
          </w:tcPr>
          <w:p w14:paraId="62F847B6" w14:textId="77777777" w:rsidR="00702398" w:rsidRPr="00702398" w:rsidRDefault="00702398" w:rsidP="00702398">
            <w:pPr>
              <w:jc w:val="center"/>
              <w:rPr>
                <w:rFonts w:cs="Times New Roman"/>
                <w:sz w:val="18"/>
                <w:szCs w:val="18"/>
              </w:rPr>
            </w:pPr>
            <w:r w:rsidRPr="00702398">
              <w:rPr>
                <w:rFonts w:cs="Times New Roman"/>
                <w:sz w:val="18"/>
                <w:szCs w:val="18"/>
              </w:rPr>
              <w:t>2021</w:t>
            </w:r>
          </w:p>
        </w:tc>
        <w:tc>
          <w:tcPr>
            <w:tcW w:w="917" w:type="dxa"/>
            <w:vAlign w:val="center"/>
          </w:tcPr>
          <w:p w14:paraId="69E3F418" w14:textId="77777777" w:rsidR="00702398" w:rsidRPr="00702398" w:rsidRDefault="00702398" w:rsidP="00702398">
            <w:pPr>
              <w:jc w:val="center"/>
              <w:rPr>
                <w:rFonts w:cs="Times New Roman"/>
                <w:sz w:val="18"/>
                <w:szCs w:val="18"/>
              </w:rPr>
            </w:pPr>
            <w:r w:rsidRPr="00702398">
              <w:rPr>
                <w:rFonts w:cs="Times New Roman"/>
                <w:sz w:val="18"/>
                <w:szCs w:val="18"/>
              </w:rPr>
              <w:t>21</w:t>
            </w:r>
          </w:p>
        </w:tc>
        <w:tc>
          <w:tcPr>
            <w:tcW w:w="2990" w:type="dxa"/>
            <w:vAlign w:val="center"/>
          </w:tcPr>
          <w:p w14:paraId="69183AE5" w14:textId="77777777" w:rsidR="00702398" w:rsidRPr="00702398" w:rsidRDefault="00702398" w:rsidP="000F32C4">
            <w:pPr>
              <w:rPr>
                <w:rFonts w:cs="Times New Roman"/>
                <w:sz w:val="18"/>
                <w:szCs w:val="18"/>
                <w:lang w:val="en-US"/>
              </w:rPr>
            </w:pPr>
            <w:r w:rsidRPr="00702398">
              <w:rPr>
                <w:rFonts w:cs="Times New Roman"/>
                <w:sz w:val="18"/>
                <w:szCs w:val="18"/>
                <w:lang w:val="en-US"/>
              </w:rPr>
              <w:t>SCPCM shows low contact thermal resistance and good performance at 1–2C; at 3C+ it saturates, so water + PCM (W-PCM) is best.</w:t>
            </w:r>
          </w:p>
        </w:tc>
      </w:tr>
      <w:tr w:rsidR="00702398" w:rsidRPr="00736B36" w14:paraId="7615A312" w14:textId="77777777" w:rsidTr="00702398">
        <w:trPr>
          <w:jc w:val="center"/>
        </w:trPr>
        <w:tc>
          <w:tcPr>
            <w:tcW w:w="1768" w:type="dxa"/>
            <w:vAlign w:val="center"/>
          </w:tcPr>
          <w:p w14:paraId="40B656BC" w14:textId="367F8CA3" w:rsidR="00702398" w:rsidRPr="00702398" w:rsidRDefault="00702398" w:rsidP="00702398">
            <w:pPr>
              <w:jc w:val="center"/>
              <w:rPr>
                <w:rFonts w:cs="Times New Roman"/>
                <w:b/>
                <w:bCs/>
                <w:sz w:val="18"/>
                <w:szCs w:val="18"/>
                <w:lang w:val="en-US"/>
              </w:rPr>
            </w:pPr>
            <w:r w:rsidRPr="00702398">
              <w:rPr>
                <w:rFonts w:cs="Times New Roman"/>
                <w:sz w:val="18"/>
                <w:szCs w:val="18"/>
                <w:lang w:val="en-US"/>
              </w:rPr>
              <w:t>Effect of Phase Change Material on Dynamic Thermal Management Performance for Power Electronics Packages</w:t>
            </w:r>
          </w:p>
        </w:tc>
        <w:tc>
          <w:tcPr>
            <w:tcW w:w="1291" w:type="dxa"/>
            <w:vAlign w:val="center"/>
          </w:tcPr>
          <w:p w14:paraId="2E2A4869" w14:textId="77777777" w:rsidR="00702398" w:rsidRPr="00702398" w:rsidRDefault="00702398" w:rsidP="00702398">
            <w:pPr>
              <w:jc w:val="center"/>
              <w:rPr>
                <w:rFonts w:cs="Times New Roman"/>
                <w:sz w:val="18"/>
                <w:szCs w:val="18"/>
                <w:lang w:val="en-US"/>
              </w:rPr>
            </w:pPr>
            <w:r w:rsidRPr="00702398">
              <w:rPr>
                <w:rFonts w:cs="Times New Roman"/>
                <w:sz w:val="18"/>
                <w:szCs w:val="18"/>
                <w:lang w:val="en-US"/>
              </w:rPr>
              <w:t>Hollis, J., Sharar, D.J., Bandhauer, T.</w:t>
            </w:r>
          </w:p>
        </w:tc>
        <w:tc>
          <w:tcPr>
            <w:tcW w:w="1371" w:type="dxa"/>
            <w:vAlign w:val="center"/>
          </w:tcPr>
          <w:p w14:paraId="27289D04" w14:textId="77777777" w:rsidR="00702398" w:rsidRPr="00702398" w:rsidRDefault="00702398" w:rsidP="00702398">
            <w:pPr>
              <w:jc w:val="center"/>
              <w:rPr>
                <w:rFonts w:cs="Times New Roman"/>
                <w:sz w:val="18"/>
                <w:szCs w:val="18"/>
              </w:rPr>
            </w:pPr>
            <w:r w:rsidRPr="00702398">
              <w:rPr>
                <w:rFonts w:cs="Times New Roman"/>
                <w:sz w:val="18"/>
                <w:szCs w:val="18"/>
              </w:rPr>
              <w:t>Journal of Electronic Packaging, 143(4), 041111</w:t>
            </w:r>
          </w:p>
        </w:tc>
        <w:tc>
          <w:tcPr>
            <w:tcW w:w="702" w:type="dxa"/>
            <w:vAlign w:val="center"/>
          </w:tcPr>
          <w:p w14:paraId="5C1C771F" w14:textId="77777777" w:rsidR="00702398" w:rsidRPr="00702398" w:rsidRDefault="00702398" w:rsidP="00702398">
            <w:pPr>
              <w:jc w:val="center"/>
              <w:rPr>
                <w:rFonts w:cs="Times New Roman"/>
                <w:sz w:val="18"/>
                <w:szCs w:val="18"/>
              </w:rPr>
            </w:pPr>
            <w:r w:rsidRPr="00702398">
              <w:rPr>
                <w:rFonts w:cs="Times New Roman"/>
                <w:sz w:val="18"/>
                <w:szCs w:val="18"/>
              </w:rPr>
              <w:t>2021</w:t>
            </w:r>
          </w:p>
        </w:tc>
        <w:tc>
          <w:tcPr>
            <w:tcW w:w="917" w:type="dxa"/>
            <w:vAlign w:val="center"/>
          </w:tcPr>
          <w:p w14:paraId="4B12C3D7" w14:textId="77777777" w:rsidR="00702398" w:rsidRPr="00702398" w:rsidRDefault="00702398" w:rsidP="00702398">
            <w:pPr>
              <w:jc w:val="center"/>
              <w:rPr>
                <w:rFonts w:cs="Times New Roman"/>
                <w:sz w:val="18"/>
                <w:szCs w:val="18"/>
              </w:rPr>
            </w:pPr>
            <w:r w:rsidRPr="00702398">
              <w:rPr>
                <w:rFonts w:cs="Times New Roman"/>
                <w:sz w:val="18"/>
                <w:szCs w:val="18"/>
              </w:rPr>
              <w:t>7</w:t>
            </w:r>
          </w:p>
        </w:tc>
        <w:tc>
          <w:tcPr>
            <w:tcW w:w="2990" w:type="dxa"/>
            <w:vAlign w:val="center"/>
          </w:tcPr>
          <w:p w14:paraId="29EFF84E" w14:textId="77777777" w:rsidR="00702398" w:rsidRPr="00702398" w:rsidRDefault="00702398" w:rsidP="000F32C4">
            <w:pPr>
              <w:rPr>
                <w:rFonts w:cs="Times New Roman"/>
                <w:sz w:val="18"/>
                <w:szCs w:val="18"/>
                <w:lang w:val="en-US"/>
              </w:rPr>
            </w:pPr>
            <w:r w:rsidRPr="00702398">
              <w:rPr>
                <w:rFonts w:cs="Times New Roman"/>
                <w:sz w:val="18"/>
                <w:szCs w:val="18"/>
                <w:lang w:val="en-US"/>
              </w:rPr>
              <w:t>Adding PCM to single- or dual-sided packages stabilizes transients and can cut SiC die count or package volume by up to 50%.</w:t>
            </w:r>
          </w:p>
        </w:tc>
      </w:tr>
      <w:tr w:rsidR="00702398" w:rsidRPr="00736B36" w14:paraId="5337BAB3" w14:textId="77777777" w:rsidTr="00702398">
        <w:trPr>
          <w:jc w:val="center"/>
        </w:trPr>
        <w:tc>
          <w:tcPr>
            <w:tcW w:w="1768" w:type="dxa"/>
            <w:vAlign w:val="center"/>
          </w:tcPr>
          <w:p w14:paraId="116C120C" w14:textId="63A54E4C" w:rsidR="00702398" w:rsidRPr="00702398" w:rsidRDefault="00702398" w:rsidP="00702398">
            <w:pPr>
              <w:jc w:val="center"/>
              <w:rPr>
                <w:rFonts w:cs="Times New Roman"/>
                <w:b/>
                <w:bCs/>
                <w:sz w:val="18"/>
                <w:szCs w:val="18"/>
                <w:lang w:val="en-US"/>
              </w:rPr>
            </w:pPr>
            <w:r w:rsidRPr="00702398">
              <w:rPr>
                <w:rFonts w:cs="Times New Roman"/>
                <w:sz w:val="18"/>
                <w:szCs w:val="18"/>
                <w:lang w:val="en-US"/>
              </w:rPr>
              <w:t>Hybrid battery thermal management by coupling fin-intensified phase change material with air cooling</w:t>
            </w:r>
          </w:p>
        </w:tc>
        <w:tc>
          <w:tcPr>
            <w:tcW w:w="1291" w:type="dxa"/>
            <w:vAlign w:val="center"/>
          </w:tcPr>
          <w:p w14:paraId="79FD10A6" w14:textId="77777777" w:rsidR="00702398" w:rsidRPr="00702398" w:rsidRDefault="00702398" w:rsidP="00702398">
            <w:pPr>
              <w:jc w:val="center"/>
              <w:rPr>
                <w:rFonts w:cs="Times New Roman"/>
                <w:sz w:val="18"/>
                <w:szCs w:val="18"/>
                <w:lang w:val="en-US"/>
              </w:rPr>
            </w:pPr>
            <w:r w:rsidRPr="00702398">
              <w:rPr>
                <w:rFonts w:cs="Times New Roman"/>
                <w:sz w:val="18"/>
                <w:szCs w:val="18"/>
                <w:lang w:val="en-US"/>
              </w:rPr>
              <w:t>Ahmad, S., Liu, Y., Khan, S.A., Hao, M., Huang, X.</w:t>
            </w:r>
          </w:p>
        </w:tc>
        <w:tc>
          <w:tcPr>
            <w:tcW w:w="1371" w:type="dxa"/>
            <w:vAlign w:val="center"/>
          </w:tcPr>
          <w:p w14:paraId="7C74BCA4" w14:textId="77777777" w:rsidR="00702398" w:rsidRPr="00702398" w:rsidRDefault="00702398" w:rsidP="00702398">
            <w:pPr>
              <w:jc w:val="center"/>
              <w:rPr>
                <w:rFonts w:cs="Times New Roman"/>
                <w:sz w:val="18"/>
                <w:szCs w:val="18"/>
              </w:rPr>
            </w:pPr>
            <w:r w:rsidRPr="00702398">
              <w:rPr>
                <w:rFonts w:cs="Times New Roman"/>
                <w:sz w:val="18"/>
                <w:szCs w:val="18"/>
              </w:rPr>
              <w:t>Journal of Energy Storage, 64, 107167</w:t>
            </w:r>
          </w:p>
        </w:tc>
        <w:tc>
          <w:tcPr>
            <w:tcW w:w="702" w:type="dxa"/>
            <w:vAlign w:val="center"/>
          </w:tcPr>
          <w:p w14:paraId="2575E806" w14:textId="77777777" w:rsidR="00702398" w:rsidRPr="00702398" w:rsidRDefault="00702398" w:rsidP="00702398">
            <w:pPr>
              <w:jc w:val="center"/>
              <w:rPr>
                <w:rFonts w:cs="Times New Roman"/>
                <w:sz w:val="18"/>
                <w:szCs w:val="18"/>
              </w:rPr>
            </w:pPr>
            <w:r w:rsidRPr="00702398">
              <w:rPr>
                <w:rFonts w:cs="Times New Roman"/>
                <w:sz w:val="18"/>
                <w:szCs w:val="18"/>
              </w:rPr>
              <w:t>2023</w:t>
            </w:r>
          </w:p>
        </w:tc>
        <w:tc>
          <w:tcPr>
            <w:tcW w:w="917" w:type="dxa"/>
            <w:vAlign w:val="center"/>
          </w:tcPr>
          <w:p w14:paraId="3752FF2E" w14:textId="77777777" w:rsidR="00702398" w:rsidRPr="00702398" w:rsidRDefault="00702398" w:rsidP="00702398">
            <w:pPr>
              <w:jc w:val="center"/>
              <w:rPr>
                <w:rFonts w:cs="Times New Roman"/>
                <w:sz w:val="18"/>
                <w:szCs w:val="18"/>
              </w:rPr>
            </w:pPr>
            <w:r w:rsidRPr="00702398">
              <w:rPr>
                <w:rFonts w:cs="Times New Roman"/>
                <w:sz w:val="18"/>
                <w:szCs w:val="18"/>
              </w:rPr>
              <w:t>77</w:t>
            </w:r>
          </w:p>
        </w:tc>
        <w:tc>
          <w:tcPr>
            <w:tcW w:w="2990" w:type="dxa"/>
            <w:vAlign w:val="center"/>
          </w:tcPr>
          <w:p w14:paraId="061448C1" w14:textId="77777777" w:rsidR="00702398" w:rsidRPr="00702398" w:rsidRDefault="00702398" w:rsidP="000F32C4">
            <w:pPr>
              <w:rPr>
                <w:rFonts w:cs="Times New Roman"/>
                <w:sz w:val="18"/>
                <w:szCs w:val="18"/>
                <w:lang w:val="en-US"/>
              </w:rPr>
            </w:pPr>
            <w:r w:rsidRPr="00702398">
              <w:rPr>
                <w:rFonts w:cs="Times New Roman"/>
                <w:sz w:val="18"/>
                <w:szCs w:val="18"/>
                <w:lang w:val="en-US"/>
              </w:rPr>
              <w:t>PCM with embedded fins and air cooling reduces battery temperature by 18.6% vs. fin-only, and prevents PCM latent-heat run-out at 2 m/s air.</w:t>
            </w:r>
          </w:p>
        </w:tc>
      </w:tr>
      <w:tr w:rsidR="00702398" w:rsidRPr="00736B36" w14:paraId="7F282117" w14:textId="77777777" w:rsidTr="00702398">
        <w:trPr>
          <w:jc w:val="center"/>
        </w:trPr>
        <w:tc>
          <w:tcPr>
            <w:tcW w:w="1768" w:type="dxa"/>
            <w:vAlign w:val="center"/>
          </w:tcPr>
          <w:p w14:paraId="2054983E" w14:textId="7E4BEE89" w:rsidR="00702398" w:rsidRPr="00702398" w:rsidRDefault="00702398" w:rsidP="00702398">
            <w:pPr>
              <w:jc w:val="center"/>
              <w:rPr>
                <w:rFonts w:cs="Times New Roman"/>
                <w:b/>
                <w:bCs/>
                <w:sz w:val="18"/>
                <w:szCs w:val="18"/>
                <w:lang w:val="en-US"/>
              </w:rPr>
            </w:pPr>
            <w:r w:rsidRPr="00702398">
              <w:rPr>
                <w:rFonts w:cs="Times New Roman"/>
                <w:sz w:val="18"/>
                <w:szCs w:val="18"/>
                <w:lang w:val="en-US"/>
              </w:rPr>
              <w:t>An equivalent circuit model for a battery thermal management system using phase change material and liquid cooling coupling</w:t>
            </w:r>
            <w:r>
              <w:rPr>
                <w:rFonts w:cs="Times New Roman"/>
                <w:sz w:val="18"/>
                <w:szCs w:val="18"/>
                <w:lang w:val="en-US"/>
              </w:rPr>
              <w:t>.</w:t>
            </w:r>
          </w:p>
        </w:tc>
        <w:tc>
          <w:tcPr>
            <w:tcW w:w="1291" w:type="dxa"/>
            <w:vAlign w:val="center"/>
          </w:tcPr>
          <w:p w14:paraId="686136AC" w14:textId="77777777" w:rsidR="00702398" w:rsidRPr="00702398" w:rsidRDefault="00702398" w:rsidP="00702398">
            <w:pPr>
              <w:jc w:val="center"/>
              <w:rPr>
                <w:rFonts w:cs="Times New Roman"/>
                <w:sz w:val="18"/>
                <w:szCs w:val="18"/>
                <w:lang w:val="en-US"/>
              </w:rPr>
            </w:pPr>
            <w:r w:rsidRPr="00702398">
              <w:rPr>
                <w:rFonts w:cs="Times New Roman"/>
                <w:sz w:val="18"/>
                <w:szCs w:val="18"/>
                <w:lang w:val="en-US"/>
              </w:rPr>
              <w:t>Hou, G., Liu, X., He, W., ... Li, Z., Shao, D.</w:t>
            </w:r>
          </w:p>
        </w:tc>
        <w:tc>
          <w:tcPr>
            <w:tcW w:w="1371" w:type="dxa"/>
            <w:vAlign w:val="center"/>
          </w:tcPr>
          <w:p w14:paraId="747B4E81" w14:textId="77777777" w:rsidR="00702398" w:rsidRPr="00702398" w:rsidRDefault="00702398" w:rsidP="00702398">
            <w:pPr>
              <w:jc w:val="center"/>
              <w:rPr>
                <w:rFonts w:cs="Times New Roman"/>
                <w:sz w:val="18"/>
                <w:szCs w:val="18"/>
              </w:rPr>
            </w:pPr>
            <w:r w:rsidRPr="00702398">
              <w:rPr>
                <w:rFonts w:cs="Times New Roman"/>
                <w:sz w:val="18"/>
                <w:szCs w:val="18"/>
              </w:rPr>
              <w:t>Journal of Energy Storage, 55, 105834</w:t>
            </w:r>
          </w:p>
        </w:tc>
        <w:tc>
          <w:tcPr>
            <w:tcW w:w="702" w:type="dxa"/>
            <w:vAlign w:val="center"/>
          </w:tcPr>
          <w:p w14:paraId="397FABE4" w14:textId="77777777" w:rsidR="00702398" w:rsidRPr="00702398" w:rsidRDefault="00702398" w:rsidP="00702398">
            <w:pPr>
              <w:jc w:val="center"/>
              <w:rPr>
                <w:rFonts w:cs="Times New Roman"/>
                <w:sz w:val="18"/>
                <w:szCs w:val="18"/>
              </w:rPr>
            </w:pPr>
            <w:r w:rsidRPr="00702398">
              <w:rPr>
                <w:rFonts w:cs="Times New Roman"/>
                <w:sz w:val="18"/>
                <w:szCs w:val="18"/>
              </w:rPr>
              <w:t>2022</w:t>
            </w:r>
          </w:p>
        </w:tc>
        <w:tc>
          <w:tcPr>
            <w:tcW w:w="917" w:type="dxa"/>
            <w:vAlign w:val="center"/>
          </w:tcPr>
          <w:p w14:paraId="71F21B92" w14:textId="77777777" w:rsidR="00702398" w:rsidRPr="00702398" w:rsidRDefault="00702398" w:rsidP="00702398">
            <w:pPr>
              <w:jc w:val="center"/>
              <w:rPr>
                <w:rFonts w:cs="Times New Roman"/>
                <w:sz w:val="18"/>
                <w:szCs w:val="18"/>
              </w:rPr>
            </w:pPr>
            <w:r w:rsidRPr="00702398">
              <w:rPr>
                <w:rFonts w:cs="Times New Roman"/>
                <w:sz w:val="18"/>
                <w:szCs w:val="18"/>
              </w:rPr>
              <w:t>35</w:t>
            </w:r>
          </w:p>
        </w:tc>
        <w:tc>
          <w:tcPr>
            <w:tcW w:w="2990" w:type="dxa"/>
            <w:vAlign w:val="center"/>
          </w:tcPr>
          <w:p w14:paraId="7018B6C2" w14:textId="77777777" w:rsidR="00702398" w:rsidRPr="00702398" w:rsidRDefault="00702398" w:rsidP="000F32C4">
            <w:pPr>
              <w:rPr>
                <w:rFonts w:cs="Times New Roman"/>
                <w:sz w:val="18"/>
                <w:szCs w:val="18"/>
                <w:lang w:val="en-US"/>
              </w:rPr>
            </w:pPr>
            <w:r w:rsidRPr="00702398">
              <w:rPr>
                <w:rFonts w:cs="Times New Roman"/>
                <w:sz w:val="18"/>
                <w:szCs w:val="18"/>
                <w:lang w:val="en-US"/>
              </w:rPr>
              <w:t>An equivalent-circuit model plus EKF estimates battery temperature with &lt;5% error and shows 7.35°C lower battery T at 3C than free cooling.</w:t>
            </w:r>
          </w:p>
        </w:tc>
      </w:tr>
      <w:tr w:rsidR="00702398" w:rsidRPr="00736B36" w14:paraId="55CD97B8" w14:textId="77777777" w:rsidTr="00702398">
        <w:trPr>
          <w:jc w:val="center"/>
        </w:trPr>
        <w:tc>
          <w:tcPr>
            <w:tcW w:w="1768" w:type="dxa"/>
            <w:vAlign w:val="center"/>
          </w:tcPr>
          <w:p w14:paraId="76F2122D" w14:textId="1945FECA" w:rsidR="00702398" w:rsidRPr="00702398" w:rsidRDefault="00702398" w:rsidP="00702398">
            <w:pPr>
              <w:jc w:val="center"/>
              <w:rPr>
                <w:rFonts w:cs="Times New Roman"/>
                <w:b/>
                <w:bCs/>
                <w:sz w:val="18"/>
                <w:szCs w:val="18"/>
                <w:lang w:val="en-US"/>
              </w:rPr>
            </w:pPr>
            <w:r w:rsidRPr="00702398">
              <w:rPr>
                <w:rFonts w:cs="Times New Roman"/>
                <w:sz w:val="18"/>
                <w:szCs w:val="18"/>
                <w:lang w:val="en-US"/>
              </w:rPr>
              <w:t>Thermal management and heat transfer enhancement of electronic devices using integrative phase change material (PCM) and triply periodic minimal surface (TPMS) heat sinks</w:t>
            </w:r>
          </w:p>
        </w:tc>
        <w:tc>
          <w:tcPr>
            <w:tcW w:w="1291" w:type="dxa"/>
            <w:vAlign w:val="center"/>
          </w:tcPr>
          <w:p w14:paraId="3FB03E96" w14:textId="77777777" w:rsidR="00702398" w:rsidRPr="00702398" w:rsidRDefault="00702398" w:rsidP="00702398">
            <w:pPr>
              <w:jc w:val="center"/>
              <w:rPr>
                <w:rFonts w:cs="Times New Roman"/>
                <w:sz w:val="18"/>
                <w:szCs w:val="18"/>
              </w:rPr>
            </w:pPr>
            <w:r w:rsidRPr="00702398">
              <w:rPr>
                <w:rFonts w:cs="Times New Roman"/>
                <w:sz w:val="18"/>
                <w:szCs w:val="18"/>
              </w:rPr>
              <w:t>Gado, M.G.</w:t>
            </w:r>
          </w:p>
        </w:tc>
        <w:tc>
          <w:tcPr>
            <w:tcW w:w="1371" w:type="dxa"/>
            <w:vAlign w:val="center"/>
          </w:tcPr>
          <w:p w14:paraId="675DCC3E" w14:textId="77777777" w:rsidR="00702398" w:rsidRPr="00702398" w:rsidRDefault="00702398" w:rsidP="00702398">
            <w:pPr>
              <w:jc w:val="center"/>
              <w:rPr>
                <w:rFonts w:cs="Times New Roman"/>
                <w:sz w:val="18"/>
                <w:szCs w:val="18"/>
              </w:rPr>
            </w:pPr>
            <w:r w:rsidRPr="00702398">
              <w:rPr>
                <w:rFonts w:cs="Times New Roman"/>
                <w:sz w:val="18"/>
                <w:szCs w:val="18"/>
              </w:rPr>
              <w:t>Applied Thermal Engineering, 258, 124504</w:t>
            </w:r>
          </w:p>
        </w:tc>
        <w:tc>
          <w:tcPr>
            <w:tcW w:w="702" w:type="dxa"/>
            <w:vAlign w:val="center"/>
          </w:tcPr>
          <w:p w14:paraId="147158DE" w14:textId="77777777" w:rsidR="00702398" w:rsidRPr="00702398" w:rsidRDefault="00702398" w:rsidP="00702398">
            <w:pPr>
              <w:jc w:val="center"/>
              <w:rPr>
                <w:rFonts w:cs="Times New Roman"/>
                <w:sz w:val="18"/>
                <w:szCs w:val="18"/>
              </w:rPr>
            </w:pPr>
            <w:r w:rsidRPr="00702398">
              <w:rPr>
                <w:rFonts w:cs="Times New Roman"/>
                <w:sz w:val="18"/>
                <w:szCs w:val="18"/>
              </w:rPr>
              <w:t>2025</w:t>
            </w:r>
          </w:p>
        </w:tc>
        <w:tc>
          <w:tcPr>
            <w:tcW w:w="917" w:type="dxa"/>
            <w:vAlign w:val="center"/>
          </w:tcPr>
          <w:p w14:paraId="5B6AF72B" w14:textId="77777777" w:rsidR="00702398" w:rsidRPr="00702398" w:rsidRDefault="00702398" w:rsidP="00702398">
            <w:pPr>
              <w:jc w:val="center"/>
              <w:rPr>
                <w:rFonts w:cs="Times New Roman"/>
                <w:sz w:val="18"/>
                <w:szCs w:val="18"/>
              </w:rPr>
            </w:pPr>
            <w:r w:rsidRPr="00702398">
              <w:rPr>
                <w:rFonts w:cs="Times New Roman"/>
                <w:sz w:val="18"/>
                <w:szCs w:val="18"/>
              </w:rPr>
              <w:t>34</w:t>
            </w:r>
          </w:p>
        </w:tc>
        <w:tc>
          <w:tcPr>
            <w:tcW w:w="2990" w:type="dxa"/>
            <w:vAlign w:val="center"/>
          </w:tcPr>
          <w:p w14:paraId="31990124" w14:textId="77777777" w:rsidR="00702398" w:rsidRPr="00702398" w:rsidRDefault="00702398" w:rsidP="000F32C4">
            <w:pPr>
              <w:rPr>
                <w:rFonts w:cs="Times New Roman"/>
                <w:sz w:val="18"/>
                <w:szCs w:val="18"/>
                <w:lang w:val="en-US"/>
              </w:rPr>
            </w:pPr>
            <w:r w:rsidRPr="00702398">
              <w:rPr>
                <w:rFonts w:cs="Times New Roman"/>
                <w:sz w:val="18"/>
                <w:szCs w:val="18"/>
                <w:lang w:val="en-US"/>
              </w:rPr>
              <w:t>TPMS structures accelerate PCM melting and lower base temperatures; the gyroid is most effective under both passive and active cooling.</w:t>
            </w:r>
          </w:p>
        </w:tc>
      </w:tr>
      <w:tr w:rsidR="00702398" w:rsidRPr="00736B36" w14:paraId="26DB90C9" w14:textId="77777777" w:rsidTr="00702398">
        <w:trPr>
          <w:jc w:val="center"/>
        </w:trPr>
        <w:tc>
          <w:tcPr>
            <w:tcW w:w="1768" w:type="dxa"/>
            <w:vAlign w:val="center"/>
          </w:tcPr>
          <w:p w14:paraId="4B425F49" w14:textId="77777777" w:rsidR="00702398" w:rsidRPr="00702398" w:rsidRDefault="00702398" w:rsidP="00702398">
            <w:pPr>
              <w:jc w:val="center"/>
              <w:rPr>
                <w:rFonts w:cs="Times New Roman"/>
                <w:sz w:val="18"/>
                <w:szCs w:val="18"/>
                <w:lang w:val="en-US"/>
              </w:rPr>
            </w:pPr>
            <w:r w:rsidRPr="00702398">
              <w:rPr>
                <w:rFonts w:cs="Times New Roman"/>
                <w:sz w:val="18"/>
                <w:szCs w:val="18"/>
                <w:lang w:val="en-US"/>
              </w:rPr>
              <w:t>Phase Change Material Applications in Thermal Management of Electronics and Electrical Systems</w:t>
            </w:r>
          </w:p>
        </w:tc>
        <w:tc>
          <w:tcPr>
            <w:tcW w:w="1291" w:type="dxa"/>
            <w:vAlign w:val="center"/>
          </w:tcPr>
          <w:p w14:paraId="4C4E4D82" w14:textId="77777777" w:rsidR="00702398" w:rsidRPr="00702398" w:rsidRDefault="00702398" w:rsidP="00702398">
            <w:pPr>
              <w:jc w:val="center"/>
              <w:rPr>
                <w:rFonts w:cs="Times New Roman"/>
                <w:sz w:val="18"/>
                <w:szCs w:val="18"/>
                <w:lang w:val="en-US"/>
              </w:rPr>
            </w:pPr>
            <w:r w:rsidRPr="00702398">
              <w:rPr>
                <w:rFonts w:cs="Times New Roman"/>
                <w:sz w:val="18"/>
                <w:szCs w:val="18"/>
                <w:lang w:val="en-US"/>
              </w:rPr>
              <w:t>Ambreen, T., Saleem, A., Ruiz-Hincapie, P., ... Ali, H.M., Park, C.W.</w:t>
            </w:r>
          </w:p>
        </w:tc>
        <w:tc>
          <w:tcPr>
            <w:tcW w:w="1371" w:type="dxa"/>
            <w:vAlign w:val="center"/>
          </w:tcPr>
          <w:p w14:paraId="6E9D09E3" w14:textId="5CD6183F" w:rsidR="00702398" w:rsidRPr="00702398" w:rsidRDefault="00702398" w:rsidP="00702398">
            <w:pPr>
              <w:jc w:val="center"/>
              <w:rPr>
                <w:rFonts w:cs="Times New Roman"/>
                <w:sz w:val="18"/>
                <w:szCs w:val="18"/>
                <w:lang w:val="en-US"/>
              </w:rPr>
            </w:pPr>
            <w:r w:rsidRPr="00702398">
              <w:rPr>
                <w:rFonts w:cs="Times New Roman"/>
                <w:sz w:val="18"/>
                <w:szCs w:val="18"/>
                <w:lang w:val="en-US"/>
              </w:rPr>
              <w:t>Phase Change Materials for Thermal Energy Management and Storage Fundamentals and Applications, pp. 207–230</w:t>
            </w:r>
          </w:p>
        </w:tc>
        <w:tc>
          <w:tcPr>
            <w:tcW w:w="702" w:type="dxa"/>
            <w:vAlign w:val="center"/>
          </w:tcPr>
          <w:p w14:paraId="19913EE1" w14:textId="77777777" w:rsidR="00702398" w:rsidRPr="00702398" w:rsidRDefault="00702398" w:rsidP="00702398">
            <w:pPr>
              <w:jc w:val="center"/>
              <w:rPr>
                <w:rFonts w:cs="Times New Roman"/>
                <w:sz w:val="18"/>
                <w:szCs w:val="18"/>
              </w:rPr>
            </w:pPr>
            <w:r w:rsidRPr="00702398">
              <w:rPr>
                <w:rFonts w:cs="Times New Roman"/>
                <w:sz w:val="18"/>
                <w:szCs w:val="18"/>
              </w:rPr>
              <w:t>2024</w:t>
            </w:r>
          </w:p>
        </w:tc>
        <w:tc>
          <w:tcPr>
            <w:tcW w:w="917" w:type="dxa"/>
            <w:vAlign w:val="center"/>
          </w:tcPr>
          <w:p w14:paraId="7426097D" w14:textId="77777777" w:rsidR="00702398" w:rsidRPr="00702398" w:rsidRDefault="00702398" w:rsidP="00702398">
            <w:pPr>
              <w:jc w:val="center"/>
              <w:rPr>
                <w:rFonts w:cs="Times New Roman"/>
                <w:sz w:val="18"/>
                <w:szCs w:val="18"/>
              </w:rPr>
            </w:pPr>
            <w:r w:rsidRPr="00702398">
              <w:rPr>
                <w:rFonts w:cs="Times New Roman"/>
                <w:sz w:val="18"/>
                <w:szCs w:val="18"/>
              </w:rPr>
              <w:t>0</w:t>
            </w:r>
          </w:p>
        </w:tc>
        <w:tc>
          <w:tcPr>
            <w:tcW w:w="2990" w:type="dxa"/>
            <w:vAlign w:val="center"/>
          </w:tcPr>
          <w:p w14:paraId="7246F2BF" w14:textId="77777777" w:rsidR="00702398" w:rsidRPr="00702398" w:rsidRDefault="00702398" w:rsidP="000F32C4">
            <w:pPr>
              <w:rPr>
                <w:rFonts w:cs="Times New Roman"/>
                <w:sz w:val="18"/>
                <w:szCs w:val="18"/>
                <w:lang w:val="en-US"/>
              </w:rPr>
            </w:pPr>
            <w:r w:rsidRPr="00702398">
              <w:rPr>
                <w:rFonts w:cs="Times New Roman"/>
                <w:sz w:val="18"/>
                <w:szCs w:val="18"/>
                <w:lang w:val="en-US"/>
              </w:rPr>
              <w:t>Shows PCM-based passive and hybrid cooling (heat sinks, pipes, TIMs) as promising to handle high power densities and prevent overheating.</w:t>
            </w:r>
          </w:p>
        </w:tc>
      </w:tr>
      <w:tr w:rsidR="00702398" w:rsidRPr="00736B36" w14:paraId="26988DE8" w14:textId="77777777" w:rsidTr="00702398">
        <w:trPr>
          <w:jc w:val="center"/>
        </w:trPr>
        <w:tc>
          <w:tcPr>
            <w:tcW w:w="1768" w:type="dxa"/>
            <w:vAlign w:val="center"/>
          </w:tcPr>
          <w:p w14:paraId="61DBA4CE" w14:textId="3EB3595C" w:rsidR="00702398" w:rsidRPr="00702398" w:rsidRDefault="00702398" w:rsidP="00702398">
            <w:pPr>
              <w:jc w:val="center"/>
              <w:rPr>
                <w:rFonts w:cs="Times New Roman"/>
                <w:b/>
                <w:bCs/>
                <w:sz w:val="18"/>
                <w:szCs w:val="18"/>
                <w:lang w:val="en-US"/>
              </w:rPr>
            </w:pPr>
            <w:r w:rsidRPr="00702398">
              <w:rPr>
                <w:rFonts w:cs="Times New Roman"/>
                <w:sz w:val="18"/>
                <w:szCs w:val="18"/>
                <w:lang w:val="en-US"/>
              </w:rPr>
              <w:t>A fuzzy-based hybrid multi-criteria decision-</w:t>
            </w:r>
            <w:r w:rsidRPr="00702398">
              <w:rPr>
                <w:rFonts w:cs="Times New Roman"/>
                <w:sz w:val="18"/>
                <w:szCs w:val="18"/>
                <w:lang w:val="en-US"/>
              </w:rPr>
              <w:lastRenderedPageBreak/>
              <w:t>making methodology for phase change material selection in electronics cooling system</w:t>
            </w:r>
          </w:p>
        </w:tc>
        <w:tc>
          <w:tcPr>
            <w:tcW w:w="1291" w:type="dxa"/>
            <w:vAlign w:val="center"/>
          </w:tcPr>
          <w:p w14:paraId="424E60E8" w14:textId="77777777" w:rsidR="00702398" w:rsidRPr="00702398" w:rsidRDefault="00702398" w:rsidP="00702398">
            <w:pPr>
              <w:jc w:val="center"/>
              <w:rPr>
                <w:rFonts w:cs="Times New Roman"/>
                <w:sz w:val="18"/>
                <w:szCs w:val="18"/>
              </w:rPr>
            </w:pPr>
            <w:r w:rsidRPr="00702398">
              <w:rPr>
                <w:rFonts w:cs="Times New Roman"/>
                <w:sz w:val="18"/>
                <w:szCs w:val="18"/>
              </w:rPr>
              <w:lastRenderedPageBreak/>
              <w:t>Loganathan, A., Mani, I.</w:t>
            </w:r>
          </w:p>
        </w:tc>
        <w:tc>
          <w:tcPr>
            <w:tcW w:w="1371" w:type="dxa"/>
            <w:vAlign w:val="center"/>
          </w:tcPr>
          <w:p w14:paraId="53E8779A" w14:textId="77777777" w:rsidR="00702398" w:rsidRPr="00702398" w:rsidRDefault="00702398" w:rsidP="00702398">
            <w:pPr>
              <w:jc w:val="center"/>
              <w:rPr>
                <w:rFonts w:cs="Times New Roman"/>
                <w:sz w:val="18"/>
                <w:szCs w:val="18"/>
                <w:lang w:val="en-US"/>
              </w:rPr>
            </w:pPr>
            <w:r w:rsidRPr="00702398">
              <w:rPr>
                <w:rFonts w:cs="Times New Roman"/>
                <w:sz w:val="18"/>
                <w:szCs w:val="18"/>
                <w:lang w:val="en-US"/>
              </w:rPr>
              <w:t xml:space="preserve">Ain Shams Engineering </w:t>
            </w:r>
            <w:r w:rsidRPr="00702398">
              <w:rPr>
                <w:rFonts w:cs="Times New Roman"/>
                <w:sz w:val="18"/>
                <w:szCs w:val="18"/>
                <w:lang w:val="en-US"/>
              </w:rPr>
              <w:lastRenderedPageBreak/>
              <w:t>Journal, 9(4), pp. 2943–2950</w:t>
            </w:r>
          </w:p>
        </w:tc>
        <w:tc>
          <w:tcPr>
            <w:tcW w:w="702" w:type="dxa"/>
            <w:vAlign w:val="center"/>
          </w:tcPr>
          <w:p w14:paraId="18412830" w14:textId="77777777" w:rsidR="00702398" w:rsidRPr="00702398" w:rsidRDefault="00702398" w:rsidP="00702398">
            <w:pPr>
              <w:jc w:val="center"/>
              <w:rPr>
                <w:rFonts w:cs="Times New Roman"/>
                <w:sz w:val="18"/>
                <w:szCs w:val="18"/>
              </w:rPr>
            </w:pPr>
            <w:r w:rsidRPr="00702398">
              <w:rPr>
                <w:rFonts w:cs="Times New Roman"/>
                <w:sz w:val="18"/>
                <w:szCs w:val="18"/>
              </w:rPr>
              <w:lastRenderedPageBreak/>
              <w:t>2018</w:t>
            </w:r>
          </w:p>
        </w:tc>
        <w:tc>
          <w:tcPr>
            <w:tcW w:w="917" w:type="dxa"/>
            <w:vAlign w:val="center"/>
          </w:tcPr>
          <w:p w14:paraId="16AF79BB" w14:textId="77777777" w:rsidR="00702398" w:rsidRPr="00702398" w:rsidRDefault="00702398" w:rsidP="00702398">
            <w:pPr>
              <w:jc w:val="center"/>
              <w:rPr>
                <w:rFonts w:cs="Times New Roman"/>
                <w:sz w:val="18"/>
                <w:szCs w:val="18"/>
              </w:rPr>
            </w:pPr>
            <w:r w:rsidRPr="00702398">
              <w:rPr>
                <w:rFonts w:cs="Times New Roman"/>
                <w:sz w:val="18"/>
                <w:szCs w:val="18"/>
              </w:rPr>
              <w:t>53</w:t>
            </w:r>
          </w:p>
        </w:tc>
        <w:tc>
          <w:tcPr>
            <w:tcW w:w="2990" w:type="dxa"/>
            <w:vAlign w:val="center"/>
          </w:tcPr>
          <w:p w14:paraId="64DDA890" w14:textId="77777777" w:rsidR="00702398" w:rsidRPr="00702398" w:rsidRDefault="00702398" w:rsidP="000F32C4">
            <w:pPr>
              <w:rPr>
                <w:rFonts w:cs="Times New Roman"/>
                <w:sz w:val="18"/>
                <w:szCs w:val="18"/>
                <w:lang w:val="en-US"/>
              </w:rPr>
            </w:pPr>
            <w:r w:rsidRPr="00702398">
              <w:rPr>
                <w:rFonts w:cs="Times New Roman"/>
                <w:sz w:val="18"/>
                <w:szCs w:val="18"/>
                <w:lang w:val="en-US"/>
              </w:rPr>
              <w:t xml:space="preserve">A FAHP–TOPSIS/VIKOR/PROMETHEE model ranks 10 PCMs; RT-80 is the </w:t>
            </w:r>
            <w:r w:rsidRPr="00702398">
              <w:rPr>
                <w:rFonts w:cs="Times New Roman"/>
                <w:sz w:val="18"/>
                <w:szCs w:val="18"/>
                <w:lang w:val="en-US"/>
              </w:rPr>
              <w:lastRenderedPageBreak/>
              <w:t>best for power-electronics thermal management.</w:t>
            </w:r>
          </w:p>
        </w:tc>
      </w:tr>
      <w:tr w:rsidR="00702398" w:rsidRPr="00736B36" w14:paraId="4F3B489B" w14:textId="77777777" w:rsidTr="00702398">
        <w:trPr>
          <w:jc w:val="center"/>
        </w:trPr>
        <w:tc>
          <w:tcPr>
            <w:tcW w:w="1768" w:type="dxa"/>
            <w:vAlign w:val="center"/>
          </w:tcPr>
          <w:p w14:paraId="2A0E3BD6" w14:textId="52F030A6" w:rsidR="00702398" w:rsidRPr="00702398" w:rsidRDefault="00702398" w:rsidP="00702398">
            <w:pPr>
              <w:jc w:val="center"/>
              <w:rPr>
                <w:rFonts w:cs="Times New Roman"/>
                <w:b/>
                <w:bCs/>
                <w:sz w:val="18"/>
                <w:szCs w:val="18"/>
                <w:lang w:val="en-US"/>
              </w:rPr>
            </w:pPr>
            <w:r w:rsidRPr="00702398">
              <w:rPr>
                <w:rFonts w:cs="Times New Roman"/>
                <w:sz w:val="18"/>
                <w:szCs w:val="18"/>
                <w:lang w:val="en-US"/>
              </w:rPr>
              <w:lastRenderedPageBreak/>
              <w:t>An energy-saving battery thermal management strategy coupling tubular phase-change-material with dynamic liquid cooling under different ambient temperatures</w:t>
            </w:r>
          </w:p>
        </w:tc>
        <w:tc>
          <w:tcPr>
            <w:tcW w:w="1291" w:type="dxa"/>
            <w:vAlign w:val="center"/>
          </w:tcPr>
          <w:p w14:paraId="7F1A52A3" w14:textId="77777777" w:rsidR="00702398" w:rsidRPr="00702398" w:rsidRDefault="00702398" w:rsidP="00702398">
            <w:pPr>
              <w:jc w:val="center"/>
              <w:rPr>
                <w:rFonts w:cs="Times New Roman"/>
                <w:sz w:val="18"/>
                <w:szCs w:val="18"/>
                <w:lang w:val="en-US"/>
              </w:rPr>
            </w:pPr>
            <w:r w:rsidRPr="00702398">
              <w:rPr>
                <w:rFonts w:cs="Times New Roman"/>
                <w:sz w:val="18"/>
                <w:szCs w:val="18"/>
                <w:lang w:val="en-US"/>
              </w:rPr>
              <w:t>Weng, J., Xiao, C., Yang, X., ... Kit Yuen, R.K., Wang, J.</w:t>
            </w:r>
          </w:p>
        </w:tc>
        <w:tc>
          <w:tcPr>
            <w:tcW w:w="1371" w:type="dxa"/>
            <w:vAlign w:val="center"/>
          </w:tcPr>
          <w:p w14:paraId="2FE12583" w14:textId="77777777" w:rsidR="00702398" w:rsidRPr="00702398" w:rsidRDefault="00702398" w:rsidP="00702398">
            <w:pPr>
              <w:jc w:val="center"/>
              <w:rPr>
                <w:rFonts w:cs="Times New Roman"/>
                <w:sz w:val="18"/>
                <w:szCs w:val="18"/>
              </w:rPr>
            </w:pPr>
            <w:r w:rsidRPr="00702398">
              <w:rPr>
                <w:rFonts w:cs="Times New Roman"/>
                <w:sz w:val="18"/>
                <w:szCs w:val="18"/>
              </w:rPr>
              <w:t>Renewable Energy, 195, pp. 918–930</w:t>
            </w:r>
          </w:p>
        </w:tc>
        <w:tc>
          <w:tcPr>
            <w:tcW w:w="702" w:type="dxa"/>
            <w:vAlign w:val="center"/>
          </w:tcPr>
          <w:p w14:paraId="6B68D473" w14:textId="77777777" w:rsidR="00702398" w:rsidRPr="00702398" w:rsidRDefault="00702398" w:rsidP="00702398">
            <w:pPr>
              <w:jc w:val="center"/>
              <w:rPr>
                <w:rFonts w:cs="Times New Roman"/>
                <w:sz w:val="18"/>
                <w:szCs w:val="18"/>
              </w:rPr>
            </w:pPr>
            <w:r w:rsidRPr="00702398">
              <w:rPr>
                <w:rFonts w:cs="Times New Roman"/>
                <w:sz w:val="18"/>
                <w:szCs w:val="18"/>
              </w:rPr>
              <w:t>2022</w:t>
            </w:r>
          </w:p>
        </w:tc>
        <w:tc>
          <w:tcPr>
            <w:tcW w:w="917" w:type="dxa"/>
            <w:vAlign w:val="center"/>
          </w:tcPr>
          <w:p w14:paraId="2FAB3305" w14:textId="77777777" w:rsidR="00702398" w:rsidRPr="00702398" w:rsidRDefault="00702398" w:rsidP="00702398">
            <w:pPr>
              <w:jc w:val="center"/>
              <w:rPr>
                <w:rFonts w:cs="Times New Roman"/>
                <w:sz w:val="18"/>
                <w:szCs w:val="18"/>
              </w:rPr>
            </w:pPr>
            <w:r w:rsidRPr="00702398">
              <w:rPr>
                <w:rFonts w:cs="Times New Roman"/>
                <w:sz w:val="18"/>
                <w:szCs w:val="18"/>
              </w:rPr>
              <w:t>67</w:t>
            </w:r>
          </w:p>
        </w:tc>
        <w:tc>
          <w:tcPr>
            <w:tcW w:w="2990" w:type="dxa"/>
            <w:vAlign w:val="center"/>
          </w:tcPr>
          <w:p w14:paraId="55D10861" w14:textId="77777777" w:rsidR="00702398" w:rsidRPr="00702398" w:rsidRDefault="00702398" w:rsidP="000F32C4">
            <w:pPr>
              <w:rPr>
                <w:rFonts w:cs="Times New Roman"/>
                <w:sz w:val="18"/>
                <w:szCs w:val="18"/>
                <w:lang w:val="en-US"/>
              </w:rPr>
            </w:pPr>
            <w:r w:rsidRPr="00702398">
              <w:rPr>
                <w:rFonts w:cs="Times New Roman"/>
                <w:sz w:val="18"/>
                <w:szCs w:val="18"/>
                <w:lang w:val="en-US"/>
              </w:rPr>
              <w:t>PCM–CP module keeps good cooling even with 65°C coolant; intermittent (DLC-2) operation gives higher energy efficiency.</w:t>
            </w:r>
          </w:p>
        </w:tc>
      </w:tr>
      <w:tr w:rsidR="00702398" w:rsidRPr="00736B36" w14:paraId="202C6AED" w14:textId="77777777" w:rsidTr="00702398">
        <w:trPr>
          <w:jc w:val="center"/>
        </w:trPr>
        <w:tc>
          <w:tcPr>
            <w:tcW w:w="1768" w:type="dxa"/>
            <w:vAlign w:val="center"/>
          </w:tcPr>
          <w:p w14:paraId="02A89D30" w14:textId="71199BF4" w:rsidR="00702398" w:rsidRPr="00702398" w:rsidRDefault="00702398" w:rsidP="00702398">
            <w:pPr>
              <w:jc w:val="center"/>
              <w:rPr>
                <w:rFonts w:cs="Times New Roman"/>
                <w:b/>
                <w:bCs/>
                <w:sz w:val="18"/>
                <w:szCs w:val="18"/>
                <w:lang w:val="en-US"/>
              </w:rPr>
            </w:pPr>
            <w:r w:rsidRPr="00702398">
              <w:rPr>
                <w:rFonts w:cs="Times New Roman"/>
                <w:sz w:val="18"/>
                <w:szCs w:val="18"/>
                <w:lang w:val="en-US"/>
              </w:rPr>
              <w:t>Optimization of thermal management system with water and phase change material cooling for Li-ion battery pack</w:t>
            </w:r>
          </w:p>
        </w:tc>
        <w:tc>
          <w:tcPr>
            <w:tcW w:w="1291" w:type="dxa"/>
            <w:vAlign w:val="center"/>
          </w:tcPr>
          <w:p w14:paraId="19A2FC4D" w14:textId="77777777" w:rsidR="00702398" w:rsidRPr="00702398" w:rsidRDefault="00702398" w:rsidP="00702398">
            <w:pPr>
              <w:jc w:val="center"/>
              <w:rPr>
                <w:rFonts w:cs="Times New Roman"/>
                <w:sz w:val="18"/>
                <w:szCs w:val="18"/>
              </w:rPr>
            </w:pPr>
            <w:r w:rsidRPr="00702398">
              <w:rPr>
                <w:rFonts w:cs="Times New Roman"/>
                <w:sz w:val="18"/>
                <w:szCs w:val="18"/>
              </w:rPr>
              <w:t>Li, Q., Cho, J.-R., Zhai, J.</w:t>
            </w:r>
          </w:p>
        </w:tc>
        <w:tc>
          <w:tcPr>
            <w:tcW w:w="1371" w:type="dxa"/>
            <w:vAlign w:val="center"/>
          </w:tcPr>
          <w:p w14:paraId="1CB5E2DB" w14:textId="77777777" w:rsidR="00702398" w:rsidRPr="00702398" w:rsidRDefault="00702398" w:rsidP="00702398">
            <w:pPr>
              <w:jc w:val="center"/>
              <w:rPr>
                <w:rFonts w:cs="Times New Roman"/>
                <w:sz w:val="18"/>
                <w:szCs w:val="18"/>
              </w:rPr>
            </w:pPr>
            <w:r w:rsidRPr="00702398">
              <w:rPr>
                <w:rFonts w:cs="Times New Roman"/>
                <w:sz w:val="18"/>
                <w:szCs w:val="18"/>
              </w:rPr>
              <w:t>Energies, 14(17), 5312</w:t>
            </w:r>
          </w:p>
        </w:tc>
        <w:tc>
          <w:tcPr>
            <w:tcW w:w="702" w:type="dxa"/>
            <w:vAlign w:val="center"/>
          </w:tcPr>
          <w:p w14:paraId="08CC9D9D" w14:textId="77777777" w:rsidR="00702398" w:rsidRPr="00702398" w:rsidRDefault="00702398" w:rsidP="00702398">
            <w:pPr>
              <w:jc w:val="center"/>
              <w:rPr>
                <w:rFonts w:cs="Times New Roman"/>
                <w:sz w:val="18"/>
                <w:szCs w:val="18"/>
              </w:rPr>
            </w:pPr>
            <w:r w:rsidRPr="00702398">
              <w:rPr>
                <w:rFonts w:cs="Times New Roman"/>
                <w:sz w:val="18"/>
                <w:szCs w:val="18"/>
              </w:rPr>
              <w:t>2021</w:t>
            </w:r>
          </w:p>
        </w:tc>
        <w:tc>
          <w:tcPr>
            <w:tcW w:w="917" w:type="dxa"/>
            <w:vAlign w:val="center"/>
          </w:tcPr>
          <w:p w14:paraId="2CC75066" w14:textId="77777777" w:rsidR="00702398" w:rsidRPr="00702398" w:rsidRDefault="00702398" w:rsidP="00702398">
            <w:pPr>
              <w:jc w:val="center"/>
              <w:rPr>
                <w:rFonts w:cs="Times New Roman"/>
                <w:sz w:val="18"/>
                <w:szCs w:val="18"/>
              </w:rPr>
            </w:pPr>
            <w:r w:rsidRPr="00702398">
              <w:rPr>
                <w:rFonts w:cs="Times New Roman"/>
                <w:sz w:val="18"/>
                <w:szCs w:val="18"/>
              </w:rPr>
              <w:t>16</w:t>
            </w:r>
          </w:p>
        </w:tc>
        <w:tc>
          <w:tcPr>
            <w:tcW w:w="2990" w:type="dxa"/>
            <w:vAlign w:val="center"/>
          </w:tcPr>
          <w:p w14:paraId="75643404" w14:textId="77777777" w:rsidR="00702398" w:rsidRPr="00702398" w:rsidRDefault="00702398" w:rsidP="000F32C4">
            <w:pPr>
              <w:rPr>
                <w:rFonts w:cs="Times New Roman"/>
                <w:sz w:val="18"/>
                <w:szCs w:val="18"/>
                <w:lang w:val="en-US"/>
              </w:rPr>
            </w:pPr>
            <w:r w:rsidRPr="00702398">
              <w:rPr>
                <w:rFonts w:cs="Times New Roman"/>
                <w:sz w:val="18"/>
                <w:szCs w:val="18"/>
                <w:lang w:val="en-US"/>
              </w:rPr>
              <w:t xml:space="preserve">Optimizing terminal layout, coolant flow, and PCM placement near the outlet reduces Tmax and brings </w:t>
            </w:r>
            <w:r w:rsidRPr="00702398">
              <w:rPr>
                <w:rFonts w:cs="Times New Roman"/>
                <w:sz w:val="18"/>
                <w:szCs w:val="18"/>
              </w:rPr>
              <w:t>Δ</w:t>
            </w:r>
            <w:r w:rsidRPr="00702398">
              <w:rPr>
                <w:rFonts w:cs="Times New Roman"/>
                <w:sz w:val="18"/>
                <w:szCs w:val="18"/>
                <w:lang w:val="en-US"/>
              </w:rPr>
              <w:t>T down to ~5 K with low energy use.</w:t>
            </w:r>
          </w:p>
        </w:tc>
      </w:tr>
      <w:tr w:rsidR="00702398" w:rsidRPr="00736B36" w14:paraId="22233591" w14:textId="77777777" w:rsidTr="00702398">
        <w:trPr>
          <w:jc w:val="center"/>
        </w:trPr>
        <w:tc>
          <w:tcPr>
            <w:tcW w:w="1768" w:type="dxa"/>
            <w:vAlign w:val="center"/>
          </w:tcPr>
          <w:p w14:paraId="630EC81C" w14:textId="77777777" w:rsidR="00702398" w:rsidRPr="00702398" w:rsidRDefault="00702398" w:rsidP="00702398">
            <w:pPr>
              <w:jc w:val="center"/>
              <w:rPr>
                <w:rFonts w:cs="Times New Roman"/>
                <w:sz w:val="18"/>
                <w:szCs w:val="18"/>
                <w:lang w:val="en-US"/>
              </w:rPr>
            </w:pPr>
            <w:r w:rsidRPr="00702398">
              <w:rPr>
                <w:rFonts w:cs="Times New Roman"/>
                <w:sz w:val="18"/>
                <w:szCs w:val="18"/>
                <w:lang w:val="en-US"/>
              </w:rPr>
              <w:t>Battery thermal management based on multiscale encapsulated inorganic phase change material of high stability</w:t>
            </w:r>
          </w:p>
        </w:tc>
        <w:tc>
          <w:tcPr>
            <w:tcW w:w="1291" w:type="dxa"/>
            <w:vAlign w:val="center"/>
          </w:tcPr>
          <w:p w14:paraId="491FB4FC" w14:textId="77777777" w:rsidR="00702398" w:rsidRPr="00702398" w:rsidRDefault="00702398" w:rsidP="00702398">
            <w:pPr>
              <w:jc w:val="center"/>
              <w:rPr>
                <w:rFonts w:cs="Times New Roman"/>
                <w:sz w:val="18"/>
                <w:szCs w:val="18"/>
              </w:rPr>
            </w:pPr>
            <w:r w:rsidRPr="00702398">
              <w:rPr>
                <w:rFonts w:cs="Times New Roman"/>
                <w:sz w:val="18"/>
                <w:szCs w:val="18"/>
              </w:rPr>
              <w:t>Ling, Z., Li, S., Cai, C., ... Fang, X., Zhang, Z.</w:t>
            </w:r>
          </w:p>
        </w:tc>
        <w:tc>
          <w:tcPr>
            <w:tcW w:w="1371" w:type="dxa"/>
            <w:vAlign w:val="center"/>
          </w:tcPr>
          <w:p w14:paraId="606F0714" w14:textId="77777777" w:rsidR="00702398" w:rsidRPr="00702398" w:rsidRDefault="00702398" w:rsidP="00702398">
            <w:pPr>
              <w:jc w:val="center"/>
              <w:rPr>
                <w:rFonts w:cs="Times New Roman"/>
                <w:sz w:val="18"/>
                <w:szCs w:val="18"/>
              </w:rPr>
            </w:pPr>
            <w:r w:rsidRPr="00702398">
              <w:rPr>
                <w:rFonts w:cs="Times New Roman"/>
                <w:sz w:val="18"/>
                <w:szCs w:val="18"/>
              </w:rPr>
              <w:t>Applied Thermal Engineering, 193, 117002</w:t>
            </w:r>
          </w:p>
        </w:tc>
        <w:tc>
          <w:tcPr>
            <w:tcW w:w="702" w:type="dxa"/>
            <w:vAlign w:val="center"/>
          </w:tcPr>
          <w:p w14:paraId="1E6F7ACF" w14:textId="77777777" w:rsidR="00702398" w:rsidRPr="00702398" w:rsidRDefault="00702398" w:rsidP="00702398">
            <w:pPr>
              <w:jc w:val="center"/>
              <w:rPr>
                <w:rFonts w:cs="Times New Roman"/>
                <w:sz w:val="18"/>
                <w:szCs w:val="18"/>
              </w:rPr>
            </w:pPr>
            <w:r w:rsidRPr="00702398">
              <w:rPr>
                <w:rFonts w:cs="Times New Roman"/>
                <w:sz w:val="18"/>
                <w:szCs w:val="18"/>
              </w:rPr>
              <w:t>2021</w:t>
            </w:r>
          </w:p>
        </w:tc>
        <w:tc>
          <w:tcPr>
            <w:tcW w:w="917" w:type="dxa"/>
            <w:vAlign w:val="center"/>
          </w:tcPr>
          <w:p w14:paraId="35C72A4C" w14:textId="77777777" w:rsidR="00702398" w:rsidRPr="00702398" w:rsidRDefault="00702398" w:rsidP="00702398">
            <w:pPr>
              <w:jc w:val="center"/>
              <w:rPr>
                <w:rFonts w:cs="Times New Roman"/>
                <w:sz w:val="18"/>
                <w:szCs w:val="18"/>
              </w:rPr>
            </w:pPr>
            <w:r w:rsidRPr="00702398">
              <w:rPr>
                <w:rFonts w:cs="Times New Roman"/>
                <w:sz w:val="18"/>
                <w:szCs w:val="18"/>
              </w:rPr>
              <w:t>125</w:t>
            </w:r>
          </w:p>
        </w:tc>
        <w:tc>
          <w:tcPr>
            <w:tcW w:w="2990" w:type="dxa"/>
            <w:vAlign w:val="center"/>
          </w:tcPr>
          <w:p w14:paraId="34AE69F2" w14:textId="77777777" w:rsidR="00702398" w:rsidRPr="00702398" w:rsidRDefault="00702398" w:rsidP="000F32C4">
            <w:pPr>
              <w:keepNext/>
              <w:rPr>
                <w:rFonts w:cs="Times New Roman"/>
                <w:sz w:val="18"/>
                <w:szCs w:val="18"/>
                <w:lang w:val="en-US"/>
              </w:rPr>
            </w:pPr>
            <w:r w:rsidRPr="00702398">
              <w:rPr>
                <w:rFonts w:cs="Times New Roman"/>
                <w:sz w:val="18"/>
                <w:szCs w:val="18"/>
                <w:lang w:val="en-US"/>
              </w:rPr>
              <w:t>Micro-EG + macro silicone encapsulation lifts k to 4.96 W/mK, removes leakage, and offers safer, cooler operation than organic PCM.</w:t>
            </w:r>
          </w:p>
        </w:tc>
      </w:tr>
    </w:tbl>
    <w:p w14:paraId="6D16B407" w14:textId="4256AF5F" w:rsidR="00702398" w:rsidRDefault="00702398">
      <w:pPr>
        <w:pStyle w:val="Caption"/>
      </w:pPr>
      <w:bookmarkStart w:id="81" w:name="_Toc214362629"/>
      <w:r>
        <w:t xml:space="preserve">Table </w:t>
      </w:r>
      <w:r w:rsidR="00F43E9A">
        <w:fldChar w:fldCharType="begin"/>
      </w:r>
      <w:r w:rsidR="00F43E9A">
        <w:instrText xml:space="preserve"> STYLEREF 1 \s </w:instrText>
      </w:r>
      <w:r w:rsidR="00F43E9A">
        <w:fldChar w:fldCharType="separate"/>
      </w:r>
      <w:r w:rsidR="000412CE">
        <w:rPr>
          <w:noProof/>
        </w:rPr>
        <w:t>2</w:t>
      </w:r>
      <w:r w:rsidR="00F43E9A">
        <w:fldChar w:fldCharType="end"/>
      </w:r>
      <w:r w:rsidR="00F43E9A">
        <w:t>.</w:t>
      </w:r>
      <w:r w:rsidR="00F43E9A">
        <w:fldChar w:fldCharType="begin"/>
      </w:r>
      <w:r w:rsidR="00F43E9A">
        <w:instrText xml:space="preserve"> SEQ Table \* ARABIC \s 1 </w:instrText>
      </w:r>
      <w:r w:rsidR="00F43E9A">
        <w:fldChar w:fldCharType="separate"/>
      </w:r>
      <w:r w:rsidR="000412CE">
        <w:rPr>
          <w:noProof/>
        </w:rPr>
        <w:t>1</w:t>
      </w:r>
      <w:r w:rsidR="00F43E9A">
        <w:fldChar w:fldCharType="end"/>
      </w:r>
      <w:r w:rsidR="00DE026D">
        <w:t>.</w:t>
      </w:r>
      <w:r>
        <w:t xml:space="preserve"> </w:t>
      </w:r>
      <w:r w:rsidRPr="00006A38">
        <w:t>Selected studies on PCM-based thermal management for electronic devices: bibliographic details (title, authors, source, year, citations) and key findings from abstracts.</w:t>
      </w:r>
      <w:bookmarkEnd w:id="81"/>
    </w:p>
    <w:p w14:paraId="59A02DAE" w14:textId="380240C2" w:rsidR="00702398" w:rsidRDefault="00702398" w:rsidP="00702398">
      <w:pPr>
        <w:tabs>
          <w:tab w:val="left" w:pos="1205"/>
        </w:tabs>
        <w:rPr>
          <w:rFonts w:ascii="Times New Roman" w:hAnsi="Times New Roman" w:cs="Times New Roman"/>
          <w:lang w:val="en-US"/>
        </w:rPr>
      </w:pPr>
      <w:r w:rsidRPr="00FB4858">
        <w:rPr>
          <w:rFonts w:ascii="Times New Roman" w:hAnsi="Times New Roman" w:cs="Times New Roman"/>
          <w:lang w:val="en-US"/>
        </w:rPr>
        <w:t xml:space="preserve">Table </w:t>
      </w:r>
      <w:r>
        <w:rPr>
          <w:rFonts w:ascii="Times New Roman" w:hAnsi="Times New Roman" w:cs="Times New Roman"/>
          <w:lang w:val="en-US"/>
        </w:rPr>
        <w:t>2.2</w:t>
      </w:r>
      <w:r w:rsidRPr="00FB4858">
        <w:rPr>
          <w:rFonts w:ascii="Times New Roman" w:hAnsi="Times New Roman" w:cs="Times New Roman"/>
          <w:lang w:val="en-US"/>
        </w:rPr>
        <w:t xml:space="preserve"> summarizes a selection of the most influential review papers from the literature addressing the application of PCM in the thermal management of electronic devices. These reviews provide comprehensive analyses of PCM properties, configurations, and integration strategies, highlighting key advancements, challenges, and future research directions in the field. For each paper, the main bibliographic information</w:t>
      </w:r>
      <w:r>
        <w:rPr>
          <w:rFonts w:ascii="Times New Roman" w:hAnsi="Times New Roman" w:cs="Times New Roman"/>
          <w:lang w:val="en-US"/>
        </w:rPr>
        <w:t xml:space="preserve">, </w:t>
      </w:r>
      <w:r w:rsidRPr="00FB4858">
        <w:rPr>
          <w:rFonts w:ascii="Times New Roman" w:hAnsi="Times New Roman" w:cs="Times New Roman"/>
          <w:lang w:val="en-US"/>
        </w:rPr>
        <w:t>including title, authors, source, year of publication, number of citations</w:t>
      </w:r>
      <w:r>
        <w:rPr>
          <w:rFonts w:ascii="Times New Roman" w:hAnsi="Times New Roman" w:cs="Times New Roman"/>
          <w:lang w:val="en-US"/>
        </w:rPr>
        <w:t xml:space="preserve">, </w:t>
      </w:r>
      <w:r w:rsidRPr="00FB4858">
        <w:rPr>
          <w:rFonts w:ascii="Times New Roman" w:hAnsi="Times New Roman" w:cs="Times New Roman"/>
          <w:lang w:val="en-US"/>
        </w:rPr>
        <w:t>and the principal insights outlined in the abstracts</w:t>
      </w:r>
      <w:r w:rsidR="000F32C4">
        <w:rPr>
          <w:rFonts w:ascii="Times New Roman" w:hAnsi="Times New Roman" w:cs="Times New Roman"/>
          <w:lang w:val="en-US"/>
        </w:rPr>
        <w:t>,</w:t>
      </w:r>
      <w:r w:rsidRPr="00FB4858">
        <w:rPr>
          <w:rFonts w:ascii="Times New Roman" w:hAnsi="Times New Roman" w:cs="Times New Roman"/>
          <w:lang w:val="en-US"/>
        </w:rPr>
        <w:t xml:space="preserve"> </w:t>
      </w:r>
      <w:r w:rsidR="000F32C4">
        <w:rPr>
          <w:rFonts w:ascii="Times New Roman" w:hAnsi="Times New Roman" w:cs="Times New Roman"/>
          <w:lang w:val="en-US"/>
        </w:rPr>
        <w:t>is</w:t>
      </w:r>
      <w:r w:rsidRPr="00FB4858">
        <w:rPr>
          <w:rFonts w:ascii="Times New Roman" w:hAnsi="Times New Roman" w:cs="Times New Roman"/>
          <w:lang w:val="en-US"/>
        </w:rPr>
        <w:t xml:space="preserve"> reported.</w:t>
      </w:r>
    </w:p>
    <w:tbl>
      <w:tblPr>
        <w:tblStyle w:val="TableGrid"/>
        <w:tblW w:w="0" w:type="auto"/>
        <w:tblLook w:val="04A0" w:firstRow="1" w:lastRow="0" w:firstColumn="1" w:lastColumn="0" w:noHBand="0" w:noVBand="1"/>
      </w:tblPr>
      <w:tblGrid>
        <w:gridCol w:w="1710"/>
        <w:gridCol w:w="1235"/>
        <w:gridCol w:w="1446"/>
        <w:gridCol w:w="727"/>
        <w:gridCol w:w="966"/>
        <w:gridCol w:w="2976"/>
      </w:tblGrid>
      <w:tr w:rsidR="00702398" w:rsidRPr="00702398" w14:paraId="67A73196" w14:textId="77777777" w:rsidTr="00702398">
        <w:tc>
          <w:tcPr>
            <w:tcW w:w="1758" w:type="dxa"/>
            <w:shd w:val="clear" w:color="auto" w:fill="8EA5B6"/>
            <w:vAlign w:val="center"/>
          </w:tcPr>
          <w:p w14:paraId="71056451" w14:textId="77777777" w:rsidR="00702398" w:rsidRPr="00702398" w:rsidRDefault="00702398" w:rsidP="00702398">
            <w:pPr>
              <w:jc w:val="center"/>
              <w:rPr>
                <w:rFonts w:cs="Times New Roman"/>
                <w:b/>
                <w:bCs/>
                <w:sz w:val="18"/>
                <w:szCs w:val="18"/>
              </w:rPr>
            </w:pPr>
            <w:r w:rsidRPr="00702398">
              <w:rPr>
                <w:rFonts w:cs="Times New Roman"/>
                <w:b/>
                <w:bCs/>
                <w:sz w:val="18"/>
                <w:szCs w:val="18"/>
              </w:rPr>
              <w:t>Title</w:t>
            </w:r>
          </w:p>
        </w:tc>
        <w:tc>
          <w:tcPr>
            <w:tcW w:w="1254" w:type="dxa"/>
            <w:shd w:val="clear" w:color="auto" w:fill="8EA5B6"/>
            <w:vAlign w:val="center"/>
          </w:tcPr>
          <w:p w14:paraId="76E67E25" w14:textId="77777777" w:rsidR="00702398" w:rsidRPr="00702398" w:rsidRDefault="00702398" w:rsidP="00702398">
            <w:pPr>
              <w:jc w:val="center"/>
              <w:rPr>
                <w:rFonts w:cs="Times New Roman"/>
                <w:b/>
                <w:bCs/>
                <w:sz w:val="18"/>
                <w:szCs w:val="18"/>
              </w:rPr>
            </w:pPr>
            <w:r w:rsidRPr="00702398">
              <w:rPr>
                <w:rFonts w:cs="Times New Roman"/>
                <w:b/>
                <w:bCs/>
                <w:sz w:val="18"/>
                <w:szCs w:val="18"/>
              </w:rPr>
              <w:t>Authors</w:t>
            </w:r>
          </w:p>
        </w:tc>
        <w:tc>
          <w:tcPr>
            <w:tcW w:w="1490" w:type="dxa"/>
            <w:shd w:val="clear" w:color="auto" w:fill="8EA5B6"/>
            <w:vAlign w:val="center"/>
          </w:tcPr>
          <w:p w14:paraId="03824210" w14:textId="77777777" w:rsidR="00702398" w:rsidRPr="00702398" w:rsidRDefault="00702398" w:rsidP="00702398">
            <w:pPr>
              <w:jc w:val="center"/>
              <w:rPr>
                <w:rFonts w:cs="Times New Roman"/>
                <w:b/>
                <w:bCs/>
                <w:sz w:val="18"/>
                <w:szCs w:val="18"/>
              </w:rPr>
            </w:pPr>
            <w:r w:rsidRPr="00702398">
              <w:rPr>
                <w:rFonts w:cs="Times New Roman"/>
                <w:b/>
                <w:bCs/>
                <w:sz w:val="18"/>
                <w:szCs w:val="18"/>
              </w:rPr>
              <w:t>Source</w:t>
            </w:r>
          </w:p>
        </w:tc>
        <w:tc>
          <w:tcPr>
            <w:tcW w:w="751" w:type="dxa"/>
            <w:shd w:val="clear" w:color="auto" w:fill="8EA5B6"/>
            <w:vAlign w:val="center"/>
          </w:tcPr>
          <w:p w14:paraId="372D1397" w14:textId="77777777" w:rsidR="00702398" w:rsidRPr="00702398" w:rsidRDefault="00702398" w:rsidP="00702398">
            <w:pPr>
              <w:jc w:val="center"/>
              <w:rPr>
                <w:rFonts w:cs="Times New Roman"/>
                <w:b/>
                <w:bCs/>
                <w:sz w:val="18"/>
                <w:szCs w:val="18"/>
              </w:rPr>
            </w:pPr>
            <w:r w:rsidRPr="00702398">
              <w:rPr>
                <w:rFonts w:cs="Times New Roman"/>
                <w:b/>
                <w:bCs/>
                <w:sz w:val="18"/>
                <w:szCs w:val="18"/>
              </w:rPr>
              <w:t>Year</w:t>
            </w:r>
          </w:p>
        </w:tc>
        <w:tc>
          <w:tcPr>
            <w:tcW w:w="525" w:type="dxa"/>
            <w:shd w:val="clear" w:color="auto" w:fill="8EA5B6"/>
            <w:vAlign w:val="center"/>
          </w:tcPr>
          <w:p w14:paraId="57554F09" w14:textId="77777777" w:rsidR="00702398" w:rsidRPr="00702398" w:rsidRDefault="00702398" w:rsidP="00702398">
            <w:pPr>
              <w:jc w:val="center"/>
              <w:rPr>
                <w:rFonts w:cs="Times New Roman"/>
                <w:b/>
                <w:bCs/>
                <w:sz w:val="18"/>
                <w:szCs w:val="18"/>
              </w:rPr>
            </w:pPr>
            <w:r w:rsidRPr="00702398">
              <w:rPr>
                <w:rFonts w:cs="Times New Roman"/>
                <w:b/>
                <w:bCs/>
                <w:sz w:val="18"/>
                <w:szCs w:val="18"/>
              </w:rPr>
              <w:t>Citations</w:t>
            </w:r>
          </w:p>
        </w:tc>
        <w:tc>
          <w:tcPr>
            <w:tcW w:w="3078" w:type="dxa"/>
            <w:shd w:val="clear" w:color="auto" w:fill="8EA5B6"/>
            <w:vAlign w:val="center"/>
          </w:tcPr>
          <w:p w14:paraId="0C4FACDC" w14:textId="1DE6CB46" w:rsidR="00702398" w:rsidRPr="00702398" w:rsidRDefault="00702398" w:rsidP="000F32C4">
            <w:pPr>
              <w:jc w:val="center"/>
              <w:rPr>
                <w:rFonts w:cs="Times New Roman"/>
                <w:b/>
                <w:bCs/>
                <w:sz w:val="18"/>
                <w:szCs w:val="18"/>
              </w:rPr>
            </w:pPr>
            <w:r w:rsidRPr="00702398">
              <w:rPr>
                <w:rFonts w:cs="Times New Roman"/>
                <w:b/>
                <w:bCs/>
                <w:sz w:val="18"/>
                <w:szCs w:val="18"/>
              </w:rPr>
              <w:t>Abstract summary</w:t>
            </w:r>
          </w:p>
        </w:tc>
      </w:tr>
      <w:tr w:rsidR="00702398" w:rsidRPr="00736B36" w14:paraId="28850048" w14:textId="77777777" w:rsidTr="00702398">
        <w:tc>
          <w:tcPr>
            <w:tcW w:w="1758" w:type="dxa"/>
            <w:vAlign w:val="center"/>
          </w:tcPr>
          <w:p w14:paraId="18AB0B18" w14:textId="02EB0666" w:rsidR="00702398" w:rsidRPr="00702398" w:rsidRDefault="00702398" w:rsidP="00702398">
            <w:pPr>
              <w:jc w:val="center"/>
              <w:rPr>
                <w:rFonts w:cs="Times New Roman"/>
                <w:sz w:val="18"/>
                <w:szCs w:val="18"/>
                <w:lang w:val="en-US"/>
              </w:rPr>
            </w:pPr>
            <w:r w:rsidRPr="00702398">
              <w:rPr>
                <w:rFonts w:cs="Times New Roman"/>
                <w:sz w:val="18"/>
                <w:szCs w:val="18"/>
                <w:lang w:val="en-US"/>
              </w:rPr>
              <w:t xml:space="preserve">High latent heat phase change materials (PCMs) with low melting </w:t>
            </w:r>
            <w:r w:rsidRPr="00702398">
              <w:rPr>
                <w:rFonts w:cs="Times New Roman"/>
                <w:sz w:val="18"/>
                <w:szCs w:val="18"/>
                <w:lang w:val="en-US"/>
              </w:rPr>
              <w:lastRenderedPageBreak/>
              <w:t>temperature for thermal management and storage of electronic devices and power batteries: Critical review</w:t>
            </w:r>
          </w:p>
        </w:tc>
        <w:tc>
          <w:tcPr>
            <w:tcW w:w="1254" w:type="dxa"/>
            <w:vAlign w:val="center"/>
          </w:tcPr>
          <w:p w14:paraId="74D54C2A" w14:textId="77777777" w:rsidR="00702398" w:rsidRPr="00702398" w:rsidRDefault="00702398" w:rsidP="00702398">
            <w:pPr>
              <w:jc w:val="center"/>
              <w:rPr>
                <w:rFonts w:cs="Times New Roman"/>
                <w:sz w:val="18"/>
                <w:szCs w:val="18"/>
              </w:rPr>
            </w:pPr>
            <w:r w:rsidRPr="00702398">
              <w:rPr>
                <w:rFonts w:cs="Times New Roman"/>
                <w:sz w:val="18"/>
                <w:szCs w:val="18"/>
              </w:rPr>
              <w:lastRenderedPageBreak/>
              <w:t>Liu, Y., Zheng, R., Li, J.</w:t>
            </w:r>
          </w:p>
        </w:tc>
        <w:tc>
          <w:tcPr>
            <w:tcW w:w="1490" w:type="dxa"/>
            <w:vAlign w:val="center"/>
          </w:tcPr>
          <w:p w14:paraId="35D7ED28" w14:textId="77777777" w:rsidR="00702398" w:rsidRPr="00702398" w:rsidRDefault="00702398" w:rsidP="00702398">
            <w:pPr>
              <w:jc w:val="center"/>
              <w:rPr>
                <w:rFonts w:cs="Times New Roman"/>
                <w:sz w:val="18"/>
                <w:szCs w:val="18"/>
                <w:lang w:val="en-US"/>
              </w:rPr>
            </w:pPr>
            <w:r w:rsidRPr="00702398">
              <w:rPr>
                <w:rFonts w:cs="Times New Roman"/>
                <w:sz w:val="18"/>
                <w:szCs w:val="18"/>
                <w:lang w:val="en-US"/>
              </w:rPr>
              <w:t xml:space="preserve">Renewable and Sustainable Energy </w:t>
            </w:r>
            <w:r w:rsidRPr="00702398">
              <w:rPr>
                <w:rFonts w:cs="Times New Roman"/>
                <w:sz w:val="18"/>
                <w:szCs w:val="18"/>
                <w:lang w:val="en-US"/>
              </w:rPr>
              <w:lastRenderedPageBreak/>
              <w:t>Reviews, 168, 112783</w:t>
            </w:r>
          </w:p>
        </w:tc>
        <w:tc>
          <w:tcPr>
            <w:tcW w:w="751" w:type="dxa"/>
            <w:vAlign w:val="center"/>
          </w:tcPr>
          <w:p w14:paraId="37B1E1C9" w14:textId="77777777" w:rsidR="00702398" w:rsidRPr="00702398" w:rsidRDefault="00702398" w:rsidP="00702398">
            <w:pPr>
              <w:jc w:val="center"/>
              <w:rPr>
                <w:rFonts w:cs="Times New Roman"/>
                <w:sz w:val="18"/>
                <w:szCs w:val="18"/>
              </w:rPr>
            </w:pPr>
            <w:r w:rsidRPr="00702398">
              <w:rPr>
                <w:rFonts w:cs="Times New Roman"/>
                <w:sz w:val="18"/>
                <w:szCs w:val="18"/>
              </w:rPr>
              <w:lastRenderedPageBreak/>
              <w:t>2022</w:t>
            </w:r>
          </w:p>
        </w:tc>
        <w:tc>
          <w:tcPr>
            <w:tcW w:w="525" w:type="dxa"/>
            <w:vAlign w:val="center"/>
          </w:tcPr>
          <w:p w14:paraId="3E2FB615" w14:textId="77777777" w:rsidR="00702398" w:rsidRPr="00702398" w:rsidRDefault="00702398" w:rsidP="00702398">
            <w:pPr>
              <w:jc w:val="center"/>
              <w:rPr>
                <w:rFonts w:cs="Times New Roman"/>
                <w:sz w:val="18"/>
                <w:szCs w:val="18"/>
              </w:rPr>
            </w:pPr>
            <w:r w:rsidRPr="00702398">
              <w:rPr>
                <w:rFonts w:cs="Times New Roman"/>
                <w:sz w:val="18"/>
                <w:szCs w:val="18"/>
              </w:rPr>
              <w:t>197</w:t>
            </w:r>
          </w:p>
        </w:tc>
        <w:tc>
          <w:tcPr>
            <w:tcW w:w="3078" w:type="dxa"/>
            <w:vAlign w:val="center"/>
          </w:tcPr>
          <w:p w14:paraId="47692A35" w14:textId="77777777" w:rsidR="00702398" w:rsidRPr="00702398" w:rsidRDefault="00702398" w:rsidP="000F32C4">
            <w:pPr>
              <w:rPr>
                <w:rFonts w:cs="Times New Roman"/>
                <w:sz w:val="18"/>
                <w:szCs w:val="18"/>
                <w:lang w:val="en-US"/>
              </w:rPr>
            </w:pPr>
            <w:r w:rsidRPr="00702398">
              <w:rPr>
                <w:rFonts w:cs="Times New Roman"/>
                <w:sz w:val="18"/>
                <w:szCs w:val="18"/>
                <w:lang w:val="en-US"/>
              </w:rPr>
              <w:t xml:space="preserve">Reviews &gt;200 PCMs (0–100 °C) and selection criteria; methods to boost thermal conductivity and latent heat; survey of PCM use in </w:t>
            </w:r>
            <w:r w:rsidRPr="00702398">
              <w:rPr>
                <w:rFonts w:cs="Times New Roman"/>
                <w:sz w:val="18"/>
                <w:szCs w:val="18"/>
                <w:lang w:val="en-US"/>
              </w:rPr>
              <w:lastRenderedPageBreak/>
              <w:t>electronics/battery cooling; research needs.</w:t>
            </w:r>
          </w:p>
        </w:tc>
      </w:tr>
      <w:tr w:rsidR="00702398" w:rsidRPr="00736B36" w14:paraId="62AF9875" w14:textId="77777777" w:rsidTr="00702398">
        <w:tc>
          <w:tcPr>
            <w:tcW w:w="1758" w:type="dxa"/>
            <w:vAlign w:val="center"/>
          </w:tcPr>
          <w:p w14:paraId="74D5D169" w14:textId="4DDC8806" w:rsidR="00702398" w:rsidRPr="00702398" w:rsidRDefault="00702398" w:rsidP="00702398">
            <w:pPr>
              <w:jc w:val="center"/>
              <w:rPr>
                <w:rFonts w:cs="Times New Roman"/>
                <w:b/>
                <w:bCs/>
                <w:sz w:val="18"/>
                <w:szCs w:val="18"/>
                <w:lang w:val="en-US"/>
              </w:rPr>
            </w:pPr>
            <w:r w:rsidRPr="00702398">
              <w:rPr>
                <w:rFonts w:cs="Times New Roman"/>
                <w:sz w:val="18"/>
                <w:szCs w:val="18"/>
                <w:lang w:val="en-US"/>
              </w:rPr>
              <w:lastRenderedPageBreak/>
              <w:t>Review on thermal management systems using phase change materials for electronic components, Li-ion batteries, and photovoltaic modules</w:t>
            </w:r>
          </w:p>
        </w:tc>
        <w:tc>
          <w:tcPr>
            <w:tcW w:w="1254" w:type="dxa"/>
            <w:vAlign w:val="center"/>
          </w:tcPr>
          <w:p w14:paraId="49CFAA65" w14:textId="77777777" w:rsidR="00702398" w:rsidRPr="00702398" w:rsidRDefault="00702398" w:rsidP="00702398">
            <w:pPr>
              <w:jc w:val="center"/>
              <w:rPr>
                <w:rFonts w:cs="Times New Roman"/>
                <w:sz w:val="18"/>
                <w:szCs w:val="18"/>
                <w:lang w:val="en-US"/>
              </w:rPr>
            </w:pPr>
            <w:r w:rsidRPr="00702398">
              <w:rPr>
                <w:rFonts w:cs="Times New Roman"/>
                <w:sz w:val="18"/>
                <w:szCs w:val="18"/>
                <w:lang w:val="en-US"/>
              </w:rPr>
              <w:t>Ling, Z., Zhang, Z., Shi, G., ... Wang, S., Liu, X.</w:t>
            </w:r>
          </w:p>
        </w:tc>
        <w:tc>
          <w:tcPr>
            <w:tcW w:w="1490" w:type="dxa"/>
            <w:vAlign w:val="center"/>
          </w:tcPr>
          <w:p w14:paraId="3EC8CB45" w14:textId="77777777" w:rsidR="00702398" w:rsidRPr="00702398" w:rsidRDefault="00702398" w:rsidP="00702398">
            <w:pPr>
              <w:jc w:val="center"/>
              <w:rPr>
                <w:rFonts w:cs="Times New Roman"/>
                <w:sz w:val="18"/>
                <w:szCs w:val="18"/>
                <w:lang w:val="en-US"/>
              </w:rPr>
            </w:pPr>
            <w:r w:rsidRPr="00702398">
              <w:rPr>
                <w:rFonts w:cs="Times New Roman"/>
                <w:sz w:val="18"/>
                <w:szCs w:val="18"/>
                <w:lang w:val="en-US"/>
              </w:rPr>
              <w:t>Renewable and Sustainable Energy Reviews, 31, pp. 427–438</w:t>
            </w:r>
          </w:p>
        </w:tc>
        <w:tc>
          <w:tcPr>
            <w:tcW w:w="751" w:type="dxa"/>
            <w:vAlign w:val="center"/>
          </w:tcPr>
          <w:p w14:paraId="382AE318" w14:textId="77777777" w:rsidR="00702398" w:rsidRPr="00702398" w:rsidRDefault="00702398" w:rsidP="00702398">
            <w:pPr>
              <w:jc w:val="center"/>
              <w:rPr>
                <w:rFonts w:cs="Times New Roman"/>
                <w:sz w:val="18"/>
                <w:szCs w:val="18"/>
              </w:rPr>
            </w:pPr>
            <w:r w:rsidRPr="00702398">
              <w:rPr>
                <w:rFonts w:cs="Times New Roman"/>
                <w:sz w:val="18"/>
                <w:szCs w:val="18"/>
              </w:rPr>
              <w:t>2014</w:t>
            </w:r>
          </w:p>
        </w:tc>
        <w:tc>
          <w:tcPr>
            <w:tcW w:w="525" w:type="dxa"/>
            <w:vAlign w:val="center"/>
          </w:tcPr>
          <w:p w14:paraId="6056DF11" w14:textId="77777777" w:rsidR="00702398" w:rsidRPr="00702398" w:rsidRDefault="00702398" w:rsidP="00702398">
            <w:pPr>
              <w:jc w:val="center"/>
              <w:rPr>
                <w:rFonts w:cs="Times New Roman"/>
                <w:sz w:val="18"/>
                <w:szCs w:val="18"/>
              </w:rPr>
            </w:pPr>
            <w:r w:rsidRPr="00702398">
              <w:rPr>
                <w:rFonts w:cs="Times New Roman"/>
                <w:sz w:val="18"/>
                <w:szCs w:val="18"/>
              </w:rPr>
              <w:t>485</w:t>
            </w:r>
          </w:p>
        </w:tc>
        <w:tc>
          <w:tcPr>
            <w:tcW w:w="3078" w:type="dxa"/>
            <w:vAlign w:val="center"/>
          </w:tcPr>
          <w:p w14:paraId="7FB876B9" w14:textId="77777777" w:rsidR="00702398" w:rsidRPr="00702398" w:rsidRDefault="00702398" w:rsidP="000F32C4">
            <w:pPr>
              <w:rPr>
                <w:rFonts w:cs="Times New Roman"/>
                <w:sz w:val="18"/>
                <w:szCs w:val="18"/>
                <w:lang w:val="en-US"/>
              </w:rPr>
            </w:pPr>
            <w:r w:rsidRPr="00702398">
              <w:rPr>
                <w:rFonts w:cs="Times New Roman"/>
                <w:sz w:val="18"/>
                <w:szCs w:val="18"/>
                <w:lang w:val="en-US"/>
              </w:rPr>
              <w:t>Summarizes PCM systems and key properties (Tm, latent heat, k); conductivity‑enhancement methods and advanced heat‑sink designs; PCM keeps devices safe and efficient.</w:t>
            </w:r>
          </w:p>
        </w:tc>
      </w:tr>
      <w:tr w:rsidR="00702398" w:rsidRPr="00736B36" w14:paraId="197AC294" w14:textId="77777777" w:rsidTr="00702398">
        <w:tc>
          <w:tcPr>
            <w:tcW w:w="1758" w:type="dxa"/>
            <w:vAlign w:val="center"/>
          </w:tcPr>
          <w:p w14:paraId="00AE9DA9" w14:textId="36849611" w:rsidR="00702398" w:rsidRPr="00702398" w:rsidRDefault="00702398" w:rsidP="00702398">
            <w:pPr>
              <w:jc w:val="center"/>
              <w:rPr>
                <w:rFonts w:cs="Times New Roman"/>
                <w:b/>
                <w:bCs/>
                <w:sz w:val="18"/>
                <w:szCs w:val="18"/>
                <w:lang w:val="en-US"/>
              </w:rPr>
            </w:pPr>
            <w:r w:rsidRPr="00702398">
              <w:rPr>
                <w:rFonts w:cs="Times New Roman"/>
                <w:sz w:val="18"/>
                <w:szCs w:val="18"/>
                <w:lang w:val="en-US"/>
              </w:rPr>
              <w:t>Battery thermal management systems (BTMs) based on phase change material (PCM): A comprehensive review</w:t>
            </w:r>
          </w:p>
        </w:tc>
        <w:tc>
          <w:tcPr>
            <w:tcW w:w="1254" w:type="dxa"/>
            <w:vAlign w:val="center"/>
          </w:tcPr>
          <w:p w14:paraId="45E30561" w14:textId="77777777" w:rsidR="00702398" w:rsidRPr="00702398" w:rsidRDefault="00702398" w:rsidP="00702398">
            <w:pPr>
              <w:jc w:val="center"/>
              <w:rPr>
                <w:rFonts w:cs="Times New Roman"/>
                <w:sz w:val="18"/>
                <w:szCs w:val="18"/>
                <w:lang w:val="en-US"/>
              </w:rPr>
            </w:pPr>
            <w:r w:rsidRPr="00702398">
              <w:rPr>
                <w:rFonts w:cs="Times New Roman"/>
                <w:sz w:val="18"/>
                <w:szCs w:val="18"/>
                <w:lang w:val="en-US"/>
              </w:rPr>
              <w:t>Luo, J., Zou, D., Wang, Y., Wang, S., Huang, L.</w:t>
            </w:r>
          </w:p>
        </w:tc>
        <w:tc>
          <w:tcPr>
            <w:tcW w:w="1490" w:type="dxa"/>
            <w:vAlign w:val="center"/>
          </w:tcPr>
          <w:p w14:paraId="315241CB" w14:textId="77777777" w:rsidR="00702398" w:rsidRPr="00702398" w:rsidRDefault="00702398" w:rsidP="00702398">
            <w:pPr>
              <w:jc w:val="center"/>
              <w:rPr>
                <w:rFonts w:cs="Times New Roman"/>
                <w:sz w:val="18"/>
                <w:szCs w:val="18"/>
              </w:rPr>
            </w:pPr>
            <w:r w:rsidRPr="00702398">
              <w:rPr>
                <w:rFonts w:cs="Times New Roman"/>
                <w:sz w:val="18"/>
                <w:szCs w:val="18"/>
              </w:rPr>
              <w:t>Chemical Engineering Journal, 430, 132741</w:t>
            </w:r>
          </w:p>
        </w:tc>
        <w:tc>
          <w:tcPr>
            <w:tcW w:w="751" w:type="dxa"/>
            <w:vAlign w:val="center"/>
          </w:tcPr>
          <w:p w14:paraId="3BB2C8BC" w14:textId="77777777" w:rsidR="00702398" w:rsidRPr="00702398" w:rsidRDefault="00702398" w:rsidP="00702398">
            <w:pPr>
              <w:jc w:val="center"/>
              <w:rPr>
                <w:rFonts w:cs="Times New Roman"/>
                <w:sz w:val="18"/>
                <w:szCs w:val="18"/>
              </w:rPr>
            </w:pPr>
            <w:r w:rsidRPr="00702398">
              <w:rPr>
                <w:rFonts w:cs="Times New Roman"/>
                <w:sz w:val="18"/>
                <w:szCs w:val="18"/>
              </w:rPr>
              <w:t>2022</w:t>
            </w:r>
          </w:p>
        </w:tc>
        <w:tc>
          <w:tcPr>
            <w:tcW w:w="525" w:type="dxa"/>
            <w:vAlign w:val="center"/>
          </w:tcPr>
          <w:p w14:paraId="54CBB2C8" w14:textId="77777777" w:rsidR="00702398" w:rsidRPr="00702398" w:rsidRDefault="00702398" w:rsidP="00702398">
            <w:pPr>
              <w:jc w:val="center"/>
              <w:rPr>
                <w:rFonts w:cs="Times New Roman"/>
                <w:sz w:val="18"/>
                <w:szCs w:val="18"/>
              </w:rPr>
            </w:pPr>
            <w:r w:rsidRPr="00702398">
              <w:rPr>
                <w:rFonts w:cs="Times New Roman"/>
                <w:sz w:val="18"/>
                <w:szCs w:val="18"/>
              </w:rPr>
              <w:t>576</w:t>
            </w:r>
          </w:p>
        </w:tc>
        <w:tc>
          <w:tcPr>
            <w:tcW w:w="3078" w:type="dxa"/>
            <w:vAlign w:val="center"/>
          </w:tcPr>
          <w:p w14:paraId="25967E5F" w14:textId="77777777" w:rsidR="00702398" w:rsidRPr="00702398" w:rsidRDefault="00702398" w:rsidP="000F32C4">
            <w:pPr>
              <w:rPr>
                <w:rFonts w:cs="Times New Roman"/>
                <w:sz w:val="18"/>
                <w:szCs w:val="18"/>
                <w:lang w:val="en-US"/>
              </w:rPr>
            </w:pPr>
            <w:r w:rsidRPr="00702398">
              <w:rPr>
                <w:rFonts w:cs="Times New Roman"/>
                <w:sz w:val="18"/>
                <w:szCs w:val="18"/>
                <w:lang w:val="en-US"/>
              </w:rPr>
              <w:t>Covers CPCM + heat‑transfer enhancement, phase‑change fluids, flexible PCMs, hybrids, and PCM‑based preheating in cold climates; future work: improve k, flame‑retardancy, stability, PCF/FPCM, coupled BTMS.</w:t>
            </w:r>
          </w:p>
        </w:tc>
      </w:tr>
      <w:tr w:rsidR="00702398" w:rsidRPr="00736B36" w14:paraId="62B07E92" w14:textId="77777777" w:rsidTr="00702398">
        <w:tc>
          <w:tcPr>
            <w:tcW w:w="1758" w:type="dxa"/>
            <w:vAlign w:val="center"/>
          </w:tcPr>
          <w:p w14:paraId="158766DC" w14:textId="77777777" w:rsidR="00702398" w:rsidRPr="00702398" w:rsidRDefault="00702398" w:rsidP="00702398">
            <w:pPr>
              <w:jc w:val="center"/>
              <w:rPr>
                <w:rFonts w:cs="Times New Roman"/>
                <w:sz w:val="18"/>
                <w:szCs w:val="18"/>
                <w:lang w:val="en-US"/>
              </w:rPr>
            </w:pPr>
            <w:r w:rsidRPr="00702398">
              <w:rPr>
                <w:rFonts w:cs="Times New Roman"/>
                <w:sz w:val="18"/>
                <w:szCs w:val="18"/>
                <w:lang w:val="en-US"/>
              </w:rPr>
              <w:t>A Review on Transient Thermal Management of Electronic Devices</w:t>
            </w:r>
          </w:p>
        </w:tc>
        <w:tc>
          <w:tcPr>
            <w:tcW w:w="1254" w:type="dxa"/>
            <w:vAlign w:val="center"/>
          </w:tcPr>
          <w:p w14:paraId="0681B727" w14:textId="77777777" w:rsidR="00702398" w:rsidRPr="00702398" w:rsidRDefault="00702398" w:rsidP="00702398">
            <w:pPr>
              <w:jc w:val="center"/>
              <w:rPr>
                <w:rFonts w:cs="Times New Roman"/>
                <w:sz w:val="18"/>
                <w:szCs w:val="18"/>
              </w:rPr>
            </w:pPr>
            <w:r w:rsidRPr="00702398">
              <w:rPr>
                <w:rFonts w:cs="Times New Roman"/>
                <w:sz w:val="18"/>
                <w:szCs w:val="18"/>
              </w:rPr>
              <w:t>Mathew, J., Krishnan, S.</w:t>
            </w:r>
          </w:p>
        </w:tc>
        <w:tc>
          <w:tcPr>
            <w:tcW w:w="1490" w:type="dxa"/>
            <w:vAlign w:val="center"/>
          </w:tcPr>
          <w:p w14:paraId="395C139B" w14:textId="77777777" w:rsidR="00702398" w:rsidRPr="00702398" w:rsidRDefault="00702398" w:rsidP="00702398">
            <w:pPr>
              <w:jc w:val="center"/>
              <w:rPr>
                <w:rFonts w:cs="Times New Roman"/>
                <w:sz w:val="18"/>
                <w:szCs w:val="18"/>
              </w:rPr>
            </w:pPr>
            <w:r w:rsidRPr="00702398">
              <w:rPr>
                <w:rFonts w:cs="Times New Roman"/>
                <w:sz w:val="18"/>
                <w:szCs w:val="18"/>
              </w:rPr>
              <w:t>Journal of Electronic Packaging, 144(1), 010801</w:t>
            </w:r>
          </w:p>
        </w:tc>
        <w:tc>
          <w:tcPr>
            <w:tcW w:w="751" w:type="dxa"/>
            <w:vAlign w:val="center"/>
          </w:tcPr>
          <w:p w14:paraId="1C69033E" w14:textId="77777777" w:rsidR="00702398" w:rsidRPr="00702398" w:rsidRDefault="00702398" w:rsidP="00702398">
            <w:pPr>
              <w:jc w:val="center"/>
              <w:rPr>
                <w:rFonts w:cs="Times New Roman"/>
                <w:sz w:val="18"/>
                <w:szCs w:val="18"/>
              </w:rPr>
            </w:pPr>
            <w:r w:rsidRPr="00702398">
              <w:rPr>
                <w:rFonts w:cs="Times New Roman"/>
                <w:sz w:val="18"/>
                <w:szCs w:val="18"/>
              </w:rPr>
              <w:t>2022</w:t>
            </w:r>
          </w:p>
        </w:tc>
        <w:tc>
          <w:tcPr>
            <w:tcW w:w="525" w:type="dxa"/>
            <w:vAlign w:val="center"/>
          </w:tcPr>
          <w:p w14:paraId="03AE2483" w14:textId="77777777" w:rsidR="00702398" w:rsidRPr="00702398" w:rsidRDefault="00702398" w:rsidP="00702398">
            <w:pPr>
              <w:jc w:val="center"/>
              <w:rPr>
                <w:rFonts w:cs="Times New Roman"/>
                <w:sz w:val="18"/>
                <w:szCs w:val="18"/>
              </w:rPr>
            </w:pPr>
            <w:r w:rsidRPr="00702398">
              <w:rPr>
                <w:rFonts w:cs="Times New Roman"/>
                <w:sz w:val="18"/>
                <w:szCs w:val="18"/>
              </w:rPr>
              <w:t>162</w:t>
            </w:r>
          </w:p>
        </w:tc>
        <w:tc>
          <w:tcPr>
            <w:tcW w:w="3078" w:type="dxa"/>
            <w:vAlign w:val="center"/>
          </w:tcPr>
          <w:p w14:paraId="14F3A93E" w14:textId="24551C10" w:rsidR="00702398" w:rsidRPr="00702398" w:rsidRDefault="00702398" w:rsidP="000F32C4">
            <w:pPr>
              <w:rPr>
                <w:rFonts w:cs="Times New Roman"/>
                <w:sz w:val="18"/>
                <w:szCs w:val="18"/>
                <w:lang w:val="en-US"/>
              </w:rPr>
            </w:pPr>
            <w:r w:rsidRPr="00702398">
              <w:rPr>
                <w:rFonts w:cs="Times New Roman"/>
                <w:sz w:val="18"/>
                <w:szCs w:val="18"/>
                <w:lang w:val="en-US"/>
              </w:rPr>
              <w:t>Compares fast‑response solutions—active two‑phase microchannels, PCMs, heat pipes/vapor chambers, combined PCM–heat pipes, flash boiling—and gives package‑level design guidance.</w:t>
            </w:r>
          </w:p>
        </w:tc>
      </w:tr>
      <w:tr w:rsidR="00702398" w:rsidRPr="00736B36" w14:paraId="430B5D06" w14:textId="77777777" w:rsidTr="00702398">
        <w:tc>
          <w:tcPr>
            <w:tcW w:w="1758" w:type="dxa"/>
            <w:vAlign w:val="center"/>
          </w:tcPr>
          <w:p w14:paraId="6DA17FA3" w14:textId="47791F23" w:rsidR="00702398" w:rsidRPr="00702398" w:rsidRDefault="00702398" w:rsidP="00702398">
            <w:pPr>
              <w:jc w:val="center"/>
              <w:rPr>
                <w:rFonts w:cs="Times New Roman"/>
                <w:b/>
                <w:bCs/>
                <w:sz w:val="18"/>
                <w:szCs w:val="18"/>
                <w:lang w:val="en-US"/>
              </w:rPr>
            </w:pPr>
            <w:r w:rsidRPr="00702398">
              <w:rPr>
                <w:rFonts w:cs="Times New Roman"/>
                <w:sz w:val="18"/>
                <w:szCs w:val="18"/>
                <w:lang w:val="en-US"/>
              </w:rPr>
              <w:t>Effects of different phase change material thermal management strategies on the cooling performance of the power lithium-ion batteries: A review</w:t>
            </w:r>
          </w:p>
        </w:tc>
        <w:tc>
          <w:tcPr>
            <w:tcW w:w="1254" w:type="dxa"/>
            <w:vAlign w:val="center"/>
          </w:tcPr>
          <w:p w14:paraId="67AA7537" w14:textId="77777777" w:rsidR="00702398" w:rsidRPr="00702398" w:rsidRDefault="00702398" w:rsidP="00702398">
            <w:pPr>
              <w:jc w:val="center"/>
              <w:rPr>
                <w:rFonts w:cs="Times New Roman"/>
                <w:sz w:val="18"/>
                <w:szCs w:val="18"/>
                <w:lang w:val="nb-NO"/>
              </w:rPr>
            </w:pPr>
            <w:r w:rsidRPr="00702398">
              <w:rPr>
                <w:rFonts w:cs="Times New Roman"/>
                <w:sz w:val="18"/>
                <w:szCs w:val="18"/>
                <w:lang w:val="nb-NO"/>
              </w:rPr>
              <w:t>Chen, J., Kang, S., E, J., ... Zhang, F., Liao, G.</w:t>
            </w:r>
          </w:p>
        </w:tc>
        <w:tc>
          <w:tcPr>
            <w:tcW w:w="1490" w:type="dxa"/>
            <w:vAlign w:val="center"/>
          </w:tcPr>
          <w:p w14:paraId="115FB97E" w14:textId="77777777" w:rsidR="00702398" w:rsidRPr="00702398" w:rsidRDefault="00702398" w:rsidP="00702398">
            <w:pPr>
              <w:jc w:val="center"/>
              <w:rPr>
                <w:rFonts w:cs="Times New Roman"/>
                <w:sz w:val="18"/>
                <w:szCs w:val="18"/>
              </w:rPr>
            </w:pPr>
            <w:r w:rsidRPr="00702398">
              <w:rPr>
                <w:rFonts w:cs="Times New Roman"/>
                <w:sz w:val="18"/>
                <w:szCs w:val="18"/>
              </w:rPr>
              <w:t>Journal of Power Sources, 442, 227228</w:t>
            </w:r>
          </w:p>
        </w:tc>
        <w:tc>
          <w:tcPr>
            <w:tcW w:w="751" w:type="dxa"/>
            <w:vAlign w:val="center"/>
          </w:tcPr>
          <w:p w14:paraId="205BC994" w14:textId="77777777" w:rsidR="00702398" w:rsidRPr="00702398" w:rsidRDefault="00702398" w:rsidP="00702398">
            <w:pPr>
              <w:jc w:val="center"/>
              <w:rPr>
                <w:rFonts w:cs="Times New Roman"/>
                <w:sz w:val="18"/>
                <w:szCs w:val="18"/>
              </w:rPr>
            </w:pPr>
            <w:r w:rsidRPr="00702398">
              <w:rPr>
                <w:rFonts w:cs="Times New Roman"/>
                <w:sz w:val="18"/>
                <w:szCs w:val="18"/>
              </w:rPr>
              <w:t>2019</w:t>
            </w:r>
          </w:p>
        </w:tc>
        <w:tc>
          <w:tcPr>
            <w:tcW w:w="525" w:type="dxa"/>
            <w:vAlign w:val="center"/>
          </w:tcPr>
          <w:p w14:paraId="7C50EC15" w14:textId="77777777" w:rsidR="00702398" w:rsidRPr="00702398" w:rsidRDefault="00702398" w:rsidP="00702398">
            <w:pPr>
              <w:jc w:val="center"/>
              <w:rPr>
                <w:rFonts w:cs="Times New Roman"/>
                <w:sz w:val="18"/>
                <w:szCs w:val="18"/>
              </w:rPr>
            </w:pPr>
            <w:r w:rsidRPr="00702398">
              <w:rPr>
                <w:rFonts w:cs="Times New Roman"/>
                <w:sz w:val="18"/>
                <w:szCs w:val="18"/>
              </w:rPr>
              <w:t>315</w:t>
            </w:r>
          </w:p>
        </w:tc>
        <w:tc>
          <w:tcPr>
            <w:tcW w:w="3078" w:type="dxa"/>
            <w:vAlign w:val="center"/>
          </w:tcPr>
          <w:p w14:paraId="477DE01C" w14:textId="77777777" w:rsidR="00702398" w:rsidRPr="00702398" w:rsidRDefault="00702398" w:rsidP="000F32C4">
            <w:pPr>
              <w:rPr>
                <w:rFonts w:cs="Times New Roman"/>
                <w:sz w:val="18"/>
                <w:szCs w:val="18"/>
                <w:lang w:val="en-US"/>
              </w:rPr>
            </w:pPr>
            <w:r w:rsidRPr="00702398">
              <w:rPr>
                <w:rFonts w:cs="Times New Roman"/>
                <w:sz w:val="18"/>
                <w:szCs w:val="18"/>
                <w:lang w:val="en-US"/>
              </w:rPr>
              <w:t>Pure vs composite vs hybrid PCM BTMS; pure PCMs suffer low k; carbon/metal fillers and hybrids reduce peaks and improve uniformity—best for high‑power packs; goals: higher efficiency, lower energy/size/mass.</w:t>
            </w:r>
          </w:p>
        </w:tc>
      </w:tr>
      <w:tr w:rsidR="00702398" w:rsidRPr="00736B36" w14:paraId="1CD6929E" w14:textId="77777777" w:rsidTr="00702398">
        <w:tc>
          <w:tcPr>
            <w:tcW w:w="1758" w:type="dxa"/>
            <w:vAlign w:val="center"/>
          </w:tcPr>
          <w:p w14:paraId="66C4D818" w14:textId="4E039E22" w:rsidR="00702398" w:rsidRPr="00702398" w:rsidRDefault="00702398" w:rsidP="00702398">
            <w:pPr>
              <w:jc w:val="center"/>
              <w:rPr>
                <w:rFonts w:cs="Times New Roman"/>
                <w:b/>
                <w:bCs/>
                <w:sz w:val="18"/>
                <w:szCs w:val="18"/>
                <w:lang w:val="en-US"/>
              </w:rPr>
            </w:pPr>
            <w:r w:rsidRPr="00702398">
              <w:rPr>
                <w:rFonts w:cs="Times New Roman"/>
                <w:sz w:val="18"/>
                <w:szCs w:val="18"/>
                <w:lang w:val="en-US"/>
              </w:rPr>
              <w:t xml:space="preserve">A state-of-the-art review on modeling and simulation of battery thermal </w:t>
            </w:r>
            <w:r w:rsidRPr="00702398">
              <w:rPr>
                <w:rFonts w:cs="Times New Roman"/>
                <w:sz w:val="18"/>
                <w:szCs w:val="18"/>
                <w:lang w:val="en-US"/>
              </w:rPr>
              <w:lastRenderedPageBreak/>
              <w:t>management system using phase change material and liquid cooling: Enhancing performance, sustainability, and future research needs</w:t>
            </w:r>
          </w:p>
        </w:tc>
        <w:tc>
          <w:tcPr>
            <w:tcW w:w="1254" w:type="dxa"/>
            <w:vAlign w:val="center"/>
          </w:tcPr>
          <w:p w14:paraId="28A3071B" w14:textId="77777777" w:rsidR="00702398" w:rsidRPr="00702398" w:rsidRDefault="00702398" w:rsidP="00702398">
            <w:pPr>
              <w:jc w:val="center"/>
              <w:rPr>
                <w:rFonts w:cs="Times New Roman"/>
                <w:sz w:val="18"/>
                <w:szCs w:val="18"/>
                <w:lang w:val="en-US"/>
              </w:rPr>
            </w:pPr>
            <w:r w:rsidRPr="00702398">
              <w:rPr>
                <w:rFonts w:cs="Times New Roman"/>
                <w:sz w:val="18"/>
                <w:szCs w:val="18"/>
                <w:lang w:val="en-US"/>
              </w:rPr>
              <w:lastRenderedPageBreak/>
              <w:t>Kumar, A., Dewangan, A.K., Yadav, A.K.</w:t>
            </w:r>
          </w:p>
        </w:tc>
        <w:tc>
          <w:tcPr>
            <w:tcW w:w="1490" w:type="dxa"/>
            <w:vAlign w:val="center"/>
          </w:tcPr>
          <w:p w14:paraId="1154705A" w14:textId="77777777" w:rsidR="00702398" w:rsidRPr="00702398" w:rsidRDefault="00702398" w:rsidP="00702398">
            <w:pPr>
              <w:jc w:val="center"/>
              <w:rPr>
                <w:rFonts w:cs="Times New Roman"/>
                <w:sz w:val="18"/>
                <w:szCs w:val="18"/>
              </w:rPr>
            </w:pPr>
            <w:r w:rsidRPr="00702398">
              <w:rPr>
                <w:rFonts w:cs="Times New Roman"/>
                <w:sz w:val="18"/>
                <w:szCs w:val="18"/>
              </w:rPr>
              <w:t>Journal of Energy Storage, 133, 117978</w:t>
            </w:r>
          </w:p>
        </w:tc>
        <w:tc>
          <w:tcPr>
            <w:tcW w:w="751" w:type="dxa"/>
            <w:vAlign w:val="center"/>
          </w:tcPr>
          <w:p w14:paraId="6F66E27E" w14:textId="77777777" w:rsidR="00702398" w:rsidRPr="00702398" w:rsidRDefault="00702398" w:rsidP="00702398">
            <w:pPr>
              <w:jc w:val="center"/>
              <w:rPr>
                <w:rFonts w:cs="Times New Roman"/>
                <w:sz w:val="18"/>
                <w:szCs w:val="18"/>
              </w:rPr>
            </w:pPr>
            <w:r w:rsidRPr="00702398">
              <w:rPr>
                <w:rFonts w:cs="Times New Roman"/>
                <w:sz w:val="18"/>
                <w:szCs w:val="18"/>
              </w:rPr>
              <w:t>2025</w:t>
            </w:r>
          </w:p>
        </w:tc>
        <w:tc>
          <w:tcPr>
            <w:tcW w:w="525" w:type="dxa"/>
            <w:vAlign w:val="center"/>
          </w:tcPr>
          <w:p w14:paraId="590BE5A5" w14:textId="77777777" w:rsidR="00702398" w:rsidRPr="00702398" w:rsidRDefault="00702398" w:rsidP="00702398">
            <w:pPr>
              <w:jc w:val="center"/>
              <w:rPr>
                <w:rFonts w:cs="Times New Roman"/>
                <w:sz w:val="18"/>
                <w:szCs w:val="18"/>
              </w:rPr>
            </w:pPr>
            <w:r w:rsidRPr="00702398">
              <w:rPr>
                <w:rFonts w:cs="Times New Roman"/>
                <w:sz w:val="18"/>
                <w:szCs w:val="18"/>
              </w:rPr>
              <w:t>0</w:t>
            </w:r>
          </w:p>
        </w:tc>
        <w:tc>
          <w:tcPr>
            <w:tcW w:w="3078" w:type="dxa"/>
            <w:vAlign w:val="center"/>
          </w:tcPr>
          <w:p w14:paraId="3875DE1B" w14:textId="77777777" w:rsidR="00702398" w:rsidRPr="00702398" w:rsidRDefault="00702398" w:rsidP="000F32C4">
            <w:pPr>
              <w:rPr>
                <w:rFonts w:cs="Times New Roman"/>
                <w:sz w:val="18"/>
                <w:szCs w:val="18"/>
                <w:lang w:val="en-US"/>
              </w:rPr>
            </w:pPr>
            <w:r w:rsidRPr="00702398">
              <w:rPr>
                <w:rFonts w:cs="Times New Roman"/>
                <w:sz w:val="18"/>
                <w:szCs w:val="18"/>
                <w:lang w:val="en-US"/>
              </w:rPr>
              <w:t xml:space="preserve">Modeling/experiment review: coupling liquid cooling with PCM improves control and uniformity under dynamic loads; discusses material/channel integration and </w:t>
            </w:r>
            <w:r w:rsidRPr="00702398">
              <w:rPr>
                <w:rFonts w:cs="Times New Roman"/>
                <w:sz w:val="18"/>
                <w:szCs w:val="18"/>
                <w:lang w:val="en-US"/>
              </w:rPr>
              <w:lastRenderedPageBreak/>
              <w:t>simulation; challenges: k, leakage, complexity/energy; future: better encapsulation, intelligent control, CFD optimization.</w:t>
            </w:r>
          </w:p>
        </w:tc>
      </w:tr>
      <w:tr w:rsidR="00702398" w:rsidRPr="00736B36" w14:paraId="27955C9D" w14:textId="77777777" w:rsidTr="00702398">
        <w:tc>
          <w:tcPr>
            <w:tcW w:w="1758" w:type="dxa"/>
            <w:vAlign w:val="center"/>
          </w:tcPr>
          <w:p w14:paraId="6EC384F2" w14:textId="77777777" w:rsidR="00702398" w:rsidRPr="00702398" w:rsidRDefault="00702398" w:rsidP="00702398">
            <w:pPr>
              <w:jc w:val="center"/>
              <w:rPr>
                <w:rFonts w:cs="Times New Roman"/>
                <w:sz w:val="18"/>
                <w:szCs w:val="18"/>
                <w:lang w:val="en-US"/>
              </w:rPr>
            </w:pPr>
            <w:r w:rsidRPr="00702398">
              <w:rPr>
                <w:rFonts w:cs="Times New Roman"/>
                <w:sz w:val="18"/>
                <w:szCs w:val="18"/>
                <w:lang w:val="en-US"/>
              </w:rPr>
              <w:lastRenderedPageBreak/>
              <w:t>A comprehensive review of a composite phase change material-based thermal management system for lithium-ion batteries</w:t>
            </w:r>
          </w:p>
        </w:tc>
        <w:tc>
          <w:tcPr>
            <w:tcW w:w="1254" w:type="dxa"/>
            <w:vAlign w:val="center"/>
          </w:tcPr>
          <w:p w14:paraId="5DD0380A" w14:textId="77777777" w:rsidR="00702398" w:rsidRPr="00702398" w:rsidRDefault="00702398" w:rsidP="00702398">
            <w:pPr>
              <w:jc w:val="center"/>
              <w:rPr>
                <w:rFonts w:cs="Times New Roman"/>
                <w:sz w:val="18"/>
                <w:szCs w:val="18"/>
              </w:rPr>
            </w:pPr>
            <w:r w:rsidRPr="00702398">
              <w:rPr>
                <w:rFonts w:cs="Times New Roman"/>
                <w:sz w:val="18"/>
                <w:szCs w:val="18"/>
                <w:lang w:val="en-US"/>
              </w:rPr>
              <w:t xml:space="preserve">Zhao, Y., Zou, B., Zhang, T., ... </w:t>
            </w:r>
            <w:r w:rsidRPr="00702398">
              <w:rPr>
                <w:rFonts w:cs="Times New Roman"/>
                <w:sz w:val="18"/>
                <w:szCs w:val="18"/>
              </w:rPr>
              <w:t>Ding, J., Ding, Y.</w:t>
            </w:r>
          </w:p>
        </w:tc>
        <w:tc>
          <w:tcPr>
            <w:tcW w:w="1490" w:type="dxa"/>
            <w:vAlign w:val="center"/>
          </w:tcPr>
          <w:p w14:paraId="1802C8DA" w14:textId="77777777" w:rsidR="00702398" w:rsidRPr="00702398" w:rsidRDefault="00702398" w:rsidP="00702398">
            <w:pPr>
              <w:jc w:val="center"/>
              <w:rPr>
                <w:rFonts w:cs="Times New Roman"/>
                <w:sz w:val="18"/>
                <w:szCs w:val="18"/>
                <w:lang w:val="en-US"/>
              </w:rPr>
            </w:pPr>
            <w:r w:rsidRPr="00702398">
              <w:rPr>
                <w:rFonts w:cs="Times New Roman"/>
                <w:sz w:val="18"/>
                <w:szCs w:val="18"/>
                <w:lang w:val="en-US"/>
              </w:rPr>
              <w:t>Renewable and Sustainable Energy Reviews, 167, 112667</w:t>
            </w:r>
          </w:p>
        </w:tc>
        <w:tc>
          <w:tcPr>
            <w:tcW w:w="751" w:type="dxa"/>
            <w:vAlign w:val="center"/>
          </w:tcPr>
          <w:p w14:paraId="3DE01848" w14:textId="77777777" w:rsidR="00702398" w:rsidRPr="00702398" w:rsidRDefault="00702398" w:rsidP="00702398">
            <w:pPr>
              <w:jc w:val="center"/>
              <w:rPr>
                <w:rFonts w:cs="Times New Roman"/>
                <w:sz w:val="18"/>
                <w:szCs w:val="18"/>
              </w:rPr>
            </w:pPr>
            <w:r w:rsidRPr="00702398">
              <w:rPr>
                <w:rFonts w:cs="Times New Roman"/>
                <w:sz w:val="18"/>
                <w:szCs w:val="18"/>
              </w:rPr>
              <w:t>2022</w:t>
            </w:r>
          </w:p>
        </w:tc>
        <w:tc>
          <w:tcPr>
            <w:tcW w:w="525" w:type="dxa"/>
            <w:vAlign w:val="center"/>
          </w:tcPr>
          <w:p w14:paraId="591047C3" w14:textId="77777777" w:rsidR="00702398" w:rsidRPr="00702398" w:rsidRDefault="00702398" w:rsidP="00702398">
            <w:pPr>
              <w:jc w:val="center"/>
              <w:rPr>
                <w:rFonts w:cs="Times New Roman"/>
                <w:sz w:val="18"/>
                <w:szCs w:val="18"/>
              </w:rPr>
            </w:pPr>
            <w:r w:rsidRPr="00702398">
              <w:rPr>
                <w:rFonts w:cs="Times New Roman"/>
                <w:sz w:val="18"/>
                <w:szCs w:val="18"/>
              </w:rPr>
              <w:t>133</w:t>
            </w:r>
          </w:p>
        </w:tc>
        <w:tc>
          <w:tcPr>
            <w:tcW w:w="3078" w:type="dxa"/>
            <w:vAlign w:val="center"/>
          </w:tcPr>
          <w:p w14:paraId="609DFA3A" w14:textId="77777777" w:rsidR="00702398" w:rsidRPr="00702398" w:rsidRDefault="00702398" w:rsidP="000F32C4">
            <w:pPr>
              <w:keepNext/>
              <w:rPr>
                <w:rFonts w:cs="Times New Roman"/>
                <w:sz w:val="18"/>
                <w:szCs w:val="18"/>
                <w:lang w:val="en-US"/>
              </w:rPr>
            </w:pPr>
            <w:r w:rsidRPr="00702398">
              <w:rPr>
                <w:rFonts w:cs="Times New Roman"/>
                <w:sz w:val="18"/>
                <w:szCs w:val="18"/>
                <w:lang w:val="en-US"/>
              </w:rPr>
              <w:t>Boost performance via porous hosts + conductive nanofillers; analyze structure/size/surface effects and polymer blending/copolymerization for stability/mechanics; recommend flame‑retardant/inorganic CPCMs; reduce interfacial resistance and improve manufacturability.</w:t>
            </w:r>
          </w:p>
        </w:tc>
      </w:tr>
    </w:tbl>
    <w:p w14:paraId="556FDD40" w14:textId="7EE7B36F" w:rsidR="00702398" w:rsidRDefault="00702398" w:rsidP="00702398">
      <w:pPr>
        <w:pStyle w:val="Caption"/>
      </w:pPr>
      <w:bookmarkStart w:id="82" w:name="_Toc214362630"/>
      <w:r w:rsidRPr="00702398">
        <w:rPr>
          <w:rFonts w:cs="Times New Roman"/>
        </w:rPr>
        <w:t xml:space="preserve">Table </w:t>
      </w:r>
      <w:r w:rsidR="00F43E9A">
        <w:rPr>
          <w:rFonts w:cs="Times New Roman"/>
        </w:rPr>
        <w:fldChar w:fldCharType="begin"/>
      </w:r>
      <w:r w:rsidR="00F43E9A">
        <w:rPr>
          <w:rFonts w:cs="Times New Roman"/>
        </w:rPr>
        <w:instrText xml:space="preserve"> STYLEREF 1 \s </w:instrText>
      </w:r>
      <w:r w:rsidR="00F43E9A">
        <w:rPr>
          <w:rFonts w:cs="Times New Roman"/>
        </w:rPr>
        <w:fldChar w:fldCharType="separate"/>
      </w:r>
      <w:r w:rsidR="000412CE">
        <w:rPr>
          <w:rFonts w:cs="Times New Roman"/>
          <w:noProof/>
        </w:rPr>
        <w:t>2</w:t>
      </w:r>
      <w:r w:rsidR="00F43E9A">
        <w:rPr>
          <w:rFonts w:cs="Times New Roman"/>
        </w:rPr>
        <w:fldChar w:fldCharType="end"/>
      </w:r>
      <w:r w:rsidR="00F43E9A">
        <w:rPr>
          <w:rFonts w:cs="Times New Roman"/>
        </w:rPr>
        <w:t>.</w:t>
      </w:r>
      <w:r w:rsidR="00F43E9A">
        <w:rPr>
          <w:rFonts w:cs="Times New Roman"/>
        </w:rPr>
        <w:fldChar w:fldCharType="begin"/>
      </w:r>
      <w:r w:rsidR="00F43E9A">
        <w:rPr>
          <w:rFonts w:cs="Times New Roman"/>
        </w:rPr>
        <w:instrText xml:space="preserve"> SEQ Table \* ARABIC \s 1 </w:instrText>
      </w:r>
      <w:r w:rsidR="00F43E9A">
        <w:rPr>
          <w:rFonts w:cs="Times New Roman"/>
        </w:rPr>
        <w:fldChar w:fldCharType="separate"/>
      </w:r>
      <w:r w:rsidR="000412CE">
        <w:rPr>
          <w:rFonts w:cs="Times New Roman"/>
          <w:noProof/>
        </w:rPr>
        <w:t>2</w:t>
      </w:r>
      <w:r w:rsidR="00F43E9A">
        <w:rPr>
          <w:rFonts w:cs="Times New Roman"/>
        </w:rPr>
        <w:fldChar w:fldCharType="end"/>
      </w:r>
      <w:r w:rsidRPr="00702398">
        <w:rPr>
          <w:rFonts w:cs="Times New Roman"/>
        </w:rPr>
        <w:t>. Influential review papers on PCM applications for electronic devices and batteries: bibliographic details (title, authors, source, year, citations) and key insights from abstracts</w:t>
      </w:r>
      <w:r w:rsidRPr="00C31821">
        <w:t>.</w:t>
      </w:r>
      <w:bookmarkEnd w:id="82"/>
    </w:p>
    <w:p w14:paraId="5140B229" w14:textId="4F3E603A" w:rsidR="00702398" w:rsidRDefault="00702398" w:rsidP="00702398">
      <w:pPr>
        <w:pStyle w:val="Heading3"/>
        <w:rPr>
          <w:lang w:val="en-US"/>
        </w:rPr>
      </w:pPr>
      <w:bookmarkStart w:id="83" w:name="_Toc214356286"/>
      <w:r w:rsidRPr="00702398">
        <w:rPr>
          <w:lang w:val="en-US"/>
        </w:rPr>
        <w:t>PCMs for thermal management of electronic components</w:t>
      </w:r>
      <w:bookmarkEnd w:id="83"/>
    </w:p>
    <w:p w14:paraId="2D5B311E" w14:textId="69268DE5" w:rsidR="00702398" w:rsidRPr="00702398" w:rsidRDefault="00702398" w:rsidP="00702398">
      <w:pPr>
        <w:rPr>
          <w:rFonts w:cs="Times New Roman"/>
          <w:lang w:val="en-US"/>
        </w:rPr>
      </w:pPr>
      <w:r w:rsidRPr="00702398">
        <w:rPr>
          <w:rFonts w:cs="Times New Roman"/>
          <w:lang w:val="en-US"/>
        </w:rPr>
        <w:t xml:space="preserve">The increase in power density of electronic devices, driven by higher performance requirements and miniaturization, has led researchers to explore new and alternative thermal management techniques. Since most electronic devices often undergo high-frequency thermal cycles, cooling systems must also be capable of handling transient thermal profiles in order to delay temperature response and reduce temperature gradients within the device. Such gradients can generate thermal stresses and, in the long term, lead to the failure of electronic components. The integration of PCMs into heat sinks for electronic devices represents an interesting approach to enhance the thermal inertia of the cooling system while ensuring more stable temperatures within the electronic components. However, several technical challenges still limit their practical applicability in real electronic systems. Bianco et al </w:t>
      </w:r>
      <w:sdt>
        <w:sdtPr>
          <w:rPr>
            <w:rFonts w:cs="Times New Roman"/>
            <w:lang w:val="en-US"/>
          </w:rPr>
          <w:id w:val="-2049136207"/>
          <w:citation/>
        </w:sdtPr>
        <w:sdtContent>
          <w:r>
            <w:rPr>
              <w:rFonts w:cs="Times New Roman"/>
              <w:lang w:val="en-US"/>
            </w:rPr>
            <w:fldChar w:fldCharType="begin"/>
          </w:r>
          <w:r w:rsidRPr="00702398">
            <w:rPr>
              <w:rFonts w:cs="Times New Roman"/>
              <w:lang w:val="en-US"/>
            </w:rPr>
            <w:instrText xml:space="preserve"> CITATION Placeholder56 \l 1040 </w:instrText>
          </w:r>
          <w:r>
            <w:rPr>
              <w:rFonts w:cs="Times New Roman"/>
              <w:lang w:val="en-US"/>
            </w:rPr>
            <w:fldChar w:fldCharType="separate"/>
          </w:r>
          <w:r w:rsidR="00855396" w:rsidRPr="00855396">
            <w:rPr>
              <w:rFonts w:cs="Times New Roman"/>
              <w:noProof/>
              <w:lang w:val="en-US"/>
            </w:rPr>
            <w:t>[50]</w:t>
          </w:r>
          <w:r>
            <w:rPr>
              <w:rFonts w:cs="Times New Roman"/>
              <w:lang w:val="en-US"/>
            </w:rPr>
            <w:fldChar w:fldCharType="end"/>
          </w:r>
        </w:sdtContent>
      </w:sdt>
      <w:r w:rsidRPr="00702398">
        <w:rPr>
          <w:rFonts w:cs="Times New Roman"/>
          <w:lang w:val="en-US"/>
        </w:rPr>
        <w:t xml:space="preserve"> in their review said that the interest in using PCMs for the thermal management of electronic devices lies in their ability to exploit the isothermal phase change to reduce internal temperature peaks and control transient temperature rise. In general, the thermal charging and discharging processes between the initial and final temperatures (T</w:t>
      </w:r>
      <w:r w:rsidRPr="00702398">
        <w:rPr>
          <w:rFonts w:cs="Times New Roman"/>
          <w:vertAlign w:val="subscript"/>
          <w:lang w:val="en-US"/>
        </w:rPr>
        <w:t>i</w:t>
      </w:r>
      <w:r w:rsidRPr="00702398">
        <w:rPr>
          <w:rFonts w:cs="Times New Roman"/>
          <w:lang w:val="en-US"/>
        </w:rPr>
        <w:t xml:space="preserve"> and T</w:t>
      </w:r>
      <w:r w:rsidRPr="00702398">
        <w:rPr>
          <w:rFonts w:cs="Times New Roman"/>
          <w:vertAlign w:val="subscript"/>
          <w:lang w:val="en-US"/>
        </w:rPr>
        <w:t>f</w:t>
      </w:r>
      <w:r w:rsidRPr="00702398">
        <w:rPr>
          <w:rFonts w:cs="Times New Roman"/>
          <w:lang w:val="en-US"/>
        </w:rPr>
        <w:t>) in a PCM can be described as shown in the following equation</w:t>
      </w:r>
      <w:r w:rsidR="000F32C4">
        <w:rPr>
          <w:rFonts w:cs="Times New Roman"/>
          <w:lang w:val="en-US"/>
        </w:rPr>
        <w:t>,</w:t>
      </w:r>
      <w:r w:rsidRPr="00702398">
        <w:rPr>
          <w:rFonts w:cs="Times New Roman"/>
          <w:lang w:val="en-US"/>
        </w:rPr>
        <w:t xml:space="preserve"> Eq. (12).</w:t>
      </w:r>
    </w:p>
    <w:p w14:paraId="1E7820A6" w14:textId="77777777" w:rsidR="00702398" w:rsidRPr="00702398" w:rsidRDefault="00000000" w:rsidP="00702398">
      <w:pPr>
        <w:rPr>
          <w:rFonts w:eastAsiaTheme="minorEastAsia" w:cs="Times New Roman"/>
        </w:rPr>
      </w:pPr>
      <m:oMathPara>
        <m:oMathParaPr>
          <m:jc m:val="right"/>
        </m:oMathParaPr>
        <m:oMath>
          <m:sSub>
            <m:sSubPr>
              <m:ctrlPr>
                <w:rPr>
                  <w:rFonts w:ascii="Cambria Math" w:hAnsi="Cambria Math" w:cs="Times New Roman"/>
                  <w:i/>
                </w:rPr>
              </m:ctrlPr>
            </m:sSubPr>
            <m:e>
              <m:r>
                <w:rPr>
                  <w:rFonts w:ascii="Cambria Math" w:hAnsi="Cambria Math" w:cs="Times New Roman"/>
                </w:rPr>
                <m:t>Q</m:t>
              </m:r>
            </m:e>
            <m:sub>
              <m:r>
                <w:rPr>
                  <w:rFonts w:ascii="Cambria Math" w:hAnsi="Cambria Math" w:cs="Times New Roman"/>
                </w:rPr>
                <m:t>PCM</m:t>
              </m:r>
            </m:sub>
          </m:sSub>
          <m:r>
            <w:rPr>
              <w:rFonts w:ascii="Cambria Math" w:hAnsi="Cambria Math" w:cs="Times New Roman"/>
            </w:rPr>
            <m:t>=</m:t>
          </m:r>
          <m:nary>
            <m:naryPr>
              <m:limLoc m:val="subSup"/>
              <m:ctrlPr>
                <w:rPr>
                  <w:rFonts w:ascii="Cambria Math" w:hAnsi="Cambria Math" w:cs="Times New Roman"/>
                  <w:i/>
                </w:rPr>
              </m:ctrlPr>
            </m:naryPr>
            <m:sub>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i</m:t>
                  </m:r>
                </m:sub>
              </m:sSub>
            </m:sub>
            <m:sup>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m</m:t>
                  </m:r>
                </m:sub>
              </m:sSub>
            </m:sup>
            <m:e>
              <m:r>
                <w:rPr>
                  <w:rFonts w:ascii="Cambria Math" w:hAnsi="Cambria Math" w:cs="Times New Roman"/>
                </w:rPr>
                <m:t>m</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P</m:t>
                  </m:r>
                </m:sub>
              </m:sSub>
              <m:r>
                <w:rPr>
                  <w:rFonts w:ascii="Cambria Math" w:hAnsi="Cambria Math" w:cs="Times New Roman"/>
                </w:rPr>
                <m:t>dT</m:t>
              </m:r>
            </m:e>
          </m:nary>
          <m:r>
            <w:rPr>
              <w:rFonts w:ascii="Cambria Math" w:hAnsi="Cambria Math" w:cs="Times New Roman"/>
            </w:rPr>
            <m:t>+m∙</m:t>
          </m:r>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m</m:t>
              </m:r>
            </m:sub>
          </m:sSub>
          <m:r>
            <w:rPr>
              <w:rFonts w:ascii="Cambria Math" w:hAnsi="Cambria Math" w:cs="Times New Roman"/>
            </w:rPr>
            <m:t>Δ</m:t>
          </m:r>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m</m:t>
              </m:r>
            </m:sub>
          </m:sSub>
          <m:r>
            <w:rPr>
              <w:rFonts w:ascii="Cambria Math" w:hAnsi="Cambria Math" w:cs="Times New Roman"/>
            </w:rPr>
            <m:t>+</m:t>
          </m:r>
          <m:nary>
            <m:naryPr>
              <m:limLoc m:val="subSup"/>
              <m:ctrlPr>
                <w:rPr>
                  <w:rFonts w:ascii="Cambria Math" w:hAnsi="Cambria Math" w:cs="Times New Roman"/>
                  <w:i/>
                </w:rPr>
              </m:ctrlPr>
            </m:naryPr>
            <m:sub>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m</m:t>
                  </m:r>
                </m:sub>
              </m:sSub>
            </m:sub>
            <m:sup>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f</m:t>
                  </m:r>
                </m:sub>
              </m:sSub>
            </m:sup>
            <m:e>
              <m:r>
                <w:rPr>
                  <w:rFonts w:ascii="Cambria Math" w:hAnsi="Cambria Math" w:cs="Times New Roman"/>
                </w:rPr>
                <m:t>m</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P</m:t>
                  </m:r>
                </m:sub>
              </m:sSub>
              <m:r>
                <w:rPr>
                  <w:rFonts w:ascii="Cambria Math" w:hAnsi="Cambria Math" w:cs="Times New Roman"/>
                </w:rPr>
                <m:t>dT</m:t>
              </m:r>
            </m:e>
          </m:nary>
          <m:r>
            <w:rPr>
              <w:rFonts w:ascii="Cambria Math" w:hAnsi="Cambria Math" w:cs="Times New Roman"/>
            </w:rPr>
            <m:t xml:space="preserve">                                                       (12)</m:t>
          </m:r>
        </m:oMath>
      </m:oMathPara>
    </w:p>
    <w:p w14:paraId="01893522" w14:textId="4BDBE04B" w:rsidR="00702398" w:rsidRPr="00702398" w:rsidRDefault="002A1CEA" w:rsidP="00702398">
      <w:pPr>
        <w:rPr>
          <w:noProof/>
          <w:lang w:val="en-US"/>
        </w:rPr>
      </w:pPr>
      <w:r>
        <w:rPr>
          <w:noProof/>
        </w:rPr>
        <w:lastRenderedPageBreak/>
        <mc:AlternateContent>
          <mc:Choice Requires="wps">
            <w:drawing>
              <wp:anchor distT="0" distB="0" distL="114300" distR="114300" simplePos="0" relativeHeight="251703296" behindDoc="0" locked="0" layoutInCell="1" allowOverlap="1" wp14:anchorId="6F164462" wp14:editId="5F9AA2BC">
                <wp:simplePos x="0" y="0"/>
                <wp:positionH relativeFrom="column">
                  <wp:posOffset>3808730</wp:posOffset>
                </wp:positionH>
                <wp:positionV relativeFrom="paragraph">
                  <wp:posOffset>1948815</wp:posOffset>
                </wp:positionV>
                <wp:extent cx="1905635" cy="635"/>
                <wp:effectExtent l="0" t="0" r="0" b="0"/>
                <wp:wrapSquare wrapText="bothSides"/>
                <wp:docPr id="1091925658" name="Text Box 1"/>
                <wp:cNvGraphicFramePr/>
                <a:graphic xmlns:a="http://schemas.openxmlformats.org/drawingml/2006/main">
                  <a:graphicData uri="http://schemas.microsoft.com/office/word/2010/wordprocessingShape">
                    <wps:wsp>
                      <wps:cNvSpPr txBox="1"/>
                      <wps:spPr>
                        <a:xfrm>
                          <a:off x="0" y="0"/>
                          <a:ext cx="1905635" cy="635"/>
                        </a:xfrm>
                        <a:prstGeom prst="rect">
                          <a:avLst/>
                        </a:prstGeom>
                        <a:solidFill>
                          <a:prstClr val="white"/>
                        </a:solidFill>
                        <a:ln>
                          <a:noFill/>
                        </a:ln>
                      </wps:spPr>
                      <wps:txbx>
                        <w:txbxContent>
                          <w:p w14:paraId="07FCEF50" w14:textId="6705D439" w:rsidR="002A1CEA" w:rsidRPr="002A1CEA" w:rsidRDefault="002A1CEA" w:rsidP="002A1CEA">
                            <w:pPr>
                              <w:pStyle w:val="Caption"/>
                              <w:rPr>
                                <w:rFonts w:cs="Times New Roman"/>
                                <w:noProof/>
                                <w:szCs w:val="22"/>
                              </w:rPr>
                            </w:pPr>
                            <w:r w:rsidRPr="002A1CEA">
                              <w:rPr>
                                <w:sz w:val="20"/>
                                <w:szCs w:val="16"/>
                              </w:rPr>
                              <w:t xml:space="preserve">Figure </w:t>
                            </w:r>
                            <w:r w:rsidR="00625AD6">
                              <w:rPr>
                                <w:sz w:val="20"/>
                                <w:szCs w:val="16"/>
                              </w:rPr>
                              <w:fldChar w:fldCharType="begin"/>
                            </w:r>
                            <w:r w:rsidR="00625AD6">
                              <w:rPr>
                                <w:sz w:val="20"/>
                                <w:szCs w:val="16"/>
                              </w:rPr>
                              <w:instrText xml:space="preserve"> STYLEREF 1 \s </w:instrText>
                            </w:r>
                            <w:r w:rsidR="00625AD6">
                              <w:rPr>
                                <w:sz w:val="20"/>
                                <w:szCs w:val="16"/>
                              </w:rPr>
                              <w:fldChar w:fldCharType="separate"/>
                            </w:r>
                            <w:r w:rsidR="000412CE">
                              <w:rPr>
                                <w:noProof/>
                                <w:sz w:val="20"/>
                                <w:szCs w:val="16"/>
                              </w:rPr>
                              <w:t>2</w:t>
                            </w:r>
                            <w:r w:rsidR="00625AD6">
                              <w:rPr>
                                <w:sz w:val="20"/>
                                <w:szCs w:val="16"/>
                              </w:rPr>
                              <w:fldChar w:fldCharType="end"/>
                            </w:r>
                            <w:r w:rsidR="00625AD6">
                              <w:rPr>
                                <w:sz w:val="20"/>
                                <w:szCs w:val="16"/>
                              </w:rPr>
                              <w:t>.</w:t>
                            </w:r>
                            <w:r w:rsidR="00DE026D">
                              <w:rPr>
                                <w:sz w:val="20"/>
                                <w:szCs w:val="16"/>
                              </w:rPr>
                              <w:t>2.</w:t>
                            </w:r>
                            <w:r w:rsidRPr="002A1CEA">
                              <w:rPr>
                                <w:sz w:val="20"/>
                                <w:szCs w:val="16"/>
                              </w:rPr>
                              <w:t xml:space="preserve"> Classification of battery thermal management (BTM) strategies: active, passive, hybrid and others</w:t>
                            </w:r>
                            <w:r w:rsidR="00A165BA">
                              <w:t xml:space="preserve"> </w:t>
                            </w:r>
                            <w:r w:rsidR="005C3319">
                              <w:t>[51]</w:t>
                            </w:r>
                            <w:r w:rsidR="00A165BA">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F164462" id="_x0000_s1036" type="#_x0000_t202" style="position:absolute;left:0;text-align:left;margin-left:299.9pt;margin-top:153.45pt;width:150.05pt;height:.05pt;z-index:2517032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" stroked="f">
                <v:textbox style="mso-fit-shape-to-text:t" inset="0,0,0,0">
                  <w:txbxContent>
                    <w:p w14:paraId="07FCEF50" w14:textId="6705D439" w:rsidR="002A1CEA" w:rsidRPr="002A1CEA" w:rsidRDefault="002A1CEA" w:rsidP="002A1CEA">
                      <w:pPr>
                        <w:pStyle w:val="Caption"/>
                        <w:rPr>
                          <w:rFonts w:cs="Times New Roman"/>
                          <w:noProof/>
                          <w:szCs w:val="22"/>
                        </w:rPr>
                      </w:pPr>
                      <w:r w:rsidRPr="002A1CEA">
                        <w:rPr>
                          <w:sz w:val="20"/>
                          <w:szCs w:val="16"/>
                        </w:rPr>
                        <w:t xml:space="preserve">Figure </w:t>
                      </w:r>
                      <w:r w:rsidR="00625AD6">
                        <w:rPr>
                          <w:sz w:val="20"/>
                          <w:szCs w:val="16"/>
                        </w:rPr>
                        <w:fldChar w:fldCharType="begin"/>
                      </w:r>
                      <w:r w:rsidR="00625AD6">
                        <w:rPr>
                          <w:sz w:val="20"/>
                          <w:szCs w:val="16"/>
                        </w:rPr>
                        <w:instrText xml:space="preserve"> STYLEREF 1 \s </w:instrText>
                      </w:r>
                      <w:r w:rsidR="00625AD6">
                        <w:rPr>
                          <w:sz w:val="20"/>
                          <w:szCs w:val="16"/>
                        </w:rPr>
                        <w:fldChar w:fldCharType="separate"/>
                      </w:r>
                      <w:r w:rsidR="000412CE">
                        <w:rPr>
                          <w:noProof/>
                          <w:sz w:val="20"/>
                          <w:szCs w:val="16"/>
                        </w:rPr>
                        <w:t>2</w:t>
                      </w:r>
                      <w:r w:rsidR="00625AD6">
                        <w:rPr>
                          <w:sz w:val="20"/>
                          <w:szCs w:val="16"/>
                        </w:rPr>
                        <w:fldChar w:fldCharType="end"/>
                      </w:r>
                      <w:r w:rsidR="00625AD6">
                        <w:rPr>
                          <w:sz w:val="20"/>
                          <w:szCs w:val="16"/>
                        </w:rPr>
                        <w:t>.</w:t>
                      </w:r>
                      <w:r w:rsidR="00DE026D">
                        <w:rPr>
                          <w:sz w:val="20"/>
                          <w:szCs w:val="16"/>
                        </w:rPr>
                        <w:t>2.</w:t>
                      </w:r>
                      <w:r w:rsidRPr="002A1CEA">
                        <w:rPr>
                          <w:sz w:val="20"/>
                          <w:szCs w:val="16"/>
                        </w:rPr>
                        <w:t xml:space="preserve"> Classification of battery thermal management (BTM) strategies: active, passive, hybrid and others</w:t>
                      </w:r>
                      <w:r w:rsidR="00A165BA">
                        <w:t xml:space="preserve"> </w:t>
                      </w:r>
                      <w:r w:rsidR="005C3319">
                        <w:t>[51]</w:t>
                      </w:r>
                      <w:r w:rsidR="00A165BA">
                        <w:t>.</w:t>
                      </w:r>
                    </w:p>
                  </w:txbxContent>
                </v:textbox>
                <w10:wrap type="square"/>
              </v:shape>
            </w:pict>
          </mc:Fallback>
        </mc:AlternateContent>
      </w:r>
      <w:r w:rsidR="00702398" w:rsidRPr="00702398">
        <w:rPr>
          <w:rFonts w:cs="Times New Roman"/>
          <w:noProof/>
          <w:lang w:val="nb-NO"/>
        </w:rPr>
        <w:drawing>
          <wp:anchor distT="0" distB="0" distL="114300" distR="114300" simplePos="0" relativeHeight="251701248" behindDoc="0" locked="0" layoutInCell="1" allowOverlap="1" wp14:anchorId="57852DA8" wp14:editId="6BA5AD42">
            <wp:simplePos x="0" y="0"/>
            <wp:positionH relativeFrom="column">
              <wp:posOffset>3808730</wp:posOffset>
            </wp:positionH>
            <wp:positionV relativeFrom="paragraph">
              <wp:posOffset>116205</wp:posOffset>
            </wp:positionV>
            <wp:extent cx="1905635" cy="1775460"/>
            <wp:effectExtent l="0" t="0" r="0" b="0"/>
            <wp:wrapSquare wrapText="bothSides"/>
            <wp:docPr id="837851105" name="Immagine 1" descr="A diagram of different types of componen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7851105" name="Immagine 1" descr="A diagram of different types of components&#10;&#10;AI-generated content may be incorrect."/>
                    <pic:cNvPicPr/>
                  </pic:nvPicPr>
                  <pic:blipFill>
                    <a:blip r:embed="rId109">
                      <a:extLst>
                        <a:ext uri="{28A0092B-C50C-407E-A947-70E740481C1C}">
                          <a14:useLocalDpi xmlns:a14="http://schemas.microsoft.com/office/drawing/2010/main" val="0"/>
                        </a:ext>
                      </a:extLst>
                    </a:blip>
                    <a:stretch>
                      <a:fillRect/>
                    </a:stretch>
                  </pic:blipFill>
                  <pic:spPr>
                    <a:xfrm>
                      <a:off x="0" y="0"/>
                      <a:ext cx="1905635" cy="1775460"/>
                    </a:xfrm>
                    <a:prstGeom prst="rect">
                      <a:avLst/>
                    </a:prstGeom>
                  </pic:spPr>
                </pic:pic>
              </a:graphicData>
            </a:graphic>
            <wp14:sizeRelH relativeFrom="margin">
              <wp14:pctWidth>0</wp14:pctWidth>
            </wp14:sizeRelH>
            <wp14:sizeRelV relativeFrom="margin">
              <wp14:pctHeight>0</wp14:pctHeight>
            </wp14:sizeRelV>
          </wp:anchor>
        </w:drawing>
      </w:r>
      <w:r w:rsidR="00702398" w:rsidRPr="00702398">
        <w:rPr>
          <w:rFonts w:cs="Times New Roman"/>
          <w:lang w:val="en-US"/>
        </w:rPr>
        <w:t xml:space="preserve">where </w:t>
      </w:r>
      <m:oMath>
        <m:sSub>
          <m:sSubPr>
            <m:ctrlPr>
              <w:rPr>
                <w:rFonts w:ascii="Cambria Math" w:eastAsiaTheme="minorEastAsia" w:hAnsi="Cambria Math" w:cs="Times New Roman"/>
                <w:i/>
              </w:rPr>
            </m:ctrlPr>
          </m:sSubPr>
          <m:e>
            <m:r>
              <w:rPr>
                <w:rFonts w:ascii="Cambria Math" w:eastAsiaTheme="minorEastAsia" w:hAnsi="Cambria Math" w:cs="Times New Roman"/>
              </w:rPr>
              <m:t>Q</m:t>
            </m:r>
          </m:e>
          <m:sub>
            <m:r>
              <w:rPr>
                <w:rFonts w:ascii="Cambria Math" w:eastAsiaTheme="minorEastAsia" w:hAnsi="Cambria Math" w:cs="Times New Roman"/>
              </w:rPr>
              <m:t>PCM</m:t>
            </m:r>
          </m:sub>
        </m:sSub>
      </m:oMath>
      <w:r w:rsidR="00702398" w:rsidRPr="00702398">
        <w:rPr>
          <w:rFonts w:eastAsiaTheme="minorEastAsia" w:cs="Times New Roman"/>
          <w:lang w:val="en-US"/>
        </w:rPr>
        <w:t xml:space="preserve"> is the total thermal energy stored, </w:t>
      </w:r>
      <w:r w:rsidR="00702398" w:rsidRPr="00702398">
        <w:rPr>
          <w:rFonts w:cs="Times New Roman"/>
          <w:lang w:val="en-US"/>
        </w:rPr>
        <w:t xml:space="preserve"> </w:t>
      </w:r>
      <m:oMath>
        <m:r>
          <w:rPr>
            <w:rFonts w:ascii="Cambria Math" w:eastAsiaTheme="minorEastAsia" w:hAnsi="Cambria Math" w:cs="Times New Roman"/>
          </w:rPr>
          <m:t>m</m:t>
        </m:r>
      </m:oMath>
      <w:r w:rsidR="00702398" w:rsidRPr="00702398">
        <w:rPr>
          <w:rFonts w:cs="Times New Roman"/>
          <w:lang w:val="en-US"/>
        </w:rPr>
        <w:t xml:space="preserve">  is the mass of </w:t>
      </w:r>
      <w:r w:rsidR="000F32C4">
        <w:rPr>
          <w:rFonts w:cs="Times New Roman"/>
          <w:lang w:val="en-US"/>
        </w:rPr>
        <w:t xml:space="preserve">the </w:t>
      </w:r>
      <w:r w:rsidR="00702398" w:rsidRPr="00702398">
        <w:rPr>
          <w:rFonts w:cs="Times New Roman"/>
          <w:lang w:val="en-US"/>
        </w:rPr>
        <w:t xml:space="preserve">storage medium, </w:t>
      </w:r>
      <m:oMath>
        <m:sSub>
          <m:sSubPr>
            <m:ctrlPr>
              <w:rPr>
                <w:rFonts w:ascii="Cambria Math" w:eastAsia="Cambria Math" w:hAnsi="Cambria Math" w:cs="Cambria Math"/>
                <w:i/>
              </w:rPr>
            </m:ctrlPr>
          </m:sSubPr>
          <m:e>
            <m:r>
              <w:rPr>
                <w:rFonts w:ascii="Cambria Math" w:eastAsia="Cambria Math" w:hAnsi="Cambria Math" w:cs="Cambria Math"/>
              </w:rPr>
              <m:t>a</m:t>
            </m:r>
          </m:e>
          <m:sub>
            <m:r>
              <w:rPr>
                <w:rFonts w:ascii="Cambria Math" w:eastAsia="Cambria Math" w:hAnsi="Cambria Math" w:cs="Cambria Math"/>
              </w:rPr>
              <m:t>m</m:t>
            </m:r>
          </m:sub>
        </m:sSub>
      </m:oMath>
      <w:r w:rsidR="00702398" w:rsidRPr="00702398">
        <w:rPr>
          <w:rFonts w:eastAsiaTheme="minorEastAsia" w:cs="Times New Roman"/>
          <w:lang w:val="en-US"/>
        </w:rPr>
        <w:t xml:space="preserve"> is the fraction melted, </w:t>
      </w:r>
      <m:oMath>
        <m:sSub>
          <m:sSubPr>
            <m:ctrlPr>
              <w:rPr>
                <w:rFonts w:ascii="Cambria Math" w:eastAsia="Cambria Math" w:hAnsi="Cambria Math" w:cs="Cambria Math"/>
                <w:i/>
              </w:rPr>
            </m:ctrlPr>
          </m:sSubPr>
          <m:e>
            <m:r>
              <w:rPr>
                <w:rFonts w:ascii="Cambria Math" w:eastAsia="Cambria Math" w:hAnsi="Cambria Math" w:cs="Cambria Math"/>
              </w:rPr>
              <m:t>c</m:t>
            </m:r>
          </m:e>
          <m:sub>
            <m:r>
              <w:rPr>
                <w:rFonts w:ascii="Cambria Math" w:eastAsia="Cambria Math" w:hAnsi="Cambria Math" w:cs="Cambria Math"/>
              </w:rPr>
              <m:t>P</m:t>
            </m:r>
          </m:sub>
        </m:sSub>
      </m:oMath>
      <w:r w:rsidR="00702398" w:rsidRPr="00702398">
        <w:rPr>
          <w:rFonts w:eastAsiaTheme="minorEastAsia" w:cs="Times New Roman"/>
          <w:lang w:val="en-US"/>
        </w:rPr>
        <w:t xml:space="preserve"> is the specific heat, </w:t>
      </w:r>
      <m:oMath>
        <m:r>
          <w:rPr>
            <w:rFonts w:ascii="Cambria Math" w:hAnsi="Cambria Math" w:cs="Times New Roman"/>
          </w:rPr>
          <m:t>Δ</m:t>
        </m:r>
        <m:sSub>
          <m:sSubPr>
            <m:ctrlPr>
              <w:rPr>
                <w:rFonts w:ascii="Cambria Math" w:hAnsi="Cambria Math" w:cs="Times New Roman"/>
                <w:i/>
              </w:rPr>
            </m:ctrlPr>
          </m:sSubPr>
          <m:e>
            <m:r>
              <w:rPr>
                <w:rFonts w:ascii="Cambria Math" w:hAnsi="Cambria Math" w:cs="Times New Roman"/>
                <w:lang w:val="en-US"/>
              </w:rPr>
              <m:t>h</m:t>
            </m:r>
          </m:e>
          <m:sub>
            <m:r>
              <w:rPr>
                <w:rFonts w:ascii="Cambria Math" w:hAnsi="Cambria Math" w:cs="Times New Roman"/>
              </w:rPr>
              <m:t>m</m:t>
            </m:r>
          </m:sub>
        </m:sSub>
      </m:oMath>
      <w:r w:rsidR="00702398" w:rsidRPr="00702398">
        <w:rPr>
          <w:rFonts w:eastAsiaTheme="minorEastAsia" w:cs="Times New Roman"/>
          <w:lang w:val="en-US"/>
        </w:rPr>
        <w:t xml:space="preserve"> is the heat of fusion per unit of mass and </w:t>
      </w:r>
      <m:oMath>
        <m:sSub>
          <m:sSubPr>
            <m:ctrlPr>
              <w:rPr>
                <w:rFonts w:ascii="Cambria Math" w:eastAsia="Cambria Math" w:hAnsi="Cambria Math" w:cs="Cambria Math"/>
                <w:i/>
              </w:rPr>
            </m:ctrlPr>
          </m:sSubPr>
          <m:e>
            <m:r>
              <w:rPr>
                <w:rFonts w:ascii="Cambria Math" w:eastAsia="Cambria Math" w:hAnsi="Cambria Math" w:cs="Cambria Math"/>
              </w:rPr>
              <m:t>T</m:t>
            </m:r>
          </m:e>
          <m:sub>
            <m:r>
              <w:rPr>
                <w:rFonts w:ascii="Cambria Math" w:eastAsia="Cambria Math" w:hAnsi="Cambria Math" w:cs="Cambria Math"/>
              </w:rPr>
              <m:t>m</m:t>
            </m:r>
          </m:sub>
        </m:sSub>
      </m:oMath>
      <w:r w:rsidR="00702398" w:rsidRPr="00702398">
        <w:rPr>
          <w:rFonts w:eastAsiaTheme="minorEastAsia" w:cs="Times New Roman"/>
          <w:lang w:val="en-US"/>
        </w:rPr>
        <w:t xml:space="preserve">is the melting temperature.  </w:t>
      </w:r>
      <w:r w:rsidR="00702398" w:rsidRPr="00702398">
        <w:rPr>
          <w:rFonts w:cs="Times New Roman"/>
          <w:lang w:val="en-US"/>
        </w:rPr>
        <w:t>In general, Figure 2</w:t>
      </w:r>
      <w:r>
        <w:rPr>
          <w:rFonts w:cs="Times New Roman"/>
          <w:lang w:val="en-US"/>
        </w:rPr>
        <w:t>.</w:t>
      </w:r>
      <w:r w:rsidR="00702398" w:rsidRPr="00702398">
        <w:rPr>
          <w:rFonts w:cs="Times New Roman"/>
          <w:lang w:val="en-US"/>
        </w:rPr>
        <w:t xml:space="preserve">2 shows the classification of the thermal management of electronic components that can be classified into (i) active and (ii) passive systems </w:t>
      </w:r>
      <w:sdt>
        <w:sdtPr>
          <w:rPr>
            <w:rFonts w:cs="Times New Roman"/>
            <w:lang w:val="en-US"/>
          </w:rPr>
          <w:id w:val="2140303612"/>
          <w:citation/>
        </w:sdtPr>
        <w:sdtContent>
          <w:r w:rsidR="00702398">
            <w:rPr>
              <w:rFonts w:cs="Times New Roman"/>
              <w:lang w:val="en-US"/>
            </w:rPr>
            <w:fldChar w:fldCharType="begin"/>
          </w:r>
          <w:r w:rsidR="00702398" w:rsidRPr="00702398">
            <w:rPr>
              <w:rFonts w:cs="Times New Roman"/>
              <w:lang w:val="en-US"/>
            </w:rPr>
            <w:instrText xml:space="preserve"> CITATION Placeholder57 \l 1040 </w:instrText>
          </w:r>
          <w:r w:rsidR="00702398">
            <w:rPr>
              <w:rFonts w:cs="Times New Roman"/>
              <w:lang w:val="en-US"/>
            </w:rPr>
            <w:fldChar w:fldCharType="separate"/>
          </w:r>
          <w:r w:rsidR="00855396" w:rsidRPr="00855396">
            <w:rPr>
              <w:rFonts w:cs="Times New Roman"/>
              <w:noProof/>
              <w:lang w:val="en-US"/>
            </w:rPr>
            <w:t>[51]</w:t>
          </w:r>
          <w:r w:rsidR="00702398">
            <w:rPr>
              <w:rFonts w:cs="Times New Roman"/>
              <w:lang w:val="en-US"/>
            </w:rPr>
            <w:fldChar w:fldCharType="end"/>
          </w:r>
        </w:sdtContent>
      </w:sdt>
      <w:r w:rsidR="00702398" w:rsidRPr="00702398">
        <w:rPr>
          <w:rFonts w:cs="Times New Roman"/>
          <w:lang w:val="en-US"/>
        </w:rPr>
        <w:t>. Active systems, such as fan-assisted cooling, spray cooling, and microchannel systems</w:t>
      </w:r>
      <w:r w:rsidR="00702398">
        <w:rPr>
          <w:rFonts w:cs="Times New Roman"/>
          <w:lang w:val="en-US"/>
        </w:rPr>
        <w:t xml:space="preserve"> </w:t>
      </w:r>
      <w:sdt>
        <w:sdtPr>
          <w:rPr>
            <w:rFonts w:cs="Times New Roman"/>
            <w:lang w:val="en-US"/>
          </w:rPr>
          <w:id w:val="-416558750"/>
          <w:citation/>
        </w:sdtPr>
        <w:sdtContent>
          <w:r w:rsidR="00702398">
            <w:rPr>
              <w:rFonts w:cs="Times New Roman"/>
              <w:lang w:val="en-US"/>
            </w:rPr>
            <w:fldChar w:fldCharType="begin"/>
          </w:r>
          <w:r w:rsidR="00702398" w:rsidRPr="00702398">
            <w:rPr>
              <w:rFonts w:cs="Times New Roman"/>
              <w:lang w:val="en-US"/>
            </w:rPr>
            <w:instrText xml:space="preserve"> CITATION Placeholder58 \l 1040 </w:instrText>
          </w:r>
          <w:r w:rsidR="00702398">
            <w:rPr>
              <w:rFonts w:cs="Times New Roman"/>
              <w:lang w:val="en-US"/>
            </w:rPr>
            <w:fldChar w:fldCharType="separate"/>
          </w:r>
          <w:r w:rsidR="00855396" w:rsidRPr="00855396">
            <w:rPr>
              <w:rFonts w:cs="Times New Roman"/>
              <w:noProof/>
              <w:lang w:val="en-US"/>
            </w:rPr>
            <w:t>[52]</w:t>
          </w:r>
          <w:r w:rsidR="00702398">
            <w:rPr>
              <w:rFonts w:cs="Times New Roman"/>
              <w:lang w:val="en-US"/>
            </w:rPr>
            <w:fldChar w:fldCharType="end"/>
          </w:r>
        </w:sdtContent>
      </w:sdt>
      <w:r w:rsidR="00702398" w:rsidRPr="00702398">
        <w:rPr>
          <w:rFonts w:cs="Times New Roman"/>
          <w:lang w:val="en-US"/>
        </w:rPr>
        <w:t xml:space="preserve">, offer high heat removal capacity and effective temperature control, but they often involve higher maintenance, noise, and vibration. Passive systems, on the other hand, remove heat without external assistance, using technologies such as heat pipes </w:t>
      </w:r>
      <w:sdt>
        <w:sdtPr>
          <w:rPr>
            <w:rFonts w:cs="Times New Roman"/>
            <w:lang w:val="en-US"/>
          </w:rPr>
          <w:id w:val="2093657681"/>
          <w:citation/>
        </w:sdtPr>
        <w:sdtContent>
          <w:r>
            <w:rPr>
              <w:rFonts w:cs="Times New Roman"/>
              <w:lang w:val="en-US"/>
            </w:rPr>
            <w:fldChar w:fldCharType="begin"/>
          </w:r>
          <w:r w:rsidRPr="002A1CEA">
            <w:rPr>
              <w:rFonts w:cs="Times New Roman"/>
              <w:lang w:val="en-US"/>
            </w:rPr>
            <w:instrText xml:space="preserve"> CITATION Placeholder59 \l 1040 </w:instrText>
          </w:r>
          <w:r>
            <w:rPr>
              <w:rFonts w:cs="Times New Roman"/>
              <w:lang w:val="en-US"/>
            </w:rPr>
            <w:fldChar w:fldCharType="separate"/>
          </w:r>
          <w:r w:rsidR="00855396" w:rsidRPr="00855396">
            <w:rPr>
              <w:rFonts w:cs="Times New Roman"/>
              <w:noProof/>
              <w:lang w:val="en-US"/>
            </w:rPr>
            <w:t>[53]</w:t>
          </w:r>
          <w:r>
            <w:rPr>
              <w:rFonts w:cs="Times New Roman"/>
              <w:lang w:val="en-US"/>
            </w:rPr>
            <w:fldChar w:fldCharType="end"/>
          </w:r>
        </w:sdtContent>
      </w:sdt>
      <w:r w:rsidR="00702398" w:rsidRPr="00702398">
        <w:rPr>
          <w:rFonts w:cs="Times New Roman"/>
          <w:lang w:val="en-US"/>
        </w:rPr>
        <w:t xml:space="preserve"> or heat sinks </w:t>
      </w:r>
      <w:sdt>
        <w:sdtPr>
          <w:rPr>
            <w:rFonts w:cs="Times New Roman"/>
            <w:lang w:val="en-US"/>
          </w:rPr>
          <w:id w:val="1550875872"/>
          <w:citation/>
        </w:sdtPr>
        <w:sdtContent>
          <w:r>
            <w:rPr>
              <w:rFonts w:cs="Times New Roman"/>
              <w:lang w:val="en-US"/>
            </w:rPr>
            <w:fldChar w:fldCharType="begin"/>
          </w:r>
          <w:r w:rsidRPr="002A1CEA">
            <w:rPr>
              <w:rFonts w:cs="Times New Roman"/>
              <w:lang w:val="en-US"/>
            </w:rPr>
            <w:instrText xml:space="preserve"> CITATION Placeholder60 \l 1040 </w:instrText>
          </w:r>
          <w:r>
            <w:rPr>
              <w:rFonts w:cs="Times New Roman"/>
              <w:lang w:val="en-US"/>
            </w:rPr>
            <w:fldChar w:fldCharType="separate"/>
          </w:r>
          <w:r w:rsidR="00855396" w:rsidRPr="00855396">
            <w:rPr>
              <w:rFonts w:cs="Times New Roman"/>
              <w:noProof/>
              <w:lang w:val="en-US"/>
            </w:rPr>
            <w:t>[54]</w:t>
          </w:r>
          <w:r>
            <w:rPr>
              <w:rFonts w:cs="Times New Roman"/>
              <w:lang w:val="en-US"/>
            </w:rPr>
            <w:fldChar w:fldCharType="end"/>
          </w:r>
        </w:sdtContent>
      </w:sdt>
      <w:r w:rsidR="00702398" w:rsidRPr="00702398">
        <w:rPr>
          <w:rFonts w:cs="Times New Roman"/>
          <w:lang w:val="en-US"/>
        </w:rPr>
        <w:t>. Although their heat removal capacity is lower than that of active systems, passive techniques are attractive for electronic applications because they are silent, require no additional power, and have low operational costs. The integration of PCMs into heat sinks has gained increasing attention due to their high latent heat of fusion, low flammability, and safety. During operation, PCMs absorb heat at nearly constant temperature while changing phase from solid to liquid, and when the device is turned off, they release the stored heat to the surroundings as they solidify. The main motivation for incorporating PCMs into electronic devices is to reduce operating temperature over a given period and to improve the overall thermal response of the system.</w:t>
      </w:r>
    </w:p>
    <w:p w14:paraId="4CB6824C" w14:textId="7A2F8A0C" w:rsidR="00702398" w:rsidRDefault="00784D2D" w:rsidP="002A1CEA">
      <w:pPr>
        <w:pStyle w:val="Heading4"/>
        <w:rPr>
          <w:lang w:val="en-US"/>
        </w:rPr>
      </w:pPr>
      <w:r>
        <w:rPr>
          <w:lang w:val="en-US"/>
        </w:rPr>
        <w:t>BTM</w:t>
      </w:r>
      <w:r w:rsidR="002A1CEA" w:rsidRPr="002A1CEA">
        <w:rPr>
          <w:lang w:val="en-US"/>
        </w:rPr>
        <w:t xml:space="preserve"> systems </w:t>
      </w:r>
    </w:p>
    <w:p w14:paraId="31D3E081" w14:textId="4621AE58" w:rsidR="002A1CEA" w:rsidRPr="002A1CEA" w:rsidRDefault="002A1CEA" w:rsidP="002A1CEA">
      <w:pPr>
        <w:rPr>
          <w:rFonts w:cs="Times New Roman"/>
          <w:lang w:val="en-US"/>
        </w:rPr>
      </w:pPr>
      <w:r w:rsidRPr="002A1CEA">
        <w:rPr>
          <w:rFonts w:cs="Times New Roman"/>
          <w:lang w:val="en-US"/>
        </w:rPr>
        <w:t xml:space="preserve">Lou et al </w:t>
      </w:r>
      <w:sdt>
        <w:sdtPr>
          <w:rPr>
            <w:rFonts w:cs="Times New Roman"/>
            <w:lang w:val="en-US"/>
          </w:rPr>
          <w:id w:val="-1722975136"/>
          <w:citation/>
        </w:sdtPr>
        <w:sdtContent>
          <w:r>
            <w:rPr>
              <w:rFonts w:cs="Times New Roman"/>
              <w:lang w:val="en-US"/>
            </w:rPr>
            <w:fldChar w:fldCharType="begin"/>
          </w:r>
          <w:r w:rsidRPr="002A1CEA">
            <w:rPr>
              <w:rFonts w:cs="Times New Roman"/>
              <w:lang w:val="en-US"/>
            </w:rPr>
            <w:instrText xml:space="preserve"> CITATION Placeholder61 \l 1040 </w:instrText>
          </w:r>
          <w:r>
            <w:rPr>
              <w:rFonts w:cs="Times New Roman"/>
              <w:lang w:val="en-US"/>
            </w:rPr>
            <w:fldChar w:fldCharType="separate"/>
          </w:r>
          <w:r w:rsidR="00855396" w:rsidRPr="00855396">
            <w:rPr>
              <w:rFonts w:cs="Times New Roman"/>
              <w:noProof/>
              <w:lang w:val="en-US"/>
            </w:rPr>
            <w:t>[55]</w:t>
          </w:r>
          <w:r>
            <w:rPr>
              <w:rFonts w:cs="Times New Roman"/>
              <w:lang w:val="en-US"/>
            </w:rPr>
            <w:fldChar w:fldCharType="end"/>
          </w:r>
        </w:sdtContent>
      </w:sdt>
      <w:r>
        <w:rPr>
          <w:rFonts w:cs="Times New Roman"/>
          <w:lang w:val="en-US"/>
        </w:rPr>
        <w:t xml:space="preserve"> </w:t>
      </w:r>
      <w:r w:rsidRPr="002A1CEA">
        <w:rPr>
          <w:rFonts w:cs="Times New Roman"/>
          <w:lang w:val="en-US"/>
        </w:rPr>
        <w:t xml:space="preserve">report that among all types of energy storage devices, lithium-ion (Li-ion) batteries are the most widely adopted due to their high energy and power density, long cycle life, and low self-discharge rate. Therefore, improving the performance and lifespan of Li-ion batteries is essential to enhance the overall efficiency of electric vehicles. However, Li-ion batteries are highly temperature-sensitive, and when the temperature or temperature uniformity falls outside this range for extended periods, several issues can occur </w:t>
      </w:r>
      <w:sdt>
        <w:sdtPr>
          <w:rPr>
            <w:rFonts w:cs="Times New Roman"/>
            <w:lang w:val="en-US"/>
          </w:rPr>
          <w:id w:val="1273665598"/>
          <w:citation/>
        </w:sdtPr>
        <w:sdtContent>
          <w:r>
            <w:rPr>
              <w:rFonts w:cs="Times New Roman"/>
              <w:lang w:val="en-US"/>
            </w:rPr>
            <w:fldChar w:fldCharType="begin"/>
          </w:r>
          <w:r w:rsidRPr="002A1CEA">
            <w:rPr>
              <w:rFonts w:cs="Times New Roman"/>
              <w:lang w:val="en-US"/>
            </w:rPr>
            <w:instrText xml:space="preserve"> CITATION Placeholder62 \l 1040 </w:instrText>
          </w:r>
          <w:r>
            <w:rPr>
              <w:rFonts w:cs="Times New Roman"/>
              <w:lang w:val="en-US"/>
            </w:rPr>
            <w:fldChar w:fldCharType="separate"/>
          </w:r>
          <w:r w:rsidR="00855396" w:rsidRPr="00855396">
            <w:rPr>
              <w:rFonts w:cs="Times New Roman"/>
              <w:noProof/>
              <w:lang w:val="en-US"/>
            </w:rPr>
            <w:t>[56]</w:t>
          </w:r>
          <w:r>
            <w:rPr>
              <w:rFonts w:cs="Times New Roman"/>
              <w:lang w:val="en-US"/>
            </w:rPr>
            <w:fldChar w:fldCharType="end"/>
          </w:r>
        </w:sdtContent>
      </w:sdt>
      <w:r w:rsidRPr="002A1CEA">
        <w:rPr>
          <w:rFonts w:cs="Times New Roman"/>
          <w:lang w:val="en-US"/>
        </w:rPr>
        <w:t xml:space="preserve">. To maintain Li-ion batteries within their optimal operating range, various </w:t>
      </w:r>
      <w:r w:rsidR="00784D2D">
        <w:rPr>
          <w:rFonts w:cs="Times New Roman"/>
          <w:lang w:val="en-US"/>
        </w:rPr>
        <w:t>BTM</w:t>
      </w:r>
      <w:r w:rsidRPr="002A1CEA">
        <w:rPr>
          <w:rFonts w:cs="Times New Roman"/>
          <w:lang w:val="en-US"/>
        </w:rPr>
        <w:t xml:space="preserve"> (BTM) systems have been proposed. The main BTM technologies include air cooling/heating, liquid cooling/heating, heat pipe (HP) systems</w:t>
      </w:r>
      <w:r>
        <w:rPr>
          <w:rFonts w:cs="Times New Roman"/>
          <w:lang w:val="en-US"/>
        </w:rPr>
        <w:t xml:space="preserve"> </w:t>
      </w:r>
      <w:sdt>
        <w:sdtPr>
          <w:rPr>
            <w:rFonts w:cs="Times New Roman"/>
            <w:lang w:val="en-US"/>
          </w:rPr>
          <w:id w:val="158197564"/>
          <w:citation/>
        </w:sdtPr>
        <w:sdtContent>
          <w:r>
            <w:rPr>
              <w:rFonts w:cs="Times New Roman"/>
              <w:lang w:val="en-US"/>
            </w:rPr>
            <w:fldChar w:fldCharType="begin"/>
          </w:r>
          <w:r w:rsidRPr="002A1CEA">
            <w:rPr>
              <w:rFonts w:cs="Times New Roman"/>
              <w:lang w:val="en-US"/>
            </w:rPr>
            <w:instrText xml:space="preserve"> CITATION Placeholder63 \l 1040 </w:instrText>
          </w:r>
          <w:r>
            <w:rPr>
              <w:rFonts w:cs="Times New Roman"/>
              <w:lang w:val="en-US"/>
            </w:rPr>
            <w:fldChar w:fldCharType="separate"/>
          </w:r>
          <w:r w:rsidR="00855396" w:rsidRPr="00855396">
            <w:rPr>
              <w:rFonts w:cs="Times New Roman"/>
              <w:noProof/>
              <w:lang w:val="en-US"/>
            </w:rPr>
            <w:t>[57]</w:t>
          </w:r>
          <w:r>
            <w:rPr>
              <w:rFonts w:cs="Times New Roman"/>
              <w:lang w:val="en-US"/>
            </w:rPr>
            <w:fldChar w:fldCharType="end"/>
          </w:r>
        </w:sdtContent>
      </w:sdt>
      <w:r w:rsidRPr="002A1CEA">
        <w:rPr>
          <w:rFonts w:cs="Times New Roman"/>
          <w:lang w:val="en-US"/>
        </w:rPr>
        <w:t xml:space="preserve">, and PCM cooling/heating systems </w:t>
      </w:r>
      <w:sdt>
        <w:sdtPr>
          <w:rPr>
            <w:rFonts w:cs="Times New Roman"/>
            <w:lang w:val="en-US"/>
          </w:rPr>
          <w:id w:val="1364480026"/>
          <w:citation/>
        </w:sdtPr>
        <w:sdtContent>
          <w:r>
            <w:rPr>
              <w:rFonts w:cs="Times New Roman"/>
              <w:lang w:val="en-US"/>
            </w:rPr>
            <w:fldChar w:fldCharType="begin"/>
          </w:r>
          <w:r w:rsidRPr="002A1CEA">
            <w:rPr>
              <w:rFonts w:cs="Times New Roman"/>
              <w:lang w:val="en-US"/>
            </w:rPr>
            <w:instrText xml:space="preserve"> CITATION Placeholder64 \l 1040 </w:instrText>
          </w:r>
          <w:r>
            <w:rPr>
              <w:rFonts w:cs="Times New Roman"/>
              <w:lang w:val="en-US"/>
            </w:rPr>
            <w:fldChar w:fldCharType="separate"/>
          </w:r>
          <w:r w:rsidR="00855396" w:rsidRPr="00855396">
            <w:rPr>
              <w:rFonts w:cs="Times New Roman"/>
              <w:noProof/>
              <w:lang w:val="en-US"/>
            </w:rPr>
            <w:t>[58]</w:t>
          </w:r>
          <w:r>
            <w:rPr>
              <w:rFonts w:cs="Times New Roman"/>
              <w:lang w:val="en-US"/>
            </w:rPr>
            <w:fldChar w:fldCharType="end"/>
          </w:r>
        </w:sdtContent>
      </w:sdt>
      <w:r w:rsidRPr="002A1CEA">
        <w:rPr>
          <w:rFonts w:cs="Times New Roman"/>
          <w:lang w:val="en-US"/>
        </w:rPr>
        <w:t>. The cooling techniques are summarized in the table below; in this section, the focus is placed on cooling systems based on PCMs. The heat generated inside lithium-ion batteries mainly comes from five sources: electrochemical reaction heat, ohmic internal resistance heat, polarization heat, electrolyte decomposition heat, and SEI film decomposition heat. Due to the complex internal structure of Li-ion batteries, it is difficult to accurately measure their internal heat generation in practice. To simplify the calculation, Bernardi</w:t>
      </w:r>
      <w:r>
        <w:rPr>
          <w:rFonts w:cs="Times New Roman"/>
          <w:lang w:val="en-US"/>
        </w:rPr>
        <w:t xml:space="preserve"> </w:t>
      </w:r>
      <w:sdt>
        <w:sdtPr>
          <w:rPr>
            <w:rFonts w:cs="Times New Roman"/>
            <w:lang w:val="en-US"/>
          </w:rPr>
          <w:id w:val="-1498499879"/>
          <w:citation/>
        </w:sdtPr>
        <w:sdtContent>
          <w:r>
            <w:rPr>
              <w:rFonts w:cs="Times New Roman"/>
              <w:lang w:val="en-US"/>
            </w:rPr>
            <w:fldChar w:fldCharType="begin"/>
          </w:r>
          <w:r w:rsidRPr="002A1CEA">
            <w:rPr>
              <w:rFonts w:cs="Times New Roman"/>
              <w:lang w:val="en-US"/>
            </w:rPr>
            <w:instrText xml:space="preserve"> CITATION Placeholder65 \l 1040 </w:instrText>
          </w:r>
          <w:r>
            <w:rPr>
              <w:rFonts w:cs="Times New Roman"/>
              <w:lang w:val="en-US"/>
            </w:rPr>
            <w:fldChar w:fldCharType="separate"/>
          </w:r>
          <w:r w:rsidR="00855396" w:rsidRPr="00855396">
            <w:rPr>
              <w:rFonts w:cs="Times New Roman"/>
              <w:noProof/>
              <w:lang w:val="en-US"/>
            </w:rPr>
            <w:t>[59]</w:t>
          </w:r>
          <w:r>
            <w:rPr>
              <w:rFonts w:cs="Times New Roman"/>
              <w:lang w:val="en-US"/>
            </w:rPr>
            <w:fldChar w:fldCharType="end"/>
          </w:r>
        </w:sdtContent>
      </w:sdt>
      <w:r w:rsidRPr="002A1CEA">
        <w:rPr>
          <w:rFonts w:cs="Times New Roman"/>
          <w:lang w:val="en-US"/>
        </w:rPr>
        <w:t xml:space="preserve"> proposed </w:t>
      </w:r>
      <w:r w:rsidRPr="002A1CEA">
        <w:rPr>
          <w:rFonts w:cs="Times New Roman"/>
          <w:lang w:val="en-US"/>
        </w:rPr>
        <w:lastRenderedPageBreak/>
        <w:t>a model</w:t>
      </w:r>
      <w:r w:rsidR="00C07D17">
        <w:rPr>
          <w:rFonts w:cs="Times New Roman"/>
          <w:lang w:val="en-US"/>
        </w:rPr>
        <w:t>,</w:t>
      </w:r>
      <w:r w:rsidRPr="002A1CEA">
        <w:rPr>
          <w:rFonts w:cs="Times New Roman"/>
          <w:lang w:val="en-US"/>
        </w:rPr>
        <w:t xml:space="preserve"> Eq. (13)</w:t>
      </w:r>
      <w:r w:rsidR="00C07D17">
        <w:rPr>
          <w:rFonts w:cs="Times New Roman"/>
          <w:lang w:val="en-US"/>
        </w:rPr>
        <w:t>,</w:t>
      </w:r>
      <w:r w:rsidRPr="002A1CEA">
        <w:rPr>
          <w:rFonts w:cs="Times New Roman"/>
          <w:lang w:val="en-US"/>
        </w:rPr>
        <w:t xml:space="preserve"> based on the principle of energy conservation, in which the heat generation of the battery (Q</w:t>
      </w:r>
      <w:r w:rsidRPr="002A1CEA">
        <w:rPr>
          <w:rFonts w:cs="Times New Roman"/>
          <w:vertAlign w:val="subscript"/>
          <w:lang w:val="en-US"/>
        </w:rPr>
        <w:t>B</w:t>
      </w:r>
      <w:r w:rsidRPr="002A1CEA">
        <w:rPr>
          <w:rFonts w:cs="Times New Roman"/>
          <w:lang w:val="en-US"/>
        </w:rPr>
        <w:t>) is mainly attributed to ohmic internal resistance and chemical reaction heat.</w:t>
      </w:r>
    </w:p>
    <w:p w14:paraId="28588663" w14:textId="77777777" w:rsidR="002A1CEA" w:rsidRPr="00C117AF" w:rsidRDefault="00000000" w:rsidP="002A1CEA">
      <w:pPr>
        <w:rPr>
          <w:rFonts w:ascii="Times New Roman" w:eastAsiaTheme="minorEastAsia" w:hAnsi="Times New Roman" w:cs="Times New Roman"/>
          <w:lang w:val="nb-NO"/>
        </w:rPr>
      </w:pPr>
      <m:oMathPara>
        <m:oMathParaPr>
          <m:jc m:val="right"/>
        </m:oMathParaPr>
        <m:oMath>
          <m:sSub>
            <m:sSubPr>
              <m:ctrlPr>
                <w:rPr>
                  <w:rFonts w:ascii="Cambria Math" w:hAnsi="Cambria Math" w:cs="Times New Roman"/>
                  <w:i/>
                  <w:lang w:val="nb-NO"/>
                </w:rPr>
              </m:ctrlPr>
            </m:sSubPr>
            <m:e>
              <m:r>
                <w:rPr>
                  <w:rFonts w:ascii="Cambria Math" w:hAnsi="Cambria Math" w:cs="Times New Roman"/>
                  <w:lang w:val="nb-NO"/>
                </w:rPr>
                <m:t>Q</m:t>
              </m:r>
            </m:e>
            <m:sub>
              <m:r>
                <w:rPr>
                  <w:rFonts w:ascii="Cambria Math" w:hAnsi="Cambria Math" w:cs="Times New Roman"/>
                  <w:lang w:val="nb-NO"/>
                </w:rPr>
                <m:t>B</m:t>
              </m:r>
            </m:sub>
          </m:sSub>
          <m:r>
            <w:rPr>
              <w:rFonts w:ascii="Cambria Math" w:hAnsi="Cambria Math" w:cs="Times New Roman"/>
              <w:lang w:val="nb-NO"/>
            </w:rPr>
            <m:t>=</m:t>
          </m:r>
          <m:f>
            <m:fPr>
              <m:ctrlPr>
                <w:rPr>
                  <w:rFonts w:ascii="Cambria Math" w:hAnsi="Cambria Math" w:cs="Times New Roman"/>
                  <w:i/>
                  <w:lang w:val="nb-NO"/>
                </w:rPr>
              </m:ctrlPr>
            </m:fPr>
            <m:num>
              <m:r>
                <w:rPr>
                  <w:rFonts w:ascii="Cambria Math" w:hAnsi="Cambria Math" w:cs="Times New Roman"/>
                  <w:lang w:val="nb-NO"/>
                </w:rPr>
                <m:t>I</m:t>
              </m:r>
            </m:num>
            <m:den>
              <m:sSub>
                <m:sSubPr>
                  <m:ctrlPr>
                    <w:rPr>
                      <w:rFonts w:ascii="Cambria Math" w:hAnsi="Cambria Math" w:cs="Times New Roman"/>
                      <w:i/>
                      <w:lang w:val="nb-NO"/>
                    </w:rPr>
                  </m:ctrlPr>
                </m:sSubPr>
                <m:e>
                  <m:r>
                    <w:rPr>
                      <w:rFonts w:ascii="Cambria Math" w:hAnsi="Cambria Math" w:cs="Times New Roman"/>
                      <w:lang w:val="nb-NO"/>
                    </w:rPr>
                    <m:t>V</m:t>
                  </m:r>
                </m:e>
                <m:sub>
                  <m:r>
                    <w:rPr>
                      <w:rFonts w:ascii="Cambria Math" w:hAnsi="Cambria Math" w:cs="Times New Roman"/>
                      <w:lang w:val="nb-NO"/>
                    </w:rPr>
                    <m:t>B</m:t>
                  </m:r>
                </m:sub>
              </m:sSub>
            </m:den>
          </m:f>
          <m:d>
            <m:dPr>
              <m:ctrlPr>
                <w:rPr>
                  <w:rFonts w:ascii="Cambria Math" w:hAnsi="Cambria Math" w:cs="Times New Roman"/>
                  <w:i/>
                  <w:lang w:val="nb-NO"/>
                </w:rPr>
              </m:ctrlPr>
            </m:dPr>
            <m:e>
              <m:r>
                <w:rPr>
                  <w:rFonts w:ascii="Cambria Math" w:hAnsi="Cambria Math" w:cs="Times New Roman"/>
                  <w:lang w:val="nb-NO"/>
                </w:rPr>
                <m:t>E-U-T</m:t>
              </m:r>
              <m:f>
                <m:fPr>
                  <m:ctrlPr>
                    <w:rPr>
                      <w:rFonts w:ascii="Cambria Math" w:hAnsi="Cambria Math" w:cs="Times New Roman"/>
                      <w:i/>
                      <w:lang w:val="nb-NO"/>
                    </w:rPr>
                  </m:ctrlPr>
                </m:fPr>
                <m:num>
                  <m:r>
                    <w:rPr>
                      <w:rFonts w:ascii="Cambria Math" w:hAnsi="Cambria Math" w:cs="Times New Roman"/>
                      <w:lang w:val="nb-NO"/>
                    </w:rPr>
                    <m:t>dE</m:t>
                  </m:r>
                </m:num>
                <m:den>
                  <m:r>
                    <w:rPr>
                      <w:rFonts w:ascii="Cambria Math" w:hAnsi="Cambria Math" w:cs="Times New Roman"/>
                      <w:lang w:val="nb-NO"/>
                    </w:rPr>
                    <m:t>dT</m:t>
                  </m:r>
                </m:den>
              </m:f>
            </m:e>
          </m:d>
          <m:r>
            <w:rPr>
              <w:rFonts w:ascii="Cambria Math" w:hAnsi="Cambria Math" w:cs="Times New Roman"/>
              <w:lang w:val="nb-NO"/>
            </w:rPr>
            <m:t xml:space="preserve">                                                                   (13)</m:t>
          </m:r>
        </m:oMath>
      </m:oMathPara>
    </w:p>
    <w:p w14:paraId="67284F6A" w14:textId="5383F8E2" w:rsidR="002A1CEA" w:rsidRPr="002A1CEA" w:rsidRDefault="002A1CEA" w:rsidP="002A1CEA">
      <w:pPr>
        <w:rPr>
          <w:rFonts w:cs="Times New Roman"/>
          <w:lang w:val="en-US"/>
        </w:rPr>
      </w:pPr>
      <w:r w:rsidRPr="002A1CEA">
        <w:rPr>
          <w:rFonts w:cs="Times New Roman"/>
          <w:lang w:val="en-US"/>
        </w:rPr>
        <w:t xml:space="preserve">Where </w:t>
      </w:r>
      <m:oMath>
        <m:r>
          <w:rPr>
            <w:rFonts w:ascii="Cambria Math" w:hAnsi="Cambria Math" w:cs="Times New Roman"/>
            <w:lang w:val="nb-NO"/>
          </w:rPr>
          <m:t>I</m:t>
        </m:r>
      </m:oMath>
      <w:r w:rsidRPr="002A1CEA">
        <w:rPr>
          <w:rFonts w:eastAsiaTheme="minorEastAsia" w:cs="Times New Roman"/>
          <w:lang w:val="en-US"/>
        </w:rPr>
        <w:t xml:space="preserve"> is the current of the battery, </w:t>
      </w:r>
      <m:oMath>
        <m:sSub>
          <m:sSubPr>
            <m:ctrlPr>
              <w:rPr>
                <w:rFonts w:ascii="Cambria Math" w:hAnsi="Cambria Math" w:cs="Times New Roman"/>
                <w:i/>
                <w:lang w:val="nb-NO"/>
              </w:rPr>
            </m:ctrlPr>
          </m:sSubPr>
          <m:e>
            <m:r>
              <w:rPr>
                <w:rFonts w:ascii="Cambria Math" w:hAnsi="Cambria Math" w:cs="Times New Roman"/>
                <w:lang w:val="nb-NO"/>
              </w:rPr>
              <m:t>V</m:t>
            </m:r>
          </m:e>
          <m:sub>
            <m:r>
              <w:rPr>
                <w:rFonts w:ascii="Cambria Math" w:hAnsi="Cambria Math" w:cs="Times New Roman"/>
                <w:lang w:val="nb-NO"/>
              </w:rPr>
              <m:t>B</m:t>
            </m:r>
          </m:sub>
        </m:sSub>
      </m:oMath>
      <w:r w:rsidRPr="002A1CEA">
        <w:rPr>
          <w:rFonts w:eastAsiaTheme="minorEastAsia" w:cs="Times New Roman"/>
          <w:lang w:val="en-US"/>
        </w:rPr>
        <w:t xml:space="preserve"> is the volume of the battery, </w:t>
      </w:r>
      <w:r w:rsidRPr="002A1CEA">
        <w:rPr>
          <w:rFonts w:cs="Times New Roman"/>
          <w:lang w:val="en-US"/>
        </w:rPr>
        <w:t xml:space="preserve"> </w:t>
      </w:r>
      <m:oMath>
        <m:r>
          <w:rPr>
            <w:rFonts w:ascii="Cambria Math" w:eastAsia="Cambria Math" w:hAnsi="Cambria Math" w:cs="Cambria Math"/>
            <w:lang w:val="nb-NO"/>
          </w:rPr>
          <m:t>E</m:t>
        </m:r>
      </m:oMath>
      <w:r w:rsidRPr="002A1CEA">
        <w:rPr>
          <w:rFonts w:cs="Times New Roman"/>
          <w:lang w:val="en-US"/>
        </w:rPr>
        <w:t xml:space="preserve"> is the open circuit voltage, U is the working voltage</w:t>
      </w:r>
      <w:r w:rsidR="00C07D17">
        <w:rPr>
          <w:rFonts w:cs="Times New Roman"/>
          <w:lang w:val="en-US"/>
        </w:rPr>
        <w:t>,</w:t>
      </w:r>
      <w:r w:rsidRPr="002A1CEA">
        <w:rPr>
          <w:rFonts w:cs="Times New Roman"/>
          <w:lang w:val="en-US"/>
        </w:rPr>
        <w:t xml:space="preserve"> and T is the battery temperature. The charging and discharging processes involve the migration of Li⁺ ions and electrons. During charging, lithium ions move from the positive electrode to the negative electrode through the electrolyte and separator. Electrons are collected by the positive current collector and conducted through the external circuit to the negative electrode, generating a charging current. During discharging, the electrochemical reactions that occur during charging are reversed. Figure 2</w:t>
      </w:r>
      <w:r>
        <w:rPr>
          <w:rFonts w:cs="Times New Roman"/>
          <w:lang w:val="en-US"/>
        </w:rPr>
        <w:t>.</w:t>
      </w:r>
      <w:r w:rsidRPr="002A1CEA">
        <w:rPr>
          <w:rFonts w:cs="Times New Roman"/>
          <w:lang w:val="en-US"/>
        </w:rPr>
        <w:t xml:space="preserve">3a illustrates the operating mechanism of a LiCoO₂/graphite lithium-ion battery during the charging and discharging phases. Temperature-related issues occur when the battery operates outside its acceptable working range. Moreover, an uneven temperature distribution within the battery can cause degradation and negatively affect its lifespan. As reported by Xia et al. </w:t>
      </w:r>
      <w:sdt>
        <w:sdtPr>
          <w:rPr>
            <w:rFonts w:cs="Times New Roman"/>
            <w:lang w:val="en-US"/>
          </w:rPr>
          <w:id w:val="1934171447"/>
          <w:citation/>
        </w:sdtPr>
        <w:sdtContent>
          <w:r>
            <w:rPr>
              <w:rFonts w:cs="Times New Roman"/>
              <w:lang w:val="en-US"/>
            </w:rPr>
            <w:fldChar w:fldCharType="begin"/>
          </w:r>
          <w:r w:rsidRPr="002A1CEA">
            <w:rPr>
              <w:rFonts w:cs="Times New Roman"/>
              <w:lang w:val="en-US"/>
            </w:rPr>
            <w:instrText xml:space="preserve"> CITATION Placeholder66 \l 1040 </w:instrText>
          </w:r>
          <w:r>
            <w:rPr>
              <w:rFonts w:cs="Times New Roman"/>
              <w:lang w:val="en-US"/>
            </w:rPr>
            <w:fldChar w:fldCharType="separate"/>
          </w:r>
          <w:r w:rsidR="00855396" w:rsidRPr="00855396">
            <w:rPr>
              <w:rFonts w:cs="Times New Roman"/>
              <w:noProof/>
              <w:lang w:val="en-US"/>
            </w:rPr>
            <w:t>[60]</w:t>
          </w:r>
          <w:r>
            <w:rPr>
              <w:rFonts w:cs="Times New Roman"/>
              <w:lang w:val="en-US"/>
            </w:rPr>
            <w:fldChar w:fldCharType="end"/>
          </w:r>
        </w:sdtContent>
      </w:sdt>
      <w:r w:rsidRPr="002A1CEA">
        <w:rPr>
          <w:rFonts w:cs="Times New Roman"/>
          <w:lang w:val="en-US"/>
        </w:rPr>
        <w:t xml:space="preserve">, lithium-ion batteries (LIBs) are recommended to operate within the ideal temperature range of 15–35 °C. If the temperature rises above 35 °C or drops below 15 °C, thermal management measures become necessary to keep the temperature within the acceptable range and below 60 °C, which is the safety limit for Li-ion cells </w:t>
      </w:r>
      <w:sdt>
        <w:sdtPr>
          <w:rPr>
            <w:rFonts w:cs="Times New Roman"/>
            <w:lang w:val="en-US"/>
          </w:rPr>
          <w:id w:val="-234009423"/>
          <w:citation/>
        </w:sdtPr>
        <w:sdtContent>
          <w:r>
            <w:rPr>
              <w:rFonts w:cs="Times New Roman"/>
              <w:lang w:val="en-US"/>
            </w:rPr>
            <w:fldChar w:fldCharType="begin"/>
          </w:r>
          <w:r w:rsidRPr="002A1CEA">
            <w:rPr>
              <w:rFonts w:cs="Times New Roman"/>
              <w:lang w:val="en-US"/>
            </w:rPr>
            <w:instrText xml:space="preserve"> CITATION Placeholder67 \l 1040 </w:instrText>
          </w:r>
          <w:r>
            <w:rPr>
              <w:rFonts w:cs="Times New Roman"/>
              <w:lang w:val="en-US"/>
            </w:rPr>
            <w:fldChar w:fldCharType="separate"/>
          </w:r>
          <w:r w:rsidR="00855396" w:rsidRPr="00855396">
            <w:rPr>
              <w:rFonts w:cs="Times New Roman"/>
              <w:noProof/>
              <w:lang w:val="en-US"/>
            </w:rPr>
            <w:t>[61]</w:t>
          </w:r>
          <w:r>
            <w:rPr>
              <w:rFonts w:cs="Times New Roman"/>
              <w:lang w:val="en-US"/>
            </w:rPr>
            <w:fldChar w:fldCharType="end"/>
          </w:r>
        </w:sdtContent>
      </w:sdt>
      <w:r w:rsidRPr="002A1CEA">
        <w:rPr>
          <w:rFonts w:cs="Times New Roman"/>
          <w:lang w:val="en-US"/>
        </w:rPr>
        <w:t>. The operating temperature has a significant effect on the efficiency of LIBs, as illustrated in Figure 2</w:t>
      </w:r>
      <w:r>
        <w:rPr>
          <w:rFonts w:cs="Times New Roman"/>
          <w:lang w:val="en-US"/>
        </w:rPr>
        <w:t>.</w:t>
      </w:r>
      <w:r w:rsidRPr="002A1CEA">
        <w:rPr>
          <w:rFonts w:cs="Times New Roman"/>
          <w:lang w:val="en-US"/>
        </w:rPr>
        <w:t>3b.</w:t>
      </w:r>
    </w:p>
    <w:p w14:paraId="1A38C435" w14:textId="77777777" w:rsidR="002A1CEA" w:rsidRDefault="002A1CEA" w:rsidP="002A1CEA">
      <w:pPr>
        <w:keepNext/>
        <w:jc w:val="center"/>
      </w:pPr>
      <w:r>
        <w:rPr>
          <w:noProof/>
        </w:rPr>
        <mc:AlternateContent>
          <mc:Choice Requires="wps">
            <w:drawing>
              <wp:anchor distT="45720" distB="45720" distL="114300" distR="114300" simplePos="0" relativeHeight="251706368" behindDoc="0" locked="0" layoutInCell="1" allowOverlap="1" wp14:anchorId="50F85DFE" wp14:editId="1D16F8DC">
                <wp:simplePos x="0" y="0"/>
                <wp:positionH relativeFrom="column">
                  <wp:posOffset>3069590</wp:posOffset>
                </wp:positionH>
                <wp:positionV relativeFrom="paragraph">
                  <wp:posOffset>124460</wp:posOffset>
                </wp:positionV>
                <wp:extent cx="381000" cy="457200"/>
                <wp:effectExtent l="0" t="0" r="0" b="0"/>
                <wp:wrapNone/>
                <wp:docPr id="12042892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457200"/>
                        </a:xfrm>
                        <a:prstGeom prst="rect">
                          <a:avLst/>
                        </a:prstGeom>
                        <a:noFill/>
                        <a:ln w="9525">
                          <a:noFill/>
                          <a:miter lim="800000"/>
                          <a:headEnd/>
                          <a:tailEnd/>
                        </a:ln>
                      </wps:spPr>
                      <wps:txbx>
                        <w:txbxContent>
                          <w:p w14:paraId="171C912B" w14:textId="77777777" w:rsidR="002A1CEA" w:rsidRPr="00187FE9" w:rsidRDefault="002A1CEA" w:rsidP="002A1CEA">
                            <w:pPr>
                              <w:rPr>
                                <w:lang w:val="en-US"/>
                              </w:rPr>
                            </w:pPr>
                            <w: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F85DFE" id="_x0000_s1037" type="#_x0000_t202" style="position:absolute;left:0;text-align:left;margin-left:241.7pt;margin-top:9.8pt;width:30pt;height:36pt;z-index:2517063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" filled="f" stroked="f">
                <v:textbox>
                  <w:txbxContent>
                    <w:p w14:paraId="171C912B" w14:textId="77777777" w:rsidR="002A1CEA" w:rsidRPr="00187FE9" w:rsidRDefault="002A1CEA" w:rsidP="002A1CEA">
                      <w:pPr>
                        <w:rPr>
                          <w:lang w:val="en-US"/>
                        </w:rPr>
                      </w:pPr>
                      <w:r>
                        <w:t>b)</w:t>
                      </w:r>
                    </w:p>
                  </w:txbxContent>
                </v:textbox>
              </v:shape>
            </w:pict>
          </mc:Fallback>
        </mc:AlternateContent>
      </w:r>
      <w:r>
        <w:rPr>
          <w:noProof/>
        </w:rPr>
        <mc:AlternateContent>
          <mc:Choice Requires="wps">
            <w:drawing>
              <wp:anchor distT="45720" distB="45720" distL="114300" distR="114300" simplePos="0" relativeHeight="251705344" behindDoc="0" locked="0" layoutInCell="1" allowOverlap="1" wp14:anchorId="5E778B63" wp14:editId="71E3E186">
                <wp:simplePos x="0" y="0"/>
                <wp:positionH relativeFrom="column">
                  <wp:posOffset>303530</wp:posOffset>
                </wp:positionH>
                <wp:positionV relativeFrom="paragraph">
                  <wp:posOffset>116840</wp:posOffset>
                </wp:positionV>
                <wp:extent cx="381000" cy="403860"/>
                <wp:effectExtent l="0" t="0" r="0" b="0"/>
                <wp:wrapNone/>
                <wp:docPr id="32920150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403860"/>
                        </a:xfrm>
                        <a:prstGeom prst="rect">
                          <a:avLst/>
                        </a:prstGeom>
                        <a:noFill/>
                        <a:ln w="9525">
                          <a:noFill/>
                          <a:miter lim="800000"/>
                          <a:headEnd/>
                          <a:tailEnd/>
                        </a:ln>
                      </wps:spPr>
                      <wps:txbx>
                        <w:txbxContent>
                          <w:p w14:paraId="333D436B" w14:textId="77777777" w:rsidR="002A1CEA" w:rsidRPr="00187FE9" w:rsidRDefault="002A1CEA" w:rsidP="002A1CEA">
                            <w:pPr>
                              <w:rPr>
                                <w:lang w:val="en-US"/>
                              </w:rPr>
                            </w:pPr>
                            <w: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778B63" id="_x0000_s1038" type="#_x0000_t202" style="position:absolute;left:0;text-align:left;margin-left:23.9pt;margin-top:9.2pt;width:30pt;height:31.8pt;z-index:2517053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" filled="f" stroked="f">
                <v:textbox>
                  <w:txbxContent>
                    <w:p w14:paraId="333D436B" w14:textId="77777777" w:rsidR="002A1CEA" w:rsidRPr="00187FE9" w:rsidRDefault="002A1CEA" w:rsidP="002A1CEA">
                      <w:pPr>
                        <w:rPr>
                          <w:lang w:val="en-US"/>
                        </w:rPr>
                      </w:pPr>
                      <w:r>
                        <w:t>a)</w:t>
                      </w:r>
                    </w:p>
                  </w:txbxContent>
                </v:textbox>
              </v:shape>
            </w:pict>
          </mc:Fallback>
        </mc:AlternateContent>
      </w:r>
      <w:r w:rsidRPr="00C117AF">
        <w:rPr>
          <w:rFonts w:ascii="Times New Roman" w:hAnsi="Times New Roman" w:cs="Times New Roman"/>
          <w:noProof/>
        </w:rPr>
        <w:drawing>
          <wp:inline distT="0" distB="0" distL="0" distR="0" wp14:anchorId="33927C4B" wp14:editId="15B70FFB">
            <wp:extent cx="4789714" cy="1707145"/>
            <wp:effectExtent l="0" t="0" r="0" b="7620"/>
            <wp:docPr id="123908369" name="Picture 1" descr="A diagram of a power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908369" name="Picture 1" descr="A diagram of a power line&#10;&#10;AI-generated content may be incorrect."/>
                    <pic:cNvPicPr/>
                  </pic:nvPicPr>
                  <pic:blipFill>
                    <a:blip r:embed="rId110"/>
                    <a:stretch>
                      <a:fillRect/>
                    </a:stretch>
                  </pic:blipFill>
                  <pic:spPr>
                    <a:xfrm>
                      <a:off x="0" y="0"/>
                      <a:ext cx="4803397" cy="1712022"/>
                    </a:xfrm>
                    <a:prstGeom prst="rect">
                      <a:avLst/>
                    </a:prstGeom>
                  </pic:spPr>
                </pic:pic>
              </a:graphicData>
            </a:graphic>
          </wp:inline>
        </w:drawing>
      </w:r>
    </w:p>
    <w:p w14:paraId="107B9257" w14:textId="314ED0D6" w:rsidR="002A1CEA" w:rsidRPr="002A1CEA" w:rsidRDefault="002A1CEA" w:rsidP="002A1CEA">
      <w:pPr>
        <w:keepNext/>
        <w:jc w:val="center"/>
        <w:rPr>
          <w:sz w:val="20"/>
          <w:szCs w:val="18"/>
          <w:lang w:val="en-US"/>
        </w:rPr>
      </w:pPr>
      <w:bookmarkStart w:id="84" w:name="_Toc214357730"/>
      <w:r w:rsidRPr="002A1CEA">
        <w:rPr>
          <w:sz w:val="20"/>
          <w:szCs w:val="18"/>
          <w:lang w:val="en-US"/>
        </w:rPr>
        <w:t xml:space="preserve">Figure </w:t>
      </w:r>
      <w:r w:rsidR="00F824A5">
        <w:rPr>
          <w:sz w:val="20"/>
          <w:szCs w:val="18"/>
          <w:lang w:val="en-US"/>
        </w:rPr>
        <w:fldChar w:fldCharType="begin"/>
      </w:r>
      <w:r w:rsidR="00F824A5">
        <w:rPr>
          <w:sz w:val="20"/>
          <w:szCs w:val="18"/>
          <w:lang w:val="en-US"/>
        </w:rPr>
        <w:instrText xml:space="preserve"> STYLEREF 1 \s </w:instrText>
      </w:r>
      <w:r w:rsidR="00F824A5">
        <w:rPr>
          <w:sz w:val="20"/>
          <w:szCs w:val="18"/>
          <w:lang w:val="en-US"/>
        </w:rPr>
        <w:fldChar w:fldCharType="separate"/>
      </w:r>
      <w:r w:rsidR="000412CE">
        <w:rPr>
          <w:noProof/>
          <w:sz w:val="20"/>
          <w:szCs w:val="18"/>
          <w:lang w:val="en-US"/>
        </w:rPr>
        <w:t>2</w:t>
      </w:r>
      <w:r w:rsidR="00F824A5">
        <w:rPr>
          <w:sz w:val="20"/>
          <w:szCs w:val="18"/>
          <w:lang w:val="en-US"/>
        </w:rPr>
        <w:fldChar w:fldCharType="end"/>
      </w:r>
      <w:r w:rsidR="00F824A5">
        <w:rPr>
          <w:sz w:val="20"/>
          <w:szCs w:val="18"/>
          <w:lang w:val="en-US"/>
        </w:rPr>
        <w:t>.</w:t>
      </w:r>
      <w:r w:rsidR="00F824A5">
        <w:rPr>
          <w:sz w:val="20"/>
          <w:szCs w:val="18"/>
          <w:lang w:val="en-US"/>
        </w:rPr>
        <w:fldChar w:fldCharType="begin"/>
      </w:r>
      <w:r w:rsidR="00F824A5">
        <w:rPr>
          <w:sz w:val="20"/>
          <w:szCs w:val="18"/>
          <w:lang w:val="en-US"/>
        </w:rPr>
        <w:instrText xml:space="preserve"> SEQ Figure \* ARABIC \s 1 </w:instrText>
      </w:r>
      <w:r w:rsidR="00F824A5">
        <w:rPr>
          <w:sz w:val="20"/>
          <w:szCs w:val="18"/>
          <w:lang w:val="en-US"/>
        </w:rPr>
        <w:fldChar w:fldCharType="separate"/>
      </w:r>
      <w:r w:rsidR="000412CE">
        <w:rPr>
          <w:noProof/>
          <w:sz w:val="20"/>
          <w:szCs w:val="18"/>
          <w:lang w:val="en-US"/>
        </w:rPr>
        <w:t>2</w:t>
      </w:r>
      <w:r w:rsidR="00F824A5">
        <w:rPr>
          <w:sz w:val="20"/>
          <w:szCs w:val="18"/>
          <w:lang w:val="en-US"/>
        </w:rPr>
        <w:fldChar w:fldCharType="end"/>
      </w:r>
      <w:r w:rsidR="00DE026D">
        <w:rPr>
          <w:sz w:val="20"/>
          <w:szCs w:val="18"/>
          <w:lang w:val="en-US"/>
        </w:rPr>
        <w:t>.</w:t>
      </w:r>
      <w:r w:rsidRPr="002A1CEA">
        <w:rPr>
          <w:sz w:val="20"/>
          <w:szCs w:val="18"/>
          <w:lang w:val="en-US"/>
        </w:rPr>
        <w:t xml:space="preserve"> Operating principles and temperature window for Li-ion batteries: (a) LiCoO₂/graphite cell during charge/discharge; (b) performance vs. temperature, with an ideal 15–35 °C range</w:t>
      </w:r>
      <w:r w:rsidR="005C3319">
        <w:rPr>
          <w:sz w:val="20"/>
          <w:szCs w:val="18"/>
          <w:lang w:val="en-US"/>
        </w:rPr>
        <w:t xml:space="preserve"> [60]</w:t>
      </w:r>
      <w:r w:rsidR="00A165BA">
        <w:rPr>
          <w:sz w:val="20"/>
          <w:szCs w:val="18"/>
          <w:lang w:val="en-US"/>
        </w:rPr>
        <w:t>.</w:t>
      </w:r>
      <w:bookmarkEnd w:id="84"/>
    </w:p>
    <w:p w14:paraId="01EC37AA" w14:textId="77777777" w:rsidR="002A1CEA" w:rsidRDefault="002A1CEA" w:rsidP="002A1CEA">
      <w:pPr>
        <w:rPr>
          <w:rFonts w:ascii="Times New Roman" w:hAnsi="Times New Roman" w:cs="Times New Roman"/>
          <w:lang w:val="en-US"/>
        </w:rPr>
      </w:pPr>
    </w:p>
    <w:p w14:paraId="65BB7061" w14:textId="77777777" w:rsidR="002A1CEA" w:rsidRDefault="002A1CEA" w:rsidP="002A1CEA">
      <w:pPr>
        <w:rPr>
          <w:rFonts w:ascii="Times New Roman" w:hAnsi="Times New Roman" w:cs="Times New Roman"/>
          <w:lang w:val="en-US"/>
        </w:rPr>
      </w:pPr>
    </w:p>
    <w:p w14:paraId="4C7572ED" w14:textId="77777777" w:rsidR="002A1CEA" w:rsidRDefault="002A1CEA" w:rsidP="002A1CEA">
      <w:pPr>
        <w:rPr>
          <w:rFonts w:ascii="Times New Roman" w:hAnsi="Times New Roman" w:cs="Times New Roman"/>
          <w:lang w:val="en-US"/>
        </w:rPr>
      </w:pPr>
    </w:p>
    <w:p w14:paraId="1C09EF35" w14:textId="77777777" w:rsidR="002A1CEA" w:rsidRDefault="002A1CEA" w:rsidP="002A1CEA">
      <w:pPr>
        <w:rPr>
          <w:rFonts w:ascii="Times New Roman" w:hAnsi="Times New Roman" w:cs="Times New Roman"/>
          <w:lang w:val="en-US"/>
        </w:rPr>
      </w:pPr>
    </w:p>
    <w:p w14:paraId="78B5F369" w14:textId="77777777" w:rsidR="002A1CEA" w:rsidRDefault="002A1CEA" w:rsidP="002A1CEA">
      <w:pPr>
        <w:rPr>
          <w:rFonts w:ascii="Times New Roman" w:hAnsi="Times New Roman" w:cs="Times New Roman"/>
          <w:lang w:val="en-US"/>
        </w:rPr>
      </w:pPr>
    </w:p>
    <w:p w14:paraId="7C161EAD" w14:textId="77777777" w:rsidR="002A1CEA" w:rsidRDefault="002A1CEA" w:rsidP="002A1CEA">
      <w:pPr>
        <w:rPr>
          <w:rFonts w:ascii="Times New Roman" w:hAnsi="Times New Roman" w:cs="Times New Roman"/>
          <w:lang w:val="en-US"/>
        </w:rPr>
      </w:pPr>
    </w:p>
    <w:p w14:paraId="62CDD9B1" w14:textId="783E49AC" w:rsidR="002A1CEA" w:rsidRPr="00804BCA" w:rsidRDefault="002A1CEA" w:rsidP="002A1CEA">
      <w:pPr>
        <w:rPr>
          <w:rFonts w:ascii="Times New Roman" w:hAnsi="Times New Roman" w:cs="Times New Roman"/>
          <w:lang w:val="en-US"/>
        </w:rPr>
      </w:pPr>
      <w:r w:rsidRPr="00804BCA">
        <w:rPr>
          <w:rFonts w:ascii="Times New Roman" w:hAnsi="Times New Roman" w:cs="Times New Roman"/>
          <w:lang w:val="en-US"/>
        </w:rPr>
        <w:t xml:space="preserve">Table </w:t>
      </w:r>
      <w:r>
        <w:rPr>
          <w:rFonts w:ascii="Times New Roman" w:hAnsi="Times New Roman" w:cs="Times New Roman"/>
          <w:lang w:val="en-US"/>
        </w:rPr>
        <w:t>2</w:t>
      </w:r>
      <w:r w:rsidR="00B67AF9">
        <w:rPr>
          <w:rFonts w:ascii="Times New Roman" w:hAnsi="Times New Roman" w:cs="Times New Roman"/>
          <w:lang w:val="en-US"/>
        </w:rPr>
        <w:t>.3</w:t>
      </w:r>
      <w:r w:rsidRPr="00804BCA">
        <w:rPr>
          <w:rFonts w:ascii="Times New Roman" w:hAnsi="Times New Roman" w:cs="Times New Roman"/>
          <w:lang w:val="en-US"/>
        </w:rPr>
        <w:t xml:space="preserve"> compares mainstream </w:t>
      </w:r>
      <w:r w:rsidR="00784D2D">
        <w:rPr>
          <w:rFonts w:ascii="Times New Roman" w:hAnsi="Times New Roman" w:cs="Times New Roman"/>
          <w:lang w:val="en-US"/>
        </w:rPr>
        <w:t>BTM</w:t>
      </w:r>
      <w:r w:rsidRPr="00804BCA">
        <w:rPr>
          <w:rFonts w:ascii="Times New Roman" w:hAnsi="Times New Roman" w:cs="Times New Roman"/>
          <w:lang w:val="en-US"/>
        </w:rPr>
        <w:t xml:space="preserve"> cooling methods, summarizing pros/cons and commercialization status.</w:t>
      </w:r>
    </w:p>
    <w:tbl>
      <w:tblPr>
        <w:tblStyle w:val="TableGrid"/>
        <w:tblW w:w="0" w:type="auto"/>
        <w:tblLook w:val="04A0" w:firstRow="1" w:lastRow="0" w:firstColumn="1" w:lastColumn="0" w:noHBand="0" w:noVBand="1"/>
      </w:tblPr>
      <w:tblGrid>
        <w:gridCol w:w="1719"/>
        <w:gridCol w:w="2480"/>
        <w:gridCol w:w="2536"/>
        <w:gridCol w:w="2325"/>
      </w:tblGrid>
      <w:tr w:rsidR="002A1CEA" w:rsidRPr="002A1CEA" w14:paraId="268539CC" w14:textId="77777777" w:rsidTr="002A1CEA">
        <w:tc>
          <w:tcPr>
            <w:tcW w:w="0" w:type="auto"/>
            <w:shd w:val="clear" w:color="auto" w:fill="8EA5B6"/>
            <w:vAlign w:val="center"/>
            <w:hideMark/>
          </w:tcPr>
          <w:p w14:paraId="0E253F09" w14:textId="77777777" w:rsidR="002A1CEA" w:rsidRPr="002A1CEA" w:rsidRDefault="002A1CEA" w:rsidP="002A1CEA">
            <w:pPr>
              <w:spacing w:after="160" w:line="259" w:lineRule="auto"/>
              <w:jc w:val="center"/>
              <w:rPr>
                <w:rFonts w:cs="Times New Roman"/>
                <w:b/>
                <w:bCs/>
                <w:sz w:val="22"/>
                <w:szCs w:val="20"/>
              </w:rPr>
            </w:pPr>
            <w:r w:rsidRPr="002A1CEA">
              <w:rPr>
                <w:rFonts w:cs="Times New Roman"/>
                <w:b/>
                <w:bCs/>
                <w:sz w:val="22"/>
                <w:szCs w:val="20"/>
              </w:rPr>
              <w:t>Cooling Method</w:t>
            </w:r>
          </w:p>
        </w:tc>
        <w:tc>
          <w:tcPr>
            <w:tcW w:w="0" w:type="auto"/>
            <w:shd w:val="clear" w:color="auto" w:fill="8EA5B6"/>
            <w:vAlign w:val="center"/>
            <w:hideMark/>
          </w:tcPr>
          <w:p w14:paraId="45EFE6AE" w14:textId="77777777" w:rsidR="002A1CEA" w:rsidRPr="002A1CEA" w:rsidRDefault="002A1CEA" w:rsidP="002A1CEA">
            <w:pPr>
              <w:spacing w:after="160" w:line="259" w:lineRule="auto"/>
              <w:jc w:val="center"/>
              <w:rPr>
                <w:rFonts w:cs="Times New Roman"/>
                <w:b/>
                <w:bCs/>
                <w:sz w:val="22"/>
                <w:szCs w:val="20"/>
              </w:rPr>
            </w:pPr>
            <w:r w:rsidRPr="002A1CEA">
              <w:rPr>
                <w:rFonts w:cs="Times New Roman"/>
                <w:b/>
                <w:bCs/>
                <w:sz w:val="22"/>
                <w:szCs w:val="20"/>
              </w:rPr>
              <w:t>Advantages</w:t>
            </w:r>
          </w:p>
        </w:tc>
        <w:tc>
          <w:tcPr>
            <w:tcW w:w="0" w:type="auto"/>
            <w:shd w:val="clear" w:color="auto" w:fill="8EA5B6"/>
            <w:vAlign w:val="center"/>
            <w:hideMark/>
          </w:tcPr>
          <w:p w14:paraId="1F7173B6" w14:textId="77777777" w:rsidR="002A1CEA" w:rsidRPr="002A1CEA" w:rsidRDefault="002A1CEA" w:rsidP="002A1CEA">
            <w:pPr>
              <w:spacing w:after="160" w:line="259" w:lineRule="auto"/>
              <w:jc w:val="center"/>
              <w:rPr>
                <w:rFonts w:cs="Times New Roman"/>
                <w:b/>
                <w:bCs/>
                <w:sz w:val="22"/>
                <w:szCs w:val="20"/>
              </w:rPr>
            </w:pPr>
            <w:r w:rsidRPr="002A1CEA">
              <w:rPr>
                <w:rFonts w:cs="Times New Roman"/>
                <w:b/>
                <w:bCs/>
                <w:sz w:val="22"/>
                <w:szCs w:val="20"/>
              </w:rPr>
              <w:t>Disadvantages</w:t>
            </w:r>
          </w:p>
        </w:tc>
        <w:tc>
          <w:tcPr>
            <w:tcW w:w="0" w:type="auto"/>
            <w:shd w:val="clear" w:color="auto" w:fill="8EA5B6"/>
            <w:vAlign w:val="center"/>
            <w:hideMark/>
          </w:tcPr>
          <w:p w14:paraId="5E70C011" w14:textId="77777777" w:rsidR="002A1CEA" w:rsidRPr="002A1CEA" w:rsidRDefault="002A1CEA" w:rsidP="002A1CEA">
            <w:pPr>
              <w:spacing w:after="160" w:line="259" w:lineRule="auto"/>
              <w:jc w:val="center"/>
              <w:rPr>
                <w:rFonts w:cs="Times New Roman"/>
                <w:b/>
                <w:bCs/>
                <w:sz w:val="22"/>
                <w:szCs w:val="20"/>
              </w:rPr>
            </w:pPr>
            <w:r w:rsidRPr="002A1CEA">
              <w:rPr>
                <w:rFonts w:cs="Times New Roman"/>
                <w:b/>
                <w:bCs/>
                <w:sz w:val="22"/>
                <w:szCs w:val="20"/>
              </w:rPr>
              <w:t>Commercialization</w:t>
            </w:r>
          </w:p>
        </w:tc>
      </w:tr>
      <w:tr w:rsidR="002A1CEA" w:rsidRPr="002A1CEA" w14:paraId="52B81602" w14:textId="77777777" w:rsidTr="002A1CEA">
        <w:tc>
          <w:tcPr>
            <w:tcW w:w="0" w:type="auto"/>
            <w:vAlign w:val="center"/>
            <w:hideMark/>
          </w:tcPr>
          <w:p w14:paraId="600716FB" w14:textId="77777777" w:rsidR="002A1CEA" w:rsidRPr="002A1CEA" w:rsidRDefault="002A1CEA" w:rsidP="002A1CEA">
            <w:pPr>
              <w:spacing w:after="160" w:line="259" w:lineRule="auto"/>
              <w:jc w:val="center"/>
              <w:rPr>
                <w:rFonts w:cs="Times New Roman"/>
                <w:sz w:val="22"/>
                <w:szCs w:val="20"/>
              </w:rPr>
            </w:pPr>
            <w:r w:rsidRPr="002A1CEA">
              <w:rPr>
                <w:rFonts w:cs="Times New Roman"/>
                <w:sz w:val="22"/>
                <w:szCs w:val="20"/>
              </w:rPr>
              <w:t>Air cooling</w:t>
            </w:r>
          </w:p>
        </w:tc>
        <w:tc>
          <w:tcPr>
            <w:tcW w:w="0" w:type="auto"/>
            <w:vAlign w:val="center"/>
            <w:hideMark/>
          </w:tcPr>
          <w:p w14:paraId="0B098D27" w14:textId="77777777" w:rsidR="002A1CEA" w:rsidRPr="002A1CEA" w:rsidRDefault="002A1CEA" w:rsidP="002A1CEA">
            <w:pPr>
              <w:spacing w:after="160" w:line="259" w:lineRule="auto"/>
              <w:jc w:val="center"/>
              <w:rPr>
                <w:rFonts w:cs="Times New Roman"/>
                <w:sz w:val="22"/>
                <w:szCs w:val="20"/>
                <w:lang w:val="en-US"/>
              </w:rPr>
            </w:pPr>
            <w:r w:rsidRPr="002A1CEA">
              <w:rPr>
                <w:rFonts w:cs="Times New Roman"/>
                <w:sz w:val="22"/>
                <w:szCs w:val="20"/>
                <w:lang w:val="en-US"/>
              </w:rPr>
              <w:t>Simple configuration and operation; Lightweight; Economical; Extended lifespan; Simple maintenance; Highly popularized; Substantial temperature drops; Suitable for specific cell types</w:t>
            </w:r>
          </w:p>
        </w:tc>
        <w:tc>
          <w:tcPr>
            <w:tcW w:w="0" w:type="auto"/>
            <w:vAlign w:val="center"/>
            <w:hideMark/>
          </w:tcPr>
          <w:p w14:paraId="0878CF36" w14:textId="77777777" w:rsidR="002A1CEA" w:rsidRPr="002A1CEA" w:rsidRDefault="002A1CEA" w:rsidP="002A1CEA">
            <w:pPr>
              <w:spacing w:after="160" w:line="259" w:lineRule="auto"/>
              <w:jc w:val="center"/>
              <w:rPr>
                <w:rFonts w:cs="Times New Roman"/>
                <w:sz w:val="22"/>
                <w:szCs w:val="20"/>
                <w:lang w:val="en-US"/>
              </w:rPr>
            </w:pPr>
            <w:r w:rsidRPr="002A1CEA">
              <w:rPr>
                <w:rFonts w:cs="Times New Roman"/>
                <w:sz w:val="22"/>
                <w:szCs w:val="20"/>
                <w:lang w:val="en-US"/>
              </w:rPr>
              <w:t>Inefficient cooling capability; Non-uniform temperature distribution; Reduced heat transfer coefficient; Relies on ambient air temperature; Additional weight</w:t>
            </w:r>
          </w:p>
        </w:tc>
        <w:tc>
          <w:tcPr>
            <w:tcW w:w="0" w:type="auto"/>
            <w:vAlign w:val="center"/>
            <w:hideMark/>
          </w:tcPr>
          <w:p w14:paraId="1DB20D61" w14:textId="77777777" w:rsidR="002A1CEA" w:rsidRPr="002A1CEA" w:rsidRDefault="002A1CEA" w:rsidP="002A1CEA">
            <w:pPr>
              <w:spacing w:after="160" w:line="259" w:lineRule="auto"/>
              <w:jc w:val="center"/>
              <w:rPr>
                <w:rFonts w:cs="Times New Roman"/>
                <w:sz w:val="22"/>
                <w:szCs w:val="20"/>
              </w:rPr>
            </w:pPr>
            <w:r w:rsidRPr="002A1CEA">
              <w:rPr>
                <w:rFonts w:cs="Times New Roman"/>
                <w:sz w:val="22"/>
                <w:szCs w:val="20"/>
              </w:rPr>
              <w:t>Buses, cars</w:t>
            </w:r>
          </w:p>
        </w:tc>
      </w:tr>
      <w:tr w:rsidR="002A1CEA" w:rsidRPr="002A1CEA" w14:paraId="67A97819" w14:textId="77777777" w:rsidTr="002A1CEA">
        <w:tc>
          <w:tcPr>
            <w:tcW w:w="0" w:type="auto"/>
            <w:vAlign w:val="center"/>
            <w:hideMark/>
          </w:tcPr>
          <w:p w14:paraId="7B312769" w14:textId="77777777" w:rsidR="002A1CEA" w:rsidRPr="002A1CEA" w:rsidRDefault="002A1CEA" w:rsidP="002A1CEA">
            <w:pPr>
              <w:spacing w:after="160" w:line="259" w:lineRule="auto"/>
              <w:jc w:val="center"/>
              <w:rPr>
                <w:rFonts w:cs="Times New Roman"/>
                <w:sz w:val="22"/>
                <w:szCs w:val="20"/>
              </w:rPr>
            </w:pPr>
            <w:r w:rsidRPr="002A1CEA">
              <w:rPr>
                <w:rFonts w:cs="Times New Roman"/>
                <w:sz w:val="22"/>
                <w:szCs w:val="20"/>
              </w:rPr>
              <w:t>Liquid cooling</w:t>
            </w:r>
          </w:p>
        </w:tc>
        <w:tc>
          <w:tcPr>
            <w:tcW w:w="0" w:type="auto"/>
            <w:vAlign w:val="center"/>
            <w:hideMark/>
          </w:tcPr>
          <w:p w14:paraId="27C1DB6F" w14:textId="77777777" w:rsidR="002A1CEA" w:rsidRPr="002A1CEA" w:rsidRDefault="002A1CEA" w:rsidP="002A1CEA">
            <w:pPr>
              <w:spacing w:after="160" w:line="259" w:lineRule="auto"/>
              <w:jc w:val="center"/>
              <w:rPr>
                <w:rFonts w:cs="Times New Roman"/>
                <w:sz w:val="22"/>
                <w:szCs w:val="20"/>
                <w:lang w:val="en-US"/>
              </w:rPr>
            </w:pPr>
            <w:r w:rsidRPr="002A1CEA">
              <w:rPr>
                <w:rFonts w:cs="Times New Roman"/>
                <w:sz w:val="22"/>
                <w:szCs w:val="20"/>
                <w:lang w:val="en-US"/>
              </w:rPr>
              <w:t>High cooling efficiency; Compact structure; Enhanced temperature distribution; Higher heat transfer</w:t>
            </w:r>
          </w:p>
        </w:tc>
        <w:tc>
          <w:tcPr>
            <w:tcW w:w="0" w:type="auto"/>
            <w:vAlign w:val="center"/>
            <w:hideMark/>
          </w:tcPr>
          <w:p w14:paraId="530C0791" w14:textId="77777777" w:rsidR="002A1CEA" w:rsidRPr="002A1CEA" w:rsidRDefault="002A1CEA" w:rsidP="002A1CEA">
            <w:pPr>
              <w:spacing w:after="160" w:line="259" w:lineRule="auto"/>
              <w:jc w:val="center"/>
              <w:rPr>
                <w:rFonts w:cs="Times New Roman"/>
                <w:sz w:val="22"/>
                <w:szCs w:val="20"/>
                <w:lang w:val="en-US"/>
              </w:rPr>
            </w:pPr>
            <w:r w:rsidRPr="002A1CEA">
              <w:rPr>
                <w:rFonts w:cs="Times New Roman"/>
                <w:sz w:val="22"/>
                <w:szCs w:val="20"/>
                <w:lang w:val="en-US"/>
              </w:rPr>
              <w:t>High initial cost; Difficult maintenance; Leakage issues; Limited lifespan; Power consumption for pumps</w:t>
            </w:r>
          </w:p>
        </w:tc>
        <w:tc>
          <w:tcPr>
            <w:tcW w:w="0" w:type="auto"/>
            <w:vAlign w:val="center"/>
            <w:hideMark/>
          </w:tcPr>
          <w:p w14:paraId="0F8B2224" w14:textId="77777777" w:rsidR="002A1CEA" w:rsidRPr="002A1CEA" w:rsidRDefault="002A1CEA" w:rsidP="002A1CEA">
            <w:pPr>
              <w:spacing w:after="160" w:line="259" w:lineRule="auto"/>
              <w:jc w:val="center"/>
              <w:rPr>
                <w:rFonts w:cs="Times New Roman"/>
                <w:sz w:val="22"/>
                <w:szCs w:val="20"/>
              </w:rPr>
            </w:pPr>
            <w:r w:rsidRPr="002A1CEA">
              <w:rPr>
                <w:rFonts w:cs="Times New Roman"/>
                <w:sz w:val="22"/>
                <w:szCs w:val="20"/>
              </w:rPr>
              <w:t>Logistics cars, sports cars</w:t>
            </w:r>
          </w:p>
        </w:tc>
      </w:tr>
      <w:tr w:rsidR="002A1CEA" w:rsidRPr="002A1CEA" w14:paraId="0BB7EB4F" w14:textId="77777777" w:rsidTr="002A1CEA">
        <w:tc>
          <w:tcPr>
            <w:tcW w:w="0" w:type="auto"/>
            <w:vAlign w:val="center"/>
            <w:hideMark/>
          </w:tcPr>
          <w:p w14:paraId="6B7139AF" w14:textId="77777777" w:rsidR="002A1CEA" w:rsidRPr="002A1CEA" w:rsidRDefault="002A1CEA" w:rsidP="002A1CEA">
            <w:pPr>
              <w:spacing w:after="160" w:line="259" w:lineRule="auto"/>
              <w:jc w:val="center"/>
              <w:rPr>
                <w:rFonts w:cs="Times New Roman"/>
                <w:sz w:val="22"/>
                <w:szCs w:val="20"/>
              </w:rPr>
            </w:pPr>
            <w:r w:rsidRPr="002A1CEA">
              <w:rPr>
                <w:rFonts w:cs="Times New Roman"/>
                <w:sz w:val="22"/>
                <w:szCs w:val="20"/>
              </w:rPr>
              <w:t>Thermoelectric cooling</w:t>
            </w:r>
          </w:p>
        </w:tc>
        <w:tc>
          <w:tcPr>
            <w:tcW w:w="0" w:type="auto"/>
            <w:vAlign w:val="center"/>
            <w:hideMark/>
          </w:tcPr>
          <w:p w14:paraId="71BEF046" w14:textId="77777777" w:rsidR="002A1CEA" w:rsidRPr="002A1CEA" w:rsidRDefault="002A1CEA" w:rsidP="002A1CEA">
            <w:pPr>
              <w:spacing w:after="160" w:line="259" w:lineRule="auto"/>
              <w:jc w:val="center"/>
              <w:rPr>
                <w:rFonts w:cs="Times New Roman"/>
                <w:sz w:val="22"/>
                <w:szCs w:val="20"/>
                <w:lang w:val="en-US"/>
              </w:rPr>
            </w:pPr>
            <w:r w:rsidRPr="002A1CEA">
              <w:rPr>
                <w:rFonts w:cs="Times New Roman"/>
                <w:sz w:val="22"/>
                <w:szCs w:val="20"/>
                <w:lang w:val="en-US"/>
              </w:rPr>
              <w:t>Commonly used; Stagnant device; No internal chemical reactions; Noise-free; Reliable; No release of harmful gases; Low maintenance costs</w:t>
            </w:r>
          </w:p>
        </w:tc>
        <w:tc>
          <w:tcPr>
            <w:tcW w:w="0" w:type="auto"/>
            <w:vAlign w:val="center"/>
            <w:hideMark/>
          </w:tcPr>
          <w:p w14:paraId="45149774" w14:textId="77777777" w:rsidR="002A1CEA" w:rsidRPr="002A1CEA" w:rsidRDefault="002A1CEA" w:rsidP="002A1CEA">
            <w:pPr>
              <w:spacing w:after="160" w:line="259" w:lineRule="auto"/>
              <w:jc w:val="center"/>
              <w:rPr>
                <w:rFonts w:cs="Times New Roman"/>
                <w:sz w:val="22"/>
                <w:szCs w:val="20"/>
                <w:lang w:val="en-US"/>
              </w:rPr>
            </w:pPr>
            <w:r w:rsidRPr="002A1CEA">
              <w:rPr>
                <w:rFonts w:cs="Times New Roman"/>
                <w:sz w:val="22"/>
                <w:szCs w:val="20"/>
                <w:lang w:val="en-US"/>
              </w:rPr>
              <w:t>Requires supplementary power; High cost; Low energy efficiency</w:t>
            </w:r>
          </w:p>
        </w:tc>
        <w:tc>
          <w:tcPr>
            <w:tcW w:w="0" w:type="auto"/>
            <w:vAlign w:val="center"/>
            <w:hideMark/>
          </w:tcPr>
          <w:p w14:paraId="420317E1" w14:textId="77777777" w:rsidR="002A1CEA" w:rsidRPr="002A1CEA" w:rsidRDefault="002A1CEA" w:rsidP="002A1CEA">
            <w:pPr>
              <w:spacing w:after="160" w:line="259" w:lineRule="auto"/>
              <w:jc w:val="center"/>
              <w:rPr>
                <w:rFonts w:cs="Times New Roman"/>
                <w:sz w:val="22"/>
                <w:szCs w:val="20"/>
              </w:rPr>
            </w:pPr>
            <w:r w:rsidRPr="002A1CEA">
              <w:rPr>
                <w:rFonts w:cs="Times New Roman"/>
                <w:sz w:val="22"/>
                <w:szCs w:val="20"/>
              </w:rPr>
              <w:t>Not commercialized</w:t>
            </w:r>
          </w:p>
        </w:tc>
      </w:tr>
      <w:tr w:rsidR="002A1CEA" w:rsidRPr="00736B36" w14:paraId="5A2C38C2" w14:textId="77777777" w:rsidTr="002A1CEA">
        <w:tc>
          <w:tcPr>
            <w:tcW w:w="0" w:type="auto"/>
            <w:vAlign w:val="center"/>
            <w:hideMark/>
          </w:tcPr>
          <w:p w14:paraId="29CADDA3" w14:textId="77777777" w:rsidR="002A1CEA" w:rsidRPr="002A1CEA" w:rsidRDefault="002A1CEA" w:rsidP="002A1CEA">
            <w:pPr>
              <w:spacing w:after="160" w:line="259" w:lineRule="auto"/>
              <w:jc w:val="center"/>
              <w:rPr>
                <w:rFonts w:cs="Times New Roman"/>
                <w:sz w:val="22"/>
                <w:szCs w:val="20"/>
              </w:rPr>
            </w:pPr>
            <w:r w:rsidRPr="002A1CEA">
              <w:rPr>
                <w:rFonts w:cs="Times New Roman"/>
                <w:sz w:val="22"/>
                <w:szCs w:val="20"/>
              </w:rPr>
              <w:t>Heat pipe cooling</w:t>
            </w:r>
          </w:p>
        </w:tc>
        <w:tc>
          <w:tcPr>
            <w:tcW w:w="0" w:type="auto"/>
            <w:vAlign w:val="center"/>
            <w:hideMark/>
          </w:tcPr>
          <w:p w14:paraId="66A588EF" w14:textId="77777777" w:rsidR="002A1CEA" w:rsidRPr="002A1CEA" w:rsidRDefault="002A1CEA" w:rsidP="002A1CEA">
            <w:pPr>
              <w:spacing w:after="160" w:line="259" w:lineRule="auto"/>
              <w:jc w:val="center"/>
              <w:rPr>
                <w:rFonts w:cs="Times New Roman"/>
                <w:sz w:val="22"/>
                <w:szCs w:val="20"/>
                <w:lang w:val="en-US"/>
              </w:rPr>
            </w:pPr>
            <w:r w:rsidRPr="002A1CEA">
              <w:rPr>
                <w:rFonts w:cs="Times New Roman"/>
                <w:sz w:val="22"/>
                <w:szCs w:val="20"/>
                <w:lang w:val="en-US"/>
              </w:rPr>
              <w:t>No mechanical components; Compact design; Lightweight and flexible; Minimal maintenance; Long cycle life</w:t>
            </w:r>
          </w:p>
        </w:tc>
        <w:tc>
          <w:tcPr>
            <w:tcW w:w="0" w:type="auto"/>
            <w:vAlign w:val="center"/>
            <w:hideMark/>
          </w:tcPr>
          <w:p w14:paraId="7783270A" w14:textId="77777777" w:rsidR="002A1CEA" w:rsidRPr="002A1CEA" w:rsidRDefault="002A1CEA" w:rsidP="002A1CEA">
            <w:pPr>
              <w:spacing w:after="160" w:line="259" w:lineRule="auto"/>
              <w:jc w:val="center"/>
              <w:rPr>
                <w:rFonts w:cs="Times New Roman"/>
                <w:sz w:val="22"/>
                <w:szCs w:val="20"/>
                <w:lang w:val="en-US"/>
              </w:rPr>
            </w:pPr>
            <w:r w:rsidRPr="002A1CEA">
              <w:rPr>
                <w:rFonts w:cs="Times New Roman"/>
                <w:sz w:val="22"/>
                <w:szCs w:val="20"/>
                <w:lang w:val="en-US"/>
              </w:rPr>
              <w:t>Limited storage capacity; Low efficiency; Reduced contact surface area</w:t>
            </w:r>
          </w:p>
        </w:tc>
        <w:tc>
          <w:tcPr>
            <w:tcW w:w="0" w:type="auto"/>
            <w:vAlign w:val="center"/>
            <w:hideMark/>
          </w:tcPr>
          <w:p w14:paraId="7D7DB240" w14:textId="77777777" w:rsidR="002A1CEA" w:rsidRPr="002A1CEA" w:rsidRDefault="002A1CEA" w:rsidP="002A1CEA">
            <w:pPr>
              <w:spacing w:after="160" w:line="259" w:lineRule="auto"/>
              <w:jc w:val="center"/>
              <w:rPr>
                <w:rFonts w:cs="Times New Roman"/>
                <w:sz w:val="22"/>
                <w:szCs w:val="20"/>
                <w:lang w:val="en-US"/>
              </w:rPr>
            </w:pPr>
            <w:r w:rsidRPr="002A1CEA">
              <w:rPr>
                <w:rFonts w:cs="Times New Roman"/>
                <w:sz w:val="22"/>
                <w:szCs w:val="20"/>
                <w:lang w:val="en-US"/>
              </w:rPr>
              <w:t>Currently under experimental evaluation in laboratories</w:t>
            </w:r>
          </w:p>
        </w:tc>
      </w:tr>
      <w:tr w:rsidR="002A1CEA" w:rsidRPr="00736B36" w14:paraId="5E17F758" w14:textId="77777777" w:rsidTr="002A1CEA">
        <w:tc>
          <w:tcPr>
            <w:tcW w:w="0" w:type="auto"/>
            <w:vAlign w:val="center"/>
            <w:hideMark/>
          </w:tcPr>
          <w:p w14:paraId="6D8A5FE3" w14:textId="77777777" w:rsidR="002A1CEA" w:rsidRPr="002A1CEA" w:rsidRDefault="002A1CEA" w:rsidP="002A1CEA">
            <w:pPr>
              <w:spacing w:after="160" w:line="259" w:lineRule="auto"/>
              <w:jc w:val="center"/>
              <w:rPr>
                <w:rFonts w:cs="Times New Roman"/>
                <w:sz w:val="22"/>
                <w:szCs w:val="20"/>
              </w:rPr>
            </w:pPr>
            <w:r w:rsidRPr="002A1CEA">
              <w:rPr>
                <w:rFonts w:cs="Times New Roman"/>
                <w:sz w:val="22"/>
                <w:szCs w:val="20"/>
              </w:rPr>
              <w:lastRenderedPageBreak/>
              <w:t>PCM cooling</w:t>
            </w:r>
          </w:p>
        </w:tc>
        <w:tc>
          <w:tcPr>
            <w:tcW w:w="0" w:type="auto"/>
            <w:vAlign w:val="center"/>
            <w:hideMark/>
          </w:tcPr>
          <w:p w14:paraId="708D7981" w14:textId="77777777" w:rsidR="002A1CEA" w:rsidRPr="002A1CEA" w:rsidRDefault="002A1CEA" w:rsidP="002A1CEA">
            <w:pPr>
              <w:spacing w:after="160" w:line="259" w:lineRule="auto"/>
              <w:jc w:val="center"/>
              <w:rPr>
                <w:rFonts w:cs="Times New Roman"/>
                <w:sz w:val="22"/>
                <w:szCs w:val="20"/>
                <w:lang w:val="en-US"/>
              </w:rPr>
            </w:pPr>
            <w:r w:rsidRPr="002A1CEA">
              <w:rPr>
                <w:rFonts w:cs="Times New Roman"/>
                <w:sz w:val="22"/>
                <w:szCs w:val="20"/>
                <w:lang w:val="en-US"/>
              </w:rPr>
              <w:t>Simple configuration; High efficiency; Low weight; Good temperature uniformity; Long lifespan; Suitable for specific conditions; High compactness; Good energy storage capacity</w:t>
            </w:r>
          </w:p>
        </w:tc>
        <w:tc>
          <w:tcPr>
            <w:tcW w:w="0" w:type="auto"/>
            <w:vAlign w:val="center"/>
            <w:hideMark/>
          </w:tcPr>
          <w:p w14:paraId="7E7B3562" w14:textId="77777777" w:rsidR="002A1CEA" w:rsidRPr="002A1CEA" w:rsidRDefault="002A1CEA" w:rsidP="002A1CEA">
            <w:pPr>
              <w:spacing w:after="160" w:line="259" w:lineRule="auto"/>
              <w:jc w:val="center"/>
              <w:rPr>
                <w:rFonts w:cs="Times New Roman"/>
                <w:sz w:val="22"/>
                <w:szCs w:val="20"/>
                <w:lang w:val="en-US"/>
              </w:rPr>
            </w:pPr>
            <w:r w:rsidRPr="002A1CEA">
              <w:rPr>
                <w:rFonts w:cs="Times New Roman"/>
                <w:sz w:val="22"/>
                <w:szCs w:val="20"/>
                <w:lang w:val="en-US"/>
              </w:rPr>
              <w:t>Expensive renewal and maintenance; Low thermal conductivity; Risk of leakage; PCM restoration required; Possible supercooling issues; Volume change during phase transition</w:t>
            </w:r>
          </w:p>
        </w:tc>
        <w:tc>
          <w:tcPr>
            <w:tcW w:w="0" w:type="auto"/>
            <w:vAlign w:val="center"/>
            <w:hideMark/>
          </w:tcPr>
          <w:p w14:paraId="57BBE39E" w14:textId="77777777" w:rsidR="002A1CEA" w:rsidRPr="002A1CEA" w:rsidRDefault="002A1CEA" w:rsidP="002A1CEA">
            <w:pPr>
              <w:keepNext/>
              <w:spacing w:after="160" w:line="259" w:lineRule="auto"/>
              <w:jc w:val="center"/>
              <w:rPr>
                <w:rFonts w:cs="Times New Roman"/>
                <w:sz w:val="22"/>
                <w:szCs w:val="20"/>
                <w:lang w:val="en-US"/>
              </w:rPr>
            </w:pPr>
            <w:r w:rsidRPr="002A1CEA">
              <w:rPr>
                <w:rFonts w:cs="Times New Roman"/>
                <w:sz w:val="22"/>
                <w:szCs w:val="20"/>
                <w:lang w:val="en-US"/>
              </w:rPr>
              <w:t>Currently being tested in laboratories</w:t>
            </w:r>
          </w:p>
        </w:tc>
      </w:tr>
    </w:tbl>
    <w:p w14:paraId="634057BF" w14:textId="13689612" w:rsidR="002A1CEA" w:rsidRPr="002A1CEA" w:rsidRDefault="002A1CEA">
      <w:pPr>
        <w:pStyle w:val="Caption"/>
        <w:rPr>
          <w:sz w:val="20"/>
          <w:szCs w:val="16"/>
        </w:rPr>
      </w:pPr>
      <w:bookmarkStart w:id="85" w:name="_Toc214362631"/>
      <w:r w:rsidRPr="002A1CEA">
        <w:rPr>
          <w:sz w:val="20"/>
          <w:szCs w:val="16"/>
        </w:rPr>
        <w:t xml:space="preserve">Table </w:t>
      </w:r>
      <w:r w:rsidR="00F43E9A">
        <w:rPr>
          <w:sz w:val="20"/>
          <w:szCs w:val="16"/>
        </w:rPr>
        <w:fldChar w:fldCharType="begin"/>
      </w:r>
      <w:r w:rsidR="00F43E9A">
        <w:rPr>
          <w:sz w:val="20"/>
          <w:szCs w:val="16"/>
        </w:rPr>
        <w:instrText xml:space="preserve"> STYLEREF 1 \s </w:instrText>
      </w:r>
      <w:r w:rsidR="00F43E9A">
        <w:rPr>
          <w:sz w:val="20"/>
          <w:szCs w:val="16"/>
        </w:rPr>
        <w:fldChar w:fldCharType="separate"/>
      </w:r>
      <w:r w:rsidR="000412CE">
        <w:rPr>
          <w:noProof/>
          <w:sz w:val="20"/>
          <w:szCs w:val="16"/>
        </w:rPr>
        <w:t>2</w:t>
      </w:r>
      <w:r w:rsidR="00F43E9A">
        <w:rPr>
          <w:sz w:val="20"/>
          <w:szCs w:val="16"/>
        </w:rPr>
        <w:fldChar w:fldCharType="end"/>
      </w:r>
      <w:r w:rsidR="00F43E9A">
        <w:rPr>
          <w:sz w:val="20"/>
          <w:szCs w:val="16"/>
        </w:rPr>
        <w:t>.</w:t>
      </w:r>
      <w:r w:rsidR="00F43E9A">
        <w:rPr>
          <w:sz w:val="20"/>
          <w:szCs w:val="16"/>
        </w:rPr>
        <w:fldChar w:fldCharType="begin"/>
      </w:r>
      <w:r w:rsidR="00F43E9A">
        <w:rPr>
          <w:sz w:val="20"/>
          <w:szCs w:val="16"/>
        </w:rPr>
        <w:instrText xml:space="preserve"> SEQ Table \* ARABIC \s 1 </w:instrText>
      </w:r>
      <w:r w:rsidR="00F43E9A">
        <w:rPr>
          <w:sz w:val="20"/>
          <w:szCs w:val="16"/>
        </w:rPr>
        <w:fldChar w:fldCharType="separate"/>
      </w:r>
      <w:r w:rsidR="000412CE">
        <w:rPr>
          <w:noProof/>
          <w:sz w:val="20"/>
          <w:szCs w:val="16"/>
        </w:rPr>
        <w:t>3</w:t>
      </w:r>
      <w:r w:rsidR="00F43E9A">
        <w:rPr>
          <w:sz w:val="20"/>
          <w:szCs w:val="16"/>
        </w:rPr>
        <w:fldChar w:fldCharType="end"/>
      </w:r>
      <w:r w:rsidR="00DE026D">
        <w:rPr>
          <w:sz w:val="20"/>
          <w:szCs w:val="16"/>
        </w:rPr>
        <w:t>.</w:t>
      </w:r>
      <w:r w:rsidRPr="002A1CEA">
        <w:rPr>
          <w:sz w:val="20"/>
          <w:szCs w:val="16"/>
        </w:rPr>
        <w:t xml:space="preserve"> Cooling methods for Li-ion battery packs: air, liquid, thermoelectric, heat pipe, and PCM. Key advantages, disadvantages, and commercialization.</w:t>
      </w:r>
      <w:bookmarkEnd w:id="85"/>
    </w:p>
    <w:p w14:paraId="2C9325D4" w14:textId="23CF9784" w:rsidR="002A1CEA" w:rsidRPr="002A1CEA" w:rsidRDefault="002A1CEA" w:rsidP="002A1CEA">
      <w:pPr>
        <w:rPr>
          <w:rFonts w:cs="Times New Roman"/>
          <w:lang w:val="en-US"/>
        </w:rPr>
      </w:pPr>
      <w:r w:rsidRPr="002A1CEA">
        <w:rPr>
          <w:rFonts w:cs="Times New Roman"/>
          <w:i/>
          <w:iCs/>
          <w:szCs w:val="24"/>
          <w:u w:val="single"/>
          <w:lang w:val="en-US"/>
        </w:rPr>
        <w:t>PCM</w:t>
      </w:r>
      <w:r w:rsidR="00C07D17">
        <w:rPr>
          <w:rFonts w:cs="Times New Roman"/>
          <w:i/>
          <w:iCs/>
          <w:szCs w:val="24"/>
          <w:u w:val="single"/>
          <w:lang w:val="en-US"/>
        </w:rPr>
        <w:t>-</w:t>
      </w:r>
      <w:r w:rsidRPr="002A1CEA">
        <w:rPr>
          <w:rFonts w:cs="Times New Roman"/>
          <w:i/>
          <w:iCs/>
          <w:szCs w:val="24"/>
          <w:u w:val="single"/>
          <w:lang w:val="en-US"/>
        </w:rPr>
        <w:t>based BTMS: Liquid-Gas phase change system</w:t>
      </w:r>
      <w:r w:rsidRPr="002A1CEA">
        <w:rPr>
          <w:rFonts w:cs="Times New Roman"/>
          <w:b/>
          <w:bCs/>
          <w:szCs w:val="24"/>
          <w:lang w:val="en-US"/>
        </w:rPr>
        <w:t xml:space="preserve">. </w:t>
      </w:r>
      <w:r w:rsidRPr="002A1CEA">
        <w:rPr>
          <w:rFonts w:cs="Times New Roman"/>
          <w:lang w:val="en-US"/>
        </w:rPr>
        <w:t xml:space="preserve">Liquid–gas phase change systems have been widely investigated as passive thermal management solutions for lithium-ion battery systems (Li-ion BTMS) because of their high heat absorption capacity during vaporization and the fact that the endothermic phase transition does not require external energy input </w:t>
      </w:r>
      <w:sdt>
        <w:sdtPr>
          <w:rPr>
            <w:rFonts w:cs="Times New Roman"/>
            <w:lang w:val="en-US"/>
          </w:rPr>
          <w:id w:val="299125667"/>
          <w:citation/>
        </w:sdtPr>
        <w:sdtContent>
          <w:r>
            <w:rPr>
              <w:rFonts w:cs="Times New Roman"/>
              <w:lang w:val="en-US"/>
            </w:rPr>
            <w:fldChar w:fldCharType="begin"/>
          </w:r>
          <w:r w:rsidRPr="002A1CEA">
            <w:rPr>
              <w:rFonts w:cs="Times New Roman"/>
              <w:lang w:val="en-US"/>
            </w:rPr>
            <w:instrText xml:space="preserve"> CITATION Placeholder68 \l 1040 </w:instrText>
          </w:r>
          <w:r>
            <w:rPr>
              <w:rFonts w:cs="Times New Roman"/>
              <w:lang w:val="en-US"/>
            </w:rPr>
            <w:fldChar w:fldCharType="separate"/>
          </w:r>
          <w:r w:rsidR="00855396" w:rsidRPr="00855396">
            <w:rPr>
              <w:rFonts w:cs="Times New Roman"/>
              <w:noProof/>
              <w:lang w:val="en-US"/>
            </w:rPr>
            <w:t>[62]</w:t>
          </w:r>
          <w:r>
            <w:rPr>
              <w:rFonts w:cs="Times New Roman"/>
              <w:lang w:val="en-US"/>
            </w:rPr>
            <w:fldChar w:fldCharType="end"/>
          </w:r>
        </w:sdtContent>
      </w:sdt>
      <w:r w:rsidRPr="002A1CEA">
        <w:rPr>
          <w:rFonts w:cs="Times New Roman"/>
          <w:lang w:val="en-US"/>
        </w:rPr>
        <w:t xml:space="preserve">. These systems are often integrated with vehicle air-conditioning cycles to enhance overall energy efficiency. Several studies have explored boiling and evaporation as effective cooling mechanisms. For instance, Zareer et al. </w:t>
      </w:r>
      <w:sdt>
        <w:sdtPr>
          <w:rPr>
            <w:rFonts w:cs="Times New Roman"/>
            <w:lang w:val="en-US"/>
          </w:rPr>
          <w:id w:val="1479184364"/>
          <w:citation/>
        </w:sdtPr>
        <w:sdtContent>
          <w:r>
            <w:rPr>
              <w:rFonts w:cs="Times New Roman"/>
              <w:lang w:val="en-US"/>
            </w:rPr>
            <w:fldChar w:fldCharType="begin"/>
          </w:r>
          <w:r w:rsidRPr="00B67AF9">
            <w:rPr>
              <w:rFonts w:cs="Times New Roman"/>
              <w:lang w:val="en-US"/>
            </w:rPr>
            <w:instrText xml:space="preserve"> CITATION Placeholder69 \l 1040 </w:instrText>
          </w:r>
          <w:r>
            <w:rPr>
              <w:rFonts w:cs="Times New Roman"/>
              <w:lang w:val="en-US"/>
            </w:rPr>
            <w:fldChar w:fldCharType="separate"/>
          </w:r>
          <w:r w:rsidR="00855396" w:rsidRPr="00855396">
            <w:rPr>
              <w:rFonts w:cs="Times New Roman"/>
              <w:noProof/>
              <w:lang w:val="en-US"/>
            </w:rPr>
            <w:t>[63]</w:t>
          </w:r>
          <w:r>
            <w:rPr>
              <w:rFonts w:cs="Times New Roman"/>
              <w:lang w:val="en-US"/>
            </w:rPr>
            <w:fldChar w:fldCharType="end"/>
          </w:r>
        </w:sdtContent>
      </w:sdt>
      <w:r>
        <w:rPr>
          <w:rFonts w:cs="Times New Roman"/>
          <w:lang w:val="en-US"/>
        </w:rPr>
        <w:t xml:space="preserve"> </w:t>
      </w:r>
      <w:r w:rsidRPr="002A1CEA">
        <w:rPr>
          <w:rFonts w:cs="Times New Roman"/>
          <w:lang w:val="en-US"/>
        </w:rPr>
        <w:t>used propane as a phase-change medium to cool batteries in hybrid electric vehicles (HEVs), maintaining battery temperatures below 35 °C and a temperature difference of less than 1 °C between cells during charge–discharge cycles. Similarly, Bandhauer and Garimella</w:t>
      </w:r>
      <w:r>
        <w:rPr>
          <w:rFonts w:cs="Times New Roman"/>
          <w:lang w:val="en-US"/>
        </w:rPr>
        <w:t xml:space="preserve"> </w:t>
      </w:r>
      <w:sdt>
        <w:sdtPr>
          <w:rPr>
            <w:rFonts w:cs="Times New Roman"/>
            <w:lang w:val="en-US"/>
          </w:rPr>
          <w:id w:val="-8754487"/>
          <w:citation/>
        </w:sdtPr>
        <w:sdtContent>
          <w:r>
            <w:rPr>
              <w:rFonts w:cs="Times New Roman"/>
              <w:lang w:val="en-US"/>
            </w:rPr>
            <w:fldChar w:fldCharType="begin"/>
          </w:r>
          <w:r w:rsidRPr="002A1CEA">
            <w:rPr>
              <w:rFonts w:cs="Times New Roman"/>
              <w:lang w:val="en-US"/>
            </w:rPr>
            <w:instrText xml:space="preserve"> CITATION Placeholder70 \l 1040 </w:instrText>
          </w:r>
          <w:r>
            <w:rPr>
              <w:rFonts w:cs="Times New Roman"/>
              <w:lang w:val="en-US"/>
            </w:rPr>
            <w:fldChar w:fldCharType="separate"/>
          </w:r>
          <w:r w:rsidR="00855396" w:rsidRPr="00855396">
            <w:rPr>
              <w:rFonts w:cs="Times New Roman"/>
              <w:noProof/>
              <w:lang w:val="en-US"/>
            </w:rPr>
            <w:t>[64]</w:t>
          </w:r>
          <w:r>
            <w:rPr>
              <w:rFonts w:cs="Times New Roman"/>
              <w:lang w:val="en-US"/>
            </w:rPr>
            <w:fldChar w:fldCharType="end"/>
          </w:r>
        </w:sdtContent>
      </w:sdt>
      <w:r w:rsidRPr="002A1CEA">
        <w:rPr>
          <w:rFonts w:cs="Times New Roman"/>
          <w:lang w:val="en-US"/>
        </w:rPr>
        <w:t xml:space="preserve"> developed an internal liquid–vapor phase-change cooling system, while En et al. </w:t>
      </w:r>
      <w:sdt>
        <w:sdtPr>
          <w:rPr>
            <w:rFonts w:cs="Times New Roman"/>
            <w:lang w:val="en-US"/>
          </w:rPr>
          <w:id w:val="283395339"/>
          <w:citation/>
        </w:sdtPr>
        <w:sdtContent>
          <w:r>
            <w:rPr>
              <w:rFonts w:cs="Times New Roman"/>
              <w:lang w:val="en-US"/>
            </w:rPr>
            <w:fldChar w:fldCharType="begin"/>
          </w:r>
          <w:r w:rsidRPr="002A1CEA">
            <w:rPr>
              <w:rFonts w:cs="Times New Roman"/>
              <w:lang w:val="en-US"/>
            </w:rPr>
            <w:instrText xml:space="preserve"> CITATION Placeholder71 \l 1040 </w:instrText>
          </w:r>
          <w:r>
            <w:rPr>
              <w:rFonts w:cs="Times New Roman"/>
              <w:lang w:val="en-US"/>
            </w:rPr>
            <w:fldChar w:fldCharType="separate"/>
          </w:r>
          <w:r w:rsidR="00855396" w:rsidRPr="00855396">
            <w:rPr>
              <w:rFonts w:cs="Times New Roman"/>
              <w:noProof/>
              <w:lang w:val="en-US"/>
            </w:rPr>
            <w:t>[65]</w:t>
          </w:r>
          <w:r>
            <w:rPr>
              <w:rFonts w:cs="Times New Roman"/>
              <w:lang w:val="en-US"/>
            </w:rPr>
            <w:fldChar w:fldCharType="end"/>
          </w:r>
        </w:sdtContent>
      </w:sdt>
      <w:r w:rsidRPr="002A1CEA">
        <w:rPr>
          <w:rFonts w:cs="Times New Roman"/>
          <w:lang w:val="en-US"/>
        </w:rPr>
        <w:t xml:space="preserve"> proposed a self-refilling evaporative cooling method based on an ammonium silicate film that continuously regulated battery temperature through water evaporation. In addition, heat pipes (HPs) have been extensively applied to enhance heat transfer efficiency in liquid–gas PCM systems. Wang et al. </w:t>
      </w:r>
      <w:sdt>
        <w:sdtPr>
          <w:rPr>
            <w:rFonts w:cs="Times New Roman"/>
            <w:lang w:val="en-US"/>
          </w:rPr>
          <w:id w:val="-1397052227"/>
          <w:citation/>
        </w:sdtPr>
        <w:sdtContent>
          <w:r>
            <w:rPr>
              <w:rFonts w:cs="Times New Roman"/>
              <w:lang w:val="en-US"/>
            </w:rPr>
            <w:fldChar w:fldCharType="begin"/>
          </w:r>
          <w:r w:rsidRPr="00B67AF9">
            <w:rPr>
              <w:rFonts w:cs="Times New Roman"/>
              <w:lang w:val="en-US"/>
            </w:rPr>
            <w:instrText xml:space="preserve"> CITATION Placeholder72 \l 1040 </w:instrText>
          </w:r>
          <w:r>
            <w:rPr>
              <w:rFonts w:cs="Times New Roman"/>
              <w:lang w:val="en-US"/>
            </w:rPr>
            <w:fldChar w:fldCharType="separate"/>
          </w:r>
          <w:r w:rsidR="00855396" w:rsidRPr="00855396">
            <w:rPr>
              <w:rFonts w:cs="Times New Roman"/>
              <w:noProof/>
              <w:lang w:val="en-US"/>
            </w:rPr>
            <w:t>[66]</w:t>
          </w:r>
          <w:r>
            <w:rPr>
              <w:rFonts w:cs="Times New Roman"/>
              <w:lang w:val="en-US"/>
            </w:rPr>
            <w:fldChar w:fldCharType="end"/>
          </w:r>
        </w:sdtContent>
      </w:sdt>
      <w:r>
        <w:rPr>
          <w:rFonts w:cs="Times New Roman"/>
          <w:lang w:val="en-US"/>
        </w:rPr>
        <w:t xml:space="preserve"> </w:t>
      </w:r>
      <w:r w:rsidRPr="002A1CEA">
        <w:rPr>
          <w:rFonts w:cs="Times New Roman"/>
          <w:lang w:val="en-US"/>
        </w:rPr>
        <w:t xml:space="preserve">demonstrated that a water–glycol HP (50:50 ratio) could maintain battery temperatures below 70 °C and further reduce them under controlled conditions. Zhao et al. </w:t>
      </w:r>
      <w:sdt>
        <w:sdtPr>
          <w:rPr>
            <w:rFonts w:cs="Times New Roman"/>
            <w:lang w:val="en-US"/>
          </w:rPr>
          <w:id w:val="1061598181"/>
          <w:citation/>
        </w:sdtPr>
        <w:sdtContent>
          <w:r>
            <w:rPr>
              <w:rFonts w:cs="Times New Roman"/>
              <w:lang w:val="en-US"/>
            </w:rPr>
            <w:fldChar w:fldCharType="begin"/>
          </w:r>
          <w:r w:rsidRPr="00B67AF9">
            <w:rPr>
              <w:rFonts w:cs="Times New Roman"/>
              <w:lang w:val="en-US"/>
            </w:rPr>
            <w:instrText xml:space="preserve"> CITATION Placeholder73 \l 1040 </w:instrText>
          </w:r>
          <w:r>
            <w:rPr>
              <w:rFonts w:cs="Times New Roman"/>
              <w:lang w:val="en-US"/>
            </w:rPr>
            <w:fldChar w:fldCharType="separate"/>
          </w:r>
          <w:r w:rsidR="00855396" w:rsidRPr="00855396">
            <w:rPr>
              <w:rFonts w:cs="Times New Roman"/>
              <w:noProof/>
              <w:lang w:val="en-US"/>
            </w:rPr>
            <w:t>[67]</w:t>
          </w:r>
          <w:r>
            <w:rPr>
              <w:rFonts w:cs="Times New Roman"/>
              <w:lang w:val="en-US"/>
            </w:rPr>
            <w:fldChar w:fldCharType="end"/>
          </w:r>
        </w:sdtContent>
      </w:sdt>
      <w:r>
        <w:rPr>
          <w:rFonts w:cs="Times New Roman"/>
          <w:lang w:val="en-US"/>
        </w:rPr>
        <w:t xml:space="preserve"> </w:t>
      </w:r>
      <w:r w:rsidRPr="002A1CEA">
        <w:rPr>
          <w:rFonts w:cs="Times New Roman"/>
          <w:lang w:val="en-US"/>
        </w:rPr>
        <w:t>combined ultra-thin HPs with air and water cooling, showing that HP performance improved by minimizing bubble formation and enhancing heat conduction between the pipe wall and the working fluid. Overall, liquid–gas PCM systems and HP-assisted BTMS provide excellent cooling capacity and temperature uniformity. However, their broader adoption is limited by system complexity, higher costs, and safety issues related to phase-change control and working fluid management.</w:t>
      </w:r>
    </w:p>
    <w:p w14:paraId="241F0824" w14:textId="2B6215DA" w:rsidR="002A1CEA" w:rsidRPr="002A1CEA" w:rsidRDefault="002A1CEA" w:rsidP="002A1CEA">
      <w:pPr>
        <w:rPr>
          <w:rFonts w:cs="Times New Roman"/>
          <w:b/>
          <w:bCs/>
          <w:szCs w:val="24"/>
          <w:lang w:val="en-US"/>
        </w:rPr>
      </w:pPr>
      <w:r w:rsidRPr="002A1CEA">
        <w:rPr>
          <w:rFonts w:cs="Times New Roman"/>
          <w:i/>
          <w:iCs/>
          <w:szCs w:val="24"/>
          <w:u w:val="single"/>
          <w:lang w:val="en-US"/>
        </w:rPr>
        <w:t>PCM-based BTMS: Solid-Liquid phase change system</w:t>
      </w:r>
      <w:r w:rsidRPr="002A1CEA">
        <w:rPr>
          <w:rFonts w:cs="Times New Roman"/>
          <w:szCs w:val="24"/>
          <w:lang w:val="en-US"/>
        </w:rPr>
        <w:t xml:space="preserve">. </w:t>
      </w:r>
      <w:r w:rsidRPr="002A1CEA">
        <w:rPr>
          <w:rFonts w:cs="Times New Roman"/>
          <w:lang w:val="en-US"/>
        </w:rPr>
        <w:t>Compared with liquid–gas PCMs, solid–liquid PCMs are more widely used because they have a smaller volume change and are easier to control.</w:t>
      </w:r>
      <w:r w:rsidRPr="002A1CEA">
        <w:rPr>
          <w:rFonts w:cs="Times New Roman"/>
          <w:b/>
          <w:bCs/>
          <w:szCs w:val="24"/>
          <w:lang w:val="en-US"/>
        </w:rPr>
        <w:t xml:space="preserve"> </w:t>
      </w:r>
      <w:r w:rsidRPr="002A1CEA">
        <w:rPr>
          <w:rFonts w:cs="Times New Roman"/>
          <w:lang w:val="en-US"/>
        </w:rPr>
        <w:t xml:space="preserve">Paraffin is a typical solid–liquid PCM and is often used to illustrate the phase change process, which occurs in four stages: a rapid temperature </w:t>
      </w:r>
      <w:r w:rsidRPr="002A1CEA">
        <w:rPr>
          <w:rFonts w:cs="Times New Roman"/>
          <w:lang w:val="en-US"/>
        </w:rPr>
        <w:lastRenderedPageBreak/>
        <w:t>rise before melting, heat dissipation by conduction, thermal equilibrium between heat generation and absorption, and finally natural convection once the PCM is fully melted.</w:t>
      </w:r>
      <w:r w:rsidRPr="002A1CEA">
        <w:rPr>
          <w:rFonts w:cs="Times New Roman"/>
          <w:b/>
          <w:bCs/>
          <w:szCs w:val="24"/>
          <w:lang w:val="en-US"/>
        </w:rPr>
        <w:t xml:space="preserve"> </w:t>
      </w:r>
      <w:r w:rsidRPr="002A1CEA">
        <w:rPr>
          <w:rFonts w:cs="Times New Roman"/>
          <w:lang w:val="en-US"/>
        </w:rPr>
        <w:t>To improve the safety of lithium–ion batteries, solid–liquid PCM–based BTMS have shown promising results.</w:t>
      </w:r>
      <w:r w:rsidRPr="002A1CEA">
        <w:rPr>
          <w:rFonts w:cs="Times New Roman"/>
          <w:b/>
          <w:bCs/>
          <w:szCs w:val="24"/>
          <w:lang w:val="en-US"/>
        </w:rPr>
        <w:t xml:space="preserve"> </w:t>
      </w:r>
      <w:r w:rsidRPr="002A1CEA">
        <w:rPr>
          <w:rFonts w:cs="Times New Roman"/>
          <w:lang w:val="en-US"/>
        </w:rPr>
        <w:t xml:space="preserve">Hémy et al. </w:t>
      </w:r>
      <w:sdt>
        <w:sdtPr>
          <w:rPr>
            <w:rFonts w:cs="Times New Roman"/>
            <w:lang w:val="en-US"/>
          </w:rPr>
          <w:id w:val="492843381"/>
          <w:citation/>
        </w:sdtPr>
        <w:sdtContent>
          <w:r>
            <w:rPr>
              <w:rFonts w:cs="Times New Roman"/>
              <w:lang w:val="en-US"/>
            </w:rPr>
            <w:fldChar w:fldCharType="begin"/>
          </w:r>
          <w:r w:rsidRPr="00B67AF9">
            <w:rPr>
              <w:rFonts w:cs="Times New Roman"/>
              <w:lang w:val="en-US"/>
            </w:rPr>
            <w:instrText xml:space="preserve"> CITATION Placeholder74 \l 1040 </w:instrText>
          </w:r>
          <w:r>
            <w:rPr>
              <w:rFonts w:cs="Times New Roman"/>
              <w:lang w:val="en-US"/>
            </w:rPr>
            <w:fldChar w:fldCharType="separate"/>
          </w:r>
          <w:r w:rsidR="00855396" w:rsidRPr="00855396">
            <w:rPr>
              <w:rFonts w:cs="Times New Roman"/>
              <w:noProof/>
              <w:lang w:val="en-US"/>
            </w:rPr>
            <w:t>[68]</w:t>
          </w:r>
          <w:r>
            <w:rPr>
              <w:rFonts w:cs="Times New Roman"/>
              <w:lang w:val="en-US"/>
            </w:rPr>
            <w:fldChar w:fldCharType="end"/>
          </w:r>
        </w:sdtContent>
      </w:sdt>
      <w:r w:rsidRPr="002A1CEA">
        <w:rPr>
          <w:rFonts w:cs="Times New Roman"/>
          <w:lang w:val="en-US"/>
        </w:rPr>
        <w:t xml:space="preserve"> demonstrated that these systems can effectively prevent thermal runaway compared to natural convection or air cooling, keeping the temperature of faulty cells below 60 °C during PCM melting.</w:t>
      </w:r>
      <w:r w:rsidRPr="002A1CEA">
        <w:rPr>
          <w:rFonts w:cs="Times New Roman"/>
          <w:b/>
          <w:bCs/>
          <w:szCs w:val="24"/>
          <w:lang w:val="en-US"/>
        </w:rPr>
        <w:t xml:space="preserve"> </w:t>
      </w:r>
      <w:r w:rsidRPr="002A1CEA">
        <w:rPr>
          <w:rFonts w:cs="Times New Roman"/>
          <w:lang w:val="en-US"/>
        </w:rPr>
        <w:t xml:space="preserve">The physicochemical properties of PCMs, such as thermal conductivity, latent heat, and melting point, strongly influence BTMS performance. Huo and Rao  </w:t>
      </w:r>
      <w:sdt>
        <w:sdtPr>
          <w:rPr>
            <w:rFonts w:cs="Times New Roman"/>
            <w:lang w:val="en-US"/>
          </w:rPr>
          <w:id w:val="-245189502"/>
          <w:citation/>
        </w:sdtPr>
        <w:sdtContent>
          <w:r>
            <w:rPr>
              <w:rFonts w:cs="Times New Roman"/>
              <w:lang w:val="en-US"/>
            </w:rPr>
            <w:fldChar w:fldCharType="begin"/>
          </w:r>
          <w:r w:rsidRPr="002A1CEA">
            <w:rPr>
              <w:rFonts w:cs="Times New Roman"/>
              <w:lang w:val="en-US"/>
            </w:rPr>
            <w:instrText xml:space="preserve"> CITATION Placeholder75 \l 1040 </w:instrText>
          </w:r>
          <w:r>
            <w:rPr>
              <w:rFonts w:cs="Times New Roman"/>
              <w:lang w:val="en-US"/>
            </w:rPr>
            <w:fldChar w:fldCharType="separate"/>
          </w:r>
          <w:r w:rsidR="00855396" w:rsidRPr="00855396">
            <w:rPr>
              <w:rFonts w:cs="Times New Roman"/>
              <w:noProof/>
              <w:lang w:val="en-US"/>
            </w:rPr>
            <w:t>[69]</w:t>
          </w:r>
          <w:r>
            <w:rPr>
              <w:rFonts w:cs="Times New Roman"/>
              <w:lang w:val="en-US"/>
            </w:rPr>
            <w:fldChar w:fldCharType="end"/>
          </w:r>
        </w:sdtContent>
      </w:sdt>
      <w:r>
        <w:rPr>
          <w:rFonts w:cs="Times New Roman"/>
          <w:lang w:val="en-US"/>
        </w:rPr>
        <w:t xml:space="preserve"> </w:t>
      </w:r>
      <w:r w:rsidRPr="002A1CEA">
        <w:rPr>
          <w:rFonts w:cs="Times New Roman"/>
          <w:lang w:val="en-US"/>
        </w:rPr>
        <w:t xml:space="preserve">found that maintaining a low thermal conductivity and high latent heat helps reduce temperature rise and improve heat retention at low temperatures. A melting temperature close to ambient conditions can also extend the solidification time, enhancing heat dissipation </w:t>
      </w:r>
      <w:sdt>
        <w:sdtPr>
          <w:rPr>
            <w:rFonts w:cs="Times New Roman"/>
            <w:lang w:val="en-US"/>
          </w:rPr>
          <w:id w:val="-1462417475"/>
          <w:citation/>
        </w:sdtPr>
        <w:sdtContent>
          <w:r>
            <w:rPr>
              <w:rFonts w:cs="Times New Roman"/>
              <w:lang w:val="en-US"/>
            </w:rPr>
            <w:fldChar w:fldCharType="begin"/>
          </w:r>
          <w:r w:rsidRPr="002A1CEA">
            <w:rPr>
              <w:rFonts w:cs="Times New Roman"/>
              <w:lang w:val="en-US"/>
            </w:rPr>
            <w:instrText xml:space="preserve"> CITATION Placeholder76 \l 1040 </w:instrText>
          </w:r>
          <w:r>
            <w:rPr>
              <w:rFonts w:cs="Times New Roman"/>
              <w:lang w:val="en-US"/>
            </w:rPr>
            <w:fldChar w:fldCharType="separate"/>
          </w:r>
          <w:r w:rsidR="00855396" w:rsidRPr="00855396">
            <w:rPr>
              <w:rFonts w:cs="Times New Roman"/>
              <w:noProof/>
              <w:lang w:val="en-US"/>
            </w:rPr>
            <w:t>[70]</w:t>
          </w:r>
          <w:r>
            <w:rPr>
              <w:rFonts w:cs="Times New Roman"/>
              <w:lang w:val="en-US"/>
            </w:rPr>
            <w:fldChar w:fldCharType="end"/>
          </w:r>
        </w:sdtContent>
      </w:sdt>
      <w:r w:rsidRPr="002A1CEA">
        <w:rPr>
          <w:rFonts w:cs="Times New Roman"/>
          <w:lang w:val="en-US"/>
        </w:rPr>
        <w:t>. Overall, compared with traditional cooling systems, PCM–based BTMS offer compactness and no energy consumption. Solid–liquid PCMs, particularly paraffin, are preferred due to their suitable melting temperature, high latent heat, non–toxicity, and low cost. However, their low thermal conductivity remains a major limitation, and under extreme operating conditions (high temperature or current), thermal runaway may still occur. Therefore, further optimization of PCM properties and BTMS design is necessary to improve the thermal performance of solid–liquid phase change systems</w:t>
      </w:r>
      <w:r w:rsidRPr="002A1CEA">
        <w:rPr>
          <w:rFonts w:cs="Times New Roman"/>
          <w:b/>
          <w:bCs/>
          <w:szCs w:val="24"/>
          <w:lang w:val="en-US"/>
        </w:rPr>
        <w:t>.</w:t>
      </w:r>
    </w:p>
    <w:p w14:paraId="5588038D" w14:textId="6F40035B" w:rsidR="002A1CEA" w:rsidRPr="002A1CEA" w:rsidRDefault="002A1CEA" w:rsidP="002A1CEA">
      <w:pPr>
        <w:rPr>
          <w:rFonts w:cs="Times New Roman"/>
          <w:lang w:val="en-US"/>
        </w:rPr>
      </w:pPr>
      <w:r w:rsidRPr="002A1CEA">
        <w:rPr>
          <w:rFonts w:cs="Times New Roman"/>
          <w:i/>
          <w:iCs/>
          <w:szCs w:val="24"/>
          <w:u w:val="single"/>
          <w:lang w:val="en-US"/>
        </w:rPr>
        <w:t xml:space="preserve">PFC and FPCM for </w:t>
      </w:r>
      <w:r w:rsidR="00784D2D">
        <w:rPr>
          <w:rFonts w:cs="Times New Roman"/>
          <w:i/>
          <w:iCs/>
          <w:szCs w:val="24"/>
          <w:u w:val="single"/>
          <w:lang w:val="en-US"/>
        </w:rPr>
        <w:t>BTM</w:t>
      </w:r>
      <w:r w:rsidRPr="002A1CEA">
        <w:rPr>
          <w:rFonts w:cs="Times New Roman"/>
          <w:szCs w:val="24"/>
          <w:lang w:val="en-US"/>
        </w:rPr>
        <w:t xml:space="preserve">. </w:t>
      </w:r>
      <w:r w:rsidRPr="002A1CEA">
        <w:rPr>
          <w:rFonts w:cs="Times New Roman"/>
          <w:lang w:val="en-US"/>
        </w:rPr>
        <w:t xml:space="preserve">Luo et al [55] report that the emergence of the new PCMs, such as phase change fluid (PCF) and flexible </w:t>
      </w:r>
      <w:r w:rsidR="00784D2D">
        <w:rPr>
          <w:rFonts w:cs="Times New Roman"/>
          <w:lang w:val="en-US"/>
        </w:rPr>
        <w:t>PCM</w:t>
      </w:r>
      <w:r w:rsidRPr="002A1CEA">
        <w:rPr>
          <w:rFonts w:cs="Times New Roman"/>
          <w:lang w:val="en-US"/>
        </w:rPr>
        <w:t xml:space="preserve"> (FPCM), has broken the limitations of the traditional PCM in the application of </w:t>
      </w:r>
      <w:r w:rsidR="00784D2D">
        <w:rPr>
          <w:rFonts w:cs="Times New Roman"/>
          <w:lang w:val="en-US"/>
        </w:rPr>
        <w:t>BTM</w:t>
      </w:r>
      <w:r w:rsidRPr="002A1CEA">
        <w:rPr>
          <w:rFonts w:cs="Times New Roman"/>
          <w:lang w:val="en-US"/>
        </w:rPr>
        <w:t xml:space="preserve">. PCF is a multifunctional multiphase thermal fluid created by dispersing PCM materials in the form of microscopic particles within a heat transfer fluid. Because of its high latent heat value, PCF is mainly used as a channel fluid for the thermal management of power batteries. In a high-temperature environment, a coolant can remove the heat generated during battery operation. According to the dispersion form of PCM particles in the fluid, PCF can be roughly divided into two types: phase change emulsions and microencapsulated PCM suspensions (MEPCMS). A phase change emulsion is a type of micro/nano-emulsion system with stable performance, emulsified and dispersed in a heat transfer fluid under the action of a surfactant. The size of PCM particles typically ranges from tens of nanometers to tens of micrometers. MEPCMS is a type of suspension obtained by dispersing microencapsulated particles of micrometer size with a core–shell structure into the heat transfer fluid, coating the PCM with a layer of stable polymer material. Compared with conventional solid/liquid PCM, PCF shows higher fluidity and a more flexible volume change. However, PCF also has some limitations. For phase change emulsions, phase instability and the supercooling effect caused by the aggregation and precipitation of PCM droplets are fundamental problems that must be addressed in practical applications. </w:t>
      </w:r>
    </w:p>
    <w:p w14:paraId="5DFD1415" w14:textId="09597D60" w:rsidR="002A1CEA" w:rsidRDefault="002A1CEA" w:rsidP="002A1CEA">
      <w:pPr>
        <w:rPr>
          <w:rFonts w:cs="Times New Roman"/>
          <w:lang w:val="en-US"/>
        </w:rPr>
      </w:pPr>
      <w:r w:rsidRPr="002A1CEA">
        <w:rPr>
          <w:rFonts w:cs="Times New Roman"/>
          <w:lang w:val="en-US"/>
        </w:rPr>
        <w:lastRenderedPageBreak/>
        <w:t xml:space="preserve">The solid PCM used in the thermal management of the cell should be placed as close as possible to the battery pack to ensure efficient heat transfer. Traditional PCM, on the other hand, has several drawbacks, such as solid stiffness, complex processing, and the inability to be applied in hard-shell batteries. PCM with a fixed shape, high rigidity, and no flexibility can cause installation difficulties, easy breakage, and poor contact with the battery surface, resulting in high contact thermal resistance. Flexible PCM (FPCM) is a type of PCM that has become a key research focus. In recent years, many studies have been conducted on FPCMs. At present, research on FPCMs has made significant progress, but further exploration is still required to apply FPCMs effectively in </w:t>
      </w:r>
      <w:r w:rsidR="00784D2D">
        <w:rPr>
          <w:rFonts w:cs="Times New Roman"/>
          <w:lang w:val="en-US"/>
        </w:rPr>
        <w:t>BTM</w:t>
      </w:r>
      <w:r w:rsidRPr="002A1CEA">
        <w:rPr>
          <w:rFonts w:cs="Times New Roman"/>
          <w:lang w:val="en-US"/>
        </w:rPr>
        <w:t xml:space="preserve"> systems</w:t>
      </w:r>
      <w:r w:rsidR="00784D2D">
        <w:rPr>
          <w:rFonts w:cs="Times New Roman"/>
          <w:lang w:val="en-US"/>
        </w:rPr>
        <w:t>.</w:t>
      </w:r>
    </w:p>
    <w:p w14:paraId="7DD2EFF1" w14:textId="4529BD1D" w:rsidR="00B67AF9" w:rsidRDefault="00B67AF9" w:rsidP="00B67AF9">
      <w:pPr>
        <w:pStyle w:val="Heading4"/>
        <w:rPr>
          <w:lang w:val="en-US"/>
        </w:rPr>
      </w:pPr>
      <w:r>
        <w:rPr>
          <w:lang w:val="en-US"/>
        </w:rPr>
        <w:t>Future research direction</w:t>
      </w:r>
      <w:r w:rsidR="00CF7E04">
        <w:rPr>
          <w:lang w:val="en-US"/>
        </w:rPr>
        <w:t>s</w:t>
      </w:r>
    </w:p>
    <w:p w14:paraId="26468AEE" w14:textId="79CAE94B" w:rsidR="00B67AF9" w:rsidRPr="002B0999" w:rsidRDefault="00B67AF9" w:rsidP="00B67AF9">
      <w:pPr>
        <w:rPr>
          <w:rFonts w:ascii="Times New Roman" w:hAnsi="Times New Roman" w:cs="Times New Roman"/>
          <w:lang w:val="en-US"/>
        </w:rPr>
      </w:pPr>
      <w:r w:rsidRPr="00B67AF9">
        <w:rPr>
          <w:rFonts w:cs="Times New Roman"/>
          <w:lang w:val="en-US"/>
        </w:rPr>
        <w:t xml:space="preserve">Kumar et al </w:t>
      </w:r>
      <w:sdt>
        <w:sdtPr>
          <w:rPr>
            <w:rFonts w:cs="Times New Roman"/>
            <w:lang w:val="en-US"/>
          </w:rPr>
          <w:id w:val="582960913"/>
          <w:citation/>
        </w:sdtPr>
        <w:sdtContent>
          <w:r>
            <w:rPr>
              <w:rFonts w:cs="Times New Roman"/>
              <w:lang w:val="en-US"/>
            </w:rPr>
            <w:fldChar w:fldCharType="begin"/>
          </w:r>
          <w:r w:rsidRPr="00B67AF9">
            <w:rPr>
              <w:rFonts w:cs="Times New Roman"/>
              <w:lang w:val="en-US"/>
            </w:rPr>
            <w:instrText xml:space="preserve"> CITATION Placeholder77 \l 1040 </w:instrText>
          </w:r>
          <w:r>
            <w:rPr>
              <w:rFonts w:cs="Times New Roman"/>
              <w:lang w:val="en-US"/>
            </w:rPr>
            <w:fldChar w:fldCharType="separate"/>
          </w:r>
          <w:r w:rsidR="00855396" w:rsidRPr="00855396">
            <w:rPr>
              <w:rFonts w:cs="Times New Roman"/>
              <w:noProof/>
              <w:lang w:val="en-US"/>
            </w:rPr>
            <w:t>[71]</w:t>
          </w:r>
          <w:r>
            <w:rPr>
              <w:rFonts w:cs="Times New Roman"/>
              <w:lang w:val="en-US"/>
            </w:rPr>
            <w:fldChar w:fldCharType="end"/>
          </w:r>
        </w:sdtContent>
      </w:sdt>
      <w:r w:rsidRPr="00B67AF9">
        <w:rPr>
          <w:rFonts w:cs="Times New Roman"/>
          <w:lang w:val="en-US"/>
        </w:rPr>
        <w:t xml:space="preserve"> write about future research directions in PCM application in battery management systems. Future studies should focus on improving the thermal performance, structural stability, and energy efficiency of hybrid liquid cooling systems based on PCM. A promising direction involves the development of high-conductivity composite PCMs by integrating materials such as metal foams or graphene, which can enhance heat dissipation and reduce thermal hotspots. Further research is needed to optimize particle dispersion, stability, and cost-effectiveness of nano-enhanced PCMs containing thermally conductive nanoparticles. The efficiency of BTMS. Figure 2</w:t>
      </w:r>
      <w:r>
        <w:rPr>
          <w:rFonts w:cs="Times New Roman"/>
          <w:lang w:val="en-US"/>
        </w:rPr>
        <w:t>.</w:t>
      </w:r>
      <w:r w:rsidRPr="00B67AF9">
        <w:rPr>
          <w:rFonts w:cs="Times New Roman"/>
          <w:lang w:val="en-US"/>
        </w:rPr>
        <w:t>4 outlines future directions for PCM-based BTMS.</w:t>
      </w:r>
    </w:p>
    <w:p w14:paraId="34BD24BA" w14:textId="77777777" w:rsidR="00B67AF9" w:rsidRDefault="00B67AF9" w:rsidP="00B67AF9">
      <w:pPr>
        <w:keepNext/>
        <w:jc w:val="center"/>
      </w:pPr>
      <w:r w:rsidRPr="00E30E2C">
        <w:rPr>
          <w:rFonts w:ascii="Times New Roman" w:hAnsi="Times New Roman" w:cs="Times New Roman"/>
          <w:noProof/>
        </w:rPr>
        <w:drawing>
          <wp:inline distT="0" distB="0" distL="0" distR="0" wp14:anchorId="5A56E56D" wp14:editId="52AC6216">
            <wp:extent cx="3724795" cy="2191056"/>
            <wp:effectExtent l="0" t="0" r="9525" b="0"/>
            <wp:docPr id="1496898416" name="Immagine 1" descr="Immagine che contiene testo, schermata, Carattere,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6898416" name="Immagine 1" descr="Immagine che contiene testo, schermata, Carattere, linea&#10;&#10;Il contenuto generato dall'IA potrebbe non essere corretto."/>
                    <pic:cNvPicPr/>
                  </pic:nvPicPr>
                  <pic:blipFill>
                    <a:blip r:embed="rId111"/>
                    <a:stretch>
                      <a:fillRect/>
                    </a:stretch>
                  </pic:blipFill>
                  <pic:spPr>
                    <a:xfrm>
                      <a:off x="0" y="0"/>
                      <a:ext cx="3724795" cy="2191056"/>
                    </a:xfrm>
                    <a:prstGeom prst="rect">
                      <a:avLst/>
                    </a:prstGeom>
                  </pic:spPr>
                </pic:pic>
              </a:graphicData>
            </a:graphic>
          </wp:inline>
        </w:drawing>
      </w:r>
    </w:p>
    <w:p w14:paraId="7B4C83AE" w14:textId="6175156C" w:rsidR="00B67AF9" w:rsidRPr="00B67AF9" w:rsidRDefault="00B67AF9" w:rsidP="00B67AF9">
      <w:pPr>
        <w:pStyle w:val="Caption"/>
        <w:rPr>
          <w:sz w:val="20"/>
          <w:szCs w:val="16"/>
        </w:rPr>
      </w:pPr>
      <w:bookmarkStart w:id="86" w:name="_Toc214357731"/>
      <w:r w:rsidRPr="00B67AF9">
        <w:rPr>
          <w:sz w:val="20"/>
          <w:szCs w:val="16"/>
        </w:rPr>
        <w:t xml:space="preserve">Figure </w:t>
      </w:r>
      <w:r w:rsidR="00F824A5">
        <w:rPr>
          <w:sz w:val="20"/>
          <w:szCs w:val="16"/>
        </w:rPr>
        <w:fldChar w:fldCharType="begin"/>
      </w:r>
      <w:r w:rsidR="00F824A5">
        <w:rPr>
          <w:sz w:val="20"/>
          <w:szCs w:val="16"/>
        </w:rPr>
        <w:instrText xml:space="preserve"> STYLEREF 1 \s </w:instrText>
      </w:r>
      <w:r w:rsidR="00F824A5">
        <w:rPr>
          <w:sz w:val="20"/>
          <w:szCs w:val="16"/>
        </w:rPr>
        <w:fldChar w:fldCharType="separate"/>
      </w:r>
      <w:r w:rsidR="000412CE">
        <w:rPr>
          <w:noProof/>
          <w:sz w:val="20"/>
          <w:szCs w:val="16"/>
        </w:rPr>
        <w:t>2</w:t>
      </w:r>
      <w:r w:rsidR="00F824A5">
        <w:rPr>
          <w:sz w:val="20"/>
          <w:szCs w:val="16"/>
        </w:rPr>
        <w:fldChar w:fldCharType="end"/>
      </w:r>
      <w:r w:rsidR="00F824A5">
        <w:rPr>
          <w:sz w:val="20"/>
          <w:szCs w:val="16"/>
        </w:rPr>
        <w:t>.</w:t>
      </w:r>
      <w:r w:rsidR="00F824A5">
        <w:rPr>
          <w:sz w:val="20"/>
          <w:szCs w:val="16"/>
        </w:rPr>
        <w:fldChar w:fldCharType="begin"/>
      </w:r>
      <w:r w:rsidR="00F824A5">
        <w:rPr>
          <w:sz w:val="20"/>
          <w:szCs w:val="16"/>
        </w:rPr>
        <w:instrText xml:space="preserve"> SEQ Figure \* ARABIC \s 1 </w:instrText>
      </w:r>
      <w:r w:rsidR="00F824A5">
        <w:rPr>
          <w:sz w:val="20"/>
          <w:szCs w:val="16"/>
        </w:rPr>
        <w:fldChar w:fldCharType="separate"/>
      </w:r>
      <w:r w:rsidR="000412CE">
        <w:rPr>
          <w:noProof/>
          <w:sz w:val="20"/>
          <w:szCs w:val="16"/>
        </w:rPr>
        <w:t>3</w:t>
      </w:r>
      <w:r w:rsidR="00F824A5">
        <w:rPr>
          <w:sz w:val="20"/>
          <w:szCs w:val="16"/>
        </w:rPr>
        <w:fldChar w:fldCharType="end"/>
      </w:r>
      <w:r w:rsidR="00DE026D">
        <w:rPr>
          <w:sz w:val="20"/>
          <w:szCs w:val="16"/>
        </w:rPr>
        <w:t>.</w:t>
      </w:r>
      <w:r w:rsidRPr="00B67AF9">
        <w:rPr>
          <w:sz w:val="20"/>
          <w:szCs w:val="16"/>
        </w:rPr>
        <w:t xml:space="preserve"> Future research roadmap for PCM-based battery thermal management: nano-enhanced PCMs, composite PCMs, integration with new cooling technologies, and advanced numerical simulations</w:t>
      </w:r>
      <w:r w:rsidR="001B044C">
        <w:rPr>
          <w:sz w:val="20"/>
          <w:szCs w:val="16"/>
        </w:rPr>
        <w:t xml:space="preserve"> [71]</w:t>
      </w:r>
      <w:r w:rsidR="00A165BA">
        <w:rPr>
          <w:sz w:val="20"/>
          <w:szCs w:val="16"/>
        </w:rPr>
        <w:t>.</w:t>
      </w:r>
      <w:bookmarkEnd w:id="86"/>
    </w:p>
    <w:p w14:paraId="4D29DED8" w14:textId="77D9ED01" w:rsidR="00B67AF9" w:rsidRPr="00B67AF9" w:rsidRDefault="00B67AF9" w:rsidP="00B67AF9">
      <w:pPr>
        <w:rPr>
          <w:rFonts w:cs="Times New Roman"/>
          <w:lang w:val="en-US"/>
        </w:rPr>
      </w:pPr>
      <w:r w:rsidRPr="00B67AF9">
        <w:rPr>
          <w:rFonts w:cs="Times New Roman"/>
          <w:lang w:val="en-US"/>
        </w:rPr>
        <w:t xml:space="preserve">It can be further improved through advanced computational modeling and AI-based thermal management, which enable adaptive control, temperature prediction, and optimized cooling strategies. Integrating PCM-based BTMS with innovative cooling technologies such as immersion cooling, heat pipes, and thermoelectric systems provides an effective approach to enhance thermal regulation in high-performance batteries. To ensure reliability and durability, it is essential to address PCM leakage </w:t>
      </w:r>
      <w:r w:rsidRPr="00B67AF9">
        <w:rPr>
          <w:rFonts w:cs="Times New Roman"/>
          <w:lang w:val="en-US"/>
        </w:rPr>
        <w:lastRenderedPageBreak/>
        <w:t>and stability by developing new encapsulation techniques such as microencapsulation and shape-stabilized PCMs, and by optimizing PCM placement within the battery pack to maximize heat absorption while maintaining a compact design. Reducing the energy consumption of liquid cooling systems can be achieved through low-resistance heat exchanger design, optimized coolant formulations, and high-efficiency pump systems, as well as by implementing adaptive flow control methods that adjust flow rates according to thermal conditions. Finally, to promote commercial adoption, future research should address the scalability and cost-effectiveness of hybrid liquid cooling with PCM-based BTMS by exploring low-cost manufacturing methods, lightweight material alternatives, and comprehensive economic feasibility studies. By tackling these challenges and pursuing innovative research pathways, hybrid BTMS can become an efficient, scalable, and sustainable solution for next-generation battery technologies. The diagram summarizes the future research direction.</w:t>
      </w:r>
    </w:p>
    <w:p w14:paraId="71AC462E" w14:textId="028D2BA4" w:rsidR="00B67AF9" w:rsidRDefault="00B67AF9" w:rsidP="00B67AF9">
      <w:pPr>
        <w:pStyle w:val="Heading3"/>
        <w:rPr>
          <w:lang w:val="en-US"/>
        </w:rPr>
      </w:pPr>
      <w:bookmarkStart w:id="87" w:name="_Toc214356287"/>
      <w:r w:rsidRPr="00B67AF9">
        <w:rPr>
          <w:lang w:val="en-US"/>
        </w:rPr>
        <w:t>Application of PCM</w:t>
      </w:r>
      <w:r w:rsidR="005A414B">
        <w:rPr>
          <w:lang w:val="en-US"/>
        </w:rPr>
        <w:t>s</w:t>
      </w:r>
      <w:r w:rsidRPr="00B67AF9">
        <w:rPr>
          <w:lang w:val="en-US"/>
        </w:rPr>
        <w:t xml:space="preserve"> in the cooling of data centers</w:t>
      </w:r>
      <w:bookmarkEnd w:id="87"/>
    </w:p>
    <w:p w14:paraId="3E252B7F" w14:textId="3233431B" w:rsidR="00B67AF9" w:rsidRPr="00B67AF9" w:rsidRDefault="00B67AF9" w:rsidP="00B67AF9">
      <w:pPr>
        <w:rPr>
          <w:rFonts w:cs="Times New Roman"/>
          <w:lang w:val="en-US"/>
        </w:rPr>
      </w:pPr>
      <w:r w:rsidRPr="00B67AF9">
        <w:rPr>
          <w:rFonts w:cs="Times New Roman"/>
          <w:lang w:val="en-US"/>
        </w:rPr>
        <w:t>In the bibliographic research presented above, none of the analyzed articles or reviews reported detailed studies concerning the use of</w:t>
      </w:r>
      <w:r w:rsidR="00784D2D">
        <w:rPr>
          <w:rFonts w:cs="Times New Roman"/>
          <w:lang w:val="en-US"/>
        </w:rPr>
        <w:t xml:space="preserve"> PCM</w:t>
      </w:r>
      <w:r w:rsidRPr="00B67AF9">
        <w:rPr>
          <w:rFonts w:cs="Times New Roman"/>
          <w:lang w:val="en-US"/>
        </w:rPr>
        <w:t xml:space="preserve"> in data centers. This absence indicates a significant gap in research and in the publication of technical material related to this specific application. The limited availability of studies highlights the need for further exploration of PCM-based thermal management solutions in information technology infrastructures, where energy efficiency and effective heat control are critical issues. For this reason, a more targeted bibliographic query was carried out, as reported below, which returned 86 results, of which only six were reviews.</w:t>
      </w:r>
    </w:p>
    <w:p w14:paraId="3302742A" w14:textId="77777777" w:rsidR="00B67AF9" w:rsidRPr="00F43E9A" w:rsidRDefault="00B67AF9" w:rsidP="1DCE42CA">
      <w:pPr>
        <w:jc w:val="center"/>
        <w:rPr>
          <w:rFonts w:cs="Times New Roman"/>
          <w:b/>
          <w:bCs/>
          <w:i/>
          <w:iCs/>
          <w:lang w:val="en-US"/>
        </w:rPr>
      </w:pPr>
      <w:r w:rsidRPr="00F43E9A">
        <w:rPr>
          <w:rFonts w:cs="Times New Roman"/>
          <w:b/>
          <w:bCs/>
          <w:i/>
          <w:iCs/>
          <w:lang w:val="en-US"/>
        </w:rPr>
        <w:t>( "phase change material" OR PCM ) AND ( "data center" OR "server room" OR "IT cooling" OR "data centre" ) AND ( "thermal management" OR cooling OR "energy efficiency" OR "heat storage" OR "temperature control")</w:t>
      </w:r>
    </w:p>
    <w:p w14:paraId="002F3E9C" w14:textId="4B1240F1" w:rsidR="00B67AF9" w:rsidRPr="00B67AF9" w:rsidRDefault="00B67AF9" w:rsidP="00B67AF9">
      <w:pPr>
        <w:rPr>
          <w:rFonts w:cs="Times New Roman"/>
          <w:lang w:val="en-US"/>
        </w:rPr>
      </w:pPr>
      <w:r w:rsidRPr="00B67AF9">
        <w:rPr>
          <w:rFonts w:cs="Times New Roman"/>
          <w:lang w:val="en-US"/>
        </w:rPr>
        <w:t xml:space="preserve">Ghadim et al </w:t>
      </w:r>
      <w:sdt>
        <w:sdtPr>
          <w:rPr>
            <w:rFonts w:cs="Times New Roman"/>
            <w:lang w:val="en-US"/>
          </w:rPr>
          <w:id w:val="-64653700"/>
          <w:citation/>
        </w:sdtPr>
        <w:sdtContent>
          <w:r>
            <w:rPr>
              <w:rFonts w:cs="Times New Roman"/>
              <w:lang w:val="en-US"/>
            </w:rPr>
            <w:fldChar w:fldCharType="begin"/>
          </w:r>
          <w:r w:rsidRPr="00B67AF9">
            <w:rPr>
              <w:rFonts w:cs="Times New Roman"/>
              <w:lang w:val="en-US"/>
            </w:rPr>
            <w:instrText xml:space="preserve"> CITATION Placeholder78 \l 1040 </w:instrText>
          </w:r>
          <w:r>
            <w:rPr>
              <w:rFonts w:cs="Times New Roman"/>
              <w:lang w:val="en-US"/>
            </w:rPr>
            <w:fldChar w:fldCharType="separate"/>
          </w:r>
          <w:r w:rsidR="00855396" w:rsidRPr="00855396">
            <w:rPr>
              <w:rFonts w:cs="Times New Roman"/>
              <w:noProof/>
              <w:lang w:val="en-US"/>
            </w:rPr>
            <w:t>[72]</w:t>
          </w:r>
          <w:r>
            <w:rPr>
              <w:rFonts w:cs="Times New Roman"/>
              <w:lang w:val="en-US"/>
            </w:rPr>
            <w:fldChar w:fldCharType="end"/>
          </w:r>
        </w:sdtContent>
      </w:sdt>
      <w:r w:rsidRPr="00B67AF9">
        <w:rPr>
          <w:rFonts w:cs="Times New Roman"/>
          <w:lang w:val="en-US"/>
        </w:rPr>
        <w:t xml:space="preserve"> in 2025 produced a review in which it is analyzed the thermal management system (TMS) for electronic devices, including data centers (DC). Only a few studies have investigated the improvement of thermal management systems (TMS) in data centers through the use of PCMs. Weng et al. </w:t>
      </w:r>
      <w:sdt>
        <w:sdtPr>
          <w:rPr>
            <w:rFonts w:cs="Times New Roman"/>
            <w:lang w:val="en-US"/>
          </w:rPr>
          <w:id w:val="1700577646"/>
          <w:citation/>
        </w:sdtPr>
        <w:sdtContent>
          <w:r>
            <w:rPr>
              <w:rFonts w:cs="Times New Roman"/>
              <w:lang w:val="en-US"/>
            </w:rPr>
            <w:fldChar w:fldCharType="begin"/>
          </w:r>
          <w:r w:rsidRPr="0099669C">
            <w:rPr>
              <w:rFonts w:cs="Times New Roman"/>
              <w:lang w:val="en-US"/>
            </w:rPr>
            <w:instrText xml:space="preserve"> CITATION Placeholder79 \l 1040 </w:instrText>
          </w:r>
          <w:r>
            <w:rPr>
              <w:rFonts w:cs="Times New Roman"/>
              <w:lang w:val="en-US"/>
            </w:rPr>
            <w:fldChar w:fldCharType="separate"/>
          </w:r>
          <w:r w:rsidR="00855396" w:rsidRPr="00855396">
            <w:rPr>
              <w:rFonts w:cs="Times New Roman"/>
              <w:noProof/>
              <w:lang w:val="en-US"/>
            </w:rPr>
            <w:t>[73]</w:t>
          </w:r>
          <w:r>
            <w:rPr>
              <w:rFonts w:cs="Times New Roman"/>
              <w:lang w:val="en-US"/>
            </w:rPr>
            <w:fldChar w:fldCharType="end"/>
          </w:r>
        </w:sdtContent>
      </w:sdt>
      <w:r>
        <w:rPr>
          <w:rFonts w:cs="Times New Roman"/>
          <w:lang w:val="en-US"/>
        </w:rPr>
        <w:t xml:space="preserve"> </w:t>
      </w:r>
      <w:r w:rsidRPr="00B67AF9">
        <w:rPr>
          <w:rFonts w:cs="Times New Roman"/>
          <w:lang w:val="en-US"/>
        </w:rPr>
        <w:t>reported that the use of PCMs can lead to a reduction in energy consumption ranging from 46% to 66% in fan and water pump systems commonly employed to remove excess heat from TMS. However, further research is needed to better understand the effects of PCM integration on the overall performance of thermal management systems in data centers.</w:t>
      </w:r>
    </w:p>
    <w:p w14:paraId="3B4F9AEF" w14:textId="4219B466" w:rsidR="00B67AF9" w:rsidRDefault="00B67AF9" w:rsidP="00B67AF9">
      <w:pPr>
        <w:pStyle w:val="Heading3"/>
        <w:rPr>
          <w:lang w:val="en-US"/>
        </w:rPr>
      </w:pPr>
      <w:bookmarkStart w:id="88" w:name="_Toc214356288"/>
      <w:r w:rsidRPr="00B67AF9">
        <w:rPr>
          <w:lang w:val="en-US"/>
        </w:rPr>
        <w:t xml:space="preserve">Application of </w:t>
      </w:r>
      <w:r w:rsidR="00784D2D">
        <w:rPr>
          <w:lang w:val="en-US"/>
        </w:rPr>
        <w:t>PCM</w:t>
      </w:r>
      <w:r w:rsidR="005A414B">
        <w:rPr>
          <w:lang w:val="en-US"/>
        </w:rPr>
        <w:t>s</w:t>
      </w:r>
      <w:r w:rsidR="00784D2D">
        <w:rPr>
          <w:lang w:val="en-US"/>
        </w:rPr>
        <w:t xml:space="preserve"> </w:t>
      </w:r>
      <w:r w:rsidRPr="00B67AF9">
        <w:rPr>
          <w:lang w:val="en-US"/>
        </w:rPr>
        <w:t>in Electric Distribution Networks</w:t>
      </w:r>
      <w:bookmarkEnd w:id="88"/>
    </w:p>
    <w:p w14:paraId="75FFF41E" w14:textId="7B1CB567" w:rsidR="00B67AF9" w:rsidRPr="00B67AF9" w:rsidRDefault="00B67AF9" w:rsidP="00B67AF9">
      <w:pPr>
        <w:rPr>
          <w:rFonts w:cs="Times New Roman"/>
          <w:lang w:val="en-US"/>
        </w:rPr>
      </w:pPr>
      <w:r w:rsidRPr="00B67AF9">
        <w:rPr>
          <w:rFonts w:cs="Times New Roman"/>
          <w:lang w:val="en-US"/>
        </w:rPr>
        <w:t>Similar to what was done for the application of P</w:t>
      </w:r>
      <w:r w:rsidR="00784D2D">
        <w:rPr>
          <w:rFonts w:cs="Times New Roman"/>
          <w:lang w:val="en-US"/>
        </w:rPr>
        <w:t xml:space="preserve">CMs </w:t>
      </w:r>
      <w:r w:rsidRPr="00B67AF9">
        <w:rPr>
          <w:rFonts w:cs="Times New Roman"/>
          <w:lang w:val="en-US"/>
        </w:rPr>
        <w:t xml:space="preserve">in data centers, a more targeted bibliographic search on Scopus was also required for power distribution networks. In </w:t>
      </w:r>
      <w:r w:rsidRPr="00B67AF9">
        <w:rPr>
          <w:rFonts w:cs="Times New Roman"/>
          <w:lang w:val="en-US"/>
        </w:rPr>
        <w:lastRenderedPageBreak/>
        <w:t>fact, the use of PCM in this field did not appear among the most relevant topics identified in the general research. To further investigate the subject, a more specific query was defined, as shown below:</w:t>
      </w:r>
    </w:p>
    <w:p w14:paraId="77452ABE" w14:textId="77777777" w:rsidR="00B67AF9" w:rsidRPr="00F43E9A" w:rsidRDefault="00B67AF9" w:rsidP="1DCE42CA">
      <w:pPr>
        <w:jc w:val="center"/>
        <w:rPr>
          <w:rFonts w:cs="Times New Roman"/>
          <w:b/>
          <w:bCs/>
          <w:i/>
          <w:iCs/>
          <w:lang w:val="en-US"/>
        </w:rPr>
      </w:pPr>
      <w:r w:rsidRPr="00F43E9A">
        <w:rPr>
          <w:rFonts w:cs="Times New Roman"/>
          <w:b/>
          <w:bCs/>
          <w:i/>
          <w:iCs/>
          <w:lang w:val="en-US"/>
        </w:rPr>
        <w:t>( "phase change material" OR PCM ) AND ( "distribution network" OR "distribution grid" OR "electric distribution" OR "power distribution" OR "smart grid" OR "microgrid" ) AND ( "thermal management" OR cooling OR "heat storage" OR "temperature control" OR "energy efficiency" )</w:t>
      </w:r>
    </w:p>
    <w:p w14:paraId="3385A100" w14:textId="602CE860" w:rsidR="00B67AF9" w:rsidRPr="00B67AF9" w:rsidRDefault="00B67AF9" w:rsidP="00B67AF9">
      <w:pPr>
        <w:rPr>
          <w:rFonts w:cs="Times New Roman"/>
          <w:lang w:val="en-US"/>
        </w:rPr>
      </w:pPr>
      <w:r w:rsidRPr="00B67AF9">
        <w:rPr>
          <w:rFonts w:cs="Times New Roman"/>
          <w:lang w:val="en-US"/>
        </w:rPr>
        <w:t xml:space="preserve">The execution of this search produced 86 results, of which only one was directly relevant to the application of PCM in distribution networks. This was a 2025 research article by Verdugo et al., which currently represents the only significant scientific contribution in this specific field. Verdugo et al. </w:t>
      </w:r>
      <w:sdt>
        <w:sdtPr>
          <w:rPr>
            <w:rFonts w:cs="Times New Roman"/>
            <w:lang w:val="en-US"/>
          </w:rPr>
          <w:id w:val="-889493942"/>
          <w:citation/>
        </w:sdtPr>
        <w:sdtContent>
          <w:r>
            <w:rPr>
              <w:rFonts w:cs="Times New Roman"/>
              <w:lang w:val="en-US"/>
            </w:rPr>
            <w:fldChar w:fldCharType="begin"/>
          </w:r>
          <w:r w:rsidRPr="0099669C">
            <w:rPr>
              <w:rFonts w:cs="Times New Roman"/>
              <w:lang w:val="en-US"/>
            </w:rPr>
            <w:instrText xml:space="preserve"> CITATION Placeholder80 \l 1040 </w:instrText>
          </w:r>
          <w:r>
            <w:rPr>
              <w:rFonts w:cs="Times New Roman"/>
              <w:lang w:val="en-US"/>
            </w:rPr>
            <w:fldChar w:fldCharType="separate"/>
          </w:r>
          <w:r w:rsidR="00855396" w:rsidRPr="00855396">
            <w:rPr>
              <w:rFonts w:cs="Times New Roman"/>
              <w:noProof/>
              <w:lang w:val="en-US"/>
            </w:rPr>
            <w:t>[74]</w:t>
          </w:r>
          <w:r>
            <w:rPr>
              <w:rFonts w:cs="Times New Roman"/>
              <w:lang w:val="en-US"/>
            </w:rPr>
            <w:fldChar w:fldCharType="end"/>
          </w:r>
        </w:sdtContent>
      </w:sdt>
      <w:r w:rsidRPr="00B67AF9">
        <w:rPr>
          <w:rFonts w:cs="Times New Roman"/>
          <w:lang w:val="en-US"/>
        </w:rPr>
        <w:t xml:space="preserve"> analyze the use of </w:t>
      </w:r>
      <w:r w:rsidR="00784D2D">
        <w:rPr>
          <w:rFonts w:cs="Times New Roman"/>
          <w:lang w:val="en-US"/>
        </w:rPr>
        <w:t xml:space="preserve">PCM </w:t>
      </w:r>
      <w:r w:rsidRPr="00B67AF9">
        <w:rPr>
          <w:rFonts w:cs="Times New Roman"/>
          <w:lang w:val="en-US"/>
        </w:rPr>
        <w:t>in thermoelectric microgrids (TE-MG), considered an advanced form of local power distribution network. The authors propose an Energy Management System (EMS) based on Model Predictive Control (MPC), capable of jointly optimizing the management of electrical and thermal resources through the integration of a PCM-based thermal system. The proposed system can operate in active or passive modes, contributing to indoor temperature control and the reduction of energy costs. In active mode, the heat flow is regulated through the control of the cold-water mass flow rate, while in passive mode, the PCM functions as a thermal energy storage system, absorbing and releasing heat according to environmental conditions. The model also includes the interaction of the PCM with heat pumps, battery storage systems (BESS), and PV, allowing coordinated energy management. Simulation results, carried out on the Energy Smart Home Lab (ESHL) microgrid at the Karlsruhe Institute of Technology (KIT), show that the inclusion of PCM improves thermal stability and reduces the operating time of heat pumps, resulting in lower costs and reduced battery degradation. In summary, the study by Verdugo et al. (2025) represents a pioneering contribution to the application of PCM in the thermal and energy management of smart distribution networks, demonstrating the potential of these materials to enhance the efficiency and sustainability of microgrids.</w:t>
      </w:r>
    </w:p>
    <w:p w14:paraId="5A26DE09" w14:textId="77777777" w:rsidR="00B67AF9" w:rsidRDefault="00B67AF9" w:rsidP="00B67AF9">
      <w:pPr>
        <w:rPr>
          <w:lang w:val="en-US"/>
        </w:rPr>
      </w:pPr>
    </w:p>
    <w:p w14:paraId="69775F0F" w14:textId="77777777" w:rsidR="00B67AF9" w:rsidRDefault="00B67AF9" w:rsidP="00B67AF9">
      <w:pPr>
        <w:rPr>
          <w:lang w:val="en-US"/>
        </w:rPr>
      </w:pPr>
    </w:p>
    <w:p w14:paraId="30F4E7DC" w14:textId="77777777" w:rsidR="00B67AF9" w:rsidRDefault="00B67AF9" w:rsidP="00B67AF9">
      <w:pPr>
        <w:rPr>
          <w:lang w:val="en-US"/>
        </w:rPr>
      </w:pPr>
    </w:p>
    <w:p w14:paraId="15BF469E" w14:textId="77777777" w:rsidR="00B67AF9" w:rsidRDefault="00B67AF9" w:rsidP="00B67AF9">
      <w:pPr>
        <w:rPr>
          <w:lang w:val="en-US"/>
        </w:rPr>
      </w:pPr>
    </w:p>
    <w:p w14:paraId="5D344ED7" w14:textId="77777777" w:rsidR="00B67AF9" w:rsidRDefault="00B67AF9" w:rsidP="00B67AF9">
      <w:pPr>
        <w:rPr>
          <w:lang w:val="en-US"/>
        </w:rPr>
      </w:pPr>
    </w:p>
    <w:p w14:paraId="785358FC" w14:textId="77777777" w:rsidR="00B67AF9" w:rsidRDefault="00B67AF9" w:rsidP="00B67AF9">
      <w:pPr>
        <w:rPr>
          <w:lang w:val="en-US"/>
        </w:rPr>
      </w:pPr>
    </w:p>
    <w:p w14:paraId="0436EC4D" w14:textId="77777777" w:rsidR="00B67AF9" w:rsidRDefault="00B67AF9" w:rsidP="00B67AF9">
      <w:pPr>
        <w:rPr>
          <w:lang w:val="en-US"/>
        </w:rPr>
      </w:pPr>
    </w:p>
    <w:p w14:paraId="1085CF58" w14:textId="77777777" w:rsidR="00B67AF9" w:rsidRDefault="00B67AF9" w:rsidP="00B67AF9">
      <w:pPr>
        <w:rPr>
          <w:lang w:val="en-US"/>
        </w:rPr>
      </w:pPr>
    </w:p>
    <w:p w14:paraId="01AFB962" w14:textId="77777777" w:rsidR="00B67AF9" w:rsidRDefault="00B67AF9" w:rsidP="00B67AF9">
      <w:pPr>
        <w:rPr>
          <w:lang w:val="en-US"/>
        </w:rPr>
      </w:pPr>
    </w:p>
    <w:p w14:paraId="3E0C895E" w14:textId="77777777" w:rsidR="00B67AF9" w:rsidRDefault="00B67AF9" w:rsidP="00B67AF9">
      <w:pPr>
        <w:rPr>
          <w:lang w:val="en-US"/>
        </w:rPr>
      </w:pPr>
    </w:p>
    <w:p w14:paraId="2688E565" w14:textId="77777777" w:rsidR="00B67AF9" w:rsidRDefault="00B67AF9" w:rsidP="00B67AF9">
      <w:pPr>
        <w:rPr>
          <w:lang w:val="en-US"/>
        </w:rPr>
      </w:pPr>
    </w:p>
    <w:p w14:paraId="2FD77F46" w14:textId="505DE9FB" w:rsidR="00B67AF9" w:rsidRPr="00B67AF9" w:rsidRDefault="00B67AF9" w:rsidP="00B67AF9">
      <w:pPr>
        <w:pStyle w:val="Heading2"/>
        <w:rPr>
          <w:lang w:val="en-US"/>
        </w:rPr>
      </w:pPr>
      <w:bookmarkStart w:id="89" w:name="_Toc214356289"/>
      <w:r w:rsidRPr="00B67AF9">
        <w:rPr>
          <w:lang w:val="en-US"/>
        </w:rPr>
        <w:t>PCMs in PV systems</w:t>
      </w:r>
      <w:bookmarkEnd w:id="89"/>
    </w:p>
    <w:p w14:paraId="29794A30" w14:textId="77777777" w:rsidR="0099669C" w:rsidRPr="0099669C" w:rsidRDefault="0099669C" w:rsidP="0099669C">
      <w:pPr>
        <w:rPr>
          <w:rFonts w:cs="Times New Roman"/>
          <w:lang w:val="en-US"/>
        </w:rPr>
      </w:pPr>
      <w:r w:rsidRPr="0099669C">
        <w:rPr>
          <w:rFonts w:cs="Times New Roman"/>
          <w:lang w:val="en-US"/>
        </w:rPr>
        <w:t>To investigate the state of the art on the application of PCMs in PV systems, a systematic literature review was conducted using the Scopus database. The search query used was as follows:</w:t>
      </w:r>
    </w:p>
    <w:p w14:paraId="2D1FDDEB" w14:textId="77777777" w:rsidR="0099669C" w:rsidRPr="0099669C" w:rsidRDefault="0099669C" w:rsidP="0099669C">
      <w:pPr>
        <w:jc w:val="center"/>
        <w:rPr>
          <w:rFonts w:cs="Times New Roman"/>
          <w:b/>
          <w:bCs/>
          <w:i/>
          <w:iCs/>
          <w:lang w:val="en-US"/>
        </w:rPr>
      </w:pPr>
      <w:r w:rsidRPr="0099669C">
        <w:rPr>
          <w:rFonts w:cs="Times New Roman"/>
          <w:b/>
          <w:bCs/>
          <w:i/>
          <w:iCs/>
          <w:lang w:val="en-US"/>
        </w:rPr>
        <w:t>("phase change materials" OR PCM) AND (photovoltaic OR PV OR "solar panel" OR "solar module") AND (thermal regulation OR temperature control OR efficiency)</w:t>
      </w:r>
    </w:p>
    <w:p w14:paraId="3A9148FA" w14:textId="253D8B83" w:rsidR="0099669C" w:rsidRPr="0099669C" w:rsidRDefault="0099669C" w:rsidP="0099669C">
      <w:pPr>
        <w:rPr>
          <w:rFonts w:cs="Times New Roman"/>
          <w:lang w:val="en-US"/>
        </w:rPr>
      </w:pPr>
      <w:r w:rsidRPr="0099669C">
        <w:rPr>
          <w:rFonts w:cs="Times New Roman"/>
          <w:lang w:val="en-US"/>
        </w:rPr>
        <w:t xml:space="preserve">The search returned 1,043 results, including research articles, conference papers, and review studies published in various international scientific journals. As in previous phases of the work, the results were filtered based on the relevance of the studies and the quality of the sources, giving priority to publications in high-impact journals recognized for their scientific reliability. The literature analysis thus provided a comprehensive overview of the current state of research, highlighting the main findings and future perspectives concerning the use of PCMs in PV systems, with particular attention to their energy, economic, and environmental implications. </w:t>
      </w:r>
    </w:p>
    <w:p w14:paraId="74D5A220" w14:textId="77777777" w:rsidR="0099669C" w:rsidRDefault="0099669C" w:rsidP="0099669C">
      <w:pPr>
        <w:keepNext/>
        <w:jc w:val="center"/>
      </w:pPr>
      <w:r>
        <w:rPr>
          <w:noProof/>
        </w:rPr>
        <mc:AlternateContent>
          <mc:Choice Requires="wps">
            <w:drawing>
              <wp:anchor distT="45720" distB="45720" distL="114300" distR="114300" simplePos="0" relativeHeight="251710464" behindDoc="0" locked="0" layoutInCell="1" allowOverlap="1" wp14:anchorId="34086935" wp14:editId="312978CE">
                <wp:simplePos x="0" y="0"/>
                <wp:positionH relativeFrom="column">
                  <wp:posOffset>3016250</wp:posOffset>
                </wp:positionH>
                <wp:positionV relativeFrom="paragraph">
                  <wp:posOffset>229870</wp:posOffset>
                </wp:positionV>
                <wp:extent cx="381000" cy="518160"/>
                <wp:effectExtent l="0" t="0" r="0" b="0"/>
                <wp:wrapNone/>
                <wp:docPr id="5955711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518160"/>
                        </a:xfrm>
                        <a:prstGeom prst="rect">
                          <a:avLst/>
                        </a:prstGeom>
                        <a:noFill/>
                        <a:ln w="9525">
                          <a:noFill/>
                          <a:miter lim="800000"/>
                          <a:headEnd/>
                          <a:tailEnd/>
                        </a:ln>
                      </wps:spPr>
                      <wps:txbx>
                        <w:txbxContent>
                          <w:p w14:paraId="271CD5F9" w14:textId="77777777" w:rsidR="0099669C" w:rsidRPr="00187FE9" w:rsidRDefault="0099669C" w:rsidP="0099669C">
                            <w:pPr>
                              <w:rPr>
                                <w:lang w:val="en-US"/>
                              </w:rPr>
                            </w:pPr>
                            <w: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4086935" id="_x0000_s1039" type="#_x0000_t202" style="position:absolute;left:0;text-align:left;margin-left:237.5pt;margin-top:18.1pt;width:30pt;height:40.8pt;z-index:2517104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" filled="f" stroked="f">
                <v:textbox>
                  <w:txbxContent>
                    <w:p w14:paraId="271CD5F9" w14:textId="77777777" w:rsidR="0099669C" w:rsidRPr="00187FE9" w:rsidRDefault="0099669C" w:rsidP="0099669C">
                      <w:pPr>
                        <w:rPr>
                          <w:lang w:val="en-US"/>
                        </w:rPr>
                      </w:pPr>
                      <w:r>
                        <w:t>b)</w:t>
                      </w:r>
                    </w:p>
                  </w:txbxContent>
                </v:textbox>
              </v:shape>
            </w:pict>
          </mc:Fallback>
        </mc:AlternateContent>
      </w:r>
      <w:r>
        <w:rPr>
          <w:noProof/>
        </w:rPr>
        <mc:AlternateContent>
          <mc:Choice Requires="wps">
            <w:drawing>
              <wp:anchor distT="45720" distB="45720" distL="114300" distR="114300" simplePos="0" relativeHeight="251711488" behindDoc="0" locked="0" layoutInCell="1" allowOverlap="1" wp14:anchorId="21BC5AFD" wp14:editId="13AF21C5">
                <wp:simplePos x="0" y="0"/>
                <wp:positionH relativeFrom="column">
                  <wp:posOffset>-31750</wp:posOffset>
                </wp:positionH>
                <wp:positionV relativeFrom="paragraph">
                  <wp:posOffset>321310</wp:posOffset>
                </wp:positionV>
                <wp:extent cx="381000" cy="609600"/>
                <wp:effectExtent l="0" t="0" r="0" b="0"/>
                <wp:wrapNone/>
                <wp:docPr id="27988605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609600"/>
                        </a:xfrm>
                        <a:prstGeom prst="rect">
                          <a:avLst/>
                        </a:prstGeom>
                        <a:noFill/>
                        <a:ln w="9525">
                          <a:noFill/>
                          <a:miter lim="800000"/>
                          <a:headEnd/>
                          <a:tailEnd/>
                        </a:ln>
                      </wps:spPr>
                      <wps:txbx>
                        <w:txbxContent>
                          <w:p w14:paraId="0CC2F9F9" w14:textId="77777777" w:rsidR="0099669C" w:rsidRPr="00187FE9" w:rsidRDefault="0099669C" w:rsidP="0099669C">
                            <w:pPr>
                              <w:rPr>
                                <w:lang w:val="en-US"/>
                              </w:rPr>
                            </w:pPr>
                            <w: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1BC5AFD" id="_x0000_s1040" type="#_x0000_t202" style="position:absolute;left:0;text-align:left;margin-left:-2.5pt;margin-top:25.3pt;width:30pt;height:48pt;z-index:2517114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" filled="f" stroked="f">
                <v:textbox>
                  <w:txbxContent>
                    <w:p w14:paraId="0CC2F9F9" w14:textId="77777777" w:rsidR="0099669C" w:rsidRPr="00187FE9" w:rsidRDefault="0099669C" w:rsidP="0099669C">
                      <w:pPr>
                        <w:rPr>
                          <w:lang w:val="en-US"/>
                        </w:rPr>
                      </w:pPr>
                      <w:r>
                        <w:t>a)</w:t>
                      </w:r>
                    </w:p>
                  </w:txbxContent>
                </v:textbox>
              </v:shape>
            </w:pict>
          </mc:Fallback>
        </mc:AlternateContent>
      </w:r>
      <w:r w:rsidRPr="002B0999">
        <w:rPr>
          <w:rFonts w:ascii="Times New Roman" w:hAnsi="Times New Roman" w:cs="Times New Roman"/>
          <w:noProof/>
        </w:rPr>
        <w:drawing>
          <wp:inline distT="0" distB="0" distL="0" distR="0" wp14:anchorId="6D448CE2" wp14:editId="79DDA159">
            <wp:extent cx="6120130" cy="2014220"/>
            <wp:effectExtent l="0" t="0" r="0" b="5080"/>
            <wp:docPr id="918271670" name="Picture 1" descr="A graph and char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8271670" name="Picture 1" descr="A graph and chart of a graph&#10;&#10;AI-generated content may be incorrect."/>
                    <pic:cNvPicPr/>
                  </pic:nvPicPr>
                  <pic:blipFill>
                    <a:blip r:embed="rId112"/>
                    <a:stretch>
                      <a:fillRect/>
                    </a:stretch>
                  </pic:blipFill>
                  <pic:spPr>
                    <a:xfrm>
                      <a:off x="0" y="0"/>
                      <a:ext cx="6120130" cy="2014220"/>
                    </a:xfrm>
                    <a:prstGeom prst="rect">
                      <a:avLst/>
                    </a:prstGeom>
                  </pic:spPr>
                </pic:pic>
              </a:graphicData>
            </a:graphic>
          </wp:inline>
        </w:drawing>
      </w:r>
    </w:p>
    <w:p w14:paraId="6A951C6B" w14:textId="1B8C7594" w:rsidR="0099669C" w:rsidRPr="0099669C" w:rsidRDefault="0099669C" w:rsidP="0099669C">
      <w:pPr>
        <w:pStyle w:val="Caption"/>
      </w:pPr>
      <w:bookmarkStart w:id="90" w:name="_Toc214357732"/>
      <w:r>
        <w:t xml:space="preserve">Figure </w:t>
      </w:r>
      <w:r w:rsidR="00F824A5">
        <w:fldChar w:fldCharType="begin"/>
      </w:r>
      <w:r w:rsidR="00F824A5">
        <w:instrText xml:space="preserve"> STYLEREF 1 \s </w:instrText>
      </w:r>
      <w:r w:rsidR="00F824A5">
        <w:fldChar w:fldCharType="separate"/>
      </w:r>
      <w:r w:rsidR="000412CE">
        <w:rPr>
          <w:noProof/>
        </w:rPr>
        <w:t>2</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4</w:t>
      </w:r>
      <w:r w:rsidR="00F824A5">
        <w:fldChar w:fldCharType="end"/>
      </w:r>
      <w:r w:rsidR="00DE026D">
        <w:t>.</w:t>
      </w:r>
      <w:r>
        <w:t xml:space="preserve"> </w:t>
      </w:r>
      <w:r w:rsidRPr="000A6AC3">
        <w:t>Scopus trends for PCM applications in PVs: (a) publications rising sharply since ~2015; (b) country contributions led by India and China, followed by Iran, UK, Malaysia, and others.</w:t>
      </w:r>
      <w:bookmarkEnd w:id="90"/>
    </w:p>
    <w:p w14:paraId="75702017" w14:textId="47B35213" w:rsidR="0099669C" w:rsidRPr="0099669C" w:rsidRDefault="0099669C" w:rsidP="0099669C">
      <w:pPr>
        <w:rPr>
          <w:rFonts w:cs="Times New Roman"/>
          <w:lang w:val="en-US"/>
        </w:rPr>
      </w:pPr>
      <w:r w:rsidRPr="0099669C">
        <w:rPr>
          <w:rFonts w:cs="Times New Roman"/>
          <w:lang w:val="en-US"/>
        </w:rPr>
        <w:t xml:space="preserve">Figure 2.5a shows the evolution of scientific publications on the application of PCMs in PV systems from 2002 to 2025. Until 2014, research activity remained limited, but from 2016 onward, there was steady growth, becoming exponential after 2018. The number of publications peaked in 2024 with about 190 papers, reflecting the growing interest in using PCMs to improve the thermal and energy efficiency of PV modules. Figure 2.5b illustrates the geographical distribution of studies. The main contributions </w:t>
      </w:r>
      <w:r w:rsidRPr="0099669C">
        <w:rPr>
          <w:rFonts w:cs="Times New Roman"/>
          <w:lang w:val="en-US"/>
        </w:rPr>
        <w:lastRenderedPageBreak/>
        <w:t>come from India and China, followed by Iran, the United Kingdom, Malaysia, and Saudi Arabia. Iraq and Egypt also show significant research output, while the United States and Turkey have produced a smaller number of publications. Overall, research activity is most intense in countries with high solar radiation, where thermal management of PV modules is a key technological concern. Table 2</w:t>
      </w:r>
      <w:r>
        <w:rPr>
          <w:rFonts w:cs="Times New Roman"/>
          <w:lang w:val="en-US"/>
        </w:rPr>
        <w:t>.4</w:t>
      </w:r>
      <w:r w:rsidRPr="0099669C">
        <w:rPr>
          <w:rFonts w:cs="Times New Roman"/>
          <w:lang w:val="en-US"/>
        </w:rPr>
        <w:t xml:space="preserve"> presents a selection of the most relevant research articles concerning the application of PCMs for the thermal regulation of PV systems. The studies summarized investigate the integration of PCM as a passive cooling strategy to mitigate temperature rise in PV modules, thereby improving their efficiency, reliability, and service life. For each work, the main bibliographic information, including title, authors, source, year of publication, number of citations, and the key outcomes extracted from the abstracts</w:t>
      </w:r>
      <w:r w:rsidR="00C07D17">
        <w:rPr>
          <w:rFonts w:cs="Times New Roman"/>
          <w:lang w:val="en-US"/>
        </w:rPr>
        <w:t>,</w:t>
      </w:r>
      <w:r w:rsidRPr="0099669C">
        <w:rPr>
          <w:rFonts w:cs="Times New Roman"/>
          <w:lang w:val="en-US"/>
        </w:rPr>
        <w:t xml:space="preserve"> </w:t>
      </w:r>
      <w:r w:rsidR="00C07D17">
        <w:rPr>
          <w:rFonts w:cs="Times New Roman"/>
          <w:lang w:val="en-US"/>
        </w:rPr>
        <w:t>is</w:t>
      </w:r>
      <w:r w:rsidRPr="0099669C">
        <w:rPr>
          <w:rFonts w:cs="Times New Roman"/>
          <w:lang w:val="en-US"/>
        </w:rPr>
        <w:t xml:space="preserve"> reported.</w:t>
      </w:r>
    </w:p>
    <w:tbl>
      <w:tblPr>
        <w:tblStyle w:val="TableGrid"/>
        <w:tblW w:w="0" w:type="auto"/>
        <w:tblLook w:val="04A0" w:firstRow="1" w:lastRow="0" w:firstColumn="1" w:lastColumn="0" w:noHBand="0" w:noVBand="1"/>
      </w:tblPr>
      <w:tblGrid>
        <w:gridCol w:w="2067"/>
        <w:gridCol w:w="1936"/>
        <w:gridCol w:w="1353"/>
        <w:gridCol w:w="617"/>
        <w:gridCol w:w="992"/>
        <w:gridCol w:w="2095"/>
      </w:tblGrid>
      <w:tr w:rsidR="0099669C" w:rsidRPr="0099669C" w14:paraId="078D5672" w14:textId="77777777" w:rsidTr="0099669C">
        <w:tc>
          <w:tcPr>
            <w:tcW w:w="2622" w:type="dxa"/>
            <w:shd w:val="clear" w:color="auto" w:fill="8EA5B6"/>
            <w:vAlign w:val="center"/>
          </w:tcPr>
          <w:p w14:paraId="698C0FC9" w14:textId="77777777" w:rsidR="0099669C" w:rsidRPr="0099669C" w:rsidRDefault="0099669C" w:rsidP="0099669C">
            <w:pPr>
              <w:jc w:val="center"/>
              <w:rPr>
                <w:rFonts w:cs="Times New Roman"/>
                <w:b/>
                <w:bCs/>
                <w:sz w:val="18"/>
                <w:szCs w:val="18"/>
              </w:rPr>
            </w:pPr>
            <w:r w:rsidRPr="0099669C">
              <w:rPr>
                <w:rFonts w:cs="Times New Roman"/>
                <w:b/>
                <w:bCs/>
                <w:sz w:val="18"/>
                <w:szCs w:val="18"/>
              </w:rPr>
              <w:t>Title</w:t>
            </w:r>
          </w:p>
        </w:tc>
        <w:tc>
          <w:tcPr>
            <w:tcW w:w="2228" w:type="dxa"/>
            <w:shd w:val="clear" w:color="auto" w:fill="8EA5B6"/>
            <w:vAlign w:val="center"/>
          </w:tcPr>
          <w:p w14:paraId="3D466E8E" w14:textId="77777777" w:rsidR="0099669C" w:rsidRPr="0099669C" w:rsidRDefault="0099669C" w:rsidP="0099669C">
            <w:pPr>
              <w:jc w:val="center"/>
              <w:rPr>
                <w:rFonts w:cs="Times New Roman"/>
                <w:b/>
                <w:bCs/>
                <w:sz w:val="18"/>
                <w:szCs w:val="18"/>
              </w:rPr>
            </w:pPr>
            <w:r w:rsidRPr="0099669C">
              <w:rPr>
                <w:rFonts w:cs="Times New Roman"/>
                <w:b/>
                <w:bCs/>
                <w:sz w:val="18"/>
                <w:szCs w:val="18"/>
              </w:rPr>
              <w:t>Authors</w:t>
            </w:r>
          </w:p>
        </w:tc>
        <w:tc>
          <w:tcPr>
            <w:tcW w:w="1563" w:type="dxa"/>
            <w:shd w:val="clear" w:color="auto" w:fill="8EA5B6"/>
            <w:vAlign w:val="center"/>
          </w:tcPr>
          <w:p w14:paraId="520C23F0" w14:textId="77777777" w:rsidR="0099669C" w:rsidRPr="0099669C" w:rsidRDefault="0099669C" w:rsidP="0099669C">
            <w:pPr>
              <w:jc w:val="center"/>
              <w:rPr>
                <w:rFonts w:cs="Times New Roman"/>
                <w:b/>
                <w:bCs/>
                <w:sz w:val="18"/>
                <w:szCs w:val="18"/>
              </w:rPr>
            </w:pPr>
            <w:r w:rsidRPr="0099669C">
              <w:rPr>
                <w:rFonts w:cs="Times New Roman"/>
                <w:b/>
                <w:bCs/>
                <w:sz w:val="18"/>
                <w:szCs w:val="18"/>
              </w:rPr>
              <w:t>Source</w:t>
            </w:r>
          </w:p>
        </w:tc>
        <w:tc>
          <w:tcPr>
            <w:tcW w:w="770" w:type="dxa"/>
            <w:shd w:val="clear" w:color="auto" w:fill="8EA5B6"/>
            <w:vAlign w:val="center"/>
          </w:tcPr>
          <w:p w14:paraId="36CB8CAC" w14:textId="77777777" w:rsidR="0099669C" w:rsidRPr="0099669C" w:rsidRDefault="0099669C" w:rsidP="0099669C">
            <w:pPr>
              <w:jc w:val="center"/>
              <w:rPr>
                <w:rFonts w:cs="Times New Roman"/>
                <w:b/>
                <w:bCs/>
                <w:sz w:val="18"/>
                <w:szCs w:val="18"/>
              </w:rPr>
            </w:pPr>
            <w:r w:rsidRPr="0099669C">
              <w:rPr>
                <w:rFonts w:cs="Times New Roman"/>
                <w:b/>
                <w:bCs/>
                <w:sz w:val="18"/>
                <w:szCs w:val="18"/>
              </w:rPr>
              <w:t>Year</w:t>
            </w:r>
          </w:p>
        </w:tc>
        <w:tc>
          <w:tcPr>
            <w:tcW w:w="1121" w:type="dxa"/>
            <w:shd w:val="clear" w:color="auto" w:fill="8EA5B6"/>
            <w:vAlign w:val="center"/>
          </w:tcPr>
          <w:p w14:paraId="39E07E33" w14:textId="77777777" w:rsidR="0099669C" w:rsidRPr="0099669C" w:rsidRDefault="0099669C" w:rsidP="0099669C">
            <w:pPr>
              <w:jc w:val="center"/>
              <w:rPr>
                <w:rFonts w:cs="Times New Roman"/>
                <w:b/>
                <w:bCs/>
                <w:sz w:val="18"/>
                <w:szCs w:val="18"/>
              </w:rPr>
            </w:pPr>
            <w:r w:rsidRPr="0099669C">
              <w:rPr>
                <w:rFonts w:cs="Times New Roman"/>
                <w:b/>
                <w:bCs/>
                <w:sz w:val="18"/>
                <w:szCs w:val="18"/>
              </w:rPr>
              <w:t>Citations</w:t>
            </w:r>
          </w:p>
        </w:tc>
        <w:tc>
          <w:tcPr>
            <w:tcW w:w="3384" w:type="dxa"/>
            <w:shd w:val="clear" w:color="auto" w:fill="8EA5B6"/>
            <w:vAlign w:val="center"/>
          </w:tcPr>
          <w:p w14:paraId="28ACC84F" w14:textId="3532A9E1" w:rsidR="0099669C" w:rsidRPr="0099669C" w:rsidRDefault="0099669C" w:rsidP="00C07D17">
            <w:pPr>
              <w:jc w:val="center"/>
              <w:rPr>
                <w:rFonts w:cs="Times New Roman"/>
                <w:b/>
                <w:bCs/>
                <w:sz w:val="18"/>
                <w:szCs w:val="18"/>
              </w:rPr>
            </w:pPr>
            <w:r w:rsidRPr="0099669C">
              <w:rPr>
                <w:rFonts w:cs="Times New Roman"/>
                <w:b/>
                <w:bCs/>
                <w:sz w:val="18"/>
                <w:szCs w:val="18"/>
              </w:rPr>
              <w:t>Abstract summary</w:t>
            </w:r>
          </w:p>
        </w:tc>
      </w:tr>
      <w:tr w:rsidR="0099669C" w:rsidRPr="00736B36" w14:paraId="47C6D0D1" w14:textId="77777777" w:rsidTr="0099669C">
        <w:tc>
          <w:tcPr>
            <w:tcW w:w="2622" w:type="dxa"/>
            <w:vAlign w:val="center"/>
          </w:tcPr>
          <w:p w14:paraId="4F6F5E49" w14:textId="3E861C4E" w:rsidR="0099669C" w:rsidRPr="0099669C" w:rsidRDefault="0099669C" w:rsidP="0099669C">
            <w:pPr>
              <w:jc w:val="center"/>
              <w:rPr>
                <w:rFonts w:cs="Times New Roman"/>
                <w:b/>
                <w:bCs/>
                <w:sz w:val="18"/>
                <w:szCs w:val="18"/>
                <w:lang w:val="en-US"/>
              </w:rPr>
            </w:pPr>
            <w:r w:rsidRPr="0099669C">
              <w:rPr>
                <w:rFonts w:cs="Times New Roman"/>
                <w:sz w:val="18"/>
                <w:szCs w:val="18"/>
                <w:lang w:val="en-US"/>
              </w:rPr>
              <w:t>Energy and cost saving of a photovoltaic-phase change materials (PV-PCM) System through temperature regulation and performance enhancement of photovoltaics</w:t>
            </w:r>
          </w:p>
        </w:tc>
        <w:tc>
          <w:tcPr>
            <w:tcW w:w="2228" w:type="dxa"/>
            <w:vAlign w:val="center"/>
          </w:tcPr>
          <w:p w14:paraId="7E81009D"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Hasan, A., McCormack, S.J., Huang, M.J., Norton, B.</w:t>
            </w:r>
          </w:p>
        </w:tc>
        <w:tc>
          <w:tcPr>
            <w:tcW w:w="1563" w:type="dxa"/>
            <w:vAlign w:val="center"/>
          </w:tcPr>
          <w:p w14:paraId="36018F08" w14:textId="77777777" w:rsidR="0099669C" w:rsidRPr="0099669C" w:rsidRDefault="0099669C" w:rsidP="0099669C">
            <w:pPr>
              <w:jc w:val="center"/>
              <w:rPr>
                <w:rFonts w:cs="Times New Roman"/>
                <w:sz w:val="18"/>
                <w:szCs w:val="18"/>
              </w:rPr>
            </w:pPr>
            <w:r w:rsidRPr="0099669C">
              <w:rPr>
                <w:rFonts w:cs="Times New Roman"/>
                <w:sz w:val="18"/>
                <w:szCs w:val="18"/>
              </w:rPr>
              <w:t>Energies, 7(3), pp. 1318–1331</w:t>
            </w:r>
          </w:p>
        </w:tc>
        <w:tc>
          <w:tcPr>
            <w:tcW w:w="770" w:type="dxa"/>
            <w:vAlign w:val="center"/>
          </w:tcPr>
          <w:p w14:paraId="74D8F374" w14:textId="77777777" w:rsidR="0099669C" w:rsidRPr="0099669C" w:rsidRDefault="0099669C" w:rsidP="0099669C">
            <w:pPr>
              <w:jc w:val="center"/>
              <w:rPr>
                <w:rFonts w:cs="Times New Roman"/>
                <w:sz w:val="18"/>
                <w:szCs w:val="18"/>
              </w:rPr>
            </w:pPr>
            <w:r w:rsidRPr="0099669C">
              <w:rPr>
                <w:rFonts w:cs="Times New Roman"/>
                <w:sz w:val="18"/>
                <w:szCs w:val="18"/>
              </w:rPr>
              <w:t>2014</w:t>
            </w:r>
          </w:p>
        </w:tc>
        <w:tc>
          <w:tcPr>
            <w:tcW w:w="1121" w:type="dxa"/>
            <w:vAlign w:val="center"/>
          </w:tcPr>
          <w:p w14:paraId="4200A945" w14:textId="77777777" w:rsidR="0099669C" w:rsidRPr="0099669C" w:rsidRDefault="0099669C" w:rsidP="0099669C">
            <w:pPr>
              <w:jc w:val="center"/>
              <w:rPr>
                <w:rFonts w:cs="Times New Roman"/>
                <w:sz w:val="18"/>
                <w:szCs w:val="18"/>
              </w:rPr>
            </w:pPr>
            <w:r w:rsidRPr="0099669C">
              <w:rPr>
                <w:rFonts w:cs="Times New Roman"/>
                <w:sz w:val="18"/>
                <w:szCs w:val="18"/>
              </w:rPr>
              <w:t>193</w:t>
            </w:r>
          </w:p>
        </w:tc>
        <w:tc>
          <w:tcPr>
            <w:tcW w:w="3384" w:type="dxa"/>
            <w:vAlign w:val="center"/>
          </w:tcPr>
          <w:p w14:paraId="2E6A86EC" w14:textId="77777777" w:rsidR="0099669C" w:rsidRPr="0099669C" w:rsidRDefault="0099669C" w:rsidP="00C07D17">
            <w:pPr>
              <w:rPr>
                <w:rFonts w:cs="Times New Roman"/>
                <w:sz w:val="18"/>
                <w:szCs w:val="18"/>
                <w:lang w:val="en-US"/>
              </w:rPr>
            </w:pPr>
            <w:r w:rsidRPr="0099669C">
              <w:rPr>
                <w:rFonts w:cs="Times New Roman"/>
                <w:sz w:val="18"/>
                <w:szCs w:val="18"/>
                <w:lang w:val="en-US"/>
              </w:rPr>
              <w:t>PCM absorbs excess heat and keeps PV cooler; more cost-effective in hot, high-irradiance sites.</w:t>
            </w:r>
          </w:p>
        </w:tc>
      </w:tr>
      <w:tr w:rsidR="0099669C" w:rsidRPr="00736B36" w14:paraId="246B87E1" w14:textId="77777777" w:rsidTr="0099669C">
        <w:tc>
          <w:tcPr>
            <w:tcW w:w="2622" w:type="dxa"/>
            <w:vAlign w:val="center"/>
          </w:tcPr>
          <w:p w14:paraId="5DF8C094" w14:textId="08BCF17E" w:rsidR="0099669C" w:rsidRPr="0099669C" w:rsidRDefault="0099669C" w:rsidP="0099669C">
            <w:pPr>
              <w:jc w:val="center"/>
              <w:rPr>
                <w:rFonts w:cs="Times New Roman"/>
                <w:b/>
                <w:bCs/>
                <w:sz w:val="18"/>
                <w:szCs w:val="18"/>
                <w:lang w:val="en-US"/>
              </w:rPr>
            </w:pPr>
            <w:r w:rsidRPr="0099669C">
              <w:rPr>
                <w:rFonts w:cs="Times New Roman"/>
                <w:sz w:val="18"/>
                <w:szCs w:val="18"/>
                <w:lang w:val="en-US"/>
              </w:rPr>
              <w:t>Thermal control of crystalline silicon photovoltaic (c-Si PV) module using Docosane phase change material (PCM) for improved performance</w:t>
            </w:r>
          </w:p>
        </w:tc>
        <w:tc>
          <w:tcPr>
            <w:tcW w:w="2228" w:type="dxa"/>
            <w:vAlign w:val="center"/>
          </w:tcPr>
          <w:p w14:paraId="2B00C74E"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Amalu, E.H., Fabunmi, O.A.</w:t>
            </w:r>
          </w:p>
        </w:tc>
        <w:tc>
          <w:tcPr>
            <w:tcW w:w="1563" w:type="dxa"/>
            <w:vAlign w:val="center"/>
          </w:tcPr>
          <w:p w14:paraId="57EAD77F" w14:textId="77777777" w:rsidR="0099669C" w:rsidRPr="0099669C" w:rsidRDefault="0099669C" w:rsidP="0099669C">
            <w:pPr>
              <w:jc w:val="center"/>
              <w:rPr>
                <w:rFonts w:cs="Times New Roman"/>
                <w:sz w:val="18"/>
                <w:szCs w:val="18"/>
              </w:rPr>
            </w:pPr>
            <w:r w:rsidRPr="0099669C">
              <w:rPr>
                <w:rFonts w:cs="Times New Roman"/>
                <w:sz w:val="18"/>
                <w:szCs w:val="18"/>
              </w:rPr>
              <w:t>Solar Energy, 234, pp. 203–221</w:t>
            </w:r>
          </w:p>
        </w:tc>
        <w:tc>
          <w:tcPr>
            <w:tcW w:w="770" w:type="dxa"/>
            <w:vAlign w:val="center"/>
          </w:tcPr>
          <w:p w14:paraId="675A0D02" w14:textId="77777777" w:rsidR="0099669C" w:rsidRPr="0099669C" w:rsidRDefault="0099669C" w:rsidP="0099669C">
            <w:pPr>
              <w:jc w:val="center"/>
              <w:rPr>
                <w:rFonts w:cs="Times New Roman"/>
                <w:sz w:val="18"/>
                <w:szCs w:val="18"/>
              </w:rPr>
            </w:pPr>
            <w:r w:rsidRPr="0099669C">
              <w:rPr>
                <w:rFonts w:cs="Times New Roman"/>
                <w:sz w:val="18"/>
                <w:szCs w:val="18"/>
              </w:rPr>
              <w:t>2022</w:t>
            </w:r>
          </w:p>
        </w:tc>
        <w:tc>
          <w:tcPr>
            <w:tcW w:w="1121" w:type="dxa"/>
            <w:vAlign w:val="center"/>
          </w:tcPr>
          <w:p w14:paraId="04B1F8D2" w14:textId="77777777" w:rsidR="0099669C" w:rsidRPr="0099669C" w:rsidRDefault="0099669C" w:rsidP="0099669C">
            <w:pPr>
              <w:jc w:val="center"/>
              <w:rPr>
                <w:rFonts w:cs="Times New Roman"/>
                <w:sz w:val="18"/>
                <w:szCs w:val="18"/>
              </w:rPr>
            </w:pPr>
            <w:r w:rsidRPr="0099669C">
              <w:rPr>
                <w:rFonts w:cs="Times New Roman"/>
                <w:sz w:val="18"/>
                <w:szCs w:val="18"/>
              </w:rPr>
              <w:t>53</w:t>
            </w:r>
          </w:p>
        </w:tc>
        <w:tc>
          <w:tcPr>
            <w:tcW w:w="3384" w:type="dxa"/>
            <w:vAlign w:val="center"/>
          </w:tcPr>
          <w:p w14:paraId="3AA343C4" w14:textId="77777777" w:rsidR="0099669C" w:rsidRPr="0099669C" w:rsidRDefault="0099669C" w:rsidP="00C07D17">
            <w:pPr>
              <w:rPr>
                <w:rFonts w:cs="Times New Roman"/>
                <w:sz w:val="18"/>
                <w:szCs w:val="18"/>
                <w:lang w:val="en-US"/>
              </w:rPr>
            </w:pPr>
            <w:r w:rsidRPr="0099669C">
              <w:rPr>
                <w:rFonts w:cs="Times New Roman"/>
                <w:sz w:val="18"/>
                <w:szCs w:val="18"/>
                <w:lang w:val="en-US"/>
              </w:rPr>
              <w:t>Cell temperature cut strongly (up to 78% of peak) and conversion efficiency rises by ~10.9%; more power and 34% longer fatigue life.</w:t>
            </w:r>
          </w:p>
        </w:tc>
      </w:tr>
      <w:tr w:rsidR="0099669C" w:rsidRPr="00736B36" w14:paraId="207ECB62" w14:textId="77777777" w:rsidTr="0099669C">
        <w:tc>
          <w:tcPr>
            <w:tcW w:w="2622" w:type="dxa"/>
            <w:vAlign w:val="center"/>
          </w:tcPr>
          <w:p w14:paraId="12DAAE6E" w14:textId="347493F7" w:rsidR="0099669C" w:rsidRPr="0099669C" w:rsidRDefault="0099669C" w:rsidP="0099669C">
            <w:pPr>
              <w:jc w:val="center"/>
              <w:rPr>
                <w:rFonts w:cs="Times New Roman"/>
                <w:b/>
                <w:bCs/>
                <w:sz w:val="18"/>
                <w:szCs w:val="18"/>
                <w:lang w:val="en-US"/>
              </w:rPr>
            </w:pPr>
            <w:r w:rsidRPr="0099669C">
              <w:rPr>
                <w:rFonts w:cs="Times New Roman"/>
                <w:sz w:val="18"/>
                <w:szCs w:val="18"/>
                <w:lang w:val="en-US"/>
              </w:rPr>
              <w:t>Experimental investigation of water based photovoltaic/thermal (PV/T) system with and without phase change material (PCM)</w:t>
            </w:r>
          </w:p>
        </w:tc>
        <w:tc>
          <w:tcPr>
            <w:tcW w:w="2228" w:type="dxa"/>
            <w:vAlign w:val="center"/>
          </w:tcPr>
          <w:p w14:paraId="6A627DB6" w14:textId="77777777" w:rsidR="0099669C" w:rsidRPr="0099669C" w:rsidRDefault="0099669C" w:rsidP="0099669C">
            <w:pPr>
              <w:jc w:val="center"/>
              <w:rPr>
                <w:rFonts w:cs="Times New Roman"/>
                <w:sz w:val="18"/>
                <w:szCs w:val="18"/>
                <w:lang w:val="nb-NO"/>
              </w:rPr>
            </w:pPr>
            <w:r w:rsidRPr="0099669C">
              <w:rPr>
                <w:rFonts w:cs="Times New Roman"/>
                <w:sz w:val="18"/>
                <w:szCs w:val="18"/>
                <w:lang w:val="nb-NO"/>
              </w:rPr>
              <w:t>Preet, S., Bhushan, B., Mahajan, T.</w:t>
            </w:r>
          </w:p>
        </w:tc>
        <w:tc>
          <w:tcPr>
            <w:tcW w:w="1563" w:type="dxa"/>
            <w:vAlign w:val="center"/>
          </w:tcPr>
          <w:p w14:paraId="5F7DA175" w14:textId="77777777" w:rsidR="0099669C" w:rsidRPr="0099669C" w:rsidRDefault="0099669C" w:rsidP="0099669C">
            <w:pPr>
              <w:jc w:val="center"/>
              <w:rPr>
                <w:rFonts w:cs="Times New Roman"/>
                <w:sz w:val="18"/>
                <w:szCs w:val="18"/>
              </w:rPr>
            </w:pPr>
            <w:r w:rsidRPr="0099669C">
              <w:rPr>
                <w:rFonts w:cs="Times New Roman"/>
                <w:sz w:val="18"/>
                <w:szCs w:val="18"/>
              </w:rPr>
              <w:t>Solar Energy, 155, pp. 1104–1120</w:t>
            </w:r>
          </w:p>
        </w:tc>
        <w:tc>
          <w:tcPr>
            <w:tcW w:w="770" w:type="dxa"/>
            <w:vAlign w:val="center"/>
          </w:tcPr>
          <w:p w14:paraId="71A7E662" w14:textId="77777777" w:rsidR="0099669C" w:rsidRPr="0099669C" w:rsidRDefault="0099669C" w:rsidP="0099669C">
            <w:pPr>
              <w:jc w:val="center"/>
              <w:rPr>
                <w:rFonts w:cs="Times New Roman"/>
                <w:sz w:val="18"/>
                <w:szCs w:val="18"/>
              </w:rPr>
            </w:pPr>
            <w:r w:rsidRPr="0099669C">
              <w:rPr>
                <w:rFonts w:cs="Times New Roman"/>
                <w:sz w:val="18"/>
                <w:szCs w:val="18"/>
              </w:rPr>
              <w:t>2017</w:t>
            </w:r>
          </w:p>
        </w:tc>
        <w:tc>
          <w:tcPr>
            <w:tcW w:w="1121" w:type="dxa"/>
            <w:vAlign w:val="center"/>
          </w:tcPr>
          <w:p w14:paraId="513E387C" w14:textId="77777777" w:rsidR="0099669C" w:rsidRPr="0099669C" w:rsidRDefault="0099669C" w:rsidP="0099669C">
            <w:pPr>
              <w:jc w:val="center"/>
              <w:rPr>
                <w:rFonts w:cs="Times New Roman"/>
                <w:sz w:val="18"/>
                <w:szCs w:val="18"/>
              </w:rPr>
            </w:pPr>
            <w:r w:rsidRPr="0099669C">
              <w:rPr>
                <w:rFonts w:cs="Times New Roman"/>
                <w:sz w:val="18"/>
                <w:szCs w:val="18"/>
              </w:rPr>
              <w:t>289</w:t>
            </w:r>
          </w:p>
        </w:tc>
        <w:tc>
          <w:tcPr>
            <w:tcW w:w="3384" w:type="dxa"/>
            <w:vAlign w:val="center"/>
          </w:tcPr>
          <w:p w14:paraId="5B09C2B0" w14:textId="77777777" w:rsidR="0099669C" w:rsidRPr="0099669C" w:rsidRDefault="0099669C" w:rsidP="00C07D17">
            <w:pPr>
              <w:rPr>
                <w:rFonts w:cs="Times New Roman"/>
                <w:sz w:val="18"/>
                <w:szCs w:val="18"/>
                <w:lang w:val="en-US"/>
              </w:rPr>
            </w:pPr>
            <w:r w:rsidRPr="0099669C">
              <w:rPr>
                <w:rFonts w:cs="Times New Roman"/>
                <w:sz w:val="18"/>
                <w:szCs w:val="18"/>
                <w:lang w:val="en-US"/>
              </w:rPr>
              <w:t>Water PV/T with PCM cools best; higher flow rates improve both electrical and thermal efficiencies.</w:t>
            </w:r>
          </w:p>
        </w:tc>
      </w:tr>
      <w:tr w:rsidR="0099669C" w:rsidRPr="00736B36" w14:paraId="58E77EE4" w14:textId="77777777" w:rsidTr="0099669C">
        <w:tc>
          <w:tcPr>
            <w:tcW w:w="2622" w:type="dxa"/>
            <w:vAlign w:val="center"/>
          </w:tcPr>
          <w:p w14:paraId="1926EAAE" w14:textId="793AAE5F" w:rsidR="0099669C" w:rsidRPr="0099669C" w:rsidRDefault="0099669C" w:rsidP="0099669C">
            <w:pPr>
              <w:jc w:val="center"/>
              <w:rPr>
                <w:rFonts w:cs="Times New Roman"/>
                <w:b/>
                <w:bCs/>
                <w:sz w:val="18"/>
                <w:szCs w:val="18"/>
                <w:lang w:val="en-US"/>
              </w:rPr>
            </w:pPr>
            <w:r w:rsidRPr="0099669C">
              <w:rPr>
                <w:rFonts w:cs="Times New Roman"/>
                <w:sz w:val="18"/>
                <w:szCs w:val="18"/>
                <w:lang w:val="en-US"/>
              </w:rPr>
              <w:t>Energy and exergy analysis of a switchable solar photovoltaic/thermal-phase change material system with thermal regulation strategies</w:t>
            </w:r>
          </w:p>
        </w:tc>
        <w:tc>
          <w:tcPr>
            <w:tcW w:w="2228" w:type="dxa"/>
            <w:vAlign w:val="center"/>
          </w:tcPr>
          <w:p w14:paraId="0505E65D" w14:textId="77777777" w:rsidR="0099669C" w:rsidRPr="0099669C" w:rsidRDefault="0099669C" w:rsidP="0099669C">
            <w:pPr>
              <w:jc w:val="center"/>
              <w:rPr>
                <w:rFonts w:cs="Times New Roman"/>
                <w:sz w:val="18"/>
                <w:szCs w:val="18"/>
              </w:rPr>
            </w:pPr>
            <w:r w:rsidRPr="0099669C">
              <w:rPr>
                <w:rFonts w:cs="Times New Roman"/>
                <w:sz w:val="18"/>
                <w:szCs w:val="18"/>
                <w:lang w:val="en-US"/>
              </w:rPr>
              <w:t xml:space="preserve">Zhang, C., Wang, N., Yang, Q., ... </w:t>
            </w:r>
            <w:r w:rsidRPr="0099669C">
              <w:rPr>
                <w:rFonts w:cs="Times New Roman"/>
                <w:sz w:val="18"/>
                <w:szCs w:val="18"/>
              </w:rPr>
              <w:t>Qu, Z., Fang, Y.</w:t>
            </w:r>
          </w:p>
        </w:tc>
        <w:tc>
          <w:tcPr>
            <w:tcW w:w="1563" w:type="dxa"/>
            <w:vAlign w:val="center"/>
          </w:tcPr>
          <w:p w14:paraId="4E632665" w14:textId="77777777" w:rsidR="0099669C" w:rsidRPr="0099669C" w:rsidRDefault="0099669C" w:rsidP="0099669C">
            <w:pPr>
              <w:jc w:val="center"/>
              <w:rPr>
                <w:rFonts w:cs="Times New Roman"/>
                <w:sz w:val="18"/>
                <w:szCs w:val="18"/>
              </w:rPr>
            </w:pPr>
            <w:r w:rsidRPr="0099669C">
              <w:rPr>
                <w:rFonts w:cs="Times New Roman"/>
                <w:sz w:val="18"/>
                <w:szCs w:val="18"/>
              </w:rPr>
              <w:t>Renewable Energy, 196, pp. 1392–1405</w:t>
            </w:r>
          </w:p>
        </w:tc>
        <w:tc>
          <w:tcPr>
            <w:tcW w:w="770" w:type="dxa"/>
            <w:vAlign w:val="center"/>
          </w:tcPr>
          <w:p w14:paraId="4CC4DBC3" w14:textId="77777777" w:rsidR="0099669C" w:rsidRPr="0099669C" w:rsidRDefault="0099669C" w:rsidP="0099669C">
            <w:pPr>
              <w:jc w:val="center"/>
              <w:rPr>
                <w:rFonts w:cs="Times New Roman"/>
                <w:sz w:val="18"/>
                <w:szCs w:val="18"/>
              </w:rPr>
            </w:pPr>
            <w:r w:rsidRPr="0099669C">
              <w:rPr>
                <w:rFonts w:cs="Times New Roman"/>
                <w:sz w:val="18"/>
                <w:szCs w:val="18"/>
              </w:rPr>
              <w:t>2022</w:t>
            </w:r>
          </w:p>
        </w:tc>
        <w:tc>
          <w:tcPr>
            <w:tcW w:w="1121" w:type="dxa"/>
            <w:vAlign w:val="center"/>
          </w:tcPr>
          <w:p w14:paraId="372FB756" w14:textId="77777777" w:rsidR="0099669C" w:rsidRPr="0099669C" w:rsidRDefault="0099669C" w:rsidP="0099669C">
            <w:pPr>
              <w:jc w:val="center"/>
              <w:rPr>
                <w:rFonts w:cs="Times New Roman"/>
                <w:sz w:val="18"/>
                <w:szCs w:val="18"/>
              </w:rPr>
            </w:pPr>
            <w:r w:rsidRPr="0099669C">
              <w:rPr>
                <w:rFonts w:cs="Times New Roman"/>
                <w:sz w:val="18"/>
                <w:szCs w:val="18"/>
              </w:rPr>
              <w:t>10</w:t>
            </w:r>
          </w:p>
        </w:tc>
        <w:tc>
          <w:tcPr>
            <w:tcW w:w="3384" w:type="dxa"/>
            <w:vAlign w:val="center"/>
          </w:tcPr>
          <w:p w14:paraId="3C991C82" w14:textId="50D85D19" w:rsidR="0099669C" w:rsidRPr="0099669C" w:rsidRDefault="0099669C" w:rsidP="00C07D17">
            <w:pPr>
              <w:rPr>
                <w:rFonts w:cs="Times New Roman"/>
                <w:sz w:val="18"/>
                <w:szCs w:val="18"/>
                <w:lang w:val="en-US"/>
              </w:rPr>
            </w:pPr>
            <w:r w:rsidRPr="0099669C">
              <w:rPr>
                <w:rFonts w:cs="Times New Roman"/>
                <w:sz w:val="18"/>
                <w:szCs w:val="18"/>
                <w:lang w:val="en-US"/>
              </w:rPr>
              <w:t xml:space="preserve">High flow </w:t>
            </w:r>
            <w:r w:rsidRPr="0099669C">
              <w:rPr>
                <w:rFonts w:ascii="Times New Roman" w:hAnsi="Times New Roman" w:cs="Times New Roman"/>
                <w:sz w:val="18"/>
                <w:szCs w:val="18"/>
                <w:lang w:val="en-US"/>
              </w:rPr>
              <w:t>→</w:t>
            </w:r>
            <w:r w:rsidRPr="0099669C">
              <w:rPr>
                <w:rFonts w:cs="Times New Roman"/>
                <w:sz w:val="18"/>
                <w:szCs w:val="18"/>
                <w:lang w:val="en-US"/>
              </w:rPr>
              <w:t xml:space="preserve"> </w:t>
            </w:r>
            <w:r w:rsidRPr="0099669C">
              <w:rPr>
                <w:rFonts w:cs="Times New Roman"/>
                <w:sz w:val="18"/>
                <w:szCs w:val="18"/>
              </w:rPr>
              <w:t>η</w:t>
            </w:r>
            <w:r w:rsidRPr="00C07D17">
              <w:rPr>
                <w:rFonts w:cs="Times New Roman"/>
                <w:sz w:val="18"/>
                <w:szCs w:val="18"/>
                <w:vertAlign w:val="subscript"/>
                <w:lang w:val="en-US"/>
              </w:rPr>
              <w:t>th</w:t>
            </w:r>
            <w:r w:rsidRPr="0099669C">
              <w:rPr>
                <w:rFonts w:cs="Times New Roman"/>
                <w:sz w:val="18"/>
                <w:szCs w:val="18"/>
                <w:lang w:val="en-US"/>
              </w:rPr>
              <w:t xml:space="preserve"> ≈ 86%; intermittent regulation at the same flow improves electrical and exergy efficiency (~+11%).</w:t>
            </w:r>
          </w:p>
        </w:tc>
      </w:tr>
      <w:tr w:rsidR="0099669C" w:rsidRPr="00736B36" w14:paraId="57EC3FFA" w14:textId="77777777" w:rsidTr="0099669C">
        <w:tc>
          <w:tcPr>
            <w:tcW w:w="2622" w:type="dxa"/>
            <w:vAlign w:val="center"/>
          </w:tcPr>
          <w:p w14:paraId="30977165" w14:textId="1CDACF81" w:rsidR="0099669C" w:rsidRPr="0099669C" w:rsidRDefault="0099669C" w:rsidP="0099669C">
            <w:pPr>
              <w:jc w:val="center"/>
              <w:rPr>
                <w:rFonts w:cs="Times New Roman"/>
                <w:b/>
                <w:bCs/>
                <w:sz w:val="18"/>
                <w:szCs w:val="18"/>
                <w:lang w:val="en-US"/>
              </w:rPr>
            </w:pPr>
            <w:r w:rsidRPr="0099669C">
              <w:rPr>
                <w:rFonts w:cs="Times New Roman"/>
                <w:sz w:val="18"/>
                <w:szCs w:val="18"/>
                <w:lang w:val="en-US"/>
              </w:rPr>
              <w:lastRenderedPageBreak/>
              <w:t>Study on the temperature control performance of photovoltaic module by a novel phase change material/heat pipe coupled thermal management system</w:t>
            </w:r>
          </w:p>
        </w:tc>
        <w:tc>
          <w:tcPr>
            <w:tcW w:w="2228" w:type="dxa"/>
            <w:vAlign w:val="center"/>
          </w:tcPr>
          <w:p w14:paraId="3CE5F30D"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Zhou, X., Cao, X., Leng, Z., Zhou, X., Liu, S.</w:t>
            </w:r>
          </w:p>
        </w:tc>
        <w:tc>
          <w:tcPr>
            <w:tcW w:w="1563" w:type="dxa"/>
            <w:vAlign w:val="center"/>
          </w:tcPr>
          <w:p w14:paraId="5CAA1EE0" w14:textId="77777777" w:rsidR="0099669C" w:rsidRPr="0099669C" w:rsidRDefault="0099669C" w:rsidP="0099669C">
            <w:pPr>
              <w:jc w:val="center"/>
              <w:rPr>
                <w:rFonts w:cs="Times New Roman"/>
                <w:sz w:val="18"/>
                <w:szCs w:val="18"/>
              </w:rPr>
            </w:pPr>
            <w:r w:rsidRPr="0099669C">
              <w:rPr>
                <w:rFonts w:cs="Times New Roman"/>
                <w:sz w:val="18"/>
                <w:szCs w:val="18"/>
              </w:rPr>
              <w:t>Journal of Energy Storage, 64, 107200</w:t>
            </w:r>
          </w:p>
        </w:tc>
        <w:tc>
          <w:tcPr>
            <w:tcW w:w="770" w:type="dxa"/>
            <w:vAlign w:val="center"/>
          </w:tcPr>
          <w:p w14:paraId="056F5976" w14:textId="77777777" w:rsidR="0099669C" w:rsidRPr="0099669C" w:rsidRDefault="0099669C" w:rsidP="0099669C">
            <w:pPr>
              <w:jc w:val="center"/>
              <w:rPr>
                <w:rFonts w:cs="Times New Roman"/>
                <w:sz w:val="18"/>
                <w:szCs w:val="18"/>
              </w:rPr>
            </w:pPr>
            <w:r w:rsidRPr="0099669C">
              <w:rPr>
                <w:rFonts w:cs="Times New Roman"/>
                <w:sz w:val="18"/>
                <w:szCs w:val="18"/>
              </w:rPr>
              <w:t>2023</w:t>
            </w:r>
          </w:p>
        </w:tc>
        <w:tc>
          <w:tcPr>
            <w:tcW w:w="1121" w:type="dxa"/>
            <w:vAlign w:val="center"/>
          </w:tcPr>
          <w:p w14:paraId="1BC7AE6E" w14:textId="77777777" w:rsidR="0099669C" w:rsidRPr="0099669C" w:rsidRDefault="0099669C" w:rsidP="0099669C">
            <w:pPr>
              <w:jc w:val="center"/>
              <w:rPr>
                <w:rFonts w:cs="Times New Roman"/>
                <w:sz w:val="18"/>
                <w:szCs w:val="18"/>
              </w:rPr>
            </w:pPr>
            <w:r w:rsidRPr="0099669C">
              <w:rPr>
                <w:rFonts w:cs="Times New Roman"/>
                <w:sz w:val="18"/>
                <w:szCs w:val="18"/>
              </w:rPr>
              <w:t>13</w:t>
            </w:r>
          </w:p>
        </w:tc>
        <w:tc>
          <w:tcPr>
            <w:tcW w:w="3384" w:type="dxa"/>
            <w:vAlign w:val="center"/>
          </w:tcPr>
          <w:p w14:paraId="567B6C08" w14:textId="77777777" w:rsidR="0099669C" w:rsidRPr="0099669C" w:rsidRDefault="0099669C" w:rsidP="00C07D17">
            <w:pPr>
              <w:rPr>
                <w:rFonts w:cs="Times New Roman"/>
                <w:sz w:val="18"/>
                <w:szCs w:val="18"/>
                <w:lang w:val="en-US"/>
              </w:rPr>
            </w:pPr>
            <w:r w:rsidRPr="0099669C">
              <w:rPr>
                <w:rFonts w:cs="Times New Roman"/>
                <w:sz w:val="18"/>
                <w:szCs w:val="18"/>
                <w:lang w:val="en-US"/>
              </w:rPr>
              <w:t>PCM/HP combined outperforms single systems; performance grows with HP number and PCM thickness, but needs techno‑economic sizing.</w:t>
            </w:r>
          </w:p>
        </w:tc>
      </w:tr>
      <w:tr w:rsidR="0099669C" w:rsidRPr="00736B36" w14:paraId="66987D91" w14:textId="77777777" w:rsidTr="0099669C">
        <w:tc>
          <w:tcPr>
            <w:tcW w:w="2622" w:type="dxa"/>
            <w:vAlign w:val="center"/>
          </w:tcPr>
          <w:p w14:paraId="6B6148A1" w14:textId="02A358C2" w:rsidR="0099669C" w:rsidRPr="0099669C" w:rsidRDefault="0099669C" w:rsidP="0099669C">
            <w:pPr>
              <w:jc w:val="center"/>
              <w:rPr>
                <w:rFonts w:cs="Times New Roman"/>
                <w:b/>
                <w:bCs/>
                <w:sz w:val="18"/>
                <w:szCs w:val="18"/>
                <w:lang w:val="en-US"/>
              </w:rPr>
            </w:pPr>
            <w:r w:rsidRPr="0099669C">
              <w:rPr>
                <w:rFonts w:cs="Times New Roman"/>
                <w:sz w:val="18"/>
                <w:szCs w:val="18"/>
                <w:lang w:val="en-US"/>
              </w:rPr>
              <w:t>A novel thermal regulation of photovoltaic panels through phase change materials with metallic foam-based system and a concise comparison: An experimental study</w:t>
            </w:r>
          </w:p>
        </w:tc>
        <w:tc>
          <w:tcPr>
            <w:tcW w:w="2228" w:type="dxa"/>
            <w:vAlign w:val="center"/>
          </w:tcPr>
          <w:p w14:paraId="0E2C379C" w14:textId="77777777" w:rsidR="0099669C" w:rsidRPr="0099669C" w:rsidRDefault="0099669C" w:rsidP="0099669C">
            <w:pPr>
              <w:jc w:val="center"/>
              <w:rPr>
                <w:rFonts w:cs="Times New Roman"/>
                <w:sz w:val="18"/>
                <w:szCs w:val="18"/>
              </w:rPr>
            </w:pPr>
            <w:r w:rsidRPr="0099669C">
              <w:rPr>
                <w:rFonts w:cs="Times New Roman"/>
                <w:sz w:val="18"/>
                <w:szCs w:val="18"/>
              </w:rPr>
              <w:t>Ejaz, A., Jamil, F., Ali, H.M.</w:t>
            </w:r>
          </w:p>
        </w:tc>
        <w:tc>
          <w:tcPr>
            <w:tcW w:w="1563" w:type="dxa"/>
            <w:vAlign w:val="center"/>
          </w:tcPr>
          <w:p w14:paraId="515E1D88"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Sustainable Energy Technologies and Assessments, 49, 101726</w:t>
            </w:r>
          </w:p>
        </w:tc>
        <w:tc>
          <w:tcPr>
            <w:tcW w:w="770" w:type="dxa"/>
            <w:vAlign w:val="center"/>
          </w:tcPr>
          <w:p w14:paraId="229FDDA6" w14:textId="77777777" w:rsidR="0099669C" w:rsidRPr="0099669C" w:rsidRDefault="0099669C" w:rsidP="0099669C">
            <w:pPr>
              <w:jc w:val="center"/>
              <w:rPr>
                <w:rFonts w:cs="Times New Roman"/>
                <w:sz w:val="18"/>
                <w:szCs w:val="18"/>
              </w:rPr>
            </w:pPr>
            <w:r w:rsidRPr="0099669C">
              <w:rPr>
                <w:rFonts w:cs="Times New Roman"/>
                <w:sz w:val="18"/>
                <w:szCs w:val="18"/>
              </w:rPr>
              <w:t>2022</w:t>
            </w:r>
          </w:p>
        </w:tc>
        <w:tc>
          <w:tcPr>
            <w:tcW w:w="1121" w:type="dxa"/>
            <w:vAlign w:val="center"/>
          </w:tcPr>
          <w:p w14:paraId="6A06EAB7" w14:textId="77777777" w:rsidR="0099669C" w:rsidRPr="0099669C" w:rsidRDefault="0099669C" w:rsidP="0099669C">
            <w:pPr>
              <w:jc w:val="center"/>
              <w:rPr>
                <w:rFonts w:cs="Times New Roman"/>
                <w:sz w:val="18"/>
                <w:szCs w:val="18"/>
              </w:rPr>
            </w:pPr>
            <w:r w:rsidRPr="0099669C">
              <w:rPr>
                <w:rFonts w:cs="Times New Roman"/>
                <w:sz w:val="18"/>
                <w:szCs w:val="18"/>
              </w:rPr>
              <w:t>41</w:t>
            </w:r>
          </w:p>
        </w:tc>
        <w:tc>
          <w:tcPr>
            <w:tcW w:w="3384" w:type="dxa"/>
            <w:vAlign w:val="center"/>
          </w:tcPr>
          <w:p w14:paraId="26675E46" w14:textId="77777777" w:rsidR="0099669C" w:rsidRPr="0099669C" w:rsidRDefault="0099669C" w:rsidP="00C07D17">
            <w:pPr>
              <w:rPr>
                <w:rFonts w:cs="Times New Roman"/>
                <w:sz w:val="18"/>
                <w:szCs w:val="18"/>
                <w:lang w:val="en-US"/>
              </w:rPr>
            </w:pPr>
            <w:r w:rsidRPr="0099669C">
              <w:rPr>
                <w:rFonts w:cs="Times New Roman"/>
                <w:sz w:val="18"/>
                <w:szCs w:val="18"/>
                <w:lang w:val="en-US"/>
              </w:rPr>
              <w:t>PCM plus 12 mm foam (RT44) gives the largest PV temperature drop (~24 °C) and the highest electrical efficiency (~12%).</w:t>
            </w:r>
          </w:p>
        </w:tc>
      </w:tr>
      <w:tr w:rsidR="0099669C" w:rsidRPr="00736B36" w14:paraId="7A5EA4A4" w14:textId="77777777" w:rsidTr="0099669C">
        <w:tc>
          <w:tcPr>
            <w:tcW w:w="2622" w:type="dxa"/>
            <w:vAlign w:val="center"/>
          </w:tcPr>
          <w:p w14:paraId="009F809E" w14:textId="736AC7C0" w:rsidR="0099669C" w:rsidRPr="0099669C" w:rsidRDefault="0099669C" w:rsidP="0099669C">
            <w:pPr>
              <w:jc w:val="center"/>
              <w:rPr>
                <w:rFonts w:cs="Times New Roman"/>
                <w:b/>
                <w:bCs/>
                <w:sz w:val="18"/>
                <w:szCs w:val="18"/>
                <w:lang w:val="en-US"/>
              </w:rPr>
            </w:pPr>
            <w:r w:rsidRPr="0099669C">
              <w:rPr>
                <w:rFonts w:cs="Times New Roman"/>
                <w:sz w:val="18"/>
                <w:szCs w:val="18"/>
                <w:lang w:val="en-US"/>
              </w:rPr>
              <w:t>Performance evaluation of direct and indirect thermal regulation of low concentrated (via compound parabolic collector) solar panel using phase change material-flat heat pipe cooling system</w:t>
            </w:r>
          </w:p>
        </w:tc>
        <w:tc>
          <w:tcPr>
            <w:tcW w:w="2228" w:type="dxa"/>
            <w:vAlign w:val="center"/>
          </w:tcPr>
          <w:p w14:paraId="0215D6C4"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Gad, R., Mahmoud, H., Hassan, H.</w:t>
            </w:r>
          </w:p>
        </w:tc>
        <w:tc>
          <w:tcPr>
            <w:tcW w:w="1563" w:type="dxa"/>
            <w:vAlign w:val="center"/>
          </w:tcPr>
          <w:p w14:paraId="1ADCCB81" w14:textId="77777777" w:rsidR="0099669C" w:rsidRPr="0099669C" w:rsidRDefault="0099669C" w:rsidP="0099669C">
            <w:pPr>
              <w:jc w:val="center"/>
              <w:rPr>
                <w:rFonts w:cs="Times New Roman"/>
                <w:sz w:val="18"/>
                <w:szCs w:val="18"/>
              </w:rPr>
            </w:pPr>
            <w:r w:rsidRPr="0099669C">
              <w:rPr>
                <w:rFonts w:cs="Times New Roman"/>
                <w:sz w:val="18"/>
                <w:szCs w:val="18"/>
              </w:rPr>
              <w:t>Energy, 274, 127323</w:t>
            </w:r>
          </w:p>
        </w:tc>
        <w:tc>
          <w:tcPr>
            <w:tcW w:w="770" w:type="dxa"/>
            <w:vAlign w:val="center"/>
          </w:tcPr>
          <w:p w14:paraId="2377E452" w14:textId="77777777" w:rsidR="0099669C" w:rsidRPr="0099669C" w:rsidRDefault="0099669C" w:rsidP="0099669C">
            <w:pPr>
              <w:jc w:val="center"/>
              <w:rPr>
                <w:rFonts w:cs="Times New Roman"/>
                <w:sz w:val="18"/>
                <w:szCs w:val="18"/>
              </w:rPr>
            </w:pPr>
            <w:r w:rsidRPr="0099669C">
              <w:rPr>
                <w:rFonts w:cs="Times New Roman"/>
                <w:sz w:val="18"/>
                <w:szCs w:val="18"/>
              </w:rPr>
              <w:t>2023</w:t>
            </w:r>
          </w:p>
        </w:tc>
        <w:tc>
          <w:tcPr>
            <w:tcW w:w="1121" w:type="dxa"/>
            <w:vAlign w:val="center"/>
          </w:tcPr>
          <w:p w14:paraId="497EF33F" w14:textId="77777777" w:rsidR="0099669C" w:rsidRPr="0099669C" w:rsidRDefault="0099669C" w:rsidP="0099669C">
            <w:pPr>
              <w:jc w:val="center"/>
              <w:rPr>
                <w:rFonts w:cs="Times New Roman"/>
                <w:sz w:val="18"/>
                <w:szCs w:val="18"/>
              </w:rPr>
            </w:pPr>
            <w:r w:rsidRPr="0099669C">
              <w:rPr>
                <w:rFonts w:cs="Times New Roman"/>
                <w:sz w:val="18"/>
                <w:szCs w:val="18"/>
              </w:rPr>
              <w:t>33</w:t>
            </w:r>
          </w:p>
        </w:tc>
        <w:tc>
          <w:tcPr>
            <w:tcW w:w="3384" w:type="dxa"/>
            <w:vAlign w:val="center"/>
          </w:tcPr>
          <w:p w14:paraId="264684BA" w14:textId="5C7E03F4" w:rsidR="0099669C" w:rsidRPr="0099669C" w:rsidRDefault="0099669C" w:rsidP="00C07D17">
            <w:pPr>
              <w:rPr>
                <w:rFonts w:cs="Times New Roman"/>
                <w:sz w:val="18"/>
                <w:szCs w:val="18"/>
                <w:lang w:val="en-US"/>
              </w:rPr>
            </w:pPr>
            <w:r w:rsidRPr="0099669C">
              <w:rPr>
                <w:rFonts w:cs="Times New Roman"/>
                <w:sz w:val="18"/>
                <w:szCs w:val="18"/>
                <w:lang w:val="en-US"/>
              </w:rPr>
              <w:t xml:space="preserve">Indirect PCM/FHP cooling performs best, with CPC=4 and </w:t>
            </w:r>
            <w:r w:rsidR="00C07D17">
              <w:rPr>
                <w:rFonts w:cs="Times New Roman"/>
                <w:sz w:val="18"/>
                <w:szCs w:val="18"/>
                <w:lang w:val="en-US"/>
              </w:rPr>
              <w:t xml:space="preserve">a </w:t>
            </w:r>
            <w:r w:rsidRPr="0099669C">
              <w:rPr>
                <w:rFonts w:cs="Times New Roman"/>
                <w:sz w:val="18"/>
                <w:szCs w:val="18"/>
                <w:lang w:val="en-US"/>
              </w:rPr>
              <w:t>30 cm condenser, power can reach ~3.7× the reference panel.</w:t>
            </w:r>
          </w:p>
        </w:tc>
      </w:tr>
      <w:tr w:rsidR="0099669C" w:rsidRPr="00736B36" w14:paraId="702D923E" w14:textId="77777777" w:rsidTr="0099669C">
        <w:tc>
          <w:tcPr>
            <w:tcW w:w="2622" w:type="dxa"/>
            <w:vAlign w:val="center"/>
          </w:tcPr>
          <w:p w14:paraId="5859D42E" w14:textId="4CAA595A" w:rsidR="0099669C" w:rsidRPr="0099669C" w:rsidRDefault="0099669C" w:rsidP="0099669C">
            <w:pPr>
              <w:jc w:val="center"/>
              <w:rPr>
                <w:rFonts w:cs="Times New Roman"/>
                <w:b/>
                <w:bCs/>
                <w:sz w:val="18"/>
                <w:szCs w:val="18"/>
                <w:lang w:val="en-US"/>
              </w:rPr>
            </w:pPr>
            <w:r w:rsidRPr="0099669C">
              <w:rPr>
                <w:rFonts w:cs="Times New Roman"/>
                <w:sz w:val="18"/>
                <w:szCs w:val="18"/>
                <w:lang w:val="en-US"/>
              </w:rPr>
              <w:t>Energy conversion performance of a PV/T-PCM system under different thermal regulation strategies</w:t>
            </w:r>
          </w:p>
        </w:tc>
        <w:tc>
          <w:tcPr>
            <w:tcW w:w="2228" w:type="dxa"/>
            <w:vAlign w:val="center"/>
          </w:tcPr>
          <w:p w14:paraId="092DDECD"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Xu, H., Wang, N., Zhang, C., Qu, Z., Karimi, F.</w:t>
            </w:r>
          </w:p>
        </w:tc>
        <w:tc>
          <w:tcPr>
            <w:tcW w:w="1563" w:type="dxa"/>
            <w:vAlign w:val="center"/>
          </w:tcPr>
          <w:p w14:paraId="3FC91C24" w14:textId="77777777" w:rsidR="0099669C" w:rsidRPr="0099669C" w:rsidRDefault="0099669C" w:rsidP="0099669C">
            <w:pPr>
              <w:jc w:val="center"/>
              <w:rPr>
                <w:rFonts w:cs="Times New Roman"/>
                <w:sz w:val="18"/>
                <w:szCs w:val="18"/>
              </w:rPr>
            </w:pPr>
            <w:r w:rsidRPr="0099669C">
              <w:rPr>
                <w:rFonts w:cs="Times New Roman"/>
                <w:sz w:val="18"/>
                <w:szCs w:val="18"/>
              </w:rPr>
              <w:t>Energy Conversion and Management, 229, 113660</w:t>
            </w:r>
          </w:p>
        </w:tc>
        <w:tc>
          <w:tcPr>
            <w:tcW w:w="770" w:type="dxa"/>
            <w:vAlign w:val="center"/>
          </w:tcPr>
          <w:p w14:paraId="2149575D" w14:textId="77777777" w:rsidR="0099669C" w:rsidRPr="0099669C" w:rsidRDefault="0099669C" w:rsidP="0099669C">
            <w:pPr>
              <w:jc w:val="center"/>
              <w:rPr>
                <w:rFonts w:cs="Times New Roman"/>
                <w:sz w:val="18"/>
                <w:szCs w:val="18"/>
              </w:rPr>
            </w:pPr>
            <w:r w:rsidRPr="0099669C">
              <w:rPr>
                <w:rFonts w:cs="Times New Roman"/>
                <w:sz w:val="18"/>
                <w:szCs w:val="18"/>
              </w:rPr>
              <w:t>2021</w:t>
            </w:r>
          </w:p>
        </w:tc>
        <w:tc>
          <w:tcPr>
            <w:tcW w:w="1121" w:type="dxa"/>
            <w:vAlign w:val="center"/>
          </w:tcPr>
          <w:p w14:paraId="15A94CCD" w14:textId="77777777" w:rsidR="0099669C" w:rsidRPr="0099669C" w:rsidRDefault="0099669C" w:rsidP="0099669C">
            <w:pPr>
              <w:jc w:val="center"/>
              <w:rPr>
                <w:rFonts w:cs="Times New Roman"/>
                <w:sz w:val="18"/>
                <w:szCs w:val="18"/>
              </w:rPr>
            </w:pPr>
            <w:r w:rsidRPr="0099669C">
              <w:rPr>
                <w:rFonts w:cs="Times New Roman"/>
                <w:sz w:val="18"/>
                <w:szCs w:val="18"/>
              </w:rPr>
              <w:t>87</w:t>
            </w:r>
          </w:p>
        </w:tc>
        <w:tc>
          <w:tcPr>
            <w:tcW w:w="3384" w:type="dxa"/>
            <w:vAlign w:val="center"/>
          </w:tcPr>
          <w:p w14:paraId="1F072545" w14:textId="49366A2A" w:rsidR="0099669C" w:rsidRPr="0099669C" w:rsidRDefault="0099669C" w:rsidP="00C07D17">
            <w:pPr>
              <w:rPr>
                <w:rFonts w:cs="Times New Roman"/>
                <w:sz w:val="18"/>
                <w:szCs w:val="18"/>
                <w:lang w:val="en-US"/>
              </w:rPr>
            </w:pPr>
            <w:r w:rsidRPr="0099669C">
              <w:rPr>
                <w:rFonts w:cs="Times New Roman"/>
                <w:sz w:val="18"/>
                <w:szCs w:val="18"/>
                <w:lang w:val="en-US"/>
              </w:rPr>
              <w:t>PCM mitigates PV temperature but overheats; intermittent 45 °C strategy delivers the highest energy (~86%) and exergy (~15.5%).</w:t>
            </w:r>
          </w:p>
        </w:tc>
      </w:tr>
      <w:tr w:rsidR="0099669C" w:rsidRPr="00736B36" w14:paraId="743E7BBC" w14:textId="77777777" w:rsidTr="0099669C">
        <w:tc>
          <w:tcPr>
            <w:tcW w:w="2622" w:type="dxa"/>
            <w:vAlign w:val="center"/>
          </w:tcPr>
          <w:p w14:paraId="66CC80F4" w14:textId="12FDDDAA" w:rsidR="0099669C" w:rsidRPr="0099669C" w:rsidRDefault="0099669C" w:rsidP="0099669C">
            <w:pPr>
              <w:jc w:val="center"/>
              <w:rPr>
                <w:rFonts w:cs="Times New Roman"/>
                <w:b/>
                <w:bCs/>
                <w:sz w:val="18"/>
                <w:szCs w:val="18"/>
                <w:lang w:val="en-US"/>
              </w:rPr>
            </w:pPr>
            <w:r w:rsidRPr="0099669C">
              <w:rPr>
                <w:rFonts w:cs="Times New Roman"/>
                <w:sz w:val="18"/>
                <w:szCs w:val="18"/>
                <w:lang w:val="en-US"/>
              </w:rPr>
              <w:t>Improving the efficiency of photovoltaic cells using PCM infused graphite and aluminium fins</w:t>
            </w:r>
          </w:p>
        </w:tc>
        <w:tc>
          <w:tcPr>
            <w:tcW w:w="2228" w:type="dxa"/>
            <w:vAlign w:val="center"/>
          </w:tcPr>
          <w:p w14:paraId="4E7C0AA0" w14:textId="77777777" w:rsidR="0099669C" w:rsidRPr="0099669C" w:rsidRDefault="0099669C" w:rsidP="0099669C">
            <w:pPr>
              <w:jc w:val="center"/>
              <w:rPr>
                <w:rFonts w:cs="Times New Roman"/>
                <w:sz w:val="18"/>
                <w:szCs w:val="18"/>
                <w:lang w:val="nb-NO"/>
              </w:rPr>
            </w:pPr>
            <w:r w:rsidRPr="0099669C">
              <w:rPr>
                <w:rFonts w:cs="Times New Roman"/>
                <w:sz w:val="18"/>
                <w:szCs w:val="18"/>
                <w:lang w:val="nb-NO"/>
              </w:rPr>
              <w:t>Atkin, P., Farid, M.M.</w:t>
            </w:r>
          </w:p>
        </w:tc>
        <w:tc>
          <w:tcPr>
            <w:tcW w:w="1563" w:type="dxa"/>
            <w:vAlign w:val="center"/>
          </w:tcPr>
          <w:p w14:paraId="07B06AE1" w14:textId="77777777" w:rsidR="0099669C" w:rsidRPr="0099669C" w:rsidRDefault="0099669C" w:rsidP="0099669C">
            <w:pPr>
              <w:jc w:val="center"/>
              <w:rPr>
                <w:rFonts w:cs="Times New Roman"/>
                <w:sz w:val="18"/>
                <w:szCs w:val="18"/>
              </w:rPr>
            </w:pPr>
            <w:r w:rsidRPr="0099669C">
              <w:rPr>
                <w:rFonts w:cs="Times New Roman"/>
                <w:sz w:val="18"/>
                <w:szCs w:val="18"/>
              </w:rPr>
              <w:t>Solar Energy, 114, pp. 217–228</w:t>
            </w:r>
          </w:p>
        </w:tc>
        <w:tc>
          <w:tcPr>
            <w:tcW w:w="770" w:type="dxa"/>
            <w:vAlign w:val="center"/>
          </w:tcPr>
          <w:p w14:paraId="1600E98C" w14:textId="77777777" w:rsidR="0099669C" w:rsidRPr="0099669C" w:rsidRDefault="0099669C" w:rsidP="0099669C">
            <w:pPr>
              <w:jc w:val="center"/>
              <w:rPr>
                <w:rFonts w:cs="Times New Roman"/>
                <w:sz w:val="18"/>
                <w:szCs w:val="18"/>
              </w:rPr>
            </w:pPr>
            <w:r w:rsidRPr="0099669C">
              <w:rPr>
                <w:rFonts w:cs="Times New Roman"/>
                <w:sz w:val="18"/>
                <w:szCs w:val="18"/>
              </w:rPr>
              <w:t>2015</w:t>
            </w:r>
          </w:p>
        </w:tc>
        <w:tc>
          <w:tcPr>
            <w:tcW w:w="1121" w:type="dxa"/>
            <w:vAlign w:val="center"/>
          </w:tcPr>
          <w:p w14:paraId="3C0C4EFD" w14:textId="77777777" w:rsidR="0099669C" w:rsidRPr="0099669C" w:rsidRDefault="0099669C" w:rsidP="0099669C">
            <w:pPr>
              <w:jc w:val="center"/>
              <w:rPr>
                <w:rFonts w:cs="Times New Roman"/>
                <w:sz w:val="18"/>
                <w:szCs w:val="18"/>
              </w:rPr>
            </w:pPr>
            <w:r w:rsidRPr="0099669C">
              <w:rPr>
                <w:rFonts w:cs="Times New Roman"/>
                <w:sz w:val="18"/>
                <w:szCs w:val="18"/>
              </w:rPr>
              <w:t>265</w:t>
            </w:r>
          </w:p>
        </w:tc>
        <w:tc>
          <w:tcPr>
            <w:tcW w:w="3384" w:type="dxa"/>
            <w:vAlign w:val="center"/>
          </w:tcPr>
          <w:p w14:paraId="3F3F236A" w14:textId="77777777" w:rsidR="0099669C" w:rsidRPr="0099669C" w:rsidRDefault="0099669C" w:rsidP="00C07D17">
            <w:pPr>
              <w:rPr>
                <w:rFonts w:cs="Times New Roman"/>
                <w:sz w:val="18"/>
                <w:szCs w:val="18"/>
                <w:lang w:val="en-US"/>
              </w:rPr>
            </w:pPr>
            <w:r w:rsidRPr="0099669C">
              <w:rPr>
                <w:rFonts w:cs="Times New Roman"/>
                <w:sz w:val="18"/>
                <w:szCs w:val="18"/>
                <w:lang w:val="en-US"/>
              </w:rPr>
              <w:t>The combined PCM + finned sink is best, adding ~13% efficiency; boosted PCM thermal conductivity is decisive.</w:t>
            </w:r>
          </w:p>
        </w:tc>
      </w:tr>
      <w:tr w:rsidR="0099669C" w:rsidRPr="00736B36" w14:paraId="13F5653B" w14:textId="77777777" w:rsidTr="0099669C">
        <w:tc>
          <w:tcPr>
            <w:tcW w:w="2622" w:type="dxa"/>
            <w:vAlign w:val="center"/>
          </w:tcPr>
          <w:p w14:paraId="413B26A8" w14:textId="7E075D80" w:rsidR="0099669C" w:rsidRPr="0099669C" w:rsidRDefault="0099669C" w:rsidP="0099669C">
            <w:pPr>
              <w:jc w:val="center"/>
              <w:rPr>
                <w:rFonts w:cs="Times New Roman"/>
                <w:b/>
                <w:bCs/>
                <w:sz w:val="18"/>
                <w:szCs w:val="18"/>
                <w:lang w:val="en-US"/>
              </w:rPr>
            </w:pPr>
            <w:r w:rsidRPr="0099669C">
              <w:rPr>
                <w:rFonts w:cs="Times New Roman"/>
                <w:sz w:val="18"/>
                <w:szCs w:val="18"/>
                <w:lang w:val="en-US"/>
              </w:rPr>
              <w:t>Investigation on the thermal management of solar photo voltaic cells cooled by phase change material</w:t>
            </w:r>
          </w:p>
        </w:tc>
        <w:tc>
          <w:tcPr>
            <w:tcW w:w="2228" w:type="dxa"/>
            <w:vAlign w:val="center"/>
          </w:tcPr>
          <w:p w14:paraId="1546DACB" w14:textId="77777777" w:rsidR="0099669C" w:rsidRPr="0099669C" w:rsidRDefault="0099669C" w:rsidP="0099669C">
            <w:pPr>
              <w:jc w:val="center"/>
              <w:rPr>
                <w:rFonts w:cs="Times New Roman"/>
                <w:sz w:val="18"/>
                <w:szCs w:val="18"/>
              </w:rPr>
            </w:pPr>
            <w:r w:rsidRPr="0099669C">
              <w:rPr>
                <w:rFonts w:cs="Times New Roman"/>
                <w:sz w:val="18"/>
                <w:szCs w:val="18"/>
                <w:lang w:val="en-US"/>
              </w:rPr>
              <w:t xml:space="preserve">Sheik, M.A., Aravindan, M.K., Beemkumar, N., ... </w:t>
            </w:r>
            <w:r w:rsidRPr="0099669C">
              <w:rPr>
                <w:rFonts w:cs="Times New Roman"/>
                <w:sz w:val="18"/>
                <w:szCs w:val="18"/>
              </w:rPr>
              <w:t>Shaik, S., Afzal, A.</w:t>
            </w:r>
          </w:p>
        </w:tc>
        <w:tc>
          <w:tcPr>
            <w:tcW w:w="1563" w:type="dxa"/>
            <w:vAlign w:val="center"/>
          </w:tcPr>
          <w:p w14:paraId="5A445677" w14:textId="77777777" w:rsidR="0099669C" w:rsidRPr="0099669C" w:rsidRDefault="0099669C" w:rsidP="0099669C">
            <w:pPr>
              <w:jc w:val="center"/>
              <w:rPr>
                <w:rFonts w:cs="Times New Roman"/>
                <w:sz w:val="18"/>
                <w:szCs w:val="18"/>
              </w:rPr>
            </w:pPr>
            <w:r w:rsidRPr="0099669C">
              <w:rPr>
                <w:rFonts w:cs="Times New Roman"/>
                <w:sz w:val="18"/>
                <w:szCs w:val="18"/>
              </w:rPr>
              <w:t>Journal of Energy Storage, 52, 104914</w:t>
            </w:r>
          </w:p>
        </w:tc>
        <w:tc>
          <w:tcPr>
            <w:tcW w:w="770" w:type="dxa"/>
            <w:vAlign w:val="center"/>
          </w:tcPr>
          <w:p w14:paraId="0AB60054" w14:textId="77777777" w:rsidR="0099669C" w:rsidRPr="0099669C" w:rsidRDefault="0099669C" w:rsidP="0099669C">
            <w:pPr>
              <w:jc w:val="center"/>
              <w:rPr>
                <w:rFonts w:cs="Times New Roman"/>
                <w:sz w:val="18"/>
                <w:szCs w:val="18"/>
              </w:rPr>
            </w:pPr>
            <w:r w:rsidRPr="0099669C">
              <w:rPr>
                <w:rFonts w:cs="Times New Roman"/>
                <w:sz w:val="18"/>
                <w:szCs w:val="18"/>
              </w:rPr>
              <w:t>2022</w:t>
            </w:r>
          </w:p>
        </w:tc>
        <w:tc>
          <w:tcPr>
            <w:tcW w:w="1121" w:type="dxa"/>
            <w:vAlign w:val="center"/>
          </w:tcPr>
          <w:p w14:paraId="03375BFA" w14:textId="77777777" w:rsidR="0099669C" w:rsidRPr="0099669C" w:rsidRDefault="0099669C" w:rsidP="0099669C">
            <w:pPr>
              <w:jc w:val="center"/>
              <w:rPr>
                <w:rFonts w:cs="Times New Roman"/>
                <w:sz w:val="18"/>
                <w:szCs w:val="18"/>
              </w:rPr>
            </w:pPr>
            <w:r w:rsidRPr="0099669C">
              <w:rPr>
                <w:rFonts w:cs="Times New Roman"/>
                <w:sz w:val="18"/>
                <w:szCs w:val="18"/>
              </w:rPr>
              <w:t>52</w:t>
            </w:r>
          </w:p>
        </w:tc>
        <w:tc>
          <w:tcPr>
            <w:tcW w:w="3384" w:type="dxa"/>
            <w:vAlign w:val="center"/>
          </w:tcPr>
          <w:p w14:paraId="3A637111" w14:textId="609B75A9" w:rsidR="0099669C" w:rsidRPr="0099669C" w:rsidRDefault="0099669C" w:rsidP="00C07D17">
            <w:pPr>
              <w:rPr>
                <w:rFonts w:cs="Times New Roman"/>
                <w:sz w:val="18"/>
                <w:szCs w:val="18"/>
                <w:lang w:val="en-US"/>
              </w:rPr>
            </w:pPr>
            <w:r w:rsidRPr="0099669C">
              <w:rPr>
                <w:rFonts w:cs="Times New Roman"/>
                <w:sz w:val="18"/>
                <w:szCs w:val="18"/>
                <w:lang w:val="en-US"/>
              </w:rPr>
              <w:t>All cool better than PCM alone; alumina nano‑PCM gives the best result: +8.1% electrical efficiency and −17 °C panel temperature.</w:t>
            </w:r>
          </w:p>
        </w:tc>
      </w:tr>
      <w:tr w:rsidR="0099669C" w:rsidRPr="00736B36" w14:paraId="0A124F25" w14:textId="77777777" w:rsidTr="0099669C">
        <w:tc>
          <w:tcPr>
            <w:tcW w:w="2622" w:type="dxa"/>
            <w:vAlign w:val="center"/>
          </w:tcPr>
          <w:p w14:paraId="58D5B322" w14:textId="39BFC303" w:rsidR="0099669C" w:rsidRPr="0099669C" w:rsidRDefault="0099669C" w:rsidP="0099669C">
            <w:pPr>
              <w:jc w:val="center"/>
              <w:rPr>
                <w:rFonts w:cs="Times New Roman"/>
                <w:b/>
                <w:bCs/>
                <w:sz w:val="18"/>
                <w:szCs w:val="18"/>
                <w:lang w:val="en-US"/>
              </w:rPr>
            </w:pPr>
            <w:r w:rsidRPr="0099669C">
              <w:rPr>
                <w:rFonts w:cs="Times New Roman"/>
                <w:sz w:val="18"/>
                <w:szCs w:val="18"/>
                <w:lang w:val="en-US"/>
              </w:rPr>
              <w:lastRenderedPageBreak/>
              <w:t>Experimental evaluation of a hybrid photovoltaic and thermal solar energy collector with integrated phase change material (PVT-PCM) in comparison with a traditional photovoltaic (PV) module</w:t>
            </w:r>
          </w:p>
        </w:tc>
        <w:tc>
          <w:tcPr>
            <w:tcW w:w="2228" w:type="dxa"/>
            <w:vAlign w:val="center"/>
          </w:tcPr>
          <w:p w14:paraId="1945F55F" w14:textId="77777777" w:rsidR="0099669C" w:rsidRPr="0099669C" w:rsidRDefault="0099669C" w:rsidP="0099669C">
            <w:pPr>
              <w:jc w:val="center"/>
              <w:rPr>
                <w:rFonts w:cs="Times New Roman"/>
                <w:sz w:val="18"/>
                <w:szCs w:val="18"/>
              </w:rPr>
            </w:pPr>
            <w:r w:rsidRPr="0099669C">
              <w:rPr>
                <w:rFonts w:cs="Times New Roman"/>
                <w:sz w:val="18"/>
                <w:szCs w:val="18"/>
              </w:rPr>
              <w:t>Carmona, M., Palacio Bastos, A., García, J.D.</w:t>
            </w:r>
          </w:p>
        </w:tc>
        <w:tc>
          <w:tcPr>
            <w:tcW w:w="1563" w:type="dxa"/>
            <w:vAlign w:val="center"/>
          </w:tcPr>
          <w:p w14:paraId="2BE30512" w14:textId="77777777" w:rsidR="0099669C" w:rsidRPr="0099669C" w:rsidRDefault="0099669C" w:rsidP="0099669C">
            <w:pPr>
              <w:jc w:val="center"/>
              <w:rPr>
                <w:rFonts w:cs="Times New Roman"/>
                <w:sz w:val="18"/>
                <w:szCs w:val="18"/>
              </w:rPr>
            </w:pPr>
            <w:r w:rsidRPr="0099669C">
              <w:rPr>
                <w:rFonts w:cs="Times New Roman"/>
                <w:sz w:val="18"/>
                <w:szCs w:val="18"/>
              </w:rPr>
              <w:t>Renewable Energy, 172, pp. 680–696</w:t>
            </w:r>
          </w:p>
        </w:tc>
        <w:tc>
          <w:tcPr>
            <w:tcW w:w="770" w:type="dxa"/>
            <w:vAlign w:val="center"/>
          </w:tcPr>
          <w:p w14:paraId="3F4648EC" w14:textId="77777777" w:rsidR="0099669C" w:rsidRPr="0099669C" w:rsidRDefault="0099669C" w:rsidP="0099669C">
            <w:pPr>
              <w:jc w:val="center"/>
              <w:rPr>
                <w:rFonts w:cs="Times New Roman"/>
                <w:sz w:val="18"/>
                <w:szCs w:val="18"/>
              </w:rPr>
            </w:pPr>
            <w:r w:rsidRPr="0099669C">
              <w:rPr>
                <w:rFonts w:cs="Times New Roman"/>
                <w:sz w:val="18"/>
                <w:szCs w:val="18"/>
              </w:rPr>
              <w:t>2021</w:t>
            </w:r>
          </w:p>
        </w:tc>
        <w:tc>
          <w:tcPr>
            <w:tcW w:w="1121" w:type="dxa"/>
            <w:vAlign w:val="center"/>
          </w:tcPr>
          <w:p w14:paraId="06686738" w14:textId="77777777" w:rsidR="0099669C" w:rsidRPr="0099669C" w:rsidRDefault="0099669C" w:rsidP="0099669C">
            <w:pPr>
              <w:jc w:val="center"/>
              <w:rPr>
                <w:rFonts w:cs="Times New Roman"/>
                <w:sz w:val="18"/>
                <w:szCs w:val="18"/>
              </w:rPr>
            </w:pPr>
            <w:r w:rsidRPr="0099669C">
              <w:rPr>
                <w:rFonts w:cs="Times New Roman"/>
                <w:sz w:val="18"/>
                <w:szCs w:val="18"/>
              </w:rPr>
              <w:t>144</w:t>
            </w:r>
          </w:p>
        </w:tc>
        <w:tc>
          <w:tcPr>
            <w:tcW w:w="3384" w:type="dxa"/>
            <w:vAlign w:val="center"/>
          </w:tcPr>
          <w:p w14:paraId="6E4C8EE1" w14:textId="77777777" w:rsidR="0099669C" w:rsidRPr="0099669C" w:rsidRDefault="0099669C" w:rsidP="00C07D17">
            <w:pPr>
              <w:rPr>
                <w:rFonts w:cs="Times New Roman"/>
                <w:sz w:val="18"/>
                <w:szCs w:val="18"/>
                <w:lang w:val="en-US"/>
              </w:rPr>
            </w:pPr>
            <w:r w:rsidRPr="0099669C">
              <w:rPr>
                <w:rFonts w:cs="Times New Roman"/>
                <w:sz w:val="18"/>
                <w:szCs w:val="18"/>
                <w:lang w:val="en-US"/>
              </w:rPr>
              <w:t>Daily electrical efficiency +7.43%; hybrid (electrical + thermal) efficiency ~31% vs ~13% for plain PV.</w:t>
            </w:r>
          </w:p>
        </w:tc>
      </w:tr>
      <w:tr w:rsidR="0099669C" w:rsidRPr="00736B36" w14:paraId="32F3B9A8" w14:textId="77777777" w:rsidTr="0099669C">
        <w:tc>
          <w:tcPr>
            <w:tcW w:w="2622" w:type="dxa"/>
            <w:vAlign w:val="center"/>
          </w:tcPr>
          <w:p w14:paraId="01F72A39" w14:textId="19134B40" w:rsidR="0099669C" w:rsidRPr="0099669C" w:rsidRDefault="0099669C" w:rsidP="0099669C">
            <w:pPr>
              <w:jc w:val="center"/>
              <w:rPr>
                <w:rFonts w:cs="Times New Roman"/>
                <w:b/>
                <w:bCs/>
                <w:sz w:val="18"/>
                <w:szCs w:val="18"/>
                <w:lang w:val="en-US"/>
              </w:rPr>
            </w:pPr>
            <w:r w:rsidRPr="0099669C">
              <w:rPr>
                <w:rFonts w:cs="Times New Roman"/>
                <w:sz w:val="18"/>
                <w:szCs w:val="18"/>
                <w:lang w:val="en-US"/>
              </w:rPr>
              <w:t>Thermal management and uniform temperature regulation of photovoltaic modules using hybrid phase change materials-nanofluids system</w:t>
            </w:r>
          </w:p>
        </w:tc>
        <w:tc>
          <w:tcPr>
            <w:tcW w:w="2228" w:type="dxa"/>
            <w:vAlign w:val="center"/>
          </w:tcPr>
          <w:p w14:paraId="021B7699"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Hassan, A., Wahab, A., Qasim, M.A., ... Raza, A., Javaid, N.</w:t>
            </w:r>
          </w:p>
        </w:tc>
        <w:tc>
          <w:tcPr>
            <w:tcW w:w="1563" w:type="dxa"/>
            <w:vAlign w:val="center"/>
          </w:tcPr>
          <w:p w14:paraId="72A16D4D" w14:textId="77777777" w:rsidR="0099669C" w:rsidRPr="0099669C" w:rsidRDefault="0099669C" w:rsidP="0099669C">
            <w:pPr>
              <w:jc w:val="center"/>
              <w:rPr>
                <w:rFonts w:cs="Times New Roman"/>
                <w:sz w:val="18"/>
                <w:szCs w:val="18"/>
              </w:rPr>
            </w:pPr>
            <w:r w:rsidRPr="0099669C">
              <w:rPr>
                <w:rFonts w:cs="Times New Roman"/>
                <w:sz w:val="18"/>
                <w:szCs w:val="18"/>
              </w:rPr>
              <w:t>Renewable Energy, 145, pp. 282–293</w:t>
            </w:r>
          </w:p>
        </w:tc>
        <w:tc>
          <w:tcPr>
            <w:tcW w:w="770" w:type="dxa"/>
            <w:vAlign w:val="center"/>
          </w:tcPr>
          <w:p w14:paraId="35EB09C5" w14:textId="77777777" w:rsidR="0099669C" w:rsidRPr="0099669C" w:rsidRDefault="0099669C" w:rsidP="0099669C">
            <w:pPr>
              <w:jc w:val="center"/>
              <w:rPr>
                <w:rFonts w:cs="Times New Roman"/>
                <w:sz w:val="18"/>
                <w:szCs w:val="18"/>
              </w:rPr>
            </w:pPr>
            <w:r w:rsidRPr="0099669C">
              <w:rPr>
                <w:rFonts w:cs="Times New Roman"/>
                <w:sz w:val="18"/>
                <w:szCs w:val="18"/>
              </w:rPr>
              <w:t>2020</w:t>
            </w:r>
          </w:p>
        </w:tc>
        <w:tc>
          <w:tcPr>
            <w:tcW w:w="1121" w:type="dxa"/>
            <w:vAlign w:val="center"/>
          </w:tcPr>
          <w:p w14:paraId="14E2A502" w14:textId="77777777" w:rsidR="0099669C" w:rsidRPr="0099669C" w:rsidRDefault="0099669C" w:rsidP="0099669C">
            <w:pPr>
              <w:jc w:val="center"/>
              <w:rPr>
                <w:rFonts w:cs="Times New Roman"/>
                <w:sz w:val="18"/>
                <w:szCs w:val="18"/>
              </w:rPr>
            </w:pPr>
            <w:r w:rsidRPr="0099669C">
              <w:rPr>
                <w:rFonts w:cs="Times New Roman"/>
                <w:sz w:val="18"/>
                <w:szCs w:val="18"/>
              </w:rPr>
              <w:t>247</w:t>
            </w:r>
          </w:p>
        </w:tc>
        <w:tc>
          <w:tcPr>
            <w:tcW w:w="3384" w:type="dxa"/>
            <w:vAlign w:val="center"/>
          </w:tcPr>
          <w:p w14:paraId="55E0FA6B" w14:textId="77777777" w:rsidR="0099669C" w:rsidRPr="0099669C" w:rsidRDefault="0099669C" w:rsidP="00C07D17">
            <w:pPr>
              <w:rPr>
                <w:rFonts w:cs="Times New Roman"/>
                <w:sz w:val="18"/>
                <w:szCs w:val="18"/>
                <w:lang w:val="en-US"/>
              </w:rPr>
            </w:pPr>
            <w:r w:rsidRPr="0099669C">
              <w:rPr>
                <w:rFonts w:cs="Times New Roman"/>
                <w:sz w:val="18"/>
                <w:szCs w:val="18"/>
                <w:lang w:val="en-US"/>
              </w:rPr>
              <w:t xml:space="preserve">At 0.1% and 40 L/min: </w:t>
            </w:r>
            <w:r w:rsidRPr="0099669C">
              <w:rPr>
                <w:rFonts w:cs="Times New Roman"/>
                <w:sz w:val="18"/>
                <w:szCs w:val="18"/>
              </w:rPr>
              <w:t>Δ</w:t>
            </w:r>
            <w:r w:rsidRPr="0099669C">
              <w:rPr>
                <w:rFonts w:cs="Times New Roman"/>
                <w:sz w:val="18"/>
                <w:szCs w:val="18"/>
                <w:lang w:val="en-US"/>
              </w:rPr>
              <w:t>T −24 °C, electrical efficiency +23.9%, overall efficiency +12% vs conventional PV.</w:t>
            </w:r>
          </w:p>
        </w:tc>
      </w:tr>
      <w:tr w:rsidR="0099669C" w:rsidRPr="00736B36" w14:paraId="3F02398B" w14:textId="77777777" w:rsidTr="0099669C">
        <w:tc>
          <w:tcPr>
            <w:tcW w:w="2622" w:type="dxa"/>
            <w:vAlign w:val="center"/>
          </w:tcPr>
          <w:p w14:paraId="13891A8F" w14:textId="63A322C2" w:rsidR="0099669C" w:rsidRPr="0099669C" w:rsidRDefault="0099669C" w:rsidP="0099669C">
            <w:pPr>
              <w:jc w:val="center"/>
              <w:rPr>
                <w:rFonts w:cs="Times New Roman"/>
                <w:b/>
                <w:bCs/>
                <w:sz w:val="18"/>
                <w:szCs w:val="18"/>
                <w:lang w:val="en-US"/>
              </w:rPr>
            </w:pPr>
            <w:r w:rsidRPr="0099669C">
              <w:rPr>
                <w:rFonts w:cs="Times New Roman"/>
                <w:sz w:val="18"/>
                <w:szCs w:val="18"/>
                <w:lang w:val="en-US"/>
              </w:rPr>
              <w:t>Improving the thermal regulation and efficiency enhancement of PCM-Integrated PV modules using nano particles</w:t>
            </w:r>
          </w:p>
        </w:tc>
        <w:tc>
          <w:tcPr>
            <w:tcW w:w="2228" w:type="dxa"/>
            <w:vAlign w:val="center"/>
          </w:tcPr>
          <w:p w14:paraId="0DCCA08A"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Nada, S.A., El-Nagar, D.H., Hussein, H.M.S.</w:t>
            </w:r>
          </w:p>
        </w:tc>
        <w:tc>
          <w:tcPr>
            <w:tcW w:w="1563" w:type="dxa"/>
            <w:vAlign w:val="center"/>
          </w:tcPr>
          <w:p w14:paraId="7E3797A2"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Energy Conversion and Management, 166, pp. 735–743</w:t>
            </w:r>
          </w:p>
        </w:tc>
        <w:tc>
          <w:tcPr>
            <w:tcW w:w="770" w:type="dxa"/>
            <w:vAlign w:val="center"/>
          </w:tcPr>
          <w:p w14:paraId="35C12953" w14:textId="77777777" w:rsidR="0099669C" w:rsidRPr="0099669C" w:rsidRDefault="0099669C" w:rsidP="0099669C">
            <w:pPr>
              <w:jc w:val="center"/>
              <w:rPr>
                <w:rFonts w:cs="Times New Roman"/>
                <w:sz w:val="18"/>
                <w:szCs w:val="18"/>
              </w:rPr>
            </w:pPr>
            <w:r w:rsidRPr="0099669C">
              <w:rPr>
                <w:rFonts w:cs="Times New Roman"/>
                <w:sz w:val="18"/>
                <w:szCs w:val="18"/>
              </w:rPr>
              <w:t>2018</w:t>
            </w:r>
          </w:p>
        </w:tc>
        <w:tc>
          <w:tcPr>
            <w:tcW w:w="1121" w:type="dxa"/>
            <w:vAlign w:val="center"/>
          </w:tcPr>
          <w:p w14:paraId="4E5B1836" w14:textId="77777777" w:rsidR="0099669C" w:rsidRPr="0099669C" w:rsidRDefault="0099669C" w:rsidP="0099669C">
            <w:pPr>
              <w:jc w:val="center"/>
              <w:rPr>
                <w:rFonts w:cs="Times New Roman"/>
                <w:sz w:val="18"/>
                <w:szCs w:val="18"/>
              </w:rPr>
            </w:pPr>
            <w:r w:rsidRPr="0099669C">
              <w:rPr>
                <w:rFonts w:cs="Times New Roman"/>
                <w:sz w:val="18"/>
                <w:szCs w:val="18"/>
              </w:rPr>
              <w:t>239</w:t>
            </w:r>
          </w:p>
        </w:tc>
        <w:tc>
          <w:tcPr>
            <w:tcW w:w="3384" w:type="dxa"/>
            <w:vAlign w:val="center"/>
          </w:tcPr>
          <w:p w14:paraId="17BCBF43" w14:textId="77777777" w:rsidR="0099669C" w:rsidRPr="0099669C" w:rsidRDefault="0099669C" w:rsidP="00C07D17">
            <w:pPr>
              <w:rPr>
                <w:rFonts w:cs="Times New Roman"/>
                <w:sz w:val="18"/>
                <w:szCs w:val="18"/>
                <w:lang w:val="en-US"/>
              </w:rPr>
            </w:pPr>
            <w:r w:rsidRPr="0099669C">
              <w:rPr>
                <w:rFonts w:cs="Times New Roman"/>
                <w:sz w:val="18"/>
                <w:szCs w:val="18"/>
                <w:lang w:val="en-US"/>
              </w:rPr>
              <w:t>PCM reduces module temperature; adding Al2O3 drops T by up to 10.6 °C and raises PV efficiency by up to 13.2%.</w:t>
            </w:r>
          </w:p>
        </w:tc>
      </w:tr>
      <w:tr w:rsidR="0099669C" w:rsidRPr="00736B36" w14:paraId="797DD904" w14:textId="77777777" w:rsidTr="0099669C">
        <w:tc>
          <w:tcPr>
            <w:tcW w:w="2622" w:type="dxa"/>
            <w:vAlign w:val="center"/>
          </w:tcPr>
          <w:p w14:paraId="186E1DE5" w14:textId="1B575059" w:rsidR="0099669C" w:rsidRPr="0099669C" w:rsidRDefault="0099669C" w:rsidP="0099669C">
            <w:pPr>
              <w:jc w:val="center"/>
              <w:rPr>
                <w:rFonts w:cs="Times New Roman"/>
                <w:b/>
                <w:bCs/>
                <w:sz w:val="18"/>
                <w:szCs w:val="18"/>
                <w:lang w:val="en-US"/>
              </w:rPr>
            </w:pPr>
            <w:r w:rsidRPr="0099669C">
              <w:rPr>
                <w:rFonts w:cs="Times New Roman"/>
                <w:sz w:val="18"/>
                <w:szCs w:val="18"/>
                <w:lang w:val="en-US"/>
              </w:rPr>
              <w:t>Thermally geometric design of phase change material and photovoltaic (PV-PCM) for cooling and efficiency improvement</w:t>
            </w:r>
          </w:p>
        </w:tc>
        <w:tc>
          <w:tcPr>
            <w:tcW w:w="2228" w:type="dxa"/>
            <w:vAlign w:val="center"/>
          </w:tcPr>
          <w:p w14:paraId="537D8A98" w14:textId="77777777" w:rsidR="0099669C" w:rsidRPr="0099669C" w:rsidRDefault="0099669C" w:rsidP="0099669C">
            <w:pPr>
              <w:jc w:val="center"/>
              <w:rPr>
                <w:rFonts w:cs="Times New Roman"/>
                <w:sz w:val="18"/>
                <w:szCs w:val="18"/>
              </w:rPr>
            </w:pPr>
            <w:r w:rsidRPr="0099669C">
              <w:rPr>
                <w:rFonts w:cs="Times New Roman"/>
                <w:sz w:val="18"/>
                <w:szCs w:val="18"/>
              </w:rPr>
              <w:t>Cai, H., Fan, J., Li, H., Cheng, H., Ji, D.</w:t>
            </w:r>
          </w:p>
        </w:tc>
        <w:tc>
          <w:tcPr>
            <w:tcW w:w="1563" w:type="dxa"/>
            <w:vAlign w:val="center"/>
          </w:tcPr>
          <w:p w14:paraId="123AD019" w14:textId="77777777" w:rsidR="0099669C" w:rsidRPr="0099669C" w:rsidRDefault="0099669C" w:rsidP="0099669C">
            <w:pPr>
              <w:jc w:val="center"/>
              <w:rPr>
                <w:rFonts w:cs="Times New Roman"/>
                <w:sz w:val="18"/>
                <w:szCs w:val="18"/>
              </w:rPr>
            </w:pPr>
            <w:r w:rsidRPr="0099669C">
              <w:rPr>
                <w:rFonts w:cs="Times New Roman"/>
                <w:sz w:val="18"/>
                <w:szCs w:val="18"/>
              </w:rPr>
              <w:t>Renewable Energy, 254, 123533</w:t>
            </w:r>
          </w:p>
        </w:tc>
        <w:tc>
          <w:tcPr>
            <w:tcW w:w="770" w:type="dxa"/>
            <w:vAlign w:val="center"/>
          </w:tcPr>
          <w:p w14:paraId="754E119E" w14:textId="77777777" w:rsidR="0099669C" w:rsidRPr="0099669C" w:rsidRDefault="0099669C" w:rsidP="0099669C">
            <w:pPr>
              <w:jc w:val="center"/>
              <w:rPr>
                <w:rFonts w:cs="Times New Roman"/>
                <w:sz w:val="18"/>
                <w:szCs w:val="18"/>
              </w:rPr>
            </w:pPr>
            <w:r w:rsidRPr="0099669C">
              <w:rPr>
                <w:rFonts w:cs="Times New Roman"/>
                <w:sz w:val="18"/>
                <w:szCs w:val="18"/>
              </w:rPr>
              <w:t>2025</w:t>
            </w:r>
          </w:p>
        </w:tc>
        <w:tc>
          <w:tcPr>
            <w:tcW w:w="1121" w:type="dxa"/>
            <w:vAlign w:val="center"/>
          </w:tcPr>
          <w:p w14:paraId="4F06BFA0" w14:textId="77777777" w:rsidR="0099669C" w:rsidRPr="0099669C" w:rsidRDefault="0099669C" w:rsidP="0099669C">
            <w:pPr>
              <w:jc w:val="center"/>
              <w:rPr>
                <w:rFonts w:cs="Times New Roman"/>
                <w:sz w:val="18"/>
                <w:szCs w:val="18"/>
              </w:rPr>
            </w:pPr>
            <w:r w:rsidRPr="0099669C">
              <w:rPr>
                <w:rFonts w:cs="Times New Roman"/>
                <w:sz w:val="18"/>
                <w:szCs w:val="18"/>
              </w:rPr>
              <w:t>1</w:t>
            </w:r>
          </w:p>
        </w:tc>
        <w:tc>
          <w:tcPr>
            <w:tcW w:w="3384" w:type="dxa"/>
            <w:vAlign w:val="center"/>
          </w:tcPr>
          <w:p w14:paraId="50F24640" w14:textId="77777777" w:rsidR="0099669C" w:rsidRPr="0099669C" w:rsidRDefault="0099669C" w:rsidP="00C07D17">
            <w:pPr>
              <w:rPr>
                <w:rFonts w:cs="Times New Roman"/>
                <w:sz w:val="18"/>
                <w:szCs w:val="18"/>
                <w:lang w:val="en-US"/>
              </w:rPr>
            </w:pPr>
            <w:r w:rsidRPr="0099669C">
              <w:rPr>
                <w:rFonts w:cs="Times New Roman"/>
                <w:sz w:val="18"/>
                <w:szCs w:val="18"/>
                <w:lang w:val="en-US"/>
              </w:rPr>
              <w:t>Summer HK: PV temperature −7.2 K, energy +35.7%, LCOE −8% thanks to conduction–convection channels.</w:t>
            </w:r>
          </w:p>
        </w:tc>
      </w:tr>
      <w:tr w:rsidR="0099669C" w:rsidRPr="00736B36" w14:paraId="7084C753" w14:textId="77777777" w:rsidTr="0099669C">
        <w:tc>
          <w:tcPr>
            <w:tcW w:w="2622" w:type="dxa"/>
            <w:vAlign w:val="center"/>
          </w:tcPr>
          <w:p w14:paraId="283E2FDE" w14:textId="3DF4176D" w:rsidR="0099669C" w:rsidRPr="0099669C" w:rsidRDefault="0099669C" w:rsidP="0099669C">
            <w:pPr>
              <w:jc w:val="center"/>
              <w:rPr>
                <w:rFonts w:cs="Times New Roman"/>
                <w:b/>
                <w:bCs/>
                <w:sz w:val="18"/>
                <w:szCs w:val="18"/>
                <w:lang w:val="en-US"/>
              </w:rPr>
            </w:pPr>
            <w:r w:rsidRPr="0099669C">
              <w:rPr>
                <w:rFonts w:cs="Times New Roman"/>
                <w:sz w:val="18"/>
                <w:szCs w:val="18"/>
                <w:lang w:val="en-US"/>
              </w:rPr>
              <w:t>Evaluation of phase change materials for thermal regulation enhancement of building integrated photovoltaics</w:t>
            </w:r>
          </w:p>
        </w:tc>
        <w:tc>
          <w:tcPr>
            <w:tcW w:w="2228" w:type="dxa"/>
            <w:vAlign w:val="center"/>
          </w:tcPr>
          <w:p w14:paraId="74BF0E91"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Hasan, A., McCormack, S.J., Huang, M.J., Norton, B.</w:t>
            </w:r>
          </w:p>
        </w:tc>
        <w:tc>
          <w:tcPr>
            <w:tcW w:w="1563" w:type="dxa"/>
            <w:vAlign w:val="center"/>
          </w:tcPr>
          <w:p w14:paraId="609ED659" w14:textId="77777777" w:rsidR="0099669C" w:rsidRPr="0099669C" w:rsidRDefault="0099669C" w:rsidP="0099669C">
            <w:pPr>
              <w:jc w:val="center"/>
              <w:rPr>
                <w:rFonts w:cs="Times New Roman"/>
                <w:sz w:val="18"/>
                <w:szCs w:val="18"/>
              </w:rPr>
            </w:pPr>
            <w:r w:rsidRPr="0099669C">
              <w:rPr>
                <w:rFonts w:cs="Times New Roman"/>
                <w:sz w:val="18"/>
                <w:szCs w:val="18"/>
              </w:rPr>
              <w:t>Solar Energy, 84(9), pp. 1601–1612</w:t>
            </w:r>
          </w:p>
        </w:tc>
        <w:tc>
          <w:tcPr>
            <w:tcW w:w="770" w:type="dxa"/>
            <w:vAlign w:val="center"/>
          </w:tcPr>
          <w:p w14:paraId="4891EFF8" w14:textId="77777777" w:rsidR="0099669C" w:rsidRPr="0099669C" w:rsidRDefault="0099669C" w:rsidP="0099669C">
            <w:pPr>
              <w:jc w:val="center"/>
              <w:rPr>
                <w:rFonts w:cs="Times New Roman"/>
                <w:sz w:val="18"/>
                <w:szCs w:val="18"/>
              </w:rPr>
            </w:pPr>
            <w:r w:rsidRPr="0099669C">
              <w:rPr>
                <w:rFonts w:cs="Times New Roman"/>
                <w:sz w:val="18"/>
                <w:szCs w:val="18"/>
              </w:rPr>
              <w:t>2010</w:t>
            </w:r>
          </w:p>
        </w:tc>
        <w:tc>
          <w:tcPr>
            <w:tcW w:w="1121" w:type="dxa"/>
            <w:vAlign w:val="center"/>
          </w:tcPr>
          <w:p w14:paraId="21AFDC8E" w14:textId="77777777" w:rsidR="0099669C" w:rsidRPr="0099669C" w:rsidRDefault="0099669C" w:rsidP="0099669C">
            <w:pPr>
              <w:jc w:val="center"/>
              <w:rPr>
                <w:rFonts w:cs="Times New Roman"/>
                <w:sz w:val="18"/>
                <w:szCs w:val="18"/>
              </w:rPr>
            </w:pPr>
            <w:r w:rsidRPr="0099669C">
              <w:rPr>
                <w:rFonts w:cs="Times New Roman"/>
                <w:sz w:val="18"/>
                <w:szCs w:val="18"/>
              </w:rPr>
              <w:t>412</w:t>
            </w:r>
          </w:p>
        </w:tc>
        <w:tc>
          <w:tcPr>
            <w:tcW w:w="3384" w:type="dxa"/>
            <w:vAlign w:val="center"/>
          </w:tcPr>
          <w:p w14:paraId="72ACF6CB" w14:textId="77777777" w:rsidR="0099669C" w:rsidRPr="0099669C" w:rsidRDefault="0099669C" w:rsidP="00C07D17">
            <w:pPr>
              <w:rPr>
                <w:rFonts w:cs="Times New Roman"/>
                <w:sz w:val="18"/>
                <w:szCs w:val="18"/>
                <w:lang w:val="en-US"/>
              </w:rPr>
            </w:pPr>
            <w:r w:rsidRPr="0099669C">
              <w:rPr>
                <w:rFonts w:cs="Times New Roman"/>
                <w:sz w:val="18"/>
                <w:szCs w:val="18"/>
                <w:lang w:val="en-US"/>
              </w:rPr>
              <w:t xml:space="preserve">With suitable mass/k: −18 °C for 30 min or −10 °C for 5 h </w:t>
            </w:r>
            <w:r w:rsidRPr="0099669C">
              <w:rPr>
                <w:rFonts w:ascii="Times New Roman" w:hAnsi="Times New Roman" w:cs="Times New Roman"/>
                <w:sz w:val="18"/>
                <w:szCs w:val="18"/>
                <w:lang w:val="en-US"/>
              </w:rPr>
              <w:t>→</w:t>
            </w:r>
            <w:r w:rsidRPr="0099669C">
              <w:rPr>
                <w:rFonts w:cs="Times New Roman"/>
                <w:sz w:val="18"/>
                <w:szCs w:val="18"/>
                <w:lang w:val="en-US"/>
              </w:rPr>
              <w:t xml:space="preserve"> PCM is effective for BIPV temperature capping.</w:t>
            </w:r>
          </w:p>
        </w:tc>
      </w:tr>
      <w:tr w:rsidR="0099669C" w:rsidRPr="00736B36" w14:paraId="04CF237C" w14:textId="77777777" w:rsidTr="0099669C">
        <w:tc>
          <w:tcPr>
            <w:tcW w:w="2622" w:type="dxa"/>
            <w:vAlign w:val="center"/>
          </w:tcPr>
          <w:p w14:paraId="0EDC0992" w14:textId="00667322" w:rsidR="0099669C" w:rsidRPr="0099669C" w:rsidRDefault="0099669C" w:rsidP="0099669C">
            <w:pPr>
              <w:jc w:val="center"/>
              <w:rPr>
                <w:rFonts w:cs="Times New Roman"/>
                <w:b/>
                <w:bCs/>
                <w:sz w:val="18"/>
                <w:szCs w:val="18"/>
                <w:lang w:val="en-US"/>
              </w:rPr>
            </w:pPr>
            <w:r w:rsidRPr="0099669C">
              <w:rPr>
                <w:rFonts w:cs="Times New Roman"/>
                <w:sz w:val="18"/>
                <w:szCs w:val="18"/>
                <w:lang w:val="en-US"/>
              </w:rPr>
              <w:t>Thermal regulation and performance assessment of a hybrid photovoltaic/thermal system using different combinations of nano-enhanced phase change materials</w:t>
            </w:r>
          </w:p>
        </w:tc>
        <w:tc>
          <w:tcPr>
            <w:tcW w:w="2228" w:type="dxa"/>
            <w:vAlign w:val="center"/>
          </w:tcPr>
          <w:p w14:paraId="2A67EE1F" w14:textId="77777777" w:rsidR="0099669C" w:rsidRPr="0099669C" w:rsidRDefault="0099669C" w:rsidP="0099669C">
            <w:pPr>
              <w:jc w:val="center"/>
              <w:rPr>
                <w:rFonts w:cs="Times New Roman"/>
                <w:sz w:val="18"/>
                <w:szCs w:val="18"/>
              </w:rPr>
            </w:pPr>
            <w:r w:rsidRPr="0099669C">
              <w:rPr>
                <w:rFonts w:cs="Times New Roman"/>
                <w:sz w:val="18"/>
                <w:szCs w:val="18"/>
              </w:rPr>
              <w:t>Abdelrazik, A.S., Saidur, R., Al-Sulaiman, F.A.</w:t>
            </w:r>
          </w:p>
        </w:tc>
        <w:tc>
          <w:tcPr>
            <w:tcW w:w="1563" w:type="dxa"/>
            <w:vAlign w:val="center"/>
          </w:tcPr>
          <w:p w14:paraId="7026EB0F"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Solar Energy Materials and Solar Cells, 215, 110645</w:t>
            </w:r>
          </w:p>
        </w:tc>
        <w:tc>
          <w:tcPr>
            <w:tcW w:w="770" w:type="dxa"/>
            <w:vAlign w:val="center"/>
          </w:tcPr>
          <w:p w14:paraId="20148973" w14:textId="77777777" w:rsidR="0099669C" w:rsidRPr="0099669C" w:rsidRDefault="0099669C" w:rsidP="0099669C">
            <w:pPr>
              <w:jc w:val="center"/>
              <w:rPr>
                <w:rFonts w:cs="Times New Roman"/>
                <w:sz w:val="18"/>
                <w:szCs w:val="18"/>
              </w:rPr>
            </w:pPr>
            <w:r w:rsidRPr="0099669C">
              <w:rPr>
                <w:rFonts w:cs="Times New Roman"/>
                <w:sz w:val="18"/>
                <w:szCs w:val="18"/>
              </w:rPr>
              <w:t>2020</w:t>
            </w:r>
          </w:p>
        </w:tc>
        <w:tc>
          <w:tcPr>
            <w:tcW w:w="1121" w:type="dxa"/>
            <w:vAlign w:val="center"/>
          </w:tcPr>
          <w:p w14:paraId="4EE9C2F0" w14:textId="77777777" w:rsidR="0099669C" w:rsidRPr="0099669C" w:rsidRDefault="0099669C" w:rsidP="0099669C">
            <w:pPr>
              <w:jc w:val="center"/>
              <w:rPr>
                <w:rFonts w:cs="Times New Roman"/>
                <w:sz w:val="18"/>
                <w:szCs w:val="18"/>
              </w:rPr>
            </w:pPr>
            <w:r w:rsidRPr="0099669C">
              <w:rPr>
                <w:rFonts w:cs="Times New Roman"/>
                <w:sz w:val="18"/>
                <w:szCs w:val="18"/>
              </w:rPr>
              <w:t>65</w:t>
            </w:r>
          </w:p>
        </w:tc>
        <w:tc>
          <w:tcPr>
            <w:tcW w:w="3384" w:type="dxa"/>
            <w:vAlign w:val="center"/>
          </w:tcPr>
          <w:p w14:paraId="78E859EF" w14:textId="77777777" w:rsidR="0099669C" w:rsidRPr="0099669C" w:rsidRDefault="0099669C" w:rsidP="00C07D17">
            <w:pPr>
              <w:rPr>
                <w:rFonts w:cs="Times New Roman"/>
                <w:sz w:val="18"/>
                <w:szCs w:val="18"/>
                <w:lang w:val="en-US"/>
              </w:rPr>
            </w:pPr>
            <w:r w:rsidRPr="0099669C">
              <w:rPr>
                <w:rFonts w:cs="Times New Roman"/>
                <w:sz w:val="18"/>
                <w:szCs w:val="18"/>
                <w:lang w:val="en-US"/>
              </w:rPr>
              <w:t xml:space="preserve">Higher nanoparticle loading (esp. MWCNT) </w:t>
            </w:r>
            <w:r w:rsidRPr="0099669C">
              <w:rPr>
                <w:rFonts w:ascii="Times New Roman" w:hAnsi="Times New Roman" w:cs="Times New Roman"/>
                <w:sz w:val="18"/>
                <w:szCs w:val="18"/>
                <w:lang w:val="en-US"/>
              </w:rPr>
              <w:t>→</w:t>
            </w:r>
            <w:r w:rsidRPr="0099669C">
              <w:rPr>
                <w:rFonts w:cs="Times New Roman"/>
                <w:sz w:val="18"/>
                <w:szCs w:val="18"/>
                <w:lang w:val="en-US"/>
              </w:rPr>
              <w:t xml:space="preserve"> lower PV temperatures; CaCl2</w:t>
            </w:r>
            <w:r w:rsidRPr="0099669C">
              <w:rPr>
                <w:rFonts w:cs="Palatino Linotype"/>
                <w:sz w:val="18"/>
                <w:szCs w:val="18"/>
                <w:lang w:val="en-US"/>
              </w:rPr>
              <w:t>·</w:t>
            </w:r>
            <w:r w:rsidRPr="0099669C">
              <w:rPr>
                <w:rFonts w:cs="Times New Roman"/>
                <w:sz w:val="18"/>
                <w:szCs w:val="18"/>
                <w:lang w:val="en-US"/>
              </w:rPr>
              <w:t>6H2O runs cooler than RT35, which regulates better.</w:t>
            </w:r>
          </w:p>
        </w:tc>
      </w:tr>
      <w:tr w:rsidR="0099669C" w:rsidRPr="00736B36" w14:paraId="5171A8CA" w14:textId="77777777" w:rsidTr="0099669C">
        <w:tc>
          <w:tcPr>
            <w:tcW w:w="2622" w:type="dxa"/>
            <w:vAlign w:val="center"/>
          </w:tcPr>
          <w:p w14:paraId="686E62F5" w14:textId="577DC1BE" w:rsidR="0099669C" w:rsidRPr="0099669C" w:rsidRDefault="0099669C" w:rsidP="0099669C">
            <w:pPr>
              <w:jc w:val="center"/>
              <w:rPr>
                <w:rFonts w:cs="Times New Roman"/>
                <w:b/>
                <w:bCs/>
                <w:sz w:val="18"/>
                <w:szCs w:val="18"/>
                <w:lang w:val="en-US"/>
              </w:rPr>
            </w:pPr>
            <w:r w:rsidRPr="0099669C">
              <w:rPr>
                <w:rFonts w:cs="Times New Roman"/>
                <w:sz w:val="18"/>
                <w:szCs w:val="18"/>
                <w:lang w:val="en-US"/>
              </w:rPr>
              <w:lastRenderedPageBreak/>
              <w:t>Experimental study on the performance of a solar photovoltaic/thermal system combined with phase change material</w:t>
            </w:r>
          </w:p>
        </w:tc>
        <w:tc>
          <w:tcPr>
            <w:tcW w:w="2228" w:type="dxa"/>
            <w:vAlign w:val="center"/>
          </w:tcPr>
          <w:p w14:paraId="6DD734BB"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Xu, H., Zhang, C., Wang, N., Qu, Z., Zhang, S.</w:t>
            </w:r>
          </w:p>
        </w:tc>
        <w:tc>
          <w:tcPr>
            <w:tcW w:w="1563" w:type="dxa"/>
            <w:vAlign w:val="center"/>
          </w:tcPr>
          <w:p w14:paraId="740EE111" w14:textId="77777777" w:rsidR="0099669C" w:rsidRPr="0099669C" w:rsidRDefault="0099669C" w:rsidP="0099669C">
            <w:pPr>
              <w:jc w:val="center"/>
              <w:rPr>
                <w:rFonts w:cs="Times New Roman"/>
                <w:sz w:val="18"/>
                <w:szCs w:val="18"/>
              </w:rPr>
            </w:pPr>
            <w:r w:rsidRPr="0099669C">
              <w:rPr>
                <w:rFonts w:cs="Times New Roman"/>
                <w:sz w:val="18"/>
                <w:szCs w:val="18"/>
              </w:rPr>
              <w:t>Solar Energy, 198, pp. 202–211</w:t>
            </w:r>
          </w:p>
        </w:tc>
        <w:tc>
          <w:tcPr>
            <w:tcW w:w="770" w:type="dxa"/>
            <w:vAlign w:val="center"/>
          </w:tcPr>
          <w:p w14:paraId="79DD422F" w14:textId="77777777" w:rsidR="0099669C" w:rsidRPr="0099669C" w:rsidRDefault="0099669C" w:rsidP="0099669C">
            <w:pPr>
              <w:jc w:val="center"/>
              <w:rPr>
                <w:rFonts w:cs="Times New Roman"/>
                <w:sz w:val="18"/>
                <w:szCs w:val="18"/>
              </w:rPr>
            </w:pPr>
            <w:r w:rsidRPr="0099669C">
              <w:rPr>
                <w:rFonts w:cs="Times New Roman"/>
                <w:sz w:val="18"/>
                <w:szCs w:val="18"/>
              </w:rPr>
              <w:t>2020</w:t>
            </w:r>
          </w:p>
        </w:tc>
        <w:tc>
          <w:tcPr>
            <w:tcW w:w="1121" w:type="dxa"/>
            <w:vAlign w:val="center"/>
          </w:tcPr>
          <w:p w14:paraId="3840EC67" w14:textId="77777777" w:rsidR="0099669C" w:rsidRPr="0099669C" w:rsidRDefault="0099669C" w:rsidP="0099669C">
            <w:pPr>
              <w:jc w:val="center"/>
              <w:rPr>
                <w:rFonts w:cs="Times New Roman"/>
                <w:sz w:val="18"/>
                <w:szCs w:val="18"/>
              </w:rPr>
            </w:pPr>
            <w:r w:rsidRPr="0099669C">
              <w:rPr>
                <w:rFonts w:cs="Times New Roman"/>
                <w:sz w:val="18"/>
                <w:szCs w:val="18"/>
              </w:rPr>
              <w:t>94</w:t>
            </w:r>
          </w:p>
        </w:tc>
        <w:tc>
          <w:tcPr>
            <w:tcW w:w="3384" w:type="dxa"/>
            <w:vAlign w:val="center"/>
          </w:tcPr>
          <w:p w14:paraId="2DB9F17A" w14:textId="1C09184F" w:rsidR="0099669C" w:rsidRPr="0099669C" w:rsidRDefault="0099669C" w:rsidP="00C07D17">
            <w:pPr>
              <w:rPr>
                <w:rFonts w:cs="Times New Roman"/>
                <w:sz w:val="18"/>
                <w:szCs w:val="18"/>
                <w:lang w:val="en-US"/>
              </w:rPr>
            </w:pPr>
            <w:r w:rsidRPr="0099669C">
              <w:rPr>
                <w:rFonts w:cs="Times New Roman"/>
                <w:sz w:val="18"/>
                <w:szCs w:val="18"/>
                <w:lang w:val="en-US"/>
              </w:rPr>
              <w:t>Outdoor tests: 45 °C control gives overall efficiencies</w:t>
            </w:r>
            <w:r w:rsidR="00C07D17">
              <w:rPr>
                <w:rFonts w:cs="Times New Roman"/>
                <w:sz w:val="18"/>
                <w:szCs w:val="18"/>
                <w:lang w:val="en-US"/>
              </w:rPr>
              <w:t xml:space="preserve"> of about </w:t>
            </w:r>
            <w:r w:rsidRPr="0099669C">
              <w:rPr>
                <w:rFonts w:cs="Times New Roman"/>
                <w:sz w:val="18"/>
                <w:szCs w:val="18"/>
                <w:lang w:val="en-US"/>
              </w:rPr>
              <w:t>91%; low PCM k still causes stratification, so control is essential.</w:t>
            </w:r>
          </w:p>
        </w:tc>
      </w:tr>
      <w:tr w:rsidR="0099669C" w:rsidRPr="00736B36" w14:paraId="4C9C42B1" w14:textId="77777777" w:rsidTr="0099669C">
        <w:tc>
          <w:tcPr>
            <w:tcW w:w="2622" w:type="dxa"/>
            <w:vAlign w:val="center"/>
          </w:tcPr>
          <w:p w14:paraId="159E305D" w14:textId="37B9C93F" w:rsidR="0099669C" w:rsidRPr="0099669C" w:rsidRDefault="0099669C" w:rsidP="0099669C">
            <w:pPr>
              <w:jc w:val="center"/>
              <w:rPr>
                <w:rFonts w:cs="Times New Roman"/>
                <w:b/>
                <w:bCs/>
                <w:sz w:val="18"/>
                <w:szCs w:val="18"/>
                <w:lang w:val="en-US"/>
              </w:rPr>
            </w:pPr>
            <w:r w:rsidRPr="0099669C">
              <w:rPr>
                <w:rFonts w:cs="Times New Roman"/>
                <w:sz w:val="18"/>
                <w:szCs w:val="18"/>
                <w:lang w:val="en-US"/>
              </w:rPr>
              <w:t>Evaluation of thermal management of photovoltaic solar cell via hybrid cooling system of phase change material inclusion hybrid nanoparticles coupled with flat heat pipe</w:t>
            </w:r>
          </w:p>
        </w:tc>
        <w:tc>
          <w:tcPr>
            <w:tcW w:w="2228" w:type="dxa"/>
            <w:vAlign w:val="center"/>
          </w:tcPr>
          <w:p w14:paraId="70B20E2A"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Gad, R., Mahmoud, H., Ookawara, S., Hassan, H.</w:t>
            </w:r>
          </w:p>
        </w:tc>
        <w:tc>
          <w:tcPr>
            <w:tcW w:w="1563" w:type="dxa"/>
            <w:vAlign w:val="center"/>
          </w:tcPr>
          <w:p w14:paraId="79D64BCD" w14:textId="77777777" w:rsidR="0099669C" w:rsidRPr="0099669C" w:rsidRDefault="0099669C" w:rsidP="0099669C">
            <w:pPr>
              <w:jc w:val="center"/>
              <w:rPr>
                <w:rFonts w:cs="Times New Roman"/>
                <w:sz w:val="18"/>
                <w:szCs w:val="18"/>
              </w:rPr>
            </w:pPr>
            <w:r w:rsidRPr="0099669C">
              <w:rPr>
                <w:rFonts w:cs="Times New Roman"/>
                <w:sz w:val="18"/>
                <w:szCs w:val="18"/>
              </w:rPr>
              <w:t>Journal of Energy Storage, 57, 106185</w:t>
            </w:r>
          </w:p>
        </w:tc>
        <w:tc>
          <w:tcPr>
            <w:tcW w:w="770" w:type="dxa"/>
            <w:vAlign w:val="center"/>
          </w:tcPr>
          <w:p w14:paraId="2D270311" w14:textId="77777777" w:rsidR="0099669C" w:rsidRPr="0099669C" w:rsidRDefault="0099669C" w:rsidP="0099669C">
            <w:pPr>
              <w:jc w:val="center"/>
              <w:rPr>
                <w:rFonts w:cs="Times New Roman"/>
                <w:sz w:val="18"/>
                <w:szCs w:val="18"/>
              </w:rPr>
            </w:pPr>
            <w:r w:rsidRPr="0099669C">
              <w:rPr>
                <w:rFonts w:cs="Times New Roman"/>
                <w:sz w:val="18"/>
                <w:szCs w:val="18"/>
              </w:rPr>
              <w:t>2023</w:t>
            </w:r>
          </w:p>
        </w:tc>
        <w:tc>
          <w:tcPr>
            <w:tcW w:w="1121" w:type="dxa"/>
            <w:vAlign w:val="center"/>
          </w:tcPr>
          <w:p w14:paraId="4CAD65F0" w14:textId="77777777" w:rsidR="0099669C" w:rsidRPr="0099669C" w:rsidRDefault="0099669C" w:rsidP="0099669C">
            <w:pPr>
              <w:jc w:val="center"/>
              <w:rPr>
                <w:rFonts w:cs="Times New Roman"/>
                <w:sz w:val="18"/>
                <w:szCs w:val="18"/>
              </w:rPr>
            </w:pPr>
            <w:r w:rsidRPr="0099669C">
              <w:rPr>
                <w:rFonts w:cs="Times New Roman"/>
                <w:sz w:val="18"/>
                <w:szCs w:val="18"/>
              </w:rPr>
              <w:t>83</w:t>
            </w:r>
          </w:p>
        </w:tc>
        <w:tc>
          <w:tcPr>
            <w:tcW w:w="3384" w:type="dxa"/>
            <w:vAlign w:val="center"/>
          </w:tcPr>
          <w:p w14:paraId="332C7BF5" w14:textId="77777777" w:rsidR="0099669C" w:rsidRPr="0099669C" w:rsidRDefault="0099669C" w:rsidP="00C07D17">
            <w:pPr>
              <w:rPr>
                <w:rFonts w:cs="Times New Roman"/>
                <w:sz w:val="18"/>
                <w:szCs w:val="18"/>
                <w:lang w:val="en-US"/>
              </w:rPr>
            </w:pPr>
            <w:r w:rsidRPr="0099669C">
              <w:rPr>
                <w:rFonts w:cs="Times New Roman"/>
                <w:sz w:val="18"/>
                <w:szCs w:val="18"/>
                <w:lang w:val="en-US"/>
              </w:rPr>
              <w:t>Hybrid HP–PCM cuts PV temperature by ~21 °C, raises electrical efficiency 9–12%, and lowers LCOE vs conventional PV.</w:t>
            </w:r>
          </w:p>
        </w:tc>
      </w:tr>
      <w:tr w:rsidR="0099669C" w:rsidRPr="00736B36" w14:paraId="6A0F4795" w14:textId="77777777" w:rsidTr="0099669C">
        <w:tc>
          <w:tcPr>
            <w:tcW w:w="2622" w:type="dxa"/>
            <w:vAlign w:val="center"/>
          </w:tcPr>
          <w:p w14:paraId="1040DD51" w14:textId="02F1F2EC" w:rsidR="0099669C" w:rsidRPr="0099669C" w:rsidRDefault="0099669C" w:rsidP="0099669C">
            <w:pPr>
              <w:jc w:val="center"/>
              <w:rPr>
                <w:rFonts w:cs="Times New Roman"/>
                <w:b/>
                <w:bCs/>
                <w:sz w:val="18"/>
                <w:szCs w:val="18"/>
                <w:lang w:val="en-US"/>
              </w:rPr>
            </w:pPr>
            <w:r w:rsidRPr="0099669C">
              <w:rPr>
                <w:rFonts w:cs="Times New Roman"/>
                <w:sz w:val="18"/>
                <w:szCs w:val="18"/>
                <w:lang w:val="en-US"/>
              </w:rPr>
              <w:t>Effect of varying the thermophysical properties of phase change material on the performance of photovoltaic/thermal-PCM hybrid module numerically</w:t>
            </w:r>
          </w:p>
        </w:tc>
        <w:tc>
          <w:tcPr>
            <w:tcW w:w="2228" w:type="dxa"/>
            <w:vAlign w:val="center"/>
          </w:tcPr>
          <w:p w14:paraId="23772287"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Abd El-Hamid, M., Wei, G.</w:t>
            </w:r>
          </w:p>
        </w:tc>
        <w:tc>
          <w:tcPr>
            <w:tcW w:w="1563" w:type="dxa"/>
            <w:vAlign w:val="center"/>
          </w:tcPr>
          <w:p w14:paraId="2C744E11" w14:textId="77777777" w:rsidR="0099669C" w:rsidRPr="0099669C" w:rsidRDefault="0099669C" w:rsidP="0099669C">
            <w:pPr>
              <w:jc w:val="center"/>
              <w:rPr>
                <w:rFonts w:cs="Times New Roman"/>
                <w:sz w:val="18"/>
                <w:szCs w:val="18"/>
              </w:rPr>
            </w:pPr>
            <w:r w:rsidRPr="0099669C">
              <w:rPr>
                <w:rFonts w:cs="Times New Roman"/>
                <w:sz w:val="18"/>
                <w:szCs w:val="18"/>
              </w:rPr>
              <w:t>Journal of Energy Storage, 86, 111326</w:t>
            </w:r>
          </w:p>
        </w:tc>
        <w:tc>
          <w:tcPr>
            <w:tcW w:w="770" w:type="dxa"/>
            <w:vAlign w:val="center"/>
          </w:tcPr>
          <w:p w14:paraId="04E39E6C" w14:textId="77777777" w:rsidR="0099669C" w:rsidRPr="0099669C" w:rsidRDefault="0099669C" w:rsidP="0099669C">
            <w:pPr>
              <w:jc w:val="center"/>
              <w:rPr>
                <w:rFonts w:cs="Times New Roman"/>
                <w:sz w:val="18"/>
                <w:szCs w:val="18"/>
              </w:rPr>
            </w:pPr>
            <w:r w:rsidRPr="0099669C">
              <w:rPr>
                <w:rFonts w:cs="Times New Roman"/>
                <w:sz w:val="18"/>
                <w:szCs w:val="18"/>
              </w:rPr>
              <w:t>2024</w:t>
            </w:r>
          </w:p>
        </w:tc>
        <w:tc>
          <w:tcPr>
            <w:tcW w:w="1121" w:type="dxa"/>
            <w:vAlign w:val="center"/>
          </w:tcPr>
          <w:p w14:paraId="2B414A36" w14:textId="77777777" w:rsidR="0099669C" w:rsidRPr="0099669C" w:rsidRDefault="0099669C" w:rsidP="0099669C">
            <w:pPr>
              <w:jc w:val="center"/>
              <w:rPr>
                <w:rFonts w:cs="Times New Roman"/>
                <w:sz w:val="18"/>
                <w:szCs w:val="18"/>
              </w:rPr>
            </w:pPr>
            <w:r w:rsidRPr="0099669C">
              <w:rPr>
                <w:rFonts w:cs="Times New Roman"/>
                <w:sz w:val="18"/>
                <w:szCs w:val="18"/>
              </w:rPr>
              <w:t>17</w:t>
            </w:r>
          </w:p>
        </w:tc>
        <w:tc>
          <w:tcPr>
            <w:tcW w:w="3384" w:type="dxa"/>
            <w:vAlign w:val="center"/>
          </w:tcPr>
          <w:p w14:paraId="02C8BD35" w14:textId="77777777" w:rsidR="0099669C" w:rsidRPr="0099669C" w:rsidRDefault="0099669C" w:rsidP="00C07D17">
            <w:pPr>
              <w:rPr>
                <w:rFonts w:cs="Times New Roman"/>
                <w:sz w:val="18"/>
                <w:szCs w:val="18"/>
                <w:lang w:val="en-US"/>
              </w:rPr>
            </w:pPr>
            <w:r w:rsidRPr="0099669C">
              <w:rPr>
                <w:rFonts w:cs="Times New Roman"/>
                <w:sz w:val="18"/>
                <w:szCs w:val="18"/>
                <w:lang w:val="en-US"/>
              </w:rPr>
              <w:t>Raising PCM Tm (305</w:t>
            </w:r>
            <w:r w:rsidRPr="0099669C">
              <w:rPr>
                <w:rFonts w:ascii="Times New Roman" w:hAnsi="Times New Roman" w:cs="Times New Roman"/>
                <w:sz w:val="18"/>
                <w:szCs w:val="18"/>
                <w:lang w:val="en-US"/>
              </w:rPr>
              <w:t>→</w:t>
            </w:r>
            <w:r w:rsidRPr="0099669C">
              <w:rPr>
                <w:rFonts w:cs="Times New Roman"/>
                <w:sz w:val="18"/>
                <w:szCs w:val="18"/>
                <w:lang w:val="en-US"/>
              </w:rPr>
              <w:t>323 K) and k (0.1</w:t>
            </w:r>
            <w:r w:rsidRPr="0099669C">
              <w:rPr>
                <w:rFonts w:ascii="Times New Roman" w:hAnsi="Times New Roman" w:cs="Times New Roman"/>
                <w:sz w:val="18"/>
                <w:szCs w:val="18"/>
                <w:lang w:val="en-US"/>
              </w:rPr>
              <w:t>→</w:t>
            </w:r>
            <w:r w:rsidRPr="0099669C">
              <w:rPr>
                <w:rFonts w:cs="Times New Roman"/>
                <w:sz w:val="18"/>
                <w:szCs w:val="18"/>
                <w:lang w:val="en-US"/>
              </w:rPr>
              <w:t>0.5 W/mK) increases total efficiency by ~13% and 10%; melting temperature is most influential.</w:t>
            </w:r>
          </w:p>
        </w:tc>
      </w:tr>
      <w:tr w:rsidR="0099669C" w:rsidRPr="00736B36" w14:paraId="02644308" w14:textId="77777777" w:rsidTr="0099669C">
        <w:tc>
          <w:tcPr>
            <w:tcW w:w="2622" w:type="dxa"/>
            <w:vAlign w:val="center"/>
          </w:tcPr>
          <w:p w14:paraId="3B32CFAB" w14:textId="6AE73870" w:rsidR="0099669C" w:rsidRPr="0099669C" w:rsidRDefault="0099669C" w:rsidP="0099669C">
            <w:pPr>
              <w:jc w:val="center"/>
              <w:rPr>
                <w:rFonts w:cs="Times New Roman"/>
                <w:b/>
                <w:bCs/>
                <w:sz w:val="18"/>
                <w:szCs w:val="18"/>
                <w:lang w:val="en-US"/>
              </w:rPr>
            </w:pPr>
            <w:r w:rsidRPr="0099669C">
              <w:rPr>
                <w:rFonts w:cs="Times New Roman"/>
                <w:sz w:val="18"/>
                <w:szCs w:val="18"/>
                <w:lang w:val="en-US"/>
              </w:rPr>
              <w:t>Reducing PV module temperature with radiation based PV module incorporating composite phase change material</w:t>
            </w:r>
          </w:p>
        </w:tc>
        <w:tc>
          <w:tcPr>
            <w:tcW w:w="2228" w:type="dxa"/>
            <w:vAlign w:val="center"/>
          </w:tcPr>
          <w:p w14:paraId="27559FED"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Karthikeyan, V., Sirisamphanwong, C., Sukchai, S., Sahoo, S.K., Wongwuttanasatian, T.</w:t>
            </w:r>
          </w:p>
        </w:tc>
        <w:tc>
          <w:tcPr>
            <w:tcW w:w="1563" w:type="dxa"/>
            <w:vAlign w:val="center"/>
          </w:tcPr>
          <w:p w14:paraId="1AE5018B" w14:textId="77777777" w:rsidR="0099669C" w:rsidRPr="0099669C" w:rsidRDefault="0099669C" w:rsidP="0099669C">
            <w:pPr>
              <w:jc w:val="center"/>
              <w:rPr>
                <w:rFonts w:cs="Times New Roman"/>
                <w:sz w:val="18"/>
                <w:szCs w:val="18"/>
              </w:rPr>
            </w:pPr>
            <w:r w:rsidRPr="0099669C">
              <w:rPr>
                <w:rFonts w:cs="Times New Roman"/>
                <w:sz w:val="18"/>
                <w:szCs w:val="18"/>
              </w:rPr>
              <w:t>Journal of Energy Storage, 29, 101346</w:t>
            </w:r>
          </w:p>
        </w:tc>
        <w:tc>
          <w:tcPr>
            <w:tcW w:w="770" w:type="dxa"/>
            <w:vAlign w:val="center"/>
          </w:tcPr>
          <w:p w14:paraId="5E78FF0C" w14:textId="77777777" w:rsidR="0099669C" w:rsidRPr="0099669C" w:rsidRDefault="0099669C" w:rsidP="0099669C">
            <w:pPr>
              <w:jc w:val="center"/>
              <w:rPr>
                <w:rFonts w:cs="Times New Roman"/>
                <w:sz w:val="18"/>
                <w:szCs w:val="18"/>
              </w:rPr>
            </w:pPr>
            <w:r w:rsidRPr="0099669C">
              <w:rPr>
                <w:rFonts w:cs="Times New Roman"/>
                <w:sz w:val="18"/>
                <w:szCs w:val="18"/>
              </w:rPr>
              <w:t>2020</w:t>
            </w:r>
          </w:p>
        </w:tc>
        <w:tc>
          <w:tcPr>
            <w:tcW w:w="1121" w:type="dxa"/>
            <w:vAlign w:val="center"/>
          </w:tcPr>
          <w:p w14:paraId="62DD491F" w14:textId="77777777" w:rsidR="0099669C" w:rsidRPr="0099669C" w:rsidRDefault="0099669C" w:rsidP="0099669C">
            <w:pPr>
              <w:jc w:val="center"/>
              <w:rPr>
                <w:rFonts w:cs="Times New Roman"/>
                <w:sz w:val="18"/>
                <w:szCs w:val="18"/>
              </w:rPr>
            </w:pPr>
            <w:r w:rsidRPr="0099669C">
              <w:rPr>
                <w:rFonts w:cs="Times New Roman"/>
                <w:sz w:val="18"/>
                <w:szCs w:val="18"/>
              </w:rPr>
              <w:t>85</w:t>
            </w:r>
          </w:p>
        </w:tc>
        <w:tc>
          <w:tcPr>
            <w:tcW w:w="3384" w:type="dxa"/>
            <w:vAlign w:val="center"/>
          </w:tcPr>
          <w:p w14:paraId="5E4B1B54" w14:textId="77777777" w:rsidR="0099669C" w:rsidRPr="0099669C" w:rsidRDefault="0099669C" w:rsidP="00C07D17">
            <w:pPr>
              <w:rPr>
                <w:rFonts w:cs="Times New Roman"/>
                <w:sz w:val="18"/>
                <w:szCs w:val="18"/>
                <w:lang w:val="en-US"/>
              </w:rPr>
            </w:pPr>
            <w:r w:rsidRPr="0099669C">
              <w:rPr>
                <w:rFonts w:cs="Times New Roman"/>
                <w:sz w:val="18"/>
                <w:szCs w:val="18"/>
                <w:lang w:val="en-US"/>
              </w:rPr>
              <w:t xml:space="preserve">2.5 cm composite PCM with higher k lowers thermal resistance </w:t>
            </w:r>
            <w:r w:rsidRPr="0099669C">
              <w:rPr>
                <w:rFonts w:ascii="Times New Roman" w:hAnsi="Times New Roman" w:cs="Times New Roman"/>
                <w:sz w:val="18"/>
                <w:szCs w:val="18"/>
                <w:lang w:val="en-US"/>
              </w:rPr>
              <w:t>→</w:t>
            </w:r>
            <w:r w:rsidRPr="0099669C">
              <w:rPr>
                <w:rFonts w:cs="Times New Roman"/>
                <w:sz w:val="18"/>
                <w:szCs w:val="18"/>
                <w:lang w:val="en-US"/>
              </w:rPr>
              <w:t xml:space="preserve"> 14.75% PV efficiency at ~48 </w:t>
            </w:r>
            <w:r w:rsidRPr="0099669C">
              <w:rPr>
                <w:rFonts w:cs="Palatino Linotype"/>
                <w:sz w:val="18"/>
                <w:szCs w:val="18"/>
                <w:lang w:val="en-US"/>
              </w:rPr>
              <w:t>°</w:t>
            </w:r>
            <w:r w:rsidRPr="0099669C">
              <w:rPr>
                <w:rFonts w:cs="Times New Roman"/>
                <w:sz w:val="18"/>
                <w:szCs w:val="18"/>
                <w:lang w:val="en-US"/>
              </w:rPr>
              <w:t>C module temperature.</w:t>
            </w:r>
          </w:p>
        </w:tc>
      </w:tr>
      <w:tr w:rsidR="0099669C" w:rsidRPr="00736B36" w14:paraId="0C9B7CE6" w14:textId="77777777" w:rsidTr="0099669C">
        <w:tc>
          <w:tcPr>
            <w:tcW w:w="2622" w:type="dxa"/>
            <w:vAlign w:val="center"/>
          </w:tcPr>
          <w:p w14:paraId="60AFBEF7" w14:textId="7B35F4F0" w:rsidR="0099669C" w:rsidRPr="0099669C" w:rsidRDefault="0099669C" w:rsidP="0099669C">
            <w:pPr>
              <w:jc w:val="center"/>
              <w:rPr>
                <w:rFonts w:cs="Times New Roman"/>
                <w:b/>
                <w:bCs/>
                <w:sz w:val="18"/>
                <w:szCs w:val="18"/>
                <w:lang w:val="en-US"/>
              </w:rPr>
            </w:pPr>
            <w:r w:rsidRPr="0099669C">
              <w:rPr>
                <w:rFonts w:cs="Times New Roman"/>
                <w:sz w:val="18"/>
                <w:szCs w:val="18"/>
                <w:lang w:val="en-US"/>
              </w:rPr>
              <w:t>Development of a thermal model for a hybrid photovoltaic module and phase change materials storage integrated in buildings</w:t>
            </w:r>
          </w:p>
        </w:tc>
        <w:tc>
          <w:tcPr>
            <w:tcW w:w="2228" w:type="dxa"/>
            <w:vAlign w:val="center"/>
          </w:tcPr>
          <w:p w14:paraId="513E0151" w14:textId="77777777" w:rsidR="0099669C" w:rsidRPr="00F43E9A" w:rsidRDefault="0099669C" w:rsidP="0099669C">
            <w:pPr>
              <w:jc w:val="center"/>
              <w:rPr>
                <w:rFonts w:cs="Times New Roman"/>
                <w:sz w:val="18"/>
                <w:szCs w:val="18"/>
                <w:lang w:val="en-US"/>
              </w:rPr>
            </w:pPr>
            <w:r w:rsidRPr="00F43E9A">
              <w:rPr>
                <w:rFonts w:cs="Times New Roman"/>
                <w:sz w:val="18"/>
                <w:szCs w:val="18"/>
                <w:lang w:val="en-US"/>
              </w:rPr>
              <w:t>Kibria, M.A., Saidur, R., Al-Sulaiman, F.A., Aziz, M.M.A.</w:t>
            </w:r>
          </w:p>
        </w:tc>
        <w:tc>
          <w:tcPr>
            <w:tcW w:w="1563" w:type="dxa"/>
            <w:vAlign w:val="center"/>
          </w:tcPr>
          <w:p w14:paraId="52C5565E" w14:textId="77777777" w:rsidR="0099669C" w:rsidRPr="0099669C" w:rsidRDefault="0099669C" w:rsidP="0099669C">
            <w:pPr>
              <w:jc w:val="center"/>
              <w:rPr>
                <w:rFonts w:cs="Times New Roman"/>
                <w:sz w:val="18"/>
                <w:szCs w:val="18"/>
              </w:rPr>
            </w:pPr>
            <w:r w:rsidRPr="0099669C">
              <w:rPr>
                <w:rFonts w:cs="Times New Roman"/>
                <w:sz w:val="18"/>
                <w:szCs w:val="18"/>
              </w:rPr>
              <w:t>Solar Energy, 124, pp. 114–123</w:t>
            </w:r>
          </w:p>
        </w:tc>
        <w:tc>
          <w:tcPr>
            <w:tcW w:w="770" w:type="dxa"/>
            <w:vAlign w:val="center"/>
          </w:tcPr>
          <w:p w14:paraId="778F3B19" w14:textId="77777777" w:rsidR="0099669C" w:rsidRPr="0099669C" w:rsidRDefault="0099669C" w:rsidP="0099669C">
            <w:pPr>
              <w:jc w:val="center"/>
              <w:rPr>
                <w:rFonts w:cs="Times New Roman"/>
                <w:sz w:val="18"/>
                <w:szCs w:val="18"/>
              </w:rPr>
            </w:pPr>
            <w:r w:rsidRPr="0099669C">
              <w:rPr>
                <w:rFonts w:cs="Times New Roman"/>
                <w:sz w:val="18"/>
                <w:szCs w:val="18"/>
              </w:rPr>
              <w:t>2016</w:t>
            </w:r>
          </w:p>
        </w:tc>
        <w:tc>
          <w:tcPr>
            <w:tcW w:w="1121" w:type="dxa"/>
            <w:vAlign w:val="center"/>
          </w:tcPr>
          <w:p w14:paraId="4CDB1DF3" w14:textId="77777777" w:rsidR="0099669C" w:rsidRPr="0099669C" w:rsidRDefault="0099669C" w:rsidP="0099669C">
            <w:pPr>
              <w:jc w:val="center"/>
              <w:rPr>
                <w:rFonts w:cs="Times New Roman"/>
                <w:sz w:val="18"/>
                <w:szCs w:val="18"/>
              </w:rPr>
            </w:pPr>
            <w:r w:rsidRPr="0099669C">
              <w:rPr>
                <w:rFonts w:cs="Times New Roman"/>
                <w:sz w:val="18"/>
                <w:szCs w:val="18"/>
              </w:rPr>
              <w:t>109</w:t>
            </w:r>
          </w:p>
        </w:tc>
        <w:tc>
          <w:tcPr>
            <w:tcW w:w="3384" w:type="dxa"/>
            <w:vAlign w:val="center"/>
          </w:tcPr>
          <w:p w14:paraId="0D18D476" w14:textId="77777777" w:rsidR="0099669C" w:rsidRPr="0099669C" w:rsidRDefault="0099669C" w:rsidP="00C07D17">
            <w:pPr>
              <w:rPr>
                <w:rFonts w:cs="Times New Roman"/>
                <w:sz w:val="18"/>
                <w:szCs w:val="18"/>
                <w:lang w:val="en-US"/>
              </w:rPr>
            </w:pPr>
            <w:r w:rsidRPr="0099669C">
              <w:rPr>
                <w:rFonts w:cs="Times New Roman"/>
                <w:sz w:val="18"/>
                <w:szCs w:val="18"/>
                <w:lang w:val="en-US"/>
              </w:rPr>
              <w:t>Validated model shows PCM can limit PV temperature rise and boost thermal performance by ~5% for several melting points.</w:t>
            </w:r>
          </w:p>
        </w:tc>
      </w:tr>
      <w:tr w:rsidR="0099669C" w:rsidRPr="00736B36" w14:paraId="4A38FCCE" w14:textId="77777777" w:rsidTr="0099669C">
        <w:tc>
          <w:tcPr>
            <w:tcW w:w="2622" w:type="dxa"/>
            <w:vAlign w:val="center"/>
          </w:tcPr>
          <w:p w14:paraId="32D9610F" w14:textId="4FDA1AEF" w:rsidR="0099669C" w:rsidRPr="0099669C" w:rsidRDefault="0099669C" w:rsidP="0099669C">
            <w:pPr>
              <w:jc w:val="center"/>
              <w:rPr>
                <w:rFonts w:cs="Times New Roman"/>
                <w:b/>
                <w:bCs/>
                <w:sz w:val="18"/>
                <w:szCs w:val="18"/>
                <w:lang w:val="en-US"/>
              </w:rPr>
            </w:pPr>
            <w:r w:rsidRPr="0099669C">
              <w:rPr>
                <w:rFonts w:cs="Times New Roman"/>
                <w:sz w:val="18"/>
                <w:szCs w:val="18"/>
                <w:lang w:val="en-US"/>
              </w:rPr>
              <w:t>Impact of integrated photovoltaic-phase change material system on building energy efficiency in hot climate</w:t>
            </w:r>
          </w:p>
        </w:tc>
        <w:tc>
          <w:tcPr>
            <w:tcW w:w="2228" w:type="dxa"/>
            <w:vAlign w:val="center"/>
          </w:tcPr>
          <w:p w14:paraId="586D485A"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Hasan, A., Alnoman, H., Rashid, Y.</w:t>
            </w:r>
          </w:p>
        </w:tc>
        <w:tc>
          <w:tcPr>
            <w:tcW w:w="1563" w:type="dxa"/>
            <w:vAlign w:val="center"/>
          </w:tcPr>
          <w:p w14:paraId="737D7E9B" w14:textId="77777777" w:rsidR="0099669C" w:rsidRPr="0099669C" w:rsidRDefault="0099669C" w:rsidP="0099669C">
            <w:pPr>
              <w:jc w:val="center"/>
              <w:rPr>
                <w:rFonts w:cs="Times New Roman"/>
                <w:sz w:val="18"/>
                <w:szCs w:val="18"/>
              </w:rPr>
            </w:pPr>
            <w:r w:rsidRPr="0099669C">
              <w:rPr>
                <w:rFonts w:cs="Times New Roman"/>
                <w:sz w:val="18"/>
                <w:szCs w:val="18"/>
              </w:rPr>
              <w:t>Energy and Buildings, 130, pp. 495–505</w:t>
            </w:r>
          </w:p>
        </w:tc>
        <w:tc>
          <w:tcPr>
            <w:tcW w:w="770" w:type="dxa"/>
            <w:vAlign w:val="center"/>
          </w:tcPr>
          <w:p w14:paraId="306EFF50" w14:textId="77777777" w:rsidR="0099669C" w:rsidRPr="0099669C" w:rsidRDefault="0099669C" w:rsidP="0099669C">
            <w:pPr>
              <w:jc w:val="center"/>
              <w:rPr>
                <w:rFonts w:cs="Times New Roman"/>
                <w:sz w:val="18"/>
                <w:szCs w:val="18"/>
              </w:rPr>
            </w:pPr>
            <w:r w:rsidRPr="0099669C">
              <w:rPr>
                <w:rFonts w:cs="Times New Roman"/>
                <w:sz w:val="18"/>
                <w:szCs w:val="18"/>
              </w:rPr>
              <w:t>2016</w:t>
            </w:r>
          </w:p>
        </w:tc>
        <w:tc>
          <w:tcPr>
            <w:tcW w:w="1121" w:type="dxa"/>
            <w:vAlign w:val="center"/>
          </w:tcPr>
          <w:p w14:paraId="2D457568" w14:textId="77777777" w:rsidR="0099669C" w:rsidRPr="0099669C" w:rsidRDefault="0099669C" w:rsidP="0099669C">
            <w:pPr>
              <w:jc w:val="center"/>
              <w:rPr>
                <w:rFonts w:cs="Times New Roman"/>
                <w:sz w:val="18"/>
                <w:szCs w:val="18"/>
              </w:rPr>
            </w:pPr>
            <w:r w:rsidRPr="0099669C">
              <w:rPr>
                <w:rFonts w:cs="Times New Roman"/>
                <w:sz w:val="18"/>
                <w:szCs w:val="18"/>
              </w:rPr>
              <w:t>85</w:t>
            </w:r>
          </w:p>
        </w:tc>
        <w:tc>
          <w:tcPr>
            <w:tcW w:w="3384" w:type="dxa"/>
            <w:vAlign w:val="center"/>
          </w:tcPr>
          <w:p w14:paraId="5CB5EC59" w14:textId="77777777" w:rsidR="0099669C" w:rsidRPr="0099669C" w:rsidRDefault="0099669C" w:rsidP="00C07D17">
            <w:pPr>
              <w:rPr>
                <w:rFonts w:cs="Times New Roman"/>
                <w:sz w:val="18"/>
                <w:szCs w:val="18"/>
                <w:lang w:val="en-US"/>
              </w:rPr>
            </w:pPr>
            <w:r w:rsidRPr="0099669C">
              <w:rPr>
                <w:rFonts w:cs="Times New Roman"/>
                <w:sz w:val="18"/>
                <w:szCs w:val="18"/>
                <w:lang w:val="en-US"/>
              </w:rPr>
              <w:t>PCM + insulated cavity lowers PV and indoor peaks; PV power +7.2% (peak) and indoor cooling +9.5% (daytime).</w:t>
            </w:r>
          </w:p>
        </w:tc>
      </w:tr>
      <w:tr w:rsidR="0099669C" w:rsidRPr="00736B36" w14:paraId="32F7B337" w14:textId="77777777" w:rsidTr="0099669C">
        <w:tc>
          <w:tcPr>
            <w:tcW w:w="2622" w:type="dxa"/>
            <w:vAlign w:val="center"/>
          </w:tcPr>
          <w:p w14:paraId="54C64B26" w14:textId="2619CDAC" w:rsidR="0099669C" w:rsidRPr="0099669C" w:rsidRDefault="0099669C" w:rsidP="0099669C">
            <w:pPr>
              <w:jc w:val="center"/>
              <w:rPr>
                <w:rFonts w:cs="Times New Roman"/>
                <w:b/>
                <w:bCs/>
                <w:sz w:val="18"/>
                <w:szCs w:val="18"/>
                <w:lang w:val="en-US"/>
              </w:rPr>
            </w:pPr>
            <w:r w:rsidRPr="0099669C">
              <w:rPr>
                <w:rFonts w:cs="Times New Roman"/>
                <w:sz w:val="18"/>
                <w:szCs w:val="18"/>
                <w:lang w:val="en-US"/>
              </w:rPr>
              <w:t>Performance enhancement of a building-integrated photovoltaic module using phase change material</w:t>
            </w:r>
          </w:p>
        </w:tc>
        <w:tc>
          <w:tcPr>
            <w:tcW w:w="2228" w:type="dxa"/>
            <w:vAlign w:val="center"/>
          </w:tcPr>
          <w:p w14:paraId="563DC579"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Karthick, A., Murugavel, K.K., Ramanan, P.</w:t>
            </w:r>
          </w:p>
        </w:tc>
        <w:tc>
          <w:tcPr>
            <w:tcW w:w="1563" w:type="dxa"/>
            <w:vAlign w:val="center"/>
          </w:tcPr>
          <w:p w14:paraId="1ACD968A" w14:textId="77777777" w:rsidR="0099669C" w:rsidRPr="0099669C" w:rsidRDefault="0099669C" w:rsidP="0099669C">
            <w:pPr>
              <w:jc w:val="center"/>
              <w:rPr>
                <w:rFonts w:cs="Times New Roman"/>
                <w:sz w:val="18"/>
                <w:szCs w:val="18"/>
              </w:rPr>
            </w:pPr>
            <w:r w:rsidRPr="0099669C">
              <w:rPr>
                <w:rFonts w:cs="Times New Roman"/>
                <w:sz w:val="18"/>
                <w:szCs w:val="18"/>
              </w:rPr>
              <w:t>Energy, 142, pp. 803–812</w:t>
            </w:r>
          </w:p>
        </w:tc>
        <w:tc>
          <w:tcPr>
            <w:tcW w:w="770" w:type="dxa"/>
            <w:vAlign w:val="center"/>
          </w:tcPr>
          <w:p w14:paraId="5C14EEF8" w14:textId="77777777" w:rsidR="0099669C" w:rsidRPr="0099669C" w:rsidRDefault="0099669C" w:rsidP="0099669C">
            <w:pPr>
              <w:jc w:val="center"/>
              <w:rPr>
                <w:rFonts w:cs="Times New Roman"/>
                <w:sz w:val="18"/>
                <w:szCs w:val="18"/>
              </w:rPr>
            </w:pPr>
            <w:r w:rsidRPr="0099669C">
              <w:rPr>
                <w:rFonts w:cs="Times New Roman"/>
                <w:sz w:val="18"/>
                <w:szCs w:val="18"/>
              </w:rPr>
              <w:t>2018</w:t>
            </w:r>
          </w:p>
        </w:tc>
        <w:tc>
          <w:tcPr>
            <w:tcW w:w="1121" w:type="dxa"/>
            <w:vAlign w:val="center"/>
          </w:tcPr>
          <w:p w14:paraId="2A207AD5" w14:textId="77777777" w:rsidR="0099669C" w:rsidRPr="0099669C" w:rsidRDefault="0099669C" w:rsidP="0099669C">
            <w:pPr>
              <w:jc w:val="center"/>
              <w:rPr>
                <w:rFonts w:cs="Times New Roman"/>
                <w:sz w:val="18"/>
                <w:szCs w:val="18"/>
              </w:rPr>
            </w:pPr>
            <w:r w:rsidRPr="0099669C">
              <w:rPr>
                <w:rFonts w:cs="Times New Roman"/>
                <w:sz w:val="18"/>
                <w:szCs w:val="18"/>
              </w:rPr>
              <w:t>120</w:t>
            </w:r>
          </w:p>
        </w:tc>
        <w:tc>
          <w:tcPr>
            <w:tcW w:w="3384" w:type="dxa"/>
            <w:vAlign w:val="center"/>
          </w:tcPr>
          <w:p w14:paraId="3B1515F2" w14:textId="77777777" w:rsidR="0099669C" w:rsidRPr="0099669C" w:rsidRDefault="0099669C" w:rsidP="00C07D17">
            <w:pPr>
              <w:rPr>
                <w:rFonts w:cs="Times New Roman"/>
                <w:sz w:val="18"/>
                <w:szCs w:val="18"/>
                <w:lang w:val="en-US"/>
              </w:rPr>
            </w:pPr>
            <w:r w:rsidRPr="0099669C">
              <w:rPr>
                <w:rFonts w:cs="Times New Roman"/>
                <w:sz w:val="18"/>
                <w:szCs w:val="18"/>
                <w:lang w:val="en-US"/>
              </w:rPr>
              <w:t>PV surface temperature up to 8 °C lower and electrical efficiency ≈10% higher than reference BIPV.</w:t>
            </w:r>
          </w:p>
        </w:tc>
      </w:tr>
      <w:tr w:rsidR="0099669C" w:rsidRPr="00736B36" w14:paraId="01878531" w14:textId="77777777" w:rsidTr="0099669C">
        <w:tc>
          <w:tcPr>
            <w:tcW w:w="2622" w:type="dxa"/>
            <w:vAlign w:val="center"/>
          </w:tcPr>
          <w:p w14:paraId="02D11C40" w14:textId="7B73DF01" w:rsidR="0099669C" w:rsidRPr="0099669C" w:rsidRDefault="0099669C" w:rsidP="0099669C">
            <w:pPr>
              <w:jc w:val="center"/>
              <w:rPr>
                <w:rFonts w:cs="Times New Roman"/>
                <w:b/>
                <w:bCs/>
                <w:sz w:val="18"/>
                <w:szCs w:val="18"/>
                <w:lang w:val="en-US"/>
              </w:rPr>
            </w:pPr>
            <w:r w:rsidRPr="0099669C">
              <w:rPr>
                <w:rFonts w:cs="Times New Roman"/>
                <w:sz w:val="18"/>
                <w:szCs w:val="18"/>
                <w:lang w:val="en-US"/>
              </w:rPr>
              <w:lastRenderedPageBreak/>
              <w:t>A novel thermal regulation method for photovoltaic panels using porous metals filled with phase change material and nanoparticle additives</w:t>
            </w:r>
          </w:p>
        </w:tc>
        <w:tc>
          <w:tcPr>
            <w:tcW w:w="2228" w:type="dxa"/>
            <w:vAlign w:val="center"/>
          </w:tcPr>
          <w:p w14:paraId="2B357E25"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Abdulmunem, A.R., Samin, P.M., Rahman, H.A., Hussien, H.A., Ghazali, H.</w:t>
            </w:r>
          </w:p>
        </w:tc>
        <w:tc>
          <w:tcPr>
            <w:tcW w:w="1563" w:type="dxa"/>
            <w:vAlign w:val="center"/>
          </w:tcPr>
          <w:p w14:paraId="3E352271" w14:textId="77777777" w:rsidR="0099669C" w:rsidRPr="0099669C" w:rsidRDefault="0099669C" w:rsidP="0099669C">
            <w:pPr>
              <w:jc w:val="center"/>
              <w:rPr>
                <w:rFonts w:cs="Times New Roman"/>
                <w:sz w:val="18"/>
                <w:szCs w:val="18"/>
              </w:rPr>
            </w:pPr>
            <w:r w:rsidRPr="0099669C">
              <w:rPr>
                <w:rFonts w:cs="Times New Roman"/>
                <w:sz w:val="18"/>
                <w:szCs w:val="18"/>
              </w:rPr>
              <w:t>Journal of Energy Storage, 39, 102621</w:t>
            </w:r>
          </w:p>
        </w:tc>
        <w:tc>
          <w:tcPr>
            <w:tcW w:w="770" w:type="dxa"/>
            <w:vAlign w:val="center"/>
          </w:tcPr>
          <w:p w14:paraId="17772118" w14:textId="77777777" w:rsidR="0099669C" w:rsidRPr="0099669C" w:rsidRDefault="0099669C" w:rsidP="0099669C">
            <w:pPr>
              <w:jc w:val="center"/>
              <w:rPr>
                <w:rFonts w:cs="Times New Roman"/>
                <w:sz w:val="18"/>
                <w:szCs w:val="18"/>
              </w:rPr>
            </w:pPr>
            <w:r w:rsidRPr="0099669C">
              <w:rPr>
                <w:rFonts w:cs="Times New Roman"/>
                <w:sz w:val="18"/>
                <w:szCs w:val="18"/>
              </w:rPr>
              <w:t>2021</w:t>
            </w:r>
          </w:p>
        </w:tc>
        <w:tc>
          <w:tcPr>
            <w:tcW w:w="1121" w:type="dxa"/>
            <w:vAlign w:val="center"/>
          </w:tcPr>
          <w:p w14:paraId="503D599A" w14:textId="77777777" w:rsidR="0099669C" w:rsidRPr="0099669C" w:rsidRDefault="0099669C" w:rsidP="0099669C">
            <w:pPr>
              <w:jc w:val="center"/>
              <w:rPr>
                <w:rFonts w:cs="Times New Roman"/>
                <w:sz w:val="18"/>
                <w:szCs w:val="18"/>
              </w:rPr>
            </w:pPr>
            <w:r w:rsidRPr="0099669C">
              <w:rPr>
                <w:rFonts w:cs="Times New Roman"/>
                <w:sz w:val="18"/>
                <w:szCs w:val="18"/>
              </w:rPr>
              <w:t>75</w:t>
            </w:r>
          </w:p>
        </w:tc>
        <w:tc>
          <w:tcPr>
            <w:tcW w:w="3384" w:type="dxa"/>
            <w:vAlign w:val="center"/>
          </w:tcPr>
          <w:p w14:paraId="5CA35883" w14:textId="77777777" w:rsidR="0099669C" w:rsidRPr="0099669C" w:rsidRDefault="0099669C" w:rsidP="00C07D17">
            <w:pPr>
              <w:keepNext/>
              <w:rPr>
                <w:rFonts w:cs="Times New Roman"/>
                <w:sz w:val="18"/>
                <w:szCs w:val="18"/>
                <w:lang w:val="en-US"/>
              </w:rPr>
            </w:pPr>
            <w:r w:rsidRPr="0099669C">
              <w:rPr>
                <w:rFonts w:cs="Times New Roman"/>
                <w:sz w:val="18"/>
                <w:szCs w:val="18"/>
                <w:lang w:val="en-US"/>
              </w:rPr>
              <w:t>Nanotube‑enhanced PCM/foam boosts heat removal; average PV electrical efficiency jumps from 4% to 21% vs uncooled PV.</w:t>
            </w:r>
          </w:p>
        </w:tc>
      </w:tr>
    </w:tbl>
    <w:p w14:paraId="05ECA202" w14:textId="0D636D0C" w:rsidR="0099669C" w:rsidRDefault="0099669C" w:rsidP="0099669C">
      <w:pPr>
        <w:pStyle w:val="Caption"/>
        <w:rPr>
          <w:rFonts w:ascii="Times New Roman" w:hAnsi="Times New Roman" w:cs="Times New Roman"/>
        </w:rPr>
      </w:pPr>
      <w:bookmarkStart w:id="91" w:name="_Toc214362632"/>
      <w:r>
        <w:t xml:space="preserve">Table </w:t>
      </w:r>
      <w:r w:rsidR="00F43E9A">
        <w:fldChar w:fldCharType="begin"/>
      </w:r>
      <w:r w:rsidR="00F43E9A">
        <w:instrText xml:space="preserve"> STYLEREF 1 \s </w:instrText>
      </w:r>
      <w:r w:rsidR="00F43E9A">
        <w:fldChar w:fldCharType="separate"/>
      </w:r>
      <w:r w:rsidR="000412CE">
        <w:rPr>
          <w:noProof/>
        </w:rPr>
        <w:t>2</w:t>
      </w:r>
      <w:r w:rsidR="00F43E9A">
        <w:fldChar w:fldCharType="end"/>
      </w:r>
      <w:r w:rsidR="00F43E9A">
        <w:t>.</w:t>
      </w:r>
      <w:r w:rsidR="00F43E9A">
        <w:fldChar w:fldCharType="begin"/>
      </w:r>
      <w:r w:rsidR="00F43E9A">
        <w:instrText xml:space="preserve"> SEQ Table \* ARABIC \s 1 </w:instrText>
      </w:r>
      <w:r w:rsidR="00F43E9A">
        <w:fldChar w:fldCharType="separate"/>
      </w:r>
      <w:r w:rsidR="000412CE">
        <w:rPr>
          <w:noProof/>
        </w:rPr>
        <w:t>4</w:t>
      </w:r>
      <w:r w:rsidR="00F43E9A">
        <w:fldChar w:fldCharType="end"/>
      </w:r>
      <w:r w:rsidR="00DE026D">
        <w:t xml:space="preserve">. </w:t>
      </w:r>
      <w:r w:rsidRPr="00DB7605">
        <w:t>Selected studies on PCM for PV thermal management: bibliographic details and key outcomes</w:t>
      </w:r>
      <w:r w:rsidR="00A165BA">
        <w:t>.</w:t>
      </w:r>
      <w:bookmarkEnd w:id="91"/>
    </w:p>
    <w:p w14:paraId="65A86C54" w14:textId="105822B4" w:rsidR="0099669C" w:rsidRDefault="0099669C" w:rsidP="0099669C">
      <w:pPr>
        <w:rPr>
          <w:rFonts w:ascii="Times New Roman" w:hAnsi="Times New Roman" w:cs="Times New Roman"/>
          <w:lang w:val="en-US"/>
        </w:rPr>
      </w:pPr>
      <w:r w:rsidRPr="00BA448D">
        <w:rPr>
          <w:rFonts w:ascii="Times New Roman" w:hAnsi="Times New Roman" w:cs="Times New Roman"/>
          <w:lang w:val="en-US"/>
        </w:rPr>
        <w:t xml:space="preserve">Table </w:t>
      </w:r>
      <w:r>
        <w:rPr>
          <w:rFonts w:ascii="Times New Roman" w:hAnsi="Times New Roman" w:cs="Times New Roman"/>
          <w:lang w:val="en-US"/>
        </w:rPr>
        <w:t>2.5</w:t>
      </w:r>
      <w:r w:rsidRPr="00BA448D">
        <w:rPr>
          <w:rFonts w:ascii="Times New Roman" w:hAnsi="Times New Roman" w:cs="Times New Roman"/>
          <w:lang w:val="en-US"/>
        </w:rPr>
        <w:t xml:space="preserve"> summarizes a selection of the most relevant review papers on the use of </w:t>
      </w:r>
      <w:r>
        <w:rPr>
          <w:rFonts w:ascii="Times New Roman" w:hAnsi="Times New Roman" w:cs="Times New Roman"/>
          <w:lang w:val="en-US"/>
        </w:rPr>
        <w:t>PCM</w:t>
      </w:r>
      <w:r w:rsidRPr="00BA448D">
        <w:rPr>
          <w:rFonts w:ascii="Times New Roman" w:hAnsi="Times New Roman" w:cs="Times New Roman"/>
          <w:lang w:val="en-US"/>
        </w:rPr>
        <w:t xml:space="preserve">s for the thermal management of </w:t>
      </w:r>
      <w:r>
        <w:rPr>
          <w:rFonts w:ascii="Times New Roman" w:hAnsi="Times New Roman" w:cs="Times New Roman"/>
          <w:lang w:val="en-US"/>
        </w:rPr>
        <w:t>PV</w:t>
      </w:r>
      <w:r w:rsidRPr="00BA448D">
        <w:rPr>
          <w:rFonts w:ascii="Times New Roman" w:hAnsi="Times New Roman" w:cs="Times New Roman"/>
          <w:lang w:val="en-US"/>
        </w:rPr>
        <w:t xml:space="preserve"> systems. Each review highlights key developments, challenges, and perspectives regarding PCM integration to enhance PV performance and durability.</w:t>
      </w:r>
    </w:p>
    <w:p w14:paraId="0950B846" w14:textId="77777777" w:rsidR="0099669C" w:rsidRDefault="0099669C" w:rsidP="0099669C">
      <w:pPr>
        <w:rPr>
          <w:rFonts w:ascii="Times New Roman" w:hAnsi="Times New Roman" w:cs="Times New Roman"/>
          <w:lang w:val="en-US"/>
        </w:rPr>
      </w:pPr>
    </w:p>
    <w:tbl>
      <w:tblPr>
        <w:tblStyle w:val="TableGrid"/>
        <w:tblW w:w="0" w:type="auto"/>
        <w:tblLook w:val="04A0" w:firstRow="1" w:lastRow="0" w:firstColumn="1" w:lastColumn="0" w:noHBand="0" w:noVBand="1"/>
      </w:tblPr>
      <w:tblGrid>
        <w:gridCol w:w="1705"/>
        <w:gridCol w:w="1443"/>
        <w:gridCol w:w="1453"/>
        <w:gridCol w:w="743"/>
        <w:gridCol w:w="1118"/>
        <w:gridCol w:w="2394"/>
      </w:tblGrid>
      <w:tr w:rsidR="0099669C" w:rsidRPr="0099669C" w14:paraId="74280BA7" w14:textId="77777777" w:rsidTr="0099669C">
        <w:tc>
          <w:tcPr>
            <w:tcW w:w="1705" w:type="dxa"/>
            <w:shd w:val="clear" w:color="auto" w:fill="8EA5B6"/>
            <w:vAlign w:val="center"/>
          </w:tcPr>
          <w:p w14:paraId="78B9FC2A" w14:textId="77777777" w:rsidR="0099669C" w:rsidRPr="0099669C" w:rsidRDefault="0099669C" w:rsidP="0099669C">
            <w:pPr>
              <w:jc w:val="center"/>
              <w:rPr>
                <w:rFonts w:cs="Times New Roman"/>
                <w:b/>
                <w:bCs/>
                <w:sz w:val="18"/>
                <w:szCs w:val="18"/>
              </w:rPr>
            </w:pPr>
            <w:r w:rsidRPr="0099669C">
              <w:rPr>
                <w:rFonts w:cs="Times New Roman"/>
                <w:b/>
                <w:bCs/>
                <w:sz w:val="18"/>
                <w:szCs w:val="18"/>
              </w:rPr>
              <w:t>Title</w:t>
            </w:r>
          </w:p>
        </w:tc>
        <w:tc>
          <w:tcPr>
            <w:tcW w:w="1443" w:type="dxa"/>
            <w:shd w:val="clear" w:color="auto" w:fill="8EA5B6"/>
            <w:vAlign w:val="center"/>
          </w:tcPr>
          <w:p w14:paraId="120BD3F1" w14:textId="77777777" w:rsidR="0099669C" w:rsidRPr="0099669C" w:rsidRDefault="0099669C" w:rsidP="0099669C">
            <w:pPr>
              <w:jc w:val="center"/>
              <w:rPr>
                <w:rFonts w:cs="Times New Roman"/>
                <w:b/>
                <w:bCs/>
                <w:sz w:val="18"/>
                <w:szCs w:val="18"/>
              </w:rPr>
            </w:pPr>
            <w:r w:rsidRPr="0099669C">
              <w:rPr>
                <w:rFonts w:cs="Times New Roman"/>
                <w:b/>
                <w:bCs/>
                <w:sz w:val="18"/>
                <w:szCs w:val="18"/>
              </w:rPr>
              <w:t>Authors</w:t>
            </w:r>
          </w:p>
        </w:tc>
        <w:tc>
          <w:tcPr>
            <w:tcW w:w="1453" w:type="dxa"/>
            <w:shd w:val="clear" w:color="auto" w:fill="8EA5B6"/>
            <w:vAlign w:val="center"/>
          </w:tcPr>
          <w:p w14:paraId="6ACE819D" w14:textId="77777777" w:rsidR="0099669C" w:rsidRPr="0099669C" w:rsidRDefault="0099669C" w:rsidP="0099669C">
            <w:pPr>
              <w:jc w:val="center"/>
              <w:rPr>
                <w:rFonts w:cs="Times New Roman"/>
                <w:b/>
                <w:bCs/>
                <w:sz w:val="18"/>
                <w:szCs w:val="18"/>
              </w:rPr>
            </w:pPr>
            <w:r w:rsidRPr="0099669C">
              <w:rPr>
                <w:rFonts w:cs="Times New Roman"/>
                <w:b/>
                <w:bCs/>
                <w:sz w:val="18"/>
                <w:szCs w:val="18"/>
              </w:rPr>
              <w:t>Source</w:t>
            </w:r>
          </w:p>
        </w:tc>
        <w:tc>
          <w:tcPr>
            <w:tcW w:w="743" w:type="dxa"/>
            <w:shd w:val="clear" w:color="auto" w:fill="8EA5B6"/>
            <w:vAlign w:val="center"/>
          </w:tcPr>
          <w:p w14:paraId="0F4F65AA" w14:textId="77777777" w:rsidR="0099669C" w:rsidRPr="0099669C" w:rsidRDefault="0099669C" w:rsidP="0099669C">
            <w:pPr>
              <w:jc w:val="center"/>
              <w:rPr>
                <w:rFonts w:cs="Times New Roman"/>
                <w:b/>
                <w:bCs/>
                <w:sz w:val="18"/>
                <w:szCs w:val="18"/>
              </w:rPr>
            </w:pPr>
            <w:r w:rsidRPr="0099669C">
              <w:rPr>
                <w:rFonts w:cs="Times New Roman"/>
                <w:b/>
                <w:bCs/>
                <w:sz w:val="18"/>
                <w:szCs w:val="18"/>
              </w:rPr>
              <w:t>Year</w:t>
            </w:r>
          </w:p>
        </w:tc>
        <w:tc>
          <w:tcPr>
            <w:tcW w:w="1118" w:type="dxa"/>
            <w:shd w:val="clear" w:color="auto" w:fill="8EA5B6"/>
            <w:vAlign w:val="center"/>
          </w:tcPr>
          <w:p w14:paraId="73FBE786" w14:textId="77777777" w:rsidR="0099669C" w:rsidRPr="0099669C" w:rsidRDefault="0099669C" w:rsidP="0099669C">
            <w:pPr>
              <w:jc w:val="center"/>
              <w:rPr>
                <w:rFonts w:cs="Times New Roman"/>
                <w:b/>
                <w:bCs/>
                <w:sz w:val="18"/>
                <w:szCs w:val="18"/>
              </w:rPr>
            </w:pPr>
            <w:r w:rsidRPr="0099669C">
              <w:rPr>
                <w:rFonts w:cs="Times New Roman"/>
                <w:b/>
                <w:bCs/>
                <w:sz w:val="18"/>
                <w:szCs w:val="18"/>
              </w:rPr>
              <w:t>Citations</w:t>
            </w:r>
          </w:p>
        </w:tc>
        <w:tc>
          <w:tcPr>
            <w:tcW w:w="2394" w:type="dxa"/>
            <w:shd w:val="clear" w:color="auto" w:fill="8EA5B6"/>
            <w:vAlign w:val="center"/>
          </w:tcPr>
          <w:p w14:paraId="3E87A093" w14:textId="72D2B742" w:rsidR="0099669C" w:rsidRPr="0099669C" w:rsidRDefault="0099669C" w:rsidP="00C07D17">
            <w:pPr>
              <w:jc w:val="center"/>
              <w:rPr>
                <w:rFonts w:cs="Times New Roman"/>
                <w:b/>
                <w:bCs/>
                <w:sz w:val="18"/>
                <w:szCs w:val="18"/>
              </w:rPr>
            </w:pPr>
            <w:r w:rsidRPr="0099669C">
              <w:rPr>
                <w:rFonts w:cs="Times New Roman"/>
                <w:b/>
                <w:bCs/>
                <w:sz w:val="18"/>
                <w:szCs w:val="18"/>
              </w:rPr>
              <w:t>Abstract summary</w:t>
            </w:r>
          </w:p>
        </w:tc>
      </w:tr>
      <w:tr w:rsidR="0099669C" w:rsidRPr="00736B36" w14:paraId="62536278" w14:textId="77777777" w:rsidTr="0099669C">
        <w:tc>
          <w:tcPr>
            <w:tcW w:w="1705" w:type="dxa"/>
            <w:vAlign w:val="center"/>
          </w:tcPr>
          <w:p w14:paraId="3F540738"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Using phase change materials in photovoltaic systems for thermal regulation and electrical efficiency improvement: A review and outlook</w:t>
            </w:r>
          </w:p>
        </w:tc>
        <w:tc>
          <w:tcPr>
            <w:tcW w:w="1443" w:type="dxa"/>
            <w:vAlign w:val="center"/>
          </w:tcPr>
          <w:p w14:paraId="15A5CB6F"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Ma, T., Yang, H., Zhang, Y., Lu, L., Wang, X.</w:t>
            </w:r>
          </w:p>
        </w:tc>
        <w:tc>
          <w:tcPr>
            <w:tcW w:w="1453" w:type="dxa"/>
            <w:vAlign w:val="center"/>
          </w:tcPr>
          <w:p w14:paraId="147A1DDF"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Renewable and Sustainable Energy Reviews, 43, pp. 1273–1284</w:t>
            </w:r>
          </w:p>
        </w:tc>
        <w:tc>
          <w:tcPr>
            <w:tcW w:w="743" w:type="dxa"/>
            <w:vAlign w:val="center"/>
          </w:tcPr>
          <w:p w14:paraId="2BD89E7F" w14:textId="77777777" w:rsidR="0099669C" w:rsidRPr="0099669C" w:rsidRDefault="0099669C" w:rsidP="0099669C">
            <w:pPr>
              <w:jc w:val="center"/>
              <w:rPr>
                <w:rFonts w:cs="Times New Roman"/>
                <w:sz w:val="18"/>
                <w:szCs w:val="18"/>
              </w:rPr>
            </w:pPr>
            <w:r w:rsidRPr="0099669C">
              <w:rPr>
                <w:rFonts w:cs="Times New Roman"/>
                <w:sz w:val="18"/>
                <w:szCs w:val="18"/>
              </w:rPr>
              <w:t>2015</w:t>
            </w:r>
          </w:p>
        </w:tc>
        <w:tc>
          <w:tcPr>
            <w:tcW w:w="1118" w:type="dxa"/>
            <w:vAlign w:val="center"/>
          </w:tcPr>
          <w:p w14:paraId="3045479A" w14:textId="77777777" w:rsidR="0099669C" w:rsidRPr="0099669C" w:rsidRDefault="0099669C" w:rsidP="0099669C">
            <w:pPr>
              <w:jc w:val="center"/>
              <w:rPr>
                <w:rFonts w:cs="Times New Roman"/>
                <w:sz w:val="18"/>
                <w:szCs w:val="18"/>
              </w:rPr>
            </w:pPr>
            <w:r w:rsidRPr="0099669C">
              <w:rPr>
                <w:rFonts w:cs="Times New Roman"/>
                <w:sz w:val="18"/>
                <w:szCs w:val="18"/>
              </w:rPr>
              <w:t>351</w:t>
            </w:r>
          </w:p>
        </w:tc>
        <w:tc>
          <w:tcPr>
            <w:tcW w:w="2394" w:type="dxa"/>
            <w:vAlign w:val="center"/>
          </w:tcPr>
          <w:p w14:paraId="508390B5" w14:textId="7332D91D" w:rsidR="0099669C" w:rsidRPr="0099669C" w:rsidRDefault="0099669C" w:rsidP="00C07D17">
            <w:pPr>
              <w:rPr>
                <w:rFonts w:cs="Times New Roman"/>
                <w:sz w:val="18"/>
                <w:szCs w:val="18"/>
                <w:lang w:val="en-US"/>
              </w:rPr>
            </w:pPr>
            <w:r w:rsidRPr="0099669C">
              <w:rPr>
                <w:rFonts w:cs="Times New Roman"/>
                <w:sz w:val="18"/>
                <w:szCs w:val="18"/>
                <w:lang w:val="en-US"/>
              </w:rPr>
              <w:t>High PV temperatures cut efficiency; literature on PV cooling highlights PV‑PCM concepts and integration issues (materials, heat‑transfer enhancement, modeling). PV‑PCM alone rarely pays if only electrical gain is sought; coupling with solar‑thermal (PV‑ST‑PCM) to reuse stored heat is more promising, but both are mostly lab‑stage with practical hurdles.</w:t>
            </w:r>
          </w:p>
        </w:tc>
      </w:tr>
      <w:tr w:rsidR="0099669C" w:rsidRPr="00736B36" w14:paraId="1EEDD602" w14:textId="77777777" w:rsidTr="0099669C">
        <w:tc>
          <w:tcPr>
            <w:tcW w:w="1705" w:type="dxa"/>
            <w:vAlign w:val="center"/>
          </w:tcPr>
          <w:p w14:paraId="20D651E6"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Water and phase change material based photovoltaic thermal management systems: A review</w:t>
            </w:r>
          </w:p>
        </w:tc>
        <w:tc>
          <w:tcPr>
            <w:tcW w:w="1443" w:type="dxa"/>
            <w:vAlign w:val="center"/>
          </w:tcPr>
          <w:p w14:paraId="5910B1BB" w14:textId="77777777" w:rsidR="0099669C" w:rsidRPr="0099669C" w:rsidRDefault="0099669C" w:rsidP="0099669C">
            <w:pPr>
              <w:jc w:val="center"/>
              <w:rPr>
                <w:rFonts w:cs="Times New Roman"/>
                <w:sz w:val="18"/>
                <w:szCs w:val="18"/>
              </w:rPr>
            </w:pPr>
            <w:r w:rsidRPr="0099669C">
              <w:rPr>
                <w:rFonts w:cs="Times New Roman"/>
                <w:sz w:val="18"/>
                <w:szCs w:val="18"/>
              </w:rPr>
              <w:t>Preet, S.</w:t>
            </w:r>
          </w:p>
        </w:tc>
        <w:tc>
          <w:tcPr>
            <w:tcW w:w="1453" w:type="dxa"/>
            <w:vAlign w:val="center"/>
          </w:tcPr>
          <w:p w14:paraId="707F3037"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Renewable and Sustainable Energy Reviews, 82, pp. 791–807</w:t>
            </w:r>
          </w:p>
        </w:tc>
        <w:tc>
          <w:tcPr>
            <w:tcW w:w="743" w:type="dxa"/>
            <w:vAlign w:val="center"/>
          </w:tcPr>
          <w:p w14:paraId="5A69B3A7" w14:textId="77777777" w:rsidR="0099669C" w:rsidRPr="0099669C" w:rsidRDefault="0099669C" w:rsidP="0099669C">
            <w:pPr>
              <w:jc w:val="center"/>
              <w:rPr>
                <w:rFonts w:cs="Times New Roman"/>
                <w:sz w:val="18"/>
                <w:szCs w:val="18"/>
              </w:rPr>
            </w:pPr>
            <w:r w:rsidRPr="0099669C">
              <w:rPr>
                <w:rFonts w:cs="Times New Roman"/>
                <w:sz w:val="18"/>
                <w:szCs w:val="18"/>
              </w:rPr>
              <w:t>2018</w:t>
            </w:r>
          </w:p>
        </w:tc>
        <w:tc>
          <w:tcPr>
            <w:tcW w:w="1118" w:type="dxa"/>
            <w:vAlign w:val="center"/>
          </w:tcPr>
          <w:p w14:paraId="241DE94F" w14:textId="77777777" w:rsidR="0099669C" w:rsidRPr="0099669C" w:rsidRDefault="0099669C" w:rsidP="0099669C">
            <w:pPr>
              <w:jc w:val="center"/>
              <w:rPr>
                <w:rFonts w:cs="Times New Roman"/>
                <w:sz w:val="18"/>
                <w:szCs w:val="18"/>
              </w:rPr>
            </w:pPr>
            <w:r w:rsidRPr="0099669C">
              <w:rPr>
                <w:rFonts w:cs="Times New Roman"/>
                <w:sz w:val="18"/>
                <w:szCs w:val="18"/>
              </w:rPr>
              <w:t>141</w:t>
            </w:r>
          </w:p>
        </w:tc>
        <w:tc>
          <w:tcPr>
            <w:tcW w:w="2394" w:type="dxa"/>
            <w:vAlign w:val="center"/>
          </w:tcPr>
          <w:p w14:paraId="5FD23952" w14:textId="151A50BA" w:rsidR="0099669C" w:rsidRPr="0099669C" w:rsidRDefault="0099669C" w:rsidP="00C07D17">
            <w:pPr>
              <w:rPr>
                <w:rFonts w:cs="Times New Roman"/>
                <w:sz w:val="18"/>
                <w:szCs w:val="18"/>
                <w:lang w:val="en-US"/>
              </w:rPr>
            </w:pPr>
            <w:r w:rsidRPr="0099669C">
              <w:rPr>
                <w:rFonts w:cs="Times New Roman"/>
                <w:sz w:val="18"/>
                <w:szCs w:val="18"/>
                <w:lang w:val="en-US"/>
              </w:rPr>
              <w:t>About half of the solar input becomes heat, degrading output and durability. Reviews show PV‑PCM is effective but limited by low conductivity and overnight solidification; adding heat‑transfer inserts and extracting heat can stabilize temperature and provide space/water heating.</w:t>
            </w:r>
          </w:p>
        </w:tc>
      </w:tr>
      <w:tr w:rsidR="0099669C" w:rsidRPr="00736B36" w14:paraId="0AAD6ED5" w14:textId="77777777" w:rsidTr="0099669C">
        <w:tc>
          <w:tcPr>
            <w:tcW w:w="1705" w:type="dxa"/>
            <w:vAlign w:val="center"/>
          </w:tcPr>
          <w:p w14:paraId="2537CEB0"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Recent progress in photovoltaic thermal phase change material technology: A review</w:t>
            </w:r>
          </w:p>
        </w:tc>
        <w:tc>
          <w:tcPr>
            <w:tcW w:w="1443" w:type="dxa"/>
            <w:vAlign w:val="center"/>
          </w:tcPr>
          <w:p w14:paraId="6901061C" w14:textId="77777777" w:rsidR="0099669C" w:rsidRPr="0067768F" w:rsidRDefault="0099669C" w:rsidP="0099669C">
            <w:pPr>
              <w:jc w:val="center"/>
              <w:rPr>
                <w:rFonts w:cs="Times New Roman"/>
                <w:sz w:val="18"/>
                <w:szCs w:val="18"/>
                <w:lang w:val="en-US"/>
              </w:rPr>
            </w:pPr>
            <w:r w:rsidRPr="0067768F">
              <w:rPr>
                <w:rFonts w:cs="Times New Roman"/>
                <w:sz w:val="18"/>
                <w:szCs w:val="18"/>
                <w:lang w:val="en-US"/>
              </w:rPr>
              <w:t>Gao, L., Zhang, X., Hua, W.</w:t>
            </w:r>
          </w:p>
        </w:tc>
        <w:tc>
          <w:tcPr>
            <w:tcW w:w="1453" w:type="dxa"/>
            <w:vAlign w:val="center"/>
          </w:tcPr>
          <w:p w14:paraId="675447A5" w14:textId="77777777" w:rsidR="0099669C" w:rsidRPr="0099669C" w:rsidRDefault="0099669C" w:rsidP="0099669C">
            <w:pPr>
              <w:jc w:val="center"/>
              <w:rPr>
                <w:rFonts w:cs="Times New Roman"/>
                <w:sz w:val="18"/>
                <w:szCs w:val="18"/>
              </w:rPr>
            </w:pPr>
            <w:r w:rsidRPr="0099669C">
              <w:rPr>
                <w:rFonts w:cs="Times New Roman"/>
                <w:sz w:val="18"/>
                <w:szCs w:val="18"/>
              </w:rPr>
              <w:t>Journal of Energy Storage, 65, 107317</w:t>
            </w:r>
          </w:p>
        </w:tc>
        <w:tc>
          <w:tcPr>
            <w:tcW w:w="743" w:type="dxa"/>
            <w:vAlign w:val="center"/>
          </w:tcPr>
          <w:p w14:paraId="274D7F3A" w14:textId="77777777" w:rsidR="0099669C" w:rsidRPr="0099669C" w:rsidRDefault="0099669C" w:rsidP="0099669C">
            <w:pPr>
              <w:jc w:val="center"/>
              <w:rPr>
                <w:rFonts w:cs="Times New Roman"/>
                <w:sz w:val="18"/>
                <w:szCs w:val="18"/>
              </w:rPr>
            </w:pPr>
            <w:r w:rsidRPr="0099669C">
              <w:rPr>
                <w:rFonts w:cs="Times New Roman"/>
                <w:sz w:val="18"/>
                <w:szCs w:val="18"/>
              </w:rPr>
              <w:t>2023</w:t>
            </w:r>
          </w:p>
        </w:tc>
        <w:tc>
          <w:tcPr>
            <w:tcW w:w="1118" w:type="dxa"/>
            <w:vAlign w:val="center"/>
          </w:tcPr>
          <w:p w14:paraId="63169854" w14:textId="77777777" w:rsidR="0099669C" w:rsidRPr="0099669C" w:rsidRDefault="0099669C" w:rsidP="0099669C">
            <w:pPr>
              <w:jc w:val="center"/>
              <w:rPr>
                <w:rFonts w:cs="Times New Roman"/>
                <w:sz w:val="18"/>
                <w:szCs w:val="18"/>
              </w:rPr>
            </w:pPr>
            <w:r w:rsidRPr="0099669C">
              <w:rPr>
                <w:rFonts w:cs="Times New Roman"/>
                <w:sz w:val="18"/>
                <w:szCs w:val="18"/>
              </w:rPr>
              <w:t>47</w:t>
            </w:r>
          </w:p>
        </w:tc>
        <w:tc>
          <w:tcPr>
            <w:tcW w:w="2394" w:type="dxa"/>
            <w:vAlign w:val="center"/>
          </w:tcPr>
          <w:p w14:paraId="1FA7FD4E" w14:textId="519C7185" w:rsidR="0099669C" w:rsidRPr="0099669C" w:rsidRDefault="0099669C" w:rsidP="00C07D17">
            <w:pPr>
              <w:rPr>
                <w:rFonts w:cs="Times New Roman"/>
                <w:sz w:val="18"/>
                <w:szCs w:val="18"/>
                <w:lang w:val="en-US"/>
              </w:rPr>
            </w:pPr>
            <w:r w:rsidRPr="0099669C">
              <w:rPr>
                <w:rFonts w:cs="Times New Roman"/>
                <w:sz w:val="18"/>
                <w:szCs w:val="18"/>
                <w:lang w:val="en-US"/>
              </w:rPr>
              <w:t xml:space="preserve">Explains PCM cooling and catalogs systems: non‑concentrating, concentrating, PV/T, micro‑encapsulated, and nano‑PCM. Progress noted, </w:t>
            </w:r>
            <w:r w:rsidRPr="0099669C">
              <w:rPr>
                <w:rFonts w:cs="Times New Roman"/>
                <w:sz w:val="18"/>
                <w:szCs w:val="18"/>
                <w:lang w:val="en-US"/>
              </w:rPr>
              <w:lastRenderedPageBreak/>
              <w:t>but the field is immature with clear priorities and open challenges.</w:t>
            </w:r>
          </w:p>
        </w:tc>
      </w:tr>
      <w:tr w:rsidR="0099669C" w:rsidRPr="00736B36" w14:paraId="76E9FB65" w14:textId="77777777" w:rsidTr="0099669C">
        <w:tc>
          <w:tcPr>
            <w:tcW w:w="1705" w:type="dxa"/>
            <w:vAlign w:val="center"/>
          </w:tcPr>
          <w:p w14:paraId="3A819E85"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lastRenderedPageBreak/>
              <w:t>Phase change materials for photovoltaic thermal management</w:t>
            </w:r>
          </w:p>
        </w:tc>
        <w:tc>
          <w:tcPr>
            <w:tcW w:w="1443" w:type="dxa"/>
            <w:vAlign w:val="center"/>
          </w:tcPr>
          <w:p w14:paraId="19AB368D"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Browne, M.C., Norton, B., McCormack, S.J.</w:t>
            </w:r>
          </w:p>
        </w:tc>
        <w:tc>
          <w:tcPr>
            <w:tcW w:w="1453" w:type="dxa"/>
            <w:vAlign w:val="center"/>
          </w:tcPr>
          <w:p w14:paraId="585877B8"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Renewable and Sustainable Energy Reviews, 47, pp. 762–782, 4205</w:t>
            </w:r>
          </w:p>
        </w:tc>
        <w:tc>
          <w:tcPr>
            <w:tcW w:w="743" w:type="dxa"/>
            <w:vAlign w:val="center"/>
          </w:tcPr>
          <w:p w14:paraId="54F5A609" w14:textId="77777777" w:rsidR="0099669C" w:rsidRPr="0099669C" w:rsidRDefault="0099669C" w:rsidP="0099669C">
            <w:pPr>
              <w:jc w:val="center"/>
              <w:rPr>
                <w:rFonts w:cs="Times New Roman"/>
                <w:sz w:val="18"/>
                <w:szCs w:val="18"/>
              </w:rPr>
            </w:pPr>
            <w:r w:rsidRPr="0099669C">
              <w:rPr>
                <w:rFonts w:cs="Times New Roman"/>
                <w:sz w:val="18"/>
                <w:szCs w:val="18"/>
              </w:rPr>
              <w:t>2015</w:t>
            </w:r>
          </w:p>
        </w:tc>
        <w:tc>
          <w:tcPr>
            <w:tcW w:w="1118" w:type="dxa"/>
            <w:vAlign w:val="center"/>
          </w:tcPr>
          <w:p w14:paraId="6EEF7917" w14:textId="77777777" w:rsidR="0099669C" w:rsidRPr="0099669C" w:rsidRDefault="0099669C" w:rsidP="0099669C">
            <w:pPr>
              <w:jc w:val="center"/>
              <w:rPr>
                <w:rFonts w:cs="Times New Roman"/>
                <w:sz w:val="18"/>
                <w:szCs w:val="18"/>
              </w:rPr>
            </w:pPr>
            <w:r w:rsidRPr="0099669C">
              <w:rPr>
                <w:rFonts w:cs="Times New Roman"/>
                <w:sz w:val="18"/>
                <w:szCs w:val="18"/>
              </w:rPr>
              <w:t>264</w:t>
            </w:r>
          </w:p>
        </w:tc>
        <w:tc>
          <w:tcPr>
            <w:tcW w:w="2394" w:type="dxa"/>
            <w:vAlign w:val="center"/>
          </w:tcPr>
          <w:p w14:paraId="0AA855A3" w14:textId="323B915B" w:rsidR="0099669C" w:rsidRPr="0099669C" w:rsidRDefault="0099669C" w:rsidP="00C07D17">
            <w:pPr>
              <w:rPr>
                <w:rFonts w:cs="Times New Roman"/>
                <w:sz w:val="18"/>
                <w:szCs w:val="18"/>
                <w:lang w:val="en-US"/>
              </w:rPr>
            </w:pPr>
            <w:r w:rsidRPr="0099669C">
              <w:rPr>
                <w:rFonts w:cs="Times New Roman"/>
                <w:sz w:val="18"/>
                <w:szCs w:val="18"/>
                <w:lang w:val="en-US"/>
              </w:rPr>
              <w:t>Crystalline‑Si PV benefits most due to the highest temperature sensitivity. PCM improves performance, but reliable solidification/release dynamics need further work for practice.</w:t>
            </w:r>
          </w:p>
        </w:tc>
      </w:tr>
      <w:tr w:rsidR="0099669C" w:rsidRPr="00736B36" w14:paraId="331BF4C5" w14:textId="77777777" w:rsidTr="0099669C">
        <w:tc>
          <w:tcPr>
            <w:tcW w:w="1705" w:type="dxa"/>
            <w:vAlign w:val="center"/>
          </w:tcPr>
          <w:p w14:paraId="095E3FD7"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Photovoltaic panel integrated with phase change materials (PV-PCM): technology overview and materials selection</w:t>
            </w:r>
          </w:p>
        </w:tc>
        <w:tc>
          <w:tcPr>
            <w:tcW w:w="1443" w:type="dxa"/>
            <w:vAlign w:val="center"/>
          </w:tcPr>
          <w:p w14:paraId="7FC3CF2D"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Tao, M., Zhenpeng, L., Jiaxin, Z.</w:t>
            </w:r>
          </w:p>
        </w:tc>
        <w:tc>
          <w:tcPr>
            <w:tcW w:w="1453" w:type="dxa"/>
            <w:vAlign w:val="center"/>
          </w:tcPr>
          <w:p w14:paraId="15EFFAC5"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Renewable and Sustainable Energy Reviews, 116, 109406</w:t>
            </w:r>
          </w:p>
        </w:tc>
        <w:tc>
          <w:tcPr>
            <w:tcW w:w="743" w:type="dxa"/>
            <w:vAlign w:val="center"/>
          </w:tcPr>
          <w:p w14:paraId="32741023" w14:textId="77777777" w:rsidR="0099669C" w:rsidRPr="0099669C" w:rsidRDefault="0099669C" w:rsidP="0099669C">
            <w:pPr>
              <w:jc w:val="center"/>
              <w:rPr>
                <w:rFonts w:cs="Times New Roman"/>
                <w:sz w:val="18"/>
                <w:szCs w:val="18"/>
              </w:rPr>
            </w:pPr>
            <w:r w:rsidRPr="0099669C">
              <w:rPr>
                <w:rFonts w:cs="Times New Roman"/>
                <w:sz w:val="18"/>
                <w:szCs w:val="18"/>
              </w:rPr>
              <w:t>2019</w:t>
            </w:r>
          </w:p>
        </w:tc>
        <w:tc>
          <w:tcPr>
            <w:tcW w:w="1118" w:type="dxa"/>
            <w:vAlign w:val="center"/>
          </w:tcPr>
          <w:p w14:paraId="299BEDE0" w14:textId="77777777" w:rsidR="0099669C" w:rsidRPr="0099669C" w:rsidRDefault="0099669C" w:rsidP="0099669C">
            <w:pPr>
              <w:jc w:val="center"/>
              <w:rPr>
                <w:rFonts w:cs="Times New Roman"/>
                <w:sz w:val="18"/>
                <w:szCs w:val="18"/>
              </w:rPr>
            </w:pPr>
            <w:r w:rsidRPr="0099669C">
              <w:rPr>
                <w:rFonts w:cs="Times New Roman"/>
                <w:sz w:val="18"/>
                <w:szCs w:val="18"/>
              </w:rPr>
              <w:t>200</w:t>
            </w:r>
          </w:p>
        </w:tc>
        <w:tc>
          <w:tcPr>
            <w:tcW w:w="2394" w:type="dxa"/>
            <w:vAlign w:val="center"/>
          </w:tcPr>
          <w:p w14:paraId="7968589A" w14:textId="5FD2848F" w:rsidR="0099669C" w:rsidRPr="0099669C" w:rsidRDefault="0099669C" w:rsidP="00C07D17">
            <w:pPr>
              <w:rPr>
                <w:rFonts w:cs="Times New Roman"/>
                <w:sz w:val="18"/>
                <w:szCs w:val="18"/>
                <w:lang w:val="en-US"/>
              </w:rPr>
            </w:pPr>
            <w:r w:rsidRPr="0099669C">
              <w:rPr>
                <w:rFonts w:cs="Times New Roman"/>
                <w:sz w:val="18"/>
                <w:szCs w:val="18"/>
                <w:lang w:val="en-US"/>
              </w:rPr>
              <w:t>Review of 104 papers: configurations, energy balances, materials selection (triangle criterion for Tm), milestones. Efficiency gains exist, but reliability and cost remain key barriers.</w:t>
            </w:r>
          </w:p>
        </w:tc>
      </w:tr>
      <w:tr w:rsidR="0099669C" w:rsidRPr="00736B36" w14:paraId="2A01D411" w14:textId="77777777" w:rsidTr="0099669C">
        <w:tc>
          <w:tcPr>
            <w:tcW w:w="1705" w:type="dxa"/>
            <w:vAlign w:val="center"/>
          </w:tcPr>
          <w:p w14:paraId="528A07E6"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Review of cooling techniques using phase change materials for enhancing efficiency of photovoltaic power systems</w:t>
            </w:r>
          </w:p>
        </w:tc>
        <w:tc>
          <w:tcPr>
            <w:tcW w:w="1443" w:type="dxa"/>
            <w:vAlign w:val="center"/>
          </w:tcPr>
          <w:p w14:paraId="145DF6B2"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Chandel, S.S., Agarwal, T.</w:t>
            </w:r>
          </w:p>
        </w:tc>
        <w:tc>
          <w:tcPr>
            <w:tcW w:w="1453" w:type="dxa"/>
            <w:vAlign w:val="center"/>
          </w:tcPr>
          <w:p w14:paraId="73CDD2F8"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Renewable and Sustainable Energy Reviews, 73, pp. 1342–1351</w:t>
            </w:r>
          </w:p>
        </w:tc>
        <w:tc>
          <w:tcPr>
            <w:tcW w:w="743" w:type="dxa"/>
            <w:vAlign w:val="center"/>
          </w:tcPr>
          <w:p w14:paraId="3A2358CC" w14:textId="77777777" w:rsidR="0099669C" w:rsidRPr="0099669C" w:rsidRDefault="0099669C" w:rsidP="0099669C">
            <w:pPr>
              <w:jc w:val="center"/>
              <w:rPr>
                <w:rFonts w:cs="Times New Roman"/>
                <w:sz w:val="18"/>
                <w:szCs w:val="18"/>
              </w:rPr>
            </w:pPr>
            <w:r w:rsidRPr="0099669C">
              <w:rPr>
                <w:rFonts w:cs="Times New Roman"/>
                <w:sz w:val="18"/>
                <w:szCs w:val="18"/>
              </w:rPr>
              <w:t>2017</w:t>
            </w:r>
          </w:p>
        </w:tc>
        <w:tc>
          <w:tcPr>
            <w:tcW w:w="1118" w:type="dxa"/>
            <w:vAlign w:val="center"/>
          </w:tcPr>
          <w:p w14:paraId="791268BE" w14:textId="77777777" w:rsidR="0099669C" w:rsidRPr="0099669C" w:rsidRDefault="0099669C" w:rsidP="0099669C">
            <w:pPr>
              <w:jc w:val="center"/>
              <w:rPr>
                <w:rFonts w:cs="Times New Roman"/>
                <w:sz w:val="18"/>
                <w:szCs w:val="18"/>
              </w:rPr>
            </w:pPr>
            <w:r w:rsidRPr="0099669C">
              <w:rPr>
                <w:rFonts w:cs="Times New Roman"/>
                <w:sz w:val="18"/>
                <w:szCs w:val="18"/>
              </w:rPr>
              <w:t>251</w:t>
            </w:r>
          </w:p>
        </w:tc>
        <w:tc>
          <w:tcPr>
            <w:tcW w:w="2394" w:type="dxa"/>
            <w:vAlign w:val="center"/>
          </w:tcPr>
          <w:p w14:paraId="5BF6E6D1" w14:textId="58D0A035" w:rsidR="0099669C" w:rsidRPr="0099669C" w:rsidRDefault="0099669C" w:rsidP="00C07D17">
            <w:pPr>
              <w:rPr>
                <w:rFonts w:cs="Times New Roman"/>
                <w:sz w:val="18"/>
                <w:szCs w:val="18"/>
                <w:lang w:val="en-US"/>
              </w:rPr>
            </w:pPr>
            <w:r w:rsidRPr="0099669C">
              <w:rPr>
                <w:rFonts w:cs="Times New Roman"/>
                <w:sz w:val="18"/>
                <w:szCs w:val="18"/>
                <w:lang w:val="en-US"/>
              </w:rPr>
              <w:t>Efficiency drops ~0.5% per °C; PV‑PCM can add up to ~5% efficiency, and inorganic PCMs look promising. Commercialization is limited by poor k/undercooling, design, and cost; economics favor high-insulation, low‑seasonality sites.</w:t>
            </w:r>
          </w:p>
        </w:tc>
      </w:tr>
      <w:tr w:rsidR="0099669C" w:rsidRPr="00736B36" w14:paraId="06610BBB" w14:textId="77777777" w:rsidTr="0099669C">
        <w:tc>
          <w:tcPr>
            <w:tcW w:w="1705" w:type="dxa"/>
            <w:vAlign w:val="center"/>
          </w:tcPr>
          <w:p w14:paraId="2331587C"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Photovoltaic Panel Integration Using Phase Change Material (PCM): Review</w:t>
            </w:r>
          </w:p>
        </w:tc>
        <w:tc>
          <w:tcPr>
            <w:tcW w:w="1443" w:type="dxa"/>
            <w:vAlign w:val="center"/>
          </w:tcPr>
          <w:p w14:paraId="371C4B63" w14:textId="77777777" w:rsidR="0099669C" w:rsidRPr="0099669C" w:rsidRDefault="0099669C" w:rsidP="0099669C">
            <w:pPr>
              <w:jc w:val="center"/>
              <w:rPr>
                <w:rFonts w:cs="Times New Roman"/>
                <w:sz w:val="18"/>
                <w:szCs w:val="18"/>
              </w:rPr>
            </w:pPr>
            <w:r w:rsidRPr="0099669C">
              <w:rPr>
                <w:rFonts w:cs="Times New Roman"/>
                <w:sz w:val="18"/>
                <w:szCs w:val="18"/>
              </w:rPr>
              <w:t>Verma, K., Prakash, O., Paikra, A.S., Tiwari, P.</w:t>
            </w:r>
          </w:p>
        </w:tc>
        <w:tc>
          <w:tcPr>
            <w:tcW w:w="1453" w:type="dxa"/>
            <w:vAlign w:val="center"/>
          </w:tcPr>
          <w:p w14:paraId="5384F399" w14:textId="77777777" w:rsidR="0099669C" w:rsidRPr="0099669C" w:rsidRDefault="0099669C" w:rsidP="0099669C">
            <w:pPr>
              <w:jc w:val="center"/>
              <w:rPr>
                <w:rFonts w:cs="Times New Roman"/>
                <w:sz w:val="18"/>
                <w:szCs w:val="18"/>
              </w:rPr>
            </w:pPr>
            <w:r w:rsidRPr="0099669C">
              <w:rPr>
                <w:rFonts w:cs="Times New Roman"/>
                <w:sz w:val="18"/>
                <w:szCs w:val="18"/>
              </w:rPr>
              <w:t>Evergreen, 10(1), pp. 444–453</w:t>
            </w:r>
          </w:p>
        </w:tc>
        <w:tc>
          <w:tcPr>
            <w:tcW w:w="743" w:type="dxa"/>
            <w:vAlign w:val="center"/>
          </w:tcPr>
          <w:p w14:paraId="2E821E3B" w14:textId="77777777" w:rsidR="0099669C" w:rsidRPr="0099669C" w:rsidRDefault="0099669C" w:rsidP="0099669C">
            <w:pPr>
              <w:jc w:val="center"/>
              <w:rPr>
                <w:rFonts w:cs="Times New Roman"/>
                <w:sz w:val="18"/>
                <w:szCs w:val="18"/>
              </w:rPr>
            </w:pPr>
            <w:r w:rsidRPr="0099669C">
              <w:rPr>
                <w:rFonts w:cs="Times New Roman"/>
                <w:sz w:val="18"/>
                <w:szCs w:val="18"/>
              </w:rPr>
              <w:t>2023</w:t>
            </w:r>
          </w:p>
        </w:tc>
        <w:tc>
          <w:tcPr>
            <w:tcW w:w="1118" w:type="dxa"/>
            <w:vAlign w:val="center"/>
          </w:tcPr>
          <w:p w14:paraId="50CE9B9E" w14:textId="77777777" w:rsidR="0099669C" w:rsidRPr="0099669C" w:rsidRDefault="0099669C" w:rsidP="0099669C">
            <w:pPr>
              <w:jc w:val="center"/>
              <w:rPr>
                <w:rFonts w:cs="Times New Roman"/>
                <w:sz w:val="18"/>
                <w:szCs w:val="18"/>
              </w:rPr>
            </w:pPr>
            <w:r w:rsidRPr="0099669C">
              <w:rPr>
                <w:rFonts w:cs="Times New Roman"/>
                <w:sz w:val="18"/>
                <w:szCs w:val="18"/>
              </w:rPr>
              <w:t>14</w:t>
            </w:r>
          </w:p>
        </w:tc>
        <w:tc>
          <w:tcPr>
            <w:tcW w:w="2394" w:type="dxa"/>
            <w:vAlign w:val="center"/>
          </w:tcPr>
          <w:p w14:paraId="04E5FE7F" w14:textId="4DD9103B" w:rsidR="0099669C" w:rsidRPr="0099669C" w:rsidRDefault="0099669C" w:rsidP="00C07D17">
            <w:pPr>
              <w:rPr>
                <w:rFonts w:cs="Times New Roman"/>
                <w:sz w:val="18"/>
                <w:szCs w:val="18"/>
                <w:lang w:val="en-US"/>
              </w:rPr>
            </w:pPr>
            <w:r w:rsidRPr="0099669C">
              <w:rPr>
                <w:rFonts w:cs="Times New Roman"/>
                <w:sz w:val="18"/>
                <w:szCs w:val="18"/>
                <w:lang w:val="en-US"/>
              </w:rPr>
              <w:t>TES with PCM can recover PV waste heat; selecting PCM by operating parameters is critical. Organic PCM paired with fins stands out as a strong PV‑PCM candidate.</w:t>
            </w:r>
          </w:p>
        </w:tc>
      </w:tr>
      <w:tr w:rsidR="0099669C" w:rsidRPr="00736B36" w14:paraId="5828F2E7" w14:textId="77777777" w:rsidTr="0099669C">
        <w:tc>
          <w:tcPr>
            <w:tcW w:w="1705" w:type="dxa"/>
            <w:vAlign w:val="center"/>
          </w:tcPr>
          <w:p w14:paraId="540BC43F" w14:textId="77777777" w:rsidR="0099669C" w:rsidRPr="0099669C" w:rsidRDefault="0099669C" w:rsidP="0099669C">
            <w:pPr>
              <w:jc w:val="center"/>
              <w:rPr>
                <w:rFonts w:cs="Times New Roman"/>
                <w:sz w:val="18"/>
                <w:szCs w:val="18"/>
                <w:lang w:val="en-US"/>
              </w:rPr>
            </w:pPr>
            <w:r w:rsidRPr="0099669C">
              <w:rPr>
                <w:rFonts w:cs="Times New Roman"/>
                <w:sz w:val="18"/>
                <w:szCs w:val="18"/>
                <w:lang w:val="en-US"/>
              </w:rPr>
              <w:t>A review on the outlook of thermal management of photovoltaic panel using phase change material</w:t>
            </w:r>
          </w:p>
        </w:tc>
        <w:tc>
          <w:tcPr>
            <w:tcW w:w="1443" w:type="dxa"/>
            <w:vAlign w:val="center"/>
          </w:tcPr>
          <w:p w14:paraId="62749162" w14:textId="77777777" w:rsidR="0099669C" w:rsidRPr="0099669C" w:rsidRDefault="0099669C" w:rsidP="0099669C">
            <w:pPr>
              <w:jc w:val="center"/>
              <w:rPr>
                <w:rFonts w:cs="Times New Roman"/>
                <w:sz w:val="18"/>
                <w:szCs w:val="18"/>
              </w:rPr>
            </w:pPr>
            <w:r w:rsidRPr="0099669C">
              <w:rPr>
                <w:rFonts w:cs="Times New Roman"/>
                <w:sz w:val="18"/>
                <w:szCs w:val="18"/>
              </w:rPr>
              <w:t>Preet, S.</w:t>
            </w:r>
          </w:p>
        </w:tc>
        <w:tc>
          <w:tcPr>
            <w:tcW w:w="1453" w:type="dxa"/>
            <w:vAlign w:val="center"/>
          </w:tcPr>
          <w:p w14:paraId="2CFA370B" w14:textId="77777777" w:rsidR="0099669C" w:rsidRPr="0099669C" w:rsidRDefault="0099669C" w:rsidP="0099669C">
            <w:pPr>
              <w:jc w:val="center"/>
              <w:rPr>
                <w:rFonts w:cs="Times New Roman"/>
                <w:sz w:val="18"/>
                <w:szCs w:val="18"/>
              </w:rPr>
            </w:pPr>
            <w:r w:rsidRPr="0099669C">
              <w:rPr>
                <w:rFonts w:cs="Times New Roman"/>
                <w:sz w:val="18"/>
                <w:szCs w:val="18"/>
              </w:rPr>
              <w:t>Energy and Climate Change, 2, 100033</w:t>
            </w:r>
          </w:p>
        </w:tc>
        <w:tc>
          <w:tcPr>
            <w:tcW w:w="743" w:type="dxa"/>
            <w:vAlign w:val="center"/>
          </w:tcPr>
          <w:p w14:paraId="161E5DB1" w14:textId="77777777" w:rsidR="0099669C" w:rsidRPr="0099669C" w:rsidRDefault="0099669C" w:rsidP="0099669C">
            <w:pPr>
              <w:jc w:val="center"/>
              <w:rPr>
                <w:rFonts w:cs="Times New Roman"/>
                <w:sz w:val="18"/>
                <w:szCs w:val="18"/>
              </w:rPr>
            </w:pPr>
            <w:r w:rsidRPr="0099669C">
              <w:rPr>
                <w:rFonts w:cs="Times New Roman"/>
                <w:sz w:val="18"/>
                <w:szCs w:val="18"/>
              </w:rPr>
              <w:t>2021</w:t>
            </w:r>
          </w:p>
        </w:tc>
        <w:tc>
          <w:tcPr>
            <w:tcW w:w="1118" w:type="dxa"/>
            <w:vAlign w:val="center"/>
          </w:tcPr>
          <w:p w14:paraId="25FD07B9" w14:textId="77777777" w:rsidR="0099669C" w:rsidRPr="0099669C" w:rsidRDefault="0099669C" w:rsidP="0099669C">
            <w:pPr>
              <w:jc w:val="center"/>
              <w:rPr>
                <w:rFonts w:cs="Times New Roman"/>
                <w:sz w:val="18"/>
                <w:szCs w:val="18"/>
              </w:rPr>
            </w:pPr>
            <w:r w:rsidRPr="0099669C">
              <w:rPr>
                <w:rFonts w:cs="Times New Roman"/>
                <w:sz w:val="18"/>
                <w:szCs w:val="18"/>
              </w:rPr>
              <w:t>56</w:t>
            </w:r>
          </w:p>
        </w:tc>
        <w:tc>
          <w:tcPr>
            <w:tcW w:w="2394" w:type="dxa"/>
            <w:vAlign w:val="center"/>
          </w:tcPr>
          <w:p w14:paraId="771E156D" w14:textId="77777777" w:rsidR="0099669C" w:rsidRPr="0099669C" w:rsidRDefault="0099669C" w:rsidP="00C07D17">
            <w:pPr>
              <w:keepNext/>
              <w:rPr>
                <w:rFonts w:cs="Times New Roman"/>
                <w:sz w:val="18"/>
                <w:szCs w:val="18"/>
                <w:lang w:val="en-US"/>
              </w:rPr>
            </w:pPr>
            <w:r w:rsidRPr="0099669C">
              <w:rPr>
                <w:rFonts w:cs="Times New Roman"/>
                <w:sz w:val="18"/>
                <w:szCs w:val="18"/>
                <w:lang w:val="en-US"/>
              </w:rPr>
              <w:t>Contrasts sensible vs PCM cooling; PCM offers larger storage/time shift. Reviews nano‑enhanced PCM and PV/T integrations; outlines hurdles and future directions to improve reliability and performance.</w:t>
            </w:r>
          </w:p>
        </w:tc>
      </w:tr>
    </w:tbl>
    <w:p w14:paraId="35FB6EF2" w14:textId="02FAE880" w:rsidR="0099669C" w:rsidRPr="002B0999" w:rsidRDefault="0099669C" w:rsidP="0099669C">
      <w:pPr>
        <w:pStyle w:val="Caption"/>
        <w:rPr>
          <w:rFonts w:ascii="Times New Roman" w:hAnsi="Times New Roman" w:cs="Times New Roman"/>
        </w:rPr>
      </w:pPr>
      <w:bookmarkStart w:id="92" w:name="_Toc214362633"/>
      <w:r w:rsidRPr="002B0999">
        <w:rPr>
          <w:rFonts w:ascii="Times New Roman" w:hAnsi="Times New Roman" w:cs="Times New Roman"/>
        </w:rPr>
        <w:t xml:space="preserve">Table </w:t>
      </w:r>
      <w:r w:rsidR="00F43E9A">
        <w:rPr>
          <w:rFonts w:ascii="Times New Roman" w:hAnsi="Times New Roman" w:cs="Times New Roman"/>
        </w:rPr>
        <w:fldChar w:fldCharType="begin"/>
      </w:r>
      <w:r w:rsidR="00F43E9A">
        <w:rPr>
          <w:rFonts w:ascii="Times New Roman" w:hAnsi="Times New Roman" w:cs="Times New Roman"/>
        </w:rPr>
        <w:instrText xml:space="preserve"> STYLEREF 1 \s </w:instrText>
      </w:r>
      <w:r w:rsidR="00F43E9A">
        <w:rPr>
          <w:rFonts w:ascii="Times New Roman" w:hAnsi="Times New Roman" w:cs="Times New Roman"/>
        </w:rPr>
        <w:fldChar w:fldCharType="separate"/>
      </w:r>
      <w:r w:rsidR="000412CE">
        <w:rPr>
          <w:rFonts w:ascii="Times New Roman" w:hAnsi="Times New Roman" w:cs="Times New Roman"/>
          <w:noProof/>
        </w:rPr>
        <w:t>2</w:t>
      </w:r>
      <w:r w:rsidR="00F43E9A">
        <w:rPr>
          <w:rFonts w:ascii="Times New Roman" w:hAnsi="Times New Roman" w:cs="Times New Roman"/>
        </w:rPr>
        <w:fldChar w:fldCharType="end"/>
      </w:r>
      <w:r w:rsidR="00F43E9A">
        <w:rPr>
          <w:rFonts w:ascii="Times New Roman" w:hAnsi="Times New Roman" w:cs="Times New Roman"/>
        </w:rPr>
        <w:t>.</w:t>
      </w:r>
      <w:r w:rsidR="00F43E9A">
        <w:rPr>
          <w:rFonts w:ascii="Times New Roman" w:hAnsi="Times New Roman" w:cs="Times New Roman"/>
        </w:rPr>
        <w:fldChar w:fldCharType="begin"/>
      </w:r>
      <w:r w:rsidR="00F43E9A">
        <w:rPr>
          <w:rFonts w:ascii="Times New Roman" w:hAnsi="Times New Roman" w:cs="Times New Roman"/>
        </w:rPr>
        <w:instrText xml:space="preserve"> SEQ Table \* ARABIC \s 1 </w:instrText>
      </w:r>
      <w:r w:rsidR="00F43E9A">
        <w:rPr>
          <w:rFonts w:ascii="Times New Roman" w:hAnsi="Times New Roman" w:cs="Times New Roman"/>
        </w:rPr>
        <w:fldChar w:fldCharType="separate"/>
      </w:r>
      <w:r w:rsidR="000412CE">
        <w:rPr>
          <w:rFonts w:ascii="Times New Roman" w:hAnsi="Times New Roman" w:cs="Times New Roman"/>
          <w:noProof/>
        </w:rPr>
        <w:t>5</w:t>
      </w:r>
      <w:r w:rsidR="00F43E9A">
        <w:rPr>
          <w:rFonts w:ascii="Times New Roman" w:hAnsi="Times New Roman" w:cs="Times New Roman"/>
        </w:rPr>
        <w:fldChar w:fldCharType="end"/>
      </w:r>
      <w:r w:rsidRPr="002B0999">
        <w:rPr>
          <w:rFonts w:ascii="Times New Roman" w:hAnsi="Times New Roman" w:cs="Times New Roman"/>
        </w:rPr>
        <w:t>. Influential reviews on PCM integration in photovoltaics: key bibliographic details and synthesized insights on concepts</w:t>
      </w:r>
      <w:r w:rsidR="00A165BA">
        <w:rPr>
          <w:rFonts w:ascii="Times New Roman" w:hAnsi="Times New Roman" w:cs="Times New Roman"/>
        </w:rPr>
        <w:t>.</w:t>
      </w:r>
      <w:bookmarkEnd w:id="92"/>
    </w:p>
    <w:p w14:paraId="09DC0A64" w14:textId="1241AA48" w:rsidR="0099669C" w:rsidRPr="00B0101A" w:rsidRDefault="0099669C" w:rsidP="0099669C">
      <w:pPr>
        <w:pStyle w:val="Heading3"/>
        <w:rPr>
          <w:lang w:val="en-US"/>
        </w:rPr>
      </w:pPr>
      <w:bookmarkStart w:id="93" w:name="_Toc213354072"/>
      <w:bookmarkStart w:id="94" w:name="_Toc214356290"/>
      <w:r>
        <w:rPr>
          <w:lang w:val="en-US"/>
        </w:rPr>
        <w:lastRenderedPageBreak/>
        <w:t>PCM</w:t>
      </w:r>
      <w:r w:rsidRPr="00B0101A">
        <w:rPr>
          <w:lang w:val="en-US"/>
        </w:rPr>
        <w:t xml:space="preserve">s for thermal regulation in </w:t>
      </w:r>
      <w:r>
        <w:rPr>
          <w:lang w:val="en-US"/>
        </w:rPr>
        <w:t>PV</w:t>
      </w:r>
      <w:r w:rsidRPr="00B0101A">
        <w:rPr>
          <w:lang w:val="en-US"/>
        </w:rPr>
        <w:t xml:space="preserve"> system</w:t>
      </w:r>
      <w:r>
        <w:rPr>
          <w:lang w:val="en-US"/>
        </w:rPr>
        <w:t>s</w:t>
      </w:r>
      <w:bookmarkEnd w:id="93"/>
      <w:bookmarkEnd w:id="94"/>
    </w:p>
    <w:p w14:paraId="37D2D814" w14:textId="465F88AE" w:rsidR="0099669C" w:rsidRPr="00AC6DA0" w:rsidRDefault="0099669C" w:rsidP="0099669C">
      <w:pPr>
        <w:rPr>
          <w:rFonts w:ascii="Times New Roman" w:hAnsi="Times New Roman" w:cs="Times New Roman"/>
          <w:lang w:val="en-US"/>
        </w:rPr>
      </w:pPr>
      <w:r w:rsidRPr="0099669C">
        <w:rPr>
          <w:rFonts w:cs="Times New Roman"/>
          <w:lang w:val="en-US"/>
        </w:rPr>
        <w:t xml:space="preserve">The growing awareness of global warming, energy shortages, and the sharp increase in fossil fuel prices has encouraged significant progress in renewable energy technologies, including solar PV systems. Currently, only about 15–20% of the solar energy incident on a PV panel can be converted into electricity, while the remaining portion is transformed into heat. This heat is absorbed by the PV device itself, causing its operating temperature to rise, which can reach up to 80 °C. As a result, Hasan et al </w:t>
      </w:r>
      <w:sdt>
        <w:sdtPr>
          <w:rPr>
            <w:rFonts w:cs="Times New Roman"/>
            <w:lang w:val="en-US"/>
          </w:rPr>
          <w:id w:val="-201798592"/>
          <w:citation/>
        </w:sdtPr>
        <w:sdtContent>
          <w:r>
            <w:rPr>
              <w:rFonts w:cs="Times New Roman"/>
              <w:lang w:val="en-US"/>
            </w:rPr>
            <w:fldChar w:fldCharType="begin"/>
          </w:r>
          <w:r w:rsidRPr="0099669C">
            <w:rPr>
              <w:rFonts w:cs="Times New Roman"/>
              <w:lang w:val="en-US"/>
            </w:rPr>
            <w:instrText xml:space="preserve"> CITATION Placeholder81 \l 1040 </w:instrText>
          </w:r>
          <w:r>
            <w:rPr>
              <w:rFonts w:cs="Times New Roman"/>
              <w:lang w:val="en-US"/>
            </w:rPr>
            <w:fldChar w:fldCharType="separate"/>
          </w:r>
          <w:r w:rsidR="00855396" w:rsidRPr="00855396">
            <w:rPr>
              <w:rFonts w:cs="Times New Roman"/>
              <w:noProof/>
              <w:lang w:val="en-US"/>
            </w:rPr>
            <w:t>[75]</w:t>
          </w:r>
          <w:r>
            <w:rPr>
              <w:rFonts w:cs="Times New Roman"/>
              <w:lang w:val="en-US"/>
            </w:rPr>
            <w:fldChar w:fldCharType="end"/>
          </w:r>
        </w:sdtContent>
      </w:sdt>
      <w:r w:rsidRPr="0099669C">
        <w:rPr>
          <w:rFonts w:cs="Times New Roman"/>
          <w:lang w:val="en-US"/>
        </w:rPr>
        <w:t xml:space="preserve"> studied that the PV conversion efficiency decreases by approximately 0.4–0.65% for every 1 °C increase in temperature. Many researchers have therefore focused on mitigating the adverse effects of high temperature on PV conversion efficiency by rapidly removing heat from PV module surfaces in order to maintain optimal performance and meet design expectations. However, the PV–PCM system is still in its early development stages, with several unresolved issues that present opportunities for further research. Much of the existing research has concentrated on natural or forced air circulation, heat pipes, and hydraulic or refrigerant cooling systems. Nevertheless, limited attention has been devoted to how the excess heat from PV panels can be effectively managed and utilized for indoor climate control purposes. Huang’s pioneering research </w:t>
      </w:r>
      <w:sdt>
        <w:sdtPr>
          <w:rPr>
            <w:rFonts w:cs="Times New Roman"/>
            <w:lang w:val="en-US"/>
          </w:rPr>
          <w:id w:val="1270122233"/>
          <w:citation/>
        </w:sdtPr>
        <w:sdtContent>
          <w:r>
            <w:rPr>
              <w:rFonts w:cs="Times New Roman"/>
              <w:lang w:val="en-US"/>
            </w:rPr>
            <w:fldChar w:fldCharType="begin"/>
          </w:r>
          <w:r w:rsidRPr="0099669C">
            <w:rPr>
              <w:rFonts w:cs="Times New Roman"/>
              <w:lang w:val="en-US"/>
            </w:rPr>
            <w:instrText xml:space="preserve"> CITATION Placeholder82 \l 1040 </w:instrText>
          </w:r>
          <w:r>
            <w:rPr>
              <w:rFonts w:cs="Times New Roman"/>
              <w:lang w:val="en-US"/>
            </w:rPr>
            <w:fldChar w:fldCharType="separate"/>
          </w:r>
          <w:r w:rsidR="00855396" w:rsidRPr="00855396">
            <w:rPr>
              <w:rFonts w:cs="Times New Roman"/>
              <w:noProof/>
              <w:lang w:val="en-US"/>
            </w:rPr>
            <w:t>[76]</w:t>
          </w:r>
          <w:r>
            <w:rPr>
              <w:rFonts w:cs="Times New Roman"/>
              <w:lang w:val="en-US"/>
            </w:rPr>
            <w:fldChar w:fldCharType="end"/>
          </w:r>
        </w:sdtContent>
      </w:sdt>
      <w:r>
        <w:rPr>
          <w:rFonts w:cs="Times New Roman"/>
          <w:lang w:val="en-US"/>
        </w:rPr>
        <w:t xml:space="preserve"> </w:t>
      </w:r>
      <w:r w:rsidRPr="0099669C">
        <w:rPr>
          <w:rFonts w:cs="Times New Roman"/>
          <w:lang w:val="en-US"/>
        </w:rPr>
        <w:t>numerically and experimentally investigated the incorporation of suitable PCMs within a PV panel to moderate its temperature rise. This hybrid configuration, referred to as PV–PCM or PV/PCM, integrates a PV panel and a PCM into a single unit to achieve more efficient energy conversion. The PCM functions as a passive thermal storage component, absorbing excess heat and thereby reducing the PV temperature, which in turn enhances the overall conversion efficiency of the system.</w:t>
      </w:r>
    </w:p>
    <w:p w14:paraId="2EB83D06" w14:textId="355161A3" w:rsidR="0099669C" w:rsidRPr="00AC6DA0" w:rsidRDefault="0099669C" w:rsidP="0099669C">
      <w:pPr>
        <w:pStyle w:val="Heading3"/>
        <w:rPr>
          <w:lang w:val="en-US"/>
        </w:rPr>
      </w:pPr>
      <w:bookmarkStart w:id="95" w:name="_Toc213354073"/>
      <w:bookmarkStart w:id="96" w:name="_Toc214356291"/>
      <w:r w:rsidRPr="00AC6DA0">
        <w:rPr>
          <w:lang w:val="en-US"/>
        </w:rPr>
        <w:t>The effect of temperature on a PV module</w:t>
      </w:r>
      <w:bookmarkEnd w:id="95"/>
      <w:bookmarkEnd w:id="96"/>
    </w:p>
    <w:p w14:paraId="6D09ED23" w14:textId="4CE31452" w:rsidR="0099669C" w:rsidRPr="0099669C" w:rsidRDefault="0099669C" w:rsidP="0099669C">
      <w:pPr>
        <w:rPr>
          <w:rFonts w:cs="Times New Roman"/>
          <w:lang w:val="en-US"/>
        </w:rPr>
      </w:pPr>
      <w:r w:rsidRPr="0099669C">
        <w:rPr>
          <w:rFonts w:cs="Times New Roman"/>
          <w:lang w:val="en-US"/>
        </w:rPr>
        <w:t>The conversion efficiency of PV panels mainly depends on three factors: solar radiation intensity, solar cell materials, and operating temperature. While solar radiation cannot be controlled, extensive research has focused on developing new materials and maintaining low operating temperatures to enhance conversion efficiency. Solar cells convert sunlight into electricity through the PV effect. However, only about 15–20% of the absorbed solar radiation is converted into electrical energy, while the remaining portion is dissipated as heat. The maximum theoretical efficiency is limited by the material’s band gap, as only photons with sufficient energy contribute to the PV effect, whereas the rest generate thermal losses</w:t>
      </w:r>
      <w:r>
        <w:rPr>
          <w:rFonts w:cs="Times New Roman"/>
          <w:lang w:val="en-US"/>
        </w:rPr>
        <w:t xml:space="preserve"> </w:t>
      </w:r>
      <w:sdt>
        <w:sdtPr>
          <w:rPr>
            <w:rFonts w:cs="Times New Roman"/>
            <w:lang w:val="en-US"/>
          </w:rPr>
          <w:id w:val="925777648"/>
          <w:citation/>
        </w:sdtPr>
        <w:sdtContent>
          <w:r>
            <w:rPr>
              <w:rFonts w:cs="Times New Roman"/>
              <w:lang w:val="en-US"/>
            </w:rPr>
            <w:fldChar w:fldCharType="begin"/>
          </w:r>
          <w:r w:rsidRPr="0099669C">
            <w:rPr>
              <w:rFonts w:cs="Times New Roman"/>
              <w:lang w:val="en-US"/>
            </w:rPr>
            <w:instrText xml:space="preserve"> CITATION Placeholder83 \l 1040 </w:instrText>
          </w:r>
          <w:r>
            <w:rPr>
              <w:rFonts w:cs="Times New Roman"/>
              <w:lang w:val="en-US"/>
            </w:rPr>
            <w:fldChar w:fldCharType="separate"/>
          </w:r>
          <w:r w:rsidR="00855396" w:rsidRPr="00855396">
            <w:rPr>
              <w:rFonts w:cs="Times New Roman"/>
              <w:noProof/>
              <w:lang w:val="en-US"/>
            </w:rPr>
            <w:t>[77]</w:t>
          </w:r>
          <w:r>
            <w:rPr>
              <w:rFonts w:cs="Times New Roman"/>
              <w:lang w:val="en-US"/>
            </w:rPr>
            <w:fldChar w:fldCharType="end"/>
          </w:r>
        </w:sdtContent>
      </w:sdt>
      <w:r w:rsidRPr="0099669C">
        <w:rPr>
          <w:rFonts w:cs="Times New Roman"/>
          <w:lang w:val="en-US"/>
        </w:rPr>
        <w:t xml:space="preserve">. Landis </w:t>
      </w:r>
      <w:sdt>
        <w:sdtPr>
          <w:rPr>
            <w:rFonts w:cs="Times New Roman"/>
            <w:lang w:val="en-US"/>
          </w:rPr>
          <w:id w:val="1964228660"/>
          <w:citation/>
        </w:sdtPr>
        <w:sdtContent>
          <w:r>
            <w:rPr>
              <w:rFonts w:cs="Times New Roman"/>
              <w:lang w:val="en-US"/>
            </w:rPr>
            <w:fldChar w:fldCharType="begin"/>
          </w:r>
          <w:r w:rsidRPr="0099669C">
            <w:rPr>
              <w:rFonts w:cs="Times New Roman"/>
              <w:lang w:val="en-US"/>
            </w:rPr>
            <w:instrText xml:space="preserve"> CITATION Placeholder84 \l 1040 </w:instrText>
          </w:r>
          <w:r>
            <w:rPr>
              <w:rFonts w:cs="Times New Roman"/>
              <w:lang w:val="en-US"/>
            </w:rPr>
            <w:fldChar w:fldCharType="separate"/>
          </w:r>
          <w:r w:rsidR="00855396" w:rsidRPr="00855396">
            <w:rPr>
              <w:rFonts w:cs="Times New Roman"/>
              <w:noProof/>
              <w:lang w:val="en-US"/>
            </w:rPr>
            <w:t>[78]</w:t>
          </w:r>
          <w:r>
            <w:rPr>
              <w:rFonts w:cs="Times New Roman"/>
              <w:lang w:val="en-US"/>
            </w:rPr>
            <w:fldChar w:fldCharType="end"/>
          </w:r>
        </w:sdtContent>
      </w:sdt>
      <w:r w:rsidRPr="0099669C">
        <w:rPr>
          <w:rFonts w:cs="Times New Roman"/>
          <w:lang w:val="en-US"/>
        </w:rPr>
        <w:t xml:space="preserve"> first expressed the relationship between PV efficiency and temperature through the dependence of open-circuit voltage, short-circuit current, and fill factor, as shown in Eq. (14):</w:t>
      </w:r>
    </w:p>
    <w:p w14:paraId="30DB4F60" w14:textId="77777777" w:rsidR="0099669C" w:rsidRPr="00846BEF" w:rsidRDefault="00000000" w:rsidP="0099669C">
      <w:pPr>
        <w:rPr>
          <w:rFonts w:ascii="Times New Roman" w:eastAsiaTheme="minorEastAsia" w:hAnsi="Times New Roman" w:cs="Times New Roman"/>
        </w:rPr>
      </w:pPr>
      <m:oMathPara>
        <m:oMathParaPr>
          <m:jc m:val="right"/>
        </m:oMathParaPr>
        <m:oMath>
          <m:f>
            <m:fPr>
              <m:ctrlPr>
                <w:rPr>
                  <w:rFonts w:ascii="Cambria Math" w:hAnsi="Cambria Math" w:cs="Times New Roman"/>
                  <w:i/>
                </w:rPr>
              </m:ctrlPr>
            </m:fPr>
            <m:num>
              <m:r>
                <w:rPr>
                  <w:rFonts w:ascii="Cambria Math" w:hAnsi="Cambria Math" w:cs="Times New Roman"/>
                </w:rPr>
                <m:t>1</m:t>
              </m:r>
            </m:num>
            <m:den>
              <m:r>
                <w:rPr>
                  <w:rFonts w:ascii="Cambria Math" w:hAnsi="Cambria Math" w:cs="Times New Roman"/>
                </w:rPr>
                <m:t>η</m:t>
              </m:r>
            </m:den>
          </m:f>
          <m:f>
            <m:fPr>
              <m:ctrlPr>
                <w:rPr>
                  <w:rFonts w:ascii="Cambria Math" w:hAnsi="Cambria Math" w:cs="Times New Roman"/>
                  <w:i/>
                </w:rPr>
              </m:ctrlPr>
            </m:fPr>
            <m:num>
              <m:r>
                <w:rPr>
                  <w:rFonts w:ascii="Cambria Math" w:hAnsi="Cambria Math" w:cs="Times New Roman"/>
                </w:rPr>
                <m:t>dη</m:t>
              </m:r>
            </m:num>
            <m:den>
              <m:r>
                <w:rPr>
                  <w:rFonts w:ascii="Cambria Math" w:hAnsi="Cambria Math" w:cs="Times New Roman"/>
                </w:rPr>
                <m:t>dT</m:t>
              </m:r>
            </m:den>
          </m:f>
          <m:r>
            <w:rPr>
              <w:rFonts w:ascii="Cambria Math" w:hAnsi="Cambria Math" w:cs="Times New Roman"/>
            </w:rPr>
            <m:t>=</m:t>
          </m:r>
          <m:f>
            <m:fPr>
              <m:ctrlPr>
                <w:rPr>
                  <w:rFonts w:ascii="Cambria Math" w:hAnsi="Cambria Math" w:cs="Times New Roman"/>
                  <w:i/>
                </w:rPr>
              </m:ctrlPr>
            </m:fPr>
            <m:num>
              <m:r>
                <w:rPr>
                  <w:rFonts w:ascii="Cambria Math" w:hAnsi="Cambria Math" w:cs="Times New Roman"/>
                </w:rPr>
                <m:t>1</m:t>
              </m:r>
            </m:num>
            <m:den>
              <m:sSub>
                <m:sSubPr>
                  <m:ctrlPr>
                    <w:rPr>
                      <w:rFonts w:ascii="Cambria Math" w:hAnsi="Cambria Math" w:cs="Times New Roman"/>
                      <w:i/>
                    </w:rPr>
                  </m:ctrlPr>
                </m:sSubPr>
                <m:e>
                  <m:r>
                    <w:rPr>
                      <w:rFonts w:ascii="Cambria Math" w:hAnsi="Cambria Math" w:cs="Times New Roman"/>
                    </w:rPr>
                    <m:t>V</m:t>
                  </m:r>
                </m:e>
                <m:sub>
                  <m:r>
                    <w:rPr>
                      <w:rFonts w:ascii="Cambria Math" w:hAnsi="Cambria Math" w:cs="Times New Roman"/>
                    </w:rPr>
                    <m:t>OC</m:t>
                  </m:r>
                </m:sub>
              </m:sSub>
            </m:den>
          </m:f>
          <m:f>
            <m:fPr>
              <m:ctrlPr>
                <w:rPr>
                  <w:rFonts w:ascii="Cambria Math" w:hAnsi="Cambria Math" w:cs="Times New Roman"/>
                  <w:i/>
                </w:rPr>
              </m:ctrlPr>
            </m:fPr>
            <m:num>
              <m:r>
                <w:rPr>
                  <w:rFonts w:ascii="Cambria Math" w:hAnsi="Cambria Math" w:cs="Times New Roman"/>
                </w:rPr>
                <m:t>d</m:t>
              </m:r>
              <m:sSub>
                <m:sSubPr>
                  <m:ctrlPr>
                    <w:rPr>
                      <w:rFonts w:ascii="Cambria Math" w:hAnsi="Cambria Math" w:cs="Times New Roman"/>
                      <w:i/>
                    </w:rPr>
                  </m:ctrlPr>
                </m:sSubPr>
                <m:e>
                  <m:r>
                    <w:rPr>
                      <w:rFonts w:ascii="Cambria Math" w:hAnsi="Cambria Math" w:cs="Times New Roman"/>
                    </w:rPr>
                    <m:t>V</m:t>
                  </m:r>
                </m:e>
                <m:sub>
                  <m:r>
                    <w:rPr>
                      <w:rFonts w:ascii="Cambria Math" w:hAnsi="Cambria Math" w:cs="Times New Roman"/>
                    </w:rPr>
                    <m:t>OC</m:t>
                  </m:r>
                </m:sub>
              </m:sSub>
            </m:num>
            <m:den>
              <m:r>
                <w:rPr>
                  <w:rFonts w:ascii="Cambria Math" w:hAnsi="Cambria Math" w:cs="Times New Roman"/>
                </w:rPr>
                <m:t>dT</m:t>
              </m:r>
            </m:den>
          </m:f>
          <m:r>
            <w:rPr>
              <w:rFonts w:ascii="Cambria Math" w:hAnsi="Cambria Math" w:cs="Times New Roman"/>
            </w:rPr>
            <m:t>+</m:t>
          </m:r>
          <m:f>
            <m:fPr>
              <m:ctrlPr>
                <w:rPr>
                  <w:rFonts w:ascii="Cambria Math" w:hAnsi="Cambria Math" w:cs="Times New Roman"/>
                  <w:i/>
                </w:rPr>
              </m:ctrlPr>
            </m:fPr>
            <m:num>
              <m:r>
                <w:rPr>
                  <w:rFonts w:ascii="Cambria Math" w:hAnsi="Cambria Math" w:cs="Times New Roman"/>
                </w:rPr>
                <m:t>1</m:t>
              </m:r>
            </m:num>
            <m:den>
              <m:sSub>
                <m:sSubPr>
                  <m:ctrlPr>
                    <w:rPr>
                      <w:rFonts w:ascii="Cambria Math" w:hAnsi="Cambria Math" w:cs="Times New Roman"/>
                      <w:i/>
                    </w:rPr>
                  </m:ctrlPr>
                </m:sSubPr>
                <m:e>
                  <m:r>
                    <w:rPr>
                      <w:rFonts w:ascii="Cambria Math" w:hAnsi="Cambria Math" w:cs="Times New Roman"/>
                    </w:rPr>
                    <m:t>I</m:t>
                  </m:r>
                </m:e>
                <m:sub>
                  <m:r>
                    <w:rPr>
                      <w:rFonts w:ascii="Cambria Math" w:hAnsi="Cambria Math" w:cs="Times New Roman"/>
                    </w:rPr>
                    <m:t>SC</m:t>
                  </m:r>
                </m:sub>
              </m:sSub>
            </m:den>
          </m:f>
          <m:f>
            <m:fPr>
              <m:ctrlPr>
                <w:rPr>
                  <w:rFonts w:ascii="Cambria Math" w:hAnsi="Cambria Math" w:cs="Times New Roman"/>
                  <w:i/>
                </w:rPr>
              </m:ctrlPr>
            </m:fPr>
            <m:num>
              <m:r>
                <w:rPr>
                  <w:rFonts w:ascii="Cambria Math" w:hAnsi="Cambria Math" w:cs="Times New Roman"/>
                </w:rPr>
                <m:t>d</m:t>
              </m:r>
              <m:sSub>
                <m:sSubPr>
                  <m:ctrlPr>
                    <w:rPr>
                      <w:rFonts w:ascii="Cambria Math" w:hAnsi="Cambria Math" w:cs="Times New Roman"/>
                      <w:i/>
                    </w:rPr>
                  </m:ctrlPr>
                </m:sSubPr>
                <m:e>
                  <m:r>
                    <w:rPr>
                      <w:rFonts w:ascii="Cambria Math" w:hAnsi="Cambria Math" w:cs="Times New Roman"/>
                    </w:rPr>
                    <m:t>I</m:t>
                  </m:r>
                </m:e>
                <m:sub>
                  <m:r>
                    <w:rPr>
                      <w:rFonts w:ascii="Cambria Math" w:hAnsi="Cambria Math" w:cs="Times New Roman"/>
                    </w:rPr>
                    <m:t>SC</m:t>
                  </m:r>
                </m:sub>
              </m:sSub>
            </m:num>
            <m:den>
              <m:r>
                <w:rPr>
                  <w:rFonts w:ascii="Cambria Math" w:hAnsi="Cambria Math" w:cs="Times New Roman"/>
                </w:rPr>
                <m:t>dT</m:t>
              </m:r>
            </m:den>
          </m:f>
          <m:r>
            <w:rPr>
              <w:rFonts w:ascii="Cambria Math" w:hAnsi="Cambria Math" w:cs="Times New Roman"/>
            </w:rPr>
            <m:t>+</m:t>
          </m:r>
          <m:f>
            <m:fPr>
              <m:ctrlPr>
                <w:rPr>
                  <w:rFonts w:ascii="Cambria Math" w:hAnsi="Cambria Math" w:cs="Times New Roman"/>
                  <w:i/>
                </w:rPr>
              </m:ctrlPr>
            </m:fPr>
            <m:num>
              <m:r>
                <w:rPr>
                  <w:rFonts w:ascii="Cambria Math" w:hAnsi="Cambria Math" w:cs="Times New Roman"/>
                </w:rPr>
                <m:t>1</m:t>
              </m:r>
            </m:num>
            <m:den>
              <m:r>
                <w:rPr>
                  <w:rFonts w:ascii="Cambria Math" w:hAnsi="Cambria Math" w:cs="Times New Roman"/>
                </w:rPr>
                <m:t>FF</m:t>
              </m:r>
            </m:den>
          </m:f>
          <m:f>
            <m:fPr>
              <m:ctrlPr>
                <w:rPr>
                  <w:rFonts w:ascii="Cambria Math" w:hAnsi="Cambria Math" w:cs="Times New Roman"/>
                  <w:i/>
                </w:rPr>
              </m:ctrlPr>
            </m:fPr>
            <m:num>
              <m:r>
                <w:rPr>
                  <w:rFonts w:ascii="Cambria Math" w:hAnsi="Cambria Math" w:cs="Times New Roman"/>
                </w:rPr>
                <m:t>dFF</m:t>
              </m:r>
            </m:num>
            <m:den>
              <m:r>
                <w:rPr>
                  <w:rFonts w:ascii="Cambria Math" w:hAnsi="Cambria Math" w:cs="Times New Roman"/>
                </w:rPr>
                <m:t>dT</m:t>
              </m:r>
            </m:den>
          </m:f>
          <m:r>
            <w:rPr>
              <w:rFonts w:ascii="Cambria Math" w:hAnsi="Cambria Math" w:cs="Times New Roman"/>
            </w:rPr>
            <m:t xml:space="preserve">                                                  (14)</m:t>
          </m:r>
        </m:oMath>
      </m:oMathPara>
    </w:p>
    <w:p w14:paraId="6880F2DC" w14:textId="2B389715" w:rsidR="0099669C" w:rsidRPr="0099669C" w:rsidRDefault="0099669C" w:rsidP="0099669C">
      <w:pPr>
        <w:rPr>
          <w:rFonts w:cs="Times New Roman"/>
          <w:lang w:val="en-US"/>
        </w:rPr>
      </w:pPr>
      <w:r w:rsidRPr="0099669C">
        <w:rPr>
          <w:rFonts w:cs="Times New Roman"/>
          <w:lang w:val="en-US"/>
        </w:rPr>
        <w:lastRenderedPageBreak/>
        <w:t xml:space="preserve">Where </w:t>
      </w:r>
      <m:oMath>
        <m:r>
          <w:rPr>
            <w:rFonts w:ascii="Cambria Math" w:hAnsi="Cambria Math" w:cs="Times New Roman"/>
          </w:rPr>
          <m:t>η</m:t>
        </m:r>
      </m:oMath>
      <w:r w:rsidRPr="0099669C">
        <w:rPr>
          <w:rFonts w:eastAsiaTheme="minorEastAsia" w:cs="Times New Roman"/>
          <w:lang w:val="en-US"/>
        </w:rPr>
        <w:t xml:space="preserve"> is the cell efficiency, </w:t>
      </w:r>
      <w:r w:rsidRPr="0099669C">
        <w:rPr>
          <w:rFonts w:cs="Times New Roman"/>
          <w:lang w:val="en-US"/>
        </w:rPr>
        <w:t xml:space="preserve"> </w:t>
      </w:r>
      <m:oMath>
        <m:sSub>
          <m:sSubPr>
            <m:ctrlPr>
              <w:rPr>
                <w:rFonts w:ascii="Cambria Math" w:hAnsi="Cambria Math" w:cs="Times New Roman"/>
                <w:i/>
              </w:rPr>
            </m:ctrlPr>
          </m:sSubPr>
          <m:e>
            <m:r>
              <w:rPr>
                <w:rFonts w:ascii="Cambria Math" w:hAnsi="Cambria Math" w:cs="Times New Roman"/>
              </w:rPr>
              <m:t>V</m:t>
            </m:r>
          </m:e>
          <m:sub>
            <m:r>
              <w:rPr>
                <w:rFonts w:ascii="Cambria Math" w:hAnsi="Cambria Math" w:cs="Times New Roman"/>
              </w:rPr>
              <m:t>OC</m:t>
            </m:r>
          </m:sub>
        </m:sSub>
      </m:oMath>
      <w:r w:rsidRPr="0099669C">
        <w:rPr>
          <w:rFonts w:eastAsiaTheme="minorEastAsia" w:cs="Times New Roman"/>
          <w:lang w:val="en-US"/>
        </w:rPr>
        <w:t xml:space="preserve"> is the open circuit voltage,  </w:t>
      </w:r>
      <m:oMath>
        <m:sSub>
          <m:sSubPr>
            <m:ctrlPr>
              <w:rPr>
                <w:rFonts w:ascii="Cambria Math" w:eastAsia="Cambria Math" w:hAnsi="Cambria Math" w:cs="Cambria Math"/>
                <w:i/>
              </w:rPr>
            </m:ctrlPr>
          </m:sSubPr>
          <m:e>
            <m:r>
              <w:rPr>
                <w:rFonts w:ascii="Cambria Math" w:eastAsia="Cambria Math" w:hAnsi="Cambria Math" w:cs="Cambria Math"/>
              </w:rPr>
              <m:t>I</m:t>
            </m:r>
          </m:e>
          <m:sub>
            <m:r>
              <w:rPr>
                <w:rFonts w:ascii="Cambria Math" w:eastAsia="Cambria Math" w:hAnsi="Cambria Math" w:cs="Cambria Math"/>
              </w:rPr>
              <m:t>SC</m:t>
            </m:r>
          </m:sub>
        </m:sSub>
      </m:oMath>
      <w:r w:rsidRPr="0099669C">
        <w:rPr>
          <w:rFonts w:eastAsiaTheme="minorEastAsia" w:cs="Times New Roman"/>
          <w:lang w:val="en-US"/>
        </w:rPr>
        <w:t xml:space="preserve"> is the short circuit current, T is the solar cell temperature</w:t>
      </w:r>
      <w:r w:rsidR="00C07D17">
        <w:rPr>
          <w:rFonts w:eastAsiaTheme="minorEastAsia" w:cs="Times New Roman"/>
          <w:lang w:val="en-US"/>
        </w:rPr>
        <w:t>,</w:t>
      </w:r>
      <w:r w:rsidRPr="0099669C">
        <w:rPr>
          <w:rFonts w:eastAsiaTheme="minorEastAsia" w:cs="Times New Roman"/>
          <w:lang w:val="en-US"/>
        </w:rPr>
        <w:t xml:space="preserve"> and FF is the fill factor. </w:t>
      </w:r>
      <w:r w:rsidRPr="0099669C">
        <w:rPr>
          <w:rFonts w:cs="Times New Roman"/>
          <w:lang w:val="en-US"/>
        </w:rPr>
        <w:t xml:space="preserve">A general empirical correlation was later provided by Skoplaki et al. </w:t>
      </w:r>
      <w:sdt>
        <w:sdtPr>
          <w:rPr>
            <w:rFonts w:cs="Times New Roman"/>
            <w:lang w:val="en-US"/>
          </w:rPr>
          <w:id w:val="597600495"/>
          <w:citation/>
        </w:sdtPr>
        <w:sdtContent>
          <w:r>
            <w:rPr>
              <w:rFonts w:cs="Times New Roman"/>
              <w:lang w:val="en-US"/>
            </w:rPr>
            <w:fldChar w:fldCharType="begin"/>
          </w:r>
          <w:r w:rsidRPr="00422EEB">
            <w:rPr>
              <w:rFonts w:cs="Times New Roman"/>
              <w:lang w:val="en-US"/>
            </w:rPr>
            <w:instrText xml:space="preserve"> CITATION Placeholder85 \l 1040 </w:instrText>
          </w:r>
          <w:r>
            <w:rPr>
              <w:rFonts w:cs="Times New Roman"/>
              <w:lang w:val="en-US"/>
            </w:rPr>
            <w:fldChar w:fldCharType="separate"/>
          </w:r>
          <w:r w:rsidR="00855396" w:rsidRPr="00855396">
            <w:rPr>
              <w:rFonts w:cs="Times New Roman"/>
              <w:noProof/>
              <w:lang w:val="en-US"/>
            </w:rPr>
            <w:t>[79]</w:t>
          </w:r>
          <w:r>
            <w:rPr>
              <w:rFonts w:cs="Times New Roman"/>
              <w:lang w:val="en-US"/>
            </w:rPr>
            <w:fldChar w:fldCharType="end"/>
          </w:r>
        </w:sdtContent>
      </w:sdt>
      <w:r w:rsidRPr="0099669C">
        <w:rPr>
          <w:rFonts w:cs="Times New Roman"/>
          <w:lang w:val="en-US"/>
        </w:rPr>
        <w:t>, who proposed Eq. (15), widely adopted to describe PV efficiency variation with temperature:</w:t>
      </w:r>
    </w:p>
    <w:p w14:paraId="35F1CBB9" w14:textId="77777777" w:rsidR="0099669C" w:rsidRPr="00846BEF" w:rsidRDefault="00000000" w:rsidP="0099669C">
      <w:pPr>
        <w:rPr>
          <w:rFonts w:ascii="Times New Roman" w:eastAsiaTheme="minorEastAsia" w:hAnsi="Times New Roman" w:cs="Times New Roman"/>
        </w:rPr>
      </w:pPr>
      <m:oMathPara>
        <m:oMathParaPr>
          <m:jc m:val="right"/>
        </m:oMathParaPr>
        <m:oMath>
          <m:sSub>
            <m:sSubPr>
              <m:ctrlPr>
                <w:rPr>
                  <w:rFonts w:ascii="Cambria Math" w:hAnsi="Cambria Math" w:cs="Times New Roman"/>
                  <w:i/>
                </w:rPr>
              </m:ctrlPr>
            </m:sSubPr>
            <m:e>
              <m:r>
                <w:rPr>
                  <w:rFonts w:ascii="Cambria Math" w:hAnsi="Cambria Math" w:cs="Times New Roman"/>
                </w:rPr>
                <m:t>η</m:t>
              </m:r>
            </m:e>
            <m:sub>
              <m:r>
                <w:rPr>
                  <w:rFonts w:ascii="Cambria Math" w:hAnsi="Cambria Math" w:cs="Times New Roman"/>
                </w:rPr>
                <m:t>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η</m:t>
              </m:r>
            </m:e>
            <m:sub>
              <m:r>
                <w:rPr>
                  <w:rFonts w:ascii="Cambria Math" w:hAnsi="Cambria Math" w:cs="Times New Roman"/>
                </w:rPr>
                <m:t>ref</m:t>
              </m:r>
            </m:sub>
          </m:sSub>
          <m:d>
            <m:dPr>
              <m:begChr m:val="["/>
              <m:endChr m:val="]"/>
              <m:ctrlPr>
                <w:rPr>
                  <w:rFonts w:ascii="Cambria Math" w:hAnsi="Cambria Math" w:cs="Times New Roman"/>
                  <w:i/>
                </w:rPr>
              </m:ctrlPr>
            </m:dPr>
            <m:e>
              <m:r>
                <w:rPr>
                  <w:rFonts w:ascii="Cambria Math" w:hAnsi="Cambria Math" w:cs="Times New Roman"/>
                </w:rPr>
                <m:t>1-</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ref</m:t>
                  </m:r>
                </m:sub>
              </m:sSub>
              <m:d>
                <m:dPr>
                  <m:ctrlPr>
                    <w:rPr>
                      <w:rFonts w:ascii="Cambria Math" w:hAnsi="Cambria Math" w:cs="Times New Roman"/>
                      <w:i/>
                    </w:rPr>
                  </m:ctrlPr>
                </m:dPr>
                <m:e>
                  <m:r>
                    <w:rPr>
                      <w:rFonts w:ascii="Cambria Math" w:hAnsi="Cambria Math" w:cs="Times New Roman"/>
                    </w:rPr>
                    <m:t>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ref</m:t>
                      </m:r>
                    </m:sub>
                  </m:sSub>
                </m:e>
              </m:d>
            </m:e>
          </m:d>
          <m:r>
            <w:rPr>
              <w:rFonts w:ascii="Cambria Math" w:hAnsi="Cambria Math" w:cs="Times New Roman"/>
            </w:rPr>
            <m:t xml:space="preserve">                                                  (15)</m:t>
          </m:r>
        </m:oMath>
      </m:oMathPara>
    </w:p>
    <w:p w14:paraId="4E530AB1" w14:textId="737C9A37" w:rsidR="0099669C" w:rsidRPr="0099669C" w:rsidRDefault="0099669C" w:rsidP="0099669C">
      <w:pPr>
        <w:rPr>
          <w:rFonts w:eastAsiaTheme="minorEastAsia" w:cs="Times New Roman"/>
          <w:lang w:val="en-US"/>
        </w:rPr>
      </w:pPr>
      <w:r w:rsidRPr="0099669C">
        <w:rPr>
          <w:rFonts w:eastAsiaTheme="minorEastAsia" w:cs="Times New Roman"/>
          <w:lang w:val="en-US"/>
        </w:rPr>
        <w:t xml:space="preserve">Where </w:t>
      </w:r>
      <m:oMath>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ref</m:t>
            </m:r>
          </m:sub>
        </m:sSub>
      </m:oMath>
      <w:r w:rsidRPr="0099669C">
        <w:rPr>
          <w:rFonts w:eastAsiaTheme="minorEastAsia" w:cs="Times New Roman"/>
          <w:lang w:val="en-US"/>
        </w:rPr>
        <w:t xml:space="preserve"> is 25°C and </w:t>
      </w:r>
      <m:oMath>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ref</m:t>
            </m:r>
          </m:sub>
        </m:sSub>
        <m:r>
          <w:rPr>
            <w:rFonts w:ascii="Cambria Math" w:hAnsi="Cambria Math" w:cs="Times New Roman"/>
            <w:lang w:val="en-US"/>
          </w:rPr>
          <m:t>=0,45%</m:t>
        </m:r>
        <m:f>
          <m:fPr>
            <m:ctrlPr>
              <w:rPr>
                <w:rFonts w:ascii="Cambria Math" w:hAnsi="Cambria Math" w:cs="Times New Roman"/>
                <w:i/>
              </w:rPr>
            </m:ctrlPr>
          </m:fPr>
          <m:num>
            <m:r>
              <w:rPr>
                <w:rFonts w:ascii="Cambria Math" w:hAnsi="Cambria Math" w:cs="Times New Roman"/>
                <w:lang w:val="en-US"/>
              </w:rPr>
              <m:t>1</m:t>
            </m:r>
          </m:num>
          <m:den>
            <m:r>
              <w:rPr>
                <w:rFonts w:ascii="Cambria Math" w:hAnsi="Cambria Math" w:cs="Times New Roman"/>
              </w:rPr>
              <m:t>K</m:t>
            </m:r>
          </m:den>
        </m:f>
      </m:oMath>
    </w:p>
    <w:p w14:paraId="62CDF999" w14:textId="7A5C3430" w:rsidR="0099669C" w:rsidRDefault="0099669C" w:rsidP="00DE6DEE">
      <w:pPr>
        <w:pStyle w:val="Heading3"/>
        <w:rPr>
          <w:sz w:val="24"/>
          <w:lang w:val="nb-NO"/>
        </w:rPr>
      </w:pPr>
      <w:bookmarkStart w:id="97" w:name="_Toc213354074"/>
      <w:bookmarkStart w:id="98" w:name="_Toc214356292"/>
      <w:r w:rsidRPr="00FB316D">
        <w:rPr>
          <w:lang w:val="nb-NO"/>
        </w:rPr>
        <w:t>PV-PCM models</w:t>
      </w:r>
      <w:bookmarkEnd w:id="97"/>
      <w:bookmarkEnd w:id="98"/>
    </w:p>
    <w:p w14:paraId="12ED3F7F" w14:textId="2A65763A" w:rsidR="0099669C" w:rsidRPr="00DE6DEE" w:rsidRDefault="0099669C" w:rsidP="0099669C">
      <w:pPr>
        <w:rPr>
          <w:rFonts w:cs="Times New Roman"/>
          <w:lang w:val="en-US"/>
        </w:rPr>
      </w:pPr>
      <w:r w:rsidRPr="00DE6DEE">
        <w:rPr>
          <w:noProof/>
        </w:rPr>
        <mc:AlternateContent>
          <mc:Choice Requires="wps">
            <w:drawing>
              <wp:anchor distT="0" distB="0" distL="114300" distR="114300" simplePos="0" relativeHeight="251712512" behindDoc="0" locked="0" layoutInCell="1" allowOverlap="1" wp14:anchorId="4683DF39" wp14:editId="4C176C57">
                <wp:simplePos x="0" y="0"/>
                <wp:positionH relativeFrom="column">
                  <wp:posOffset>4001770</wp:posOffset>
                </wp:positionH>
                <wp:positionV relativeFrom="paragraph">
                  <wp:posOffset>3119755</wp:posOffset>
                </wp:positionV>
                <wp:extent cx="2105025" cy="635"/>
                <wp:effectExtent l="0" t="0" r="0" b="0"/>
                <wp:wrapSquare wrapText="bothSides"/>
                <wp:docPr id="1156132868" name="Text Box 1"/>
                <wp:cNvGraphicFramePr/>
                <a:graphic xmlns:a="http://schemas.openxmlformats.org/drawingml/2006/main">
                  <a:graphicData uri="http://schemas.microsoft.com/office/word/2010/wordprocessingShape">
                    <wps:wsp>
                      <wps:cNvSpPr txBox="1"/>
                      <wps:spPr>
                        <a:xfrm>
                          <a:off x="0" y="0"/>
                          <a:ext cx="2105025" cy="635"/>
                        </a:xfrm>
                        <a:prstGeom prst="rect">
                          <a:avLst/>
                        </a:prstGeom>
                        <a:solidFill>
                          <a:prstClr val="white"/>
                        </a:solidFill>
                        <a:ln>
                          <a:noFill/>
                        </a:ln>
                      </wps:spPr>
                      <wps:txbx>
                        <w:txbxContent>
                          <w:p w14:paraId="5402475D" w14:textId="7A6D8403" w:rsidR="0099669C" w:rsidRPr="00846BEF" w:rsidRDefault="0099669C" w:rsidP="0099669C">
                            <w:pPr>
                              <w:pStyle w:val="Caption"/>
                              <w:rPr>
                                <w:rFonts w:ascii="Times New Roman" w:hAnsi="Times New Roman" w:cs="Times New Roman"/>
                                <w:noProof/>
                                <w:szCs w:val="22"/>
                              </w:rPr>
                            </w:pPr>
                            <w:bookmarkStart w:id="99" w:name="_Toc214357733"/>
                            <w:r w:rsidRPr="0099669C">
                              <w:rPr>
                                <w:rFonts w:ascii="Times New Roman" w:hAnsi="Times New Roman" w:cs="Times New Roman"/>
                                <w:lang w:val="it-IT"/>
                              </w:rPr>
                              <w:t xml:space="preserve">Figure </w:t>
                            </w:r>
                            <w:r w:rsidR="00F824A5">
                              <w:rPr>
                                <w:rFonts w:ascii="Times New Roman" w:hAnsi="Times New Roman" w:cs="Times New Roman"/>
                                <w:lang w:val="it-IT"/>
                              </w:rPr>
                              <w:fldChar w:fldCharType="begin"/>
                            </w:r>
                            <w:r w:rsidR="00F824A5">
                              <w:rPr>
                                <w:rFonts w:ascii="Times New Roman" w:hAnsi="Times New Roman" w:cs="Times New Roman"/>
                                <w:lang w:val="it-IT"/>
                              </w:rPr>
                              <w:instrText xml:space="preserve"> STYLEREF 1 \s </w:instrText>
                            </w:r>
                            <w:r w:rsidR="00F824A5">
                              <w:rPr>
                                <w:rFonts w:ascii="Times New Roman" w:hAnsi="Times New Roman" w:cs="Times New Roman"/>
                                <w:lang w:val="it-IT"/>
                              </w:rPr>
                              <w:fldChar w:fldCharType="separate"/>
                            </w:r>
                            <w:r w:rsidR="000412CE">
                              <w:rPr>
                                <w:rFonts w:ascii="Times New Roman" w:hAnsi="Times New Roman" w:cs="Times New Roman"/>
                                <w:noProof/>
                                <w:lang w:val="it-IT"/>
                              </w:rPr>
                              <w:t>2</w:t>
                            </w:r>
                            <w:r w:rsidR="00F824A5">
                              <w:rPr>
                                <w:rFonts w:ascii="Times New Roman" w:hAnsi="Times New Roman" w:cs="Times New Roman"/>
                                <w:lang w:val="it-IT"/>
                              </w:rPr>
                              <w:fldChar w:fldCharType="end"/>
                            </w:r>
                            <w:r w:rsidR="00F824A5">
                              <w:rPr>
                                <w:rFonts w:ascii="Times New Roman" w:hAnsi="Times New Roman" w:cs="Times New Roman"/>
                                <w:lang w:val="it-IT"/>
                              </w:rPr>
                              <w:t>.</w:t>
                            </w:r>
                            <w:r w:rsidR="00F824A5">
                              <w:rPr>
                                <w:rFonts w:ascii="Times New Roman" w:hAnsi="Times New Roman" w:cs="Times New Roman"/>
                                <w:lang w:val="it-IT"/>
                              </w:rPr>
                              <w:fldChar w:fldCharType="begin"/>
                            </w:r>
                            <w:r w:rsidR="00F824A5">
                              <w:rPr>
                                <w:rFonts w:ascii="Times New Roman" w:hAnsi="Times New Roman" w:cs="Times New Roman"/>
                                <w:lang w:val="it-IT"/>
                              </w:rPr>
                              <w:instrText xml:space="preserve"> SEQ Figure \* ARABIC \s 1 </w:instrText>
                            </w:r>
                            <w:r w:rsidR="00F824A5">
                              <w:rPr>
                                <w:rFonts w:ascii="Times New Roman" w:hAnsi="Times New Roman" w:cs="Times New Roman"/>
                                <w:lang w:val="it-IT"/>
                              </w:rPr>
                              <w:fldChar w:fldCharType="separate"/>
                            </w:r>
                            <w:r w:rsidR="000412CE">
                              <w:rPr>
                                <w:rFonts w:ascii="Times New Roman" w:hAnsi="Times New Roman" w:cs="Times New Roman"/>
                                <w:noProof/>
                                <w:lang w:val="it-IT"/>
                              </w:rPr>
                              <w:t>5</w:t>
                            </w:r>
                            <w:r w:rsidR="00F824A5">
                              <w:rPr>
                                <w:rFonts w:ascii="Times New Roman" w:hAnsi="Times New Roman" w:cs="Times New Roman"/>
                                <w:lang w:val="it-IT"/>
                              </w:rPr>
                              <w:fldChar w:fldCharType="end"/>
                            </w:r>
                            <w:r w:rsidRPr="0099669C">
                              <w:rPr>
                                <w:rFonts w:ascii="Times New Roman" w:hAnsi="Times New Roman" w:cs="Times New Roman"/>
                                <w:lang w:val="it-IT"/>
                              </w:rPr>
                              <w:t xml:space="preserve">. Al Najjar et al. </w:t>
                            </w:r>
                            <w:r w:rsidRPr="00846BEF">
                              <w:rPr>
                                <w:rFonts w:ascii="Times New Roman" w:hAnsi="Times New Roman" w:cs="Times New Roman"/>
                              </w:rPr>
                              <w:t>[82] energy balance model based on an equivalent electrical circuit</w:t>
                            </w:r>
                            <w:r w:rsidR="00A165BA">
                              <w:rPr>
                                <w:rFonts w:ascii="Times New Roman" w:hAnsi="Times New Roman" w:cs="Times New Roman"/>
                              </w:rPr>
                              <w:t>.</w:t>
                            </w:r>
                            <w:bookmarkEnd w:id="9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683DF39" id="_x0000_s1041" type="#_x0000_t202" style="position:absolute;left:0;text-align:left;margin-left:315.1pt;margin-top:245.65pt;width:165.75pt;height:.05pt;z-index:2517125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" stroked="f">
                <v:textbox style="mso-fit-shape-to-text:t" inset="0,0,0,0">
                  <w:txbxContent>
                    <w:p w14:paraId="5402475D" w14:textId="7A6D8403" w:rsidR="0099669C" w:rsidRPr="00846BEF" w:rsidRDefault="0099669C" w:rsidP="0099669C">
                      <w:pPr>
                        <w:pStyle w:val="Caption"/>
                        <w:rPr>
                          <w:rFonts w:ascii="Times New Roman" w:hAnsi="Times New Roman" w:cs="Times New Roman"/>
                          <w:noProof/>
                          <w:szCs w:val="22"/>
                        </w:rPr>
                      </w:pPr>
                      <w:bookmarkStart w:id="100" w:name="_Toc214357733"/>
                      <w:r w:rsidRPr="0099669C">
                        <w:rPr>
                          <w:rFonts w:ascii="Times New Roman" w:hAnsi="Times New Roman" w:cs="Times New Roman"/>
                          <w:lang w:val="it-IT"/>
                        </w:rPr>
                        <w:t xml:space="preserve">Figure </w:t>
                      </w:r>
                      <w:r w:rsidR="00F824A5">
                        <w:rPr>
                          <w:rFonts w:ascii="Times New Roman" w:hAnsi="Times New Roman" w:cs="Times New Roman"/>
                          <w:lang w:val="it-IT"/>
                        </w:rPr>
                        <w:fldChar w:fldCharType="begin"/>
                      </w:r>
                      <w:r w:rsidR="00F824A5">
                        <w:rPr>
                          <w:rFonts w:ascii="Times New Roman" w:hAnsi="Times New Roman" w:cs="Times New Roman"/>
                          <w:lang w:val="it-IT"/>
                        </w:rPr>
                        <w:instrText xml:space="preserve"> STYLEREF 1 \s </w:instrText>
                      </w:r>
                      <w:r w:rsidR="00F824A5">
                        <w:rPr>
                          <w:rFonts w:ascii="Times New Roman" w:hAnsi="Times New Roman" w:cs="Times New Roman"/>
                          <w:lang w:val="it-IT"/>
                        </w:rPr>
                        <w:fldChar w:fldCharType="separate"/>
                      </w:r>
                      <w:r w:rsidR="000412CE">
                        <w:rPr>
                          <w:rFonts w:ascii="Times New Roman" w:hAnsi="Times New Roman" w:cs="Times New Roman"/>
                          <w:noProof/>
                          <w:lang w:val="it-IT"/>
                        </w:rPr>
                        <w:t>2</w:t>
                      </w:r>
                      <w:r w:rsidR="00F824A5">
                        <w:rPr>
                          <w:rFonts w:ascii="Times New Roman" w:hAnsi="Times New Roman" w:cs="Times New Roman"/>
                          <w:lang w:val="it-IT"/>
                        </w:rPr>
                        <w:fldChar w:fldCharType="end"/>
                      </w:r>
                      <w:r w:rsidR="00F824A5">
                        <w:rPr>
                          <w:rFonts w:ascii="Times New Roman" w:hAnsi="Times New Roman" w:cs="Times New Roman"/>
                          <w:lang w:val="it-IT"/>
                        </w:rPr>
                        <w:t>.</w:t>
                      </w:r>
                      <w:r w:rsidR="00F824A5">
                        <w:rPr>
                          <w:rFonts w:ascii="Times New Roman" w:hAnsi="Times New Roman" w:cs="Times New Roman"/>
                          <w:lang w:val="it-IT"/>
                        </w:rPr>
                        <w:fldChar w:fldCharType="begin"/>
                      </w:r>
                      <w:r w:rsidR="00F824A5">
                        <w:rPr>
                          <w:rFonts w:ascii="Times New Roman" w:hAnsi="Times New Roman" w:cs="Times New Roman"/>
                          <w:lang w:val="it-IT"/>
                        </w:rPr>
                        <w:instrText xml:space="preserve"> SEQ Figure \* ARABIC \s 1 </w:instrText>
                      </w:r>
                      <w:r w:rsidR="00F824A5">
                        <w:rPr>
                          <w:rFonts w:ascii="Times New Roman" w:hAnsi="Times New Roman" w:cs="Times New Roman"/>
                          <w:lang w:val="it-IT"/>
                        </w:rPr>
                        <w:fldChar w:fldCharType="separate"/>
                      </w:r>
                      <w:r w:rsidR="000412CE">
                        <w:rPr>
                          <w:rFonts w:ascii="Times New Roman" w:hAnsi="Times New Roman" w:cs="Times New Roman"/>
                          <w:noProof/>
                          <w:lang w:val="it-IT"/>
                        </w:rPr>
                        <w:t>5</w:t>
                      </w:r>
                      <w:r w:rsidR="00F824A5">
                        <w:rPr>
                          <w:rFonts w:ascii="Times New Roman" w:hAnsi="Times New Roman" w:cs="Times New Roman"/>
                          <w:lang w:val="it-IT"/>
                        </w:rPr>
                        <w:fldChar w:fldCharType="end"/>
                      </w:r>
                      <w:r w:rsidRPr="0099669C">
                        <w:rPr>
                          <w:rFonts w:ascii="Times New Roman" w:hAnsi="Times New Roman" w:cs="Times New Roman"/>
                          <w:lang w:val="it-IT"/>
                        </w:rPr>
                        <w:t xml:space="preserve">. Al Najjar et al. </w:t>
                      </w:r>
                      <w:r w:rsidRPr="00846BEF">
                        <w:rPr>
                          <w:rFonts w:ascii="Times New Roman" w:hAnsi="Times New Roman" w:cs="Times New Roman"/>
                        </w:rPr>
                        <w:t>[82] energy balance model based on an equivalent electrical circuit</w:t>
                      </w:r>
                      <w:r w:rsidR="00A165BA">
                        <w:rPr>
                          <w:rFonts w:ascii="Times New Roman" w:hAnsi="Times New Roman" w:cs="Times New Roman"/>
                        </w:rPr>
                        <w:t>.</w:t>
                      </w:r>
                      <w:bookmarkEnd w:id="100"/>
                    </w:p>
                  </w:txbxContent>
                </v:textbox>
                <w10:wrap type="square"/>
              </v:shape>
            </w:pict>
          </mc:Fallback>
        </mc:AlternateContent>
      </w:r>
      <w:r w:rsidRPr="00DE6DEE">
        <w:rPr>
          <w:noProof/>
          <w:lang w:val="nb-NO"/>
        </w:rPr>
        <w:drawing>
          <wp:anchor distT="0" distB="0" distL="114300" distR="114300" simplePos="0" relativeHeight="251708416" behindDoc="0" locked="0" layoutInCell="1" allowOverlap="1" wp14:anchorId="39A42F41" wp14:editId="6AB5AECC">
            <wp:simplePos x="0" y="0"/>
            <wp:positionH relativeFrom="margin">
              <wp:posOffset>4001770</wp:posOffset>
            </wp:positionH>
            <wp:positionV relativeFrom="paragraph">
              <wp:posOffset>14605</wp:posOffset>
            </wp:positionV>
            <wp:extent cx="2105025" cy="3048000"/>
            <wp:effectExtent l="0" t="0" r="9525" b="0"/>
            <wp:wrapSquare wrapText="bothSides"/>
            <wp:docPr id="922348910" name="Immagine 1" descr="Immagine che contiene diagramma, Disegno tecnico, Piano, origami&#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2348910" name="Immagine 1" descr="Immagine che contiene diagramma, Disegno tecnico, Piano, origami&#10;&#10;Il contenuto generato dall'IA potrebbe non essere corretto."/>
                    <pic:cNvPicPr/>
                  </pic:nvPicPr>
                  <pic:blipFill>
                    <a:blip r:embed="rId113">
                      <a:extLst>
                        <a:ext uri="{28A0092B-C50C-407E-A947-70E740481C1C}">
                          <a14:useLocalDpi xmlns:a14="http://schemas.microsoft.com/office/drawing/2010/main" val="0"/>
                        </a:ext>
                      </a:extLst>
                    </a:blip>
                    <a:stretch>
                      <a:fillRect/>
                    </a:stretch>
                  </pic:blipFill>
                  <pic:spPr>
                    <a:xfrm>
                      <a:off x="0" y="0"/>
                      <a:ext cx="2105025" cy="3048000"/>
                    </a:xfrm>
                    <a:prstGeom prst="rect">
                      <a:avLst/>
                    </a:prstGeom>
                  </pic:spPr>
                </pic:pic>
              </a:graphicData>
            </a:graphic>
            <wp14:sizeRelH relativeFrom="margin">
              <wp14:pctWidth>0</wp14:pctWidth>
            </wp14:sizeRelH>
            <wp14:sizeRelV relativeFrom="margin">
              <wp14:pctHeight>0</wp14:pctHeight>
            </wp14:sizeRelV>
          </wp:anchor>
        </w:drawing>
      </w:r>
      <w:r w:rsidRPr="00DE6DEE">
        <w:rPr>
          <w:rFonts w:cs="Times New Roman"/>
          <w:lang w:val="en-US"/>
        </w:rPr>
        <w:t xml:space="preserve">Mazzeo et al. </w:t>
      </w:r>
      <w:sdt>
        <w:sdtPr>
          <w:rPr>
            <w:rFonts w:cs="Times New Roman"/>
            <w:lang w:val="en-US"/>
          </w:rPr>
          <w:id w:val="561144697"/>
          <w:citation/>
        </w:sdtPr>
        <w:sdtContent>
          <w:r w:rsidR="00DE6DEE">
            <w:rPr>
              <w:rFonts w:cs="Times New Roman"/>
              <w:lang w:val="en-US"/>
            </w:rPr>
            <w:fldChar w:fldCharType="begin"/>
          </w:r>
          <w:r w:rsidR="00DE6DEE" w:rsidRPr="00422EEB">
            <w:rPr>
              <w:rFonts w:cs="Times New Roman"/>
              <w:lang w:val="en-US"/>
            </w:rPr>
            <w:instrText xml:space="preserve"> CITATION Placeholder86 \l 1040 </w:instrText>
          </w:r>
          <w:r w:rsidR="00DE6DEE">
            <w:rPr>
              <w:rFonts w:cs="Times New Roman"/>
              <w:lang w:val="en-US"/>
            </w:rPr>
            <w:fldChar w:fldCharType="separate"/>
          </w:r>
          <w:r w:rsidR="00855396" w:rsidRPr="00855396">
            <w:rPr>
              <w:rFonts w:cs="Times New Roman"/>
              <w:noProof/>
              <w:lang w:val="en-US"/>
            </w:rPr>
            <w:t>[80]</w:t>
          </w:r>
          <w:r w:rsidR="00DE6DEE">
            <w:rPr>
              <w:rFonts w:cs="Times New Roman"/>
              <w:lang w:val="en-US"/>
            </w:rPr>
            <w:fldChar w:fldCharType="end"/>
          </w:r>
        </w:sdtContent>
      </w:sdt>
      <w:r w:rsidRPr="00DE6DEE">
        <w:rPr>
          <w:rFonts w:cs="Times New Roman"/>
          <w:lang w:val="en-US"/>
        </w:rPr>
        <w:t xml:space="preserve">, in their review, highlight that to effectively describe the thermal and electrical behavior of PV modules integrated with PCM, several mathematical models of varying complexity have been developed over time. These models are essential for understanding the interactions between the PV module and the PCM, allowing accurate simulation of heat transfer and energy conversion under different operating conditions. </w:t>
      </w:r>
    </w:p>
    <w:p w14:paraId="32A9A79B" w14:textId="796F385A" w:rsidR="0099669C" w:rsidRPr="00DE6DEE" w:rsidRDefault="0099669C" w:rsidP="0099669C">
      <w:pPr>
        <w:rPr>
          <w:rFonts w:cs="Times New Roman"/>
          <w:lang w:val="en-US"/>
        </w:rPr>
      </w:pPr>
      <w:r w:rsidRPr="00DE6DEE">
        <w:rPr>
          <w:rFonts w:cs="Times New Roman"/>
          <w:u w:val="single"/>
          <w:lang w:val="en-US"/>
        </w:rPr>
        <w:t>Thermal models</w:t>
      </w:r>
      <w:r w:rsidRPr="00DE6DEE">
        <w:rPr>
          <w:rFonts w:cs="Times New Roman"/>
          <w:lang w:val="en-US"/>
        </w:rPr>
        <w:t xml:space="preserve">. To analyze the thermal models, the configuration proposed by Zhenpeng et al. </w:t>
      </w:r>
      <w:sdt>
        <w:sdtPr>
          <w:rPr>
            <w:rFonts w:cs="Times New Roman"/>
            <w:lang w:val="en-US"/>
          </w:rPr>
          <w:id w:val="-1838985147"/>
          <w:citation/>
        </w:sdtPr>
        <w:sdtContent>
          <w:r w:rsidR="00DE6DEE">
            <w:rPr>
              <w:rFonts w:cs="Times New Roman"/>
              <w:lang w:val="en-US"/>
            </w:rPr>
            <w:fldChar w:fldCharType="begin"/>
          </w:r>
          <w:r w:rsidR="00DE6DEE" w:rsidRPr="00422EEB">
            <w:rPr>
              <w:rFonts w:cs="Times New Roman"/>
              <w:lang w:val="en-US"/>
            </w:rPr>
            <w:instrText xml:space="preserve"> CITATION Placeholder87 \l 1040 </w:instrText>
          </w:r>
          <w:r w:rsidR="00DE6DEE">
            <w:rPr>
              <w:rFonts w:cs="Times New Roman"/>
              <w:lang w:val="en-US"/>
            </w:rPr>
            <w:fldChar w:fldCharType="separate"/>
          </w:r>
          <w:r w:rsidR="00855396" w:rsidRPr="00855396">
            <w:rPr>
              <w:rFonts w:cs="Times New Roman"/>
              <w:noProof/>
              <w:lang w:val="en-US"/>
            </w:rPr>
            <w:t>[81]</w:t>
          </w:r>
          <w:r w:rsidR="00DE6DEE">
            <w:rPr>
              <w:rFonts w:cs="Times New Roman"/>
              <w:lang w:val="en-US"/>
            </w:rPr>
            <w:fldChar w:fldCharType="end"/>
          </w:r>
        </w:sdtContent>
      </w:sdt>
      <w:r w:rsidRPr="00DE6DEE">
        <w:rPr>
          <w:rFonts w:cs="Times New Roman"/>
          <w:lang w:val="en-US"/>
        </w:rPr>
        <w:t>, shown in Figure 2</w:t>
      </w:r>
      <w:r w:rsidR="00DE6DEE">
        <w:rPr>
          <w:rFonts w:cs="Times New Roman"/>
          <w:lang w:val="en-US"/>
        </w:rPr>
        <w:t>.</w:t>
      </w:r>
      <w:r w:rsidRPr="00DE6DEE">
        <w:rPr>
          <w:rFonts w:cs="Times New Roman"/>
          <w:lang w:val="en-US"/>
        </w:rPr>
        <w:t>7, was considered. When the PV panel absorbs solar radiation, only a portion is converted into electricity, while the remaining part is transformed into heat and dissipated to the surroundings through convective and radiative exchanges.  Figure 2</w:t>
      </w:r>
      <w:r w:rsidR="00DE6DEE">
        <w:rPr>
          <w:rFonts w:cs="Times New Roman"/>
          <w:lang w:val="en-US"/>
        </w:rPr>
        <w:t>.</w:t>
      </w:r>
      <w:r w:rsidRPr="00DE6DEE">
        <w:rPr>
          <w:rFonts w:cs="Times New Roman"/>
          <w:lang w:val="en-US"/>
        </w:rPr>
        <w:t xml:space="preserve">6 shows the thermal balance of the PV–PCM module, formulated by Al Najjar et al. </w:t>
      </w:r>
      <w:sdt>
        <w:sdtPr>
          <w:rPr>
            <w:rFonts w:cs="Times New Roman"/>
            <w:lang w:val="en-US"/>
          </w:rPr>
          <w:id w:val="2046475600"/>
          <w:citation/>
        </w:sdtPr>
        <w:sdtContent>
          <w:r w:rsidR="00DE6DEE">
            <w:rPr>
              <w:rFonts w:cs="Times New Roman"/>
              <w:lang w:val="en-US"/>
            </w:rPr>
            <w:fldChar w:fldCharType="begin"/>
          </w:r>
          <w:r w:rsidR="00DE6DEE" w:rsidRPr="00DE6DEE">
            <w:rPr>
              <w:rFonts w:cs="Times New Roman"/>
              <w:lang w:val="en-US"/>
            </w:rPr>
            <w:instrText xml:space="preserve"> CITATION Placeholder88 \l 1040 </w:instrText>
          </w:r>
          <w:r w:rsidR="00DE6DEE">
            <w:rPr>
              <w:rFonts w:cs="Times New Roman"/>
              <w:lang w:val="en-US"/>
            </w:rPr>
            <w:fldChar w:fldCharType="separate"/>
          </w:r>
          <w:r w:rsidR="00855396" w:rsidRPr="00855396">
            <w:rPr>
              <w:rFonts w:cs="Times New Roman"/>
              <w:noProof/>
              <w:lang w:val="en-US"/>
            </w:rPr>
            <w:t>[82]</w:t>
          </w:r>
          <w:r w:rsidR="00DE6DEE">
            <w:rPr>
              <w:rFonts w:cs="Times New Roman"/>
              <w:lang w:val="en-US"/>
            </w:rPr>
            <w:fldChar w:fldCharType="end"/>
          </w:r>
        </w:sdtContent>
      </w:sdt>
      <w:r w:rsidRPr="00DE6DEE">
        <w:rPr>
          <w:rFonts w:cs="Times New Roman"/>
          <w:lang w:val="en-US"/>
        </w:rPr>
        <w:t>, that is based on an equivalent electrical circuit representing the heat exchanges between the module surfaces and the external environment.</w:t>
      </w:r>
    </w:p>
    <w:p w14:paraId="318FAF30" w14:textId="77777777" w:rsidR="0099669C" w:rsidRDefault="0099669C" w:rsidP="0099669C">
      <w:pPr>
        <w:rPr>
          <w:rFonts w:ascii="Times New Roman" w:hAnsi="Times New Roman" w:cs="Times New Roman"/>
          <w:lang w:val="en-US"/>
        </w:rPr>
      </w:pPr>
    </w:p>
    <w:p w14:paraId="7040A205" w14:textId="77777777" w:rsidR="0099669C" w:rsidRPr="00AC6DA0" w:rsidRDefault="0099669C" w:rsidP="0099669C">
      <w:pPr>
        <w:rPr>
          <w:rFonts w:ascii="Times New Roman" w:hAnsi="Times New Roman" w:cs="Times New Roman"/>
          <w:lang w:val="en-US"/>
        </w:rPr>
      </w:pPr>
    </w:p>
    <w:p w14:paraId="7A9494FF" w14:textId="77777777" w:rsidR="0099669C" w:rsidRPr="00AC6DA0" w:rsidRDefault="0099669C" w:rsidP="0099669C">
      <w:pPr>
        <w:rPr>
          <w:rFonts w:ascii="Times New Roman" w:hAnsi="Times New Roman" w:cs="Times New Roman"/>
          <w:lang w:val="en-US"/>
        </w:rPr>
      </w:pPr>
    </w:p>
    <w:p w14:paraId="3124EC28" w14:textId="77777777" w:rsidR="0099669C" w:rsidRPr="00DE6DEE" w:rsidRDefault="0099669C" w:rsidP="0099669C">
      <w:pPr>
        <w:keepNext/>
        <w:jc w:val="center"/>
      </w:pPr>
      <w:r w:rsidRPr="00DE6DEE">
        <w:rPr>
          <w:rFonts w:cs="Times New Roman"/>
          <w:noProof/>
          <w:lang w:val="nb-NO"/>
        </w:rPr>
        <w:lastRenderedPageBreak/>
        <w:drawing>
          <wp:inline distT="0" distB="0" distL="0" distR="0" wp14:anchorId="56FFAE4F" wp14:editId="29CF039D">
            <wp:extent cx="3635829" cy="2640839"/>
            <wp:effectExtent l="0" t="0" r="3175" b="7620"/>
            <wp:docPr id="112897423" name="Immagine 1" descr="Immagine che contiene testo, schermata, diagramma, numer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897423" name="Immagine 1" descr="Immagine che contiene testo, schermata, diagramma, numero&#10;&#10;Il contenuto generato dall'IA potrebbe non essere corretto."/>
                    <pic:cNvPicPr/>
                  </pic:nvPicPr>
                  <pic:blipFill>
                    <a:blip r:embed="rId114"/>
                    <a:stretch>
                      <a:fillRect/>
                    </a:stretch>
                  </pic:blipFill>
                  <pic:spPr>
                    <a:xfrm>
                      <a:off x="0" y="0"/>
                      <a:ext cx="3675183" cy="2669424"/>
                    </a:xfrm>
                    <a:prstGeom prst="rect">
                      <a:avLst/>
                    </a:prstGeom>
                  </pic:spPr>
                </pic:pic>
              </a:graphicData>
            </a:graphic>
          </wp:inline>
        </w:drawing>
      </w:r>
    </w:p>
    <w:p w14:paraId="70847533" w14:textId="718750F3" w:rsidR="0099669C" w:rsidRPr="00DE6DEE" w:rsidRDefault="0099669C" w:rsidP="0099669C">
      <w:pPr>
        <w:pStyle w:val="Caption"/>
        <w:rPr>
          <w:rFonts w:cs="Times New Roman"/>
        </w:rPr>
      </w:pPr>
      <w:bookmarkStart w:id="101" w:name="_Toc214357734"/>
      <w:r w:rsidRPr="00DE6DEE">
        <w:rPr>
          <w:rFonts w:cs="Times New Roman"/>
        </w:rPr>
        <w:t xml:space="preserve">Figure </w:t>
      </w:r>
      <w:r w:rsidR="00F824A5">
        <w:rPr>
          <w:rFonts w:cs="Times New Roman"/>
        </w:rPr>
        <w:fldChar w:fldCharType="begin"/>
      </w:r>
      <w:r w:rsidR="00F824A5">
        <w:rPr>
          <w:rFonts w:cs="Times New Roman"/>
        </w:rPr>
        <w:instrText xml:space="preserve"> STYLEREF 1 \s </w:instrText>
      </w:r>
      <w:r w:rsidR="00F824A5">
        <w:rPr>
          <w:rFonts w:cs="Times New Roman"/>
        </w:rPr>
        <w:fldChar w:fldCharType="separate"/>
      </w:r>
      <w:r w:rsidR="000412CE">
        <w:rPr>
          <w:rFonts w:cs="Times New Roman"/>
          <w:noProof/>
        </w:rPr>
        <w:t>2</w:t>
      </w:r>
      <w:r w:rsidR="00F824A5">
        <w:rPr>
          <w:rFonts w:cs="Times New Roman"/>
        </w:rPr>
        <w:fldChar w:fldCharType="end"/>
      </w:r>
      <w:r w:rsidR="00F824A5">
        <w:rPr>
          <w:rFonts w:cs="Times New Roman"/>
        </w:rPr>
        <w:t>.</w:t>
      </w:r>
      <w:r w:rsidR="00F824A5">
        <w:rPr>
          <w:rFonts w:cs="Times New Roman"/>
        </w:rPr>
        <w:fldChar w:fldCharType="begin"/>
      </w:r>
      <w:r w:rsidR="00F824A5">
        <w:rPr>
          <w:rFonts w:cs="Times New Roman"/>
        </w:rPr>
        <w:instrText xml:space="preserve"> SEQ Figure \* ARABIC \s 1 </w:instrText>
      </w:r>
      <w:r w:rsidR="00F824A5">
        <w:rPr>
          <w:rFonts w:cs="Times New Roman"/>
        </w:rPr>
        <w:fldChar w:fldCharType="separate"/>
      </w:r>
      <w:r w:rsidR="000412CE">
        <w:rPr>
          <w:rFonts w:cs="Times New Roman"/>
          <w:noProof/>
        </w:rPr>
        <w:t>6</w:t>
      </w:r>
      <w:r w:rsidR="00F824A5">
        <w:rPr>
          <w:rFonts w:cs="Times New Roman"/>
        </w:rPr>
        <w:fldChar w:fldCharType="end"/>
      </w:r>
      <w:r w:rsidRPr="00DE6DEE">
        <w:rPr>
          <w:rFonts w:cs="Times New Roman"/>
        </w:rPr>
        <w:t>. Configuration of a typical PV-PCM system and the energy flow  path</w:t>
      </w:r>
      <w:r w:rsidR="001B044C">
        <w:rPr>
          <w:rFonts w:cs="Times New Roman"/>
        </w:rPr>
        <w:t xml:space="preserve"> [81]</w:t>
      </w:r>
      <w:r w:rsidR="00A165BA">
        <w:rPr>
          <w:rFonts w:cs="Times New Roman"/>
        </w:rPr>
        <w:t>.</w:t>
      </w:r>
      <w:bookmarkEnd w:id="101"/>
    </w:p>
    <w:p w14:paraId="249107FC" w14:textId="4A986241" w:rsidR="0099669C" w:rsidRPr="00DE6DEE" w:rsidRDefault="0099669C" w:rsidP="0099669C">
      <w:pPr>
        <w:rPr>
          <w:rFonts w:cs="Times New Roman"/>
          <w:lang w:val="en-US"/>
        </w:rPr>
      </w:pPr>
      <w:r w:rsidRPr="00DE6DEE">
        <w:rPr>
          <w:rFonts w:cs="Times New Roman"/>
          <w:lang w:val="en-US"/>
        </w:rPr>
        <w:t xml:space="preserve">Among the thermal models, one of the most widely used is the enthalpy model </w:t>
      </w:r>
      <w:sdt>
        <w:sdtPr>
          <w:rPr>
            <w:rFonts w:cs="Times New Roman"/>
            <w:lang w:val="en-US"/>
          </w:rPr>
          <w:id w:val="-1454014177"/>
          <w:citation/>
        </w:sdtPr>
        <w:sdtContent>
          <w:r w:rsidR="00DE6DEE">
            <w:rPr>
              <w:rFonts w:cs="Times New Roman"/>
              <w:lang w:val="en-US"/>
            </w:rPr>
            <w:fldChar w:fldCharType="begin"/>
          </w:r>
          <w:r w:rsidR="00DE6DEE" w:rsidRPr="00DE6DEE">
            <w:rPr>
              <w:rFonts w:cs="Times New Roman"/>
              <w:lang w:val="en-US"/>
            </w:rPr>
            <w:instrText xml:space="preserve"> CITATION Placeholder89 \l 1040 </w:instrText>
          </w:r>
          <w:r w:rsidR="00DE6DEE">
            <w:rPr>
              <w:rFonts w:cs="Times New Roman"/>
              <w:lang w:val="en-US"/>
            </w:rPr>
            <w:fldChar w:fldCharType="separate"/>
          </w:r>
          <w:r w:rsidR="00855396" w:rsidRPr="00855396">
            <w:rPr>
              <w:rFonts w:cs="Times New Roman"/>
              <w:noProof/>
              <w:lang w:val="en-US"/>
            </w:rPr>
            <w:t>[83]</w:t>
          </w:r>
          <w:r w:rsidR="00DE6DEE">
            <w:rPr>
              <w:rFonts w:cs="Times New Roman"/>
              <w:lang w:val="en-US"/>
            </w:rPr>
            <w:fldChar w:fldCharType="end"/>
          </w:r>
        </w:sdtContent>
      </w:sdt>
      <w:sdt>
        <w:sdtPr>
          <w:rPr>
            <w:rFonts w:cs="Times New Roman"/>
            <w:lang w:val="en-US"/>
          </w:rPr>
          <w:id w:val="1347138048"/>
          <w:citation/>
        </w:sdtPr>
        <w:sdtContent>
          <w:r w:rsidR="00DE6DEE">
            <w:rPr>
              <w:rFonts w:cs="Times New Roman"/>
              <w:lang w:val="en-US"/>
            </w:rPr>
            <w:fldChar w:fldCharType="begin"/>
          </w:r>
          <w:r w:rsidR="00DE6DEE" w:rsidRPr="00DE6DEE">
            <w:rPr>
              <w:rFonts w:cs="Times New Roman"/>
              <w:lang w:val="en-US"/>
            </w:rPr>
            <w:instrText xml:space="preserve"> CITATION Placeholder90 \l 1040 </w:instrText>
          </w:r>
          <w:r w:rsidR="00DE6DEE">
            <w:rPr>
              <w:rFonts w:cs="Times New Roman"/>
              <w:lang w:val="en-US"/>
            </w:rPr>
            <w:fldChar w:fldCharType="separate"/>
          </w:r>
          <w:r w:rsidR="00855396">
            <w:rPr>
              <w:rFonts w:cs="Times New Roman"/>
              <w:noProof/>
              <w:lang w:val="en-US"/>
            </w:rPr>
            <w:t xml:space="preserve"> </w:t>
          </w:r>
          <w:r w:rsidR="00855396" w:rsidRPr="00855396">
            <w:rPr>
              <w:rFonts w:cs="Times New Roman"/>
              <w:noProof/>
              <w:lang w:val="en-US"/>
            </w:rPr>
            <w:t>[84]</w:t>
          </w:r>
          <w:r w:rsidR="00DE6DEE">
            <w:rPr>
              <w:rFonts w:cs="Times New Roman"/>
              <w:lang w:val="en-US"/>
            </w:rPr>
            <w:fldChar w:fldCharType="end"/>
          </w:r>
        </w:sdtContent>
      </w:sdt>
      <w:r w:rsidRPr="00DE6DEE">
        <w:rPr>
          <w:rFonts w:cs="Times New Roman"/>
          <w:lang w:val="en-US"/>
        </w:rPr>
        <w:t xml:space="preserve">, which accounts for latent heat in the energy equations by assigning each computational node a latent heat value as a function of temperature. During the phase change, this value is updated to represent the release or absorption of heat, included in the energy equation as a source or sink term. A key advantage of this approach is that it avoids the need to explicitly define energy conservation conditions at the solid–liquid interface. Advanced formulations of the model couple force balance with melt flow without introducing arbitrary constants and are mainly applied in cases where molten material convection or three-dimensional effects are dominant. Another advanced model used to analyze the behavior of materials undergoing a phase change is based on the integration of the finite difference method with the effective specific heat method </w:t>
      </w:r>
      <w:sdt>
        <w:sdtPr>
          <w:rPr>
            <w:rFonts w:cs="Times New Roman"/>
            <w:lang w:val="en-US"/>
          </w:rPr>
          <w:id w:val="1626426203"/>
          <w:citation/>
        </w:sdtPr>
        <w:sdtContent>
          <w:r w:rsidR="00DE6DEE">
            <w:rPr>
              <w:rFonts w:cs="Times New Roman"/>
              <w:lang w:val="en-US"/>
            </w:rPr>
            <w:fldChar w:fldCharType="begin"/>
          </w:r>
          <w:r w:rsidR="00DE6DEE" w:rsidRPr="00DE6DEE">
            <w:rPr>
              <w:rFonts w:cs="Times New Roman"/>
              <w:lang w:val="en-US"/>
            </w:rPr>
            <w:instrText xml:space="preserve"> CITATION Placeholder91 \l 1040 </w:instrText>
          </w:r>
          <w:r w:rsidR="00DE6DEE">
            <w:rPr>
              <w:rFonts w:cs="Times New Roman"/>
              <w:lang w:val="en-US"/>
            </w:rPr>
            <w:fldChar w:fldCharType="separate"/>
          </w:r>
          <w:r w:rsidR="00855396" w:rsidRPr="00855396">
            <w:rPr>
              <w:rFonts w:cs="Times New Roman"/>
              <w:noProof/>
              <w:lang w:val="en-US"/>
            </w:rPr>
            <w:t>[85]</w:t>
          </w:r>
          <w:r w:rsidR="00DE6DEE">
            <w:rPr>
              <w:rFonts w:cs="Times New Roman"/>
              <w:lang w:val="en-US"/>
            </w:rPr>
            <w:fldChar w:fldCharType="end"/>
          </w:r>
        </w:sdtContent>
      </w:sdt>
      <w:r w:rsidRPr="00DE6DEE">
        <w:rPr>
          <w:rFonts w:cs="Times New Roman"/>
          <w:lang w:val="en-US"/>
        </w:rPr>
        <w:t>. The effective specific heat approximates the phase change over a defined temperature range and typically represents the phase change temperature T</w:t>
      </w:r>
      <w:r w:rsidRPr="00DE6DEE">
        <w:rPr>
          <w:rFonts w:cs="Times New Roman"/>
          <w:vertAlign w:val="subscript"/>
          <w:lang w:val="en-US"/>
        </w:rPr>
        <w:t>m</w:t>
      </w:r>
      <w:r w:rsidRPr="00DE6DEE">
        <w:rPr>
          <w:rFonts w:cs="Times New Roman"/>
          <w:lang w:val="en-US"/>
        </w:rPr>
        <w:t>.</w:t>
      </w:r>
    </w:p>
    <w:p w14:paraId="6AEC1C18" w14:textId="7AF9637A" w:rsidR="0099669C" w:rsidRPr="00DE6DEE" w:rsidRDefault="0099669C" w:rsidP="0099669C">
      <w:pPr>
        <w:rPr>
          <w:rFonts w:cs="Times New Roman"/>
          <w:lang w:val="en-US"/>
        </w:rPr>
      </w:pPr>
      <w:r w:rsidRPr="00DE6DEE">
        <w:rPr>
          <w:rFonts w:cs="Times New Roman"/>
          <w:u w:val="single"/>
          <w:lang w:val="en-US"/>
        </w:rPr>
        <w:t>Electrical model</w:t>
      </w:r>
      <w:r w:rsidRPr="00DE6DEE">
        <w:rPr>
          <w:rFonts w:cs="Times New Roman"/>
          <w:lang w:val="en-US"/>
        </w:rPr>
        <w:t>.</w:t>
      </w:r>
      <w:r w:rsidRPr="00DE6DEE">
        <w:rPr>
          <w:lang w:val="en-US"/>
        </w:rPr>
        <w:t xml:space="preserve"> </w:t>
      </w:r>
      <w:r w:rsidRPr="00DE6DEE">
        <w:rPr>
          <w:rFonts w:cs="Times New Roman"/>
          <w:lang w:val="en-US"/>
        </w:rPr>
        <w:t xml:space="preserve">For a comprehensive characterization of the PV/PCM system, the thermal models must be coupled with an electrical model capable of describing the PV module’s behavior. Among these, the five-parameter model is one of the most commonly used due to its accuracy </w:t>
      </w:r>
      <w:sdt>
        <w:sdtPr>
          <w:rPr>
            <w:rFonts w:cs="Times New Roman"/>
            <w:lang w:val="en-US"/>
          </w:rPr>
          <w:id w:val="1136981627"/>
          <w:citation/>
        </w:sdtPr>
        <w:sdtContent>
          <w:r w:rsidR="00DE6DEE">
            <w:rPr>
              <w:rFonts w:cs="Times New Roman"/>
              <w:lang w:val="en-US"/>
            </w:rPr>
            <w:fldChar w:fldCharType="begin"/>
          </w:r>
          <w:r w:rsidR="00DE6DEE" w:rsidRPr="00DE6DEE">
            <w:rPr>
              <w:rFonts w:cs="Times New Roman"/>
              <w:lang w:val="en-US"/>
            </w:rPr>
            <w:instrText xml:space="preserve"> CITATION Placeholder92 \l 1040 </w:instrText>
          </w:r>
          <w:r w:rsidR="00DE6DEE">
            <w:rPr>
              <w:rFonts w:cs="Times New Roman"/>
              <w:lang w:val="en-US"/>
            </w:rPr>
            <w:fldChar w:fldCharType="separate"/>
          </w:r>
          <w:r w:rsidR="00855396" w:rsidRPr="00855396">
            <w:rPr>
              <w:rFonts w:cs="Times New Roman"/>
              <w:noProof/>
              <w:lang w:val="en-US"/>
            </w:rPr>
            <w:t>[86]</w:t>
          </w:r>
          <w:r w:rsidR="00DE6DEE">
            <w:rPr>
              <w:rFonts w:cs="Times New Roman"/>
              <w:lang w:val="en-US"/>
            </w:rPr>
            <w:fldChar w:fldCharType="end"/>
          </w:r>
        </w:sdtContent>
      </w:sdt>
      <w:r w:rsidRPr="00DE6DEE">
        <w:rPr>
          <w:rFonts w:cs="Times New Roman"/>
          <w:lang w:val="en-US"/>
        </w:rPr>
        <w:t>. The PV module power is calculated in Eq. (16) as:</w:t>
      </w:r>
    </w:p>
    <w:p w14:paraId="7EFEC4D8" w14:textId="54436BC2" w:rsidR="0099669C" w:rsidRPr="00DE6DEE" w:rsidRDefault="00000000" w:rsidP="0099669C">
      <w:pPr>
        <w:rPr>
          <w:rFonts w:eastAsiaTheme="minorEastAsia" w:cs="Times New Roman"/>
          <w:lang w:val="nb-NO"/>
        </w:rPr>
      </w:pPr>
      <m:oMathPara>
        <m:oMathParaPr>
          <m:jc m:val="right"/>
        </m:oMathParaPr>
        <m:oMath>
          <m:sSub>
            <m:sSubPr>
              <m:ctrlPr>
                <w:rPr>
                  <w:rFonts w:ascii="Cambria Math" w:hAnsi="Cambria Math" w:cs="Times New Roman"/>
                  <w:i/>
                  <w:lang w:val="nb-NO"/>
                </w:rPr>
              </m:ctrlPr>
            </m:sSubPr>
            <m:e>
              <m:r>
                <w:rPr>
                  <w:rFonts w:ascii="Cambria Math" w:hAnsi="Cambria Math" w:cs="Times New Roman"/>
                  <w:lang w:val="nb-NO"/>
                </w:rPr>
                <m:t>P</m:t>
              </m:r>
            </m:e>
            <m:sub>
              <m:r>
                <w:rPr>
                  <w:rFonts w:ascii="Cambria Math" w:hAnsi="Cambria Math" w:cs="Times New Roman"/>
                  <w:lang w:val="nb-NO"/>
                </w:rPr>
                <m:t>PV</m:t>
              </m:r>
            </m:sub>
          </m:sSub>
          <m:r>
            <w:rPr>
              <w:rFonts w:ascii="Cambria Math" w:hAnsi="Cambria Math" w:cs="Times New Roman"/>
              <w:lang w:val="nb-NO"/>
            </w:rPr>
            <m:t>=</m:t>
          </m:r>
          <m:sSub>
            <m:sSubPr>
              <m:ctrlPr>
                <w:rPr>
                  <w:rFonts w:ascii="Cambria Math" w:hAnsi="Cambria Math" w:cs="Times New Roman"/>
                  <w:i/>
                  <w:lang w:val="nb-NO"/>
                </w:rPr>
              </m:ctrlPr>
            </m:sSubPr>
            <m:e>
              <m:r>
                <w:rPr>
                  <w:rFonts w:ascii="Cambria Math" w:hAnsi="Cambria Math" w:cs="Times New Roman"/>
                  <w:lang w:val="nb-NO"/>
                </w:rPr>
                <m:t>V</m:t>
              </m:r>
            </m:e>
            <m:sub>
              <m:r>
                <w:rPr>
                  <w:rFonts w:ascii="Cambria Math" w:hAnsi="Cambria Math" w:cs="Times New Roman"/>
                  <w:lang w:val="nb-NO"/>
                </w:rPr>
                <m:t>PV</m:t>
              </m:r>
            </m:sub>
          </m:sSub>
          <m:r>
            <w:rPr>
              <w:rFonts w:ascii="Cambria Math" w:hAnsi="Cambria Math" w:cs="Times New Roman"/>
              <w:lang w:val="nb-NO"/>
            </w:rPr>
            <m:t>∙</m:t>
          </m:r>
          <m:sSub>
            <m:sSubPr>
              <m:ctrlPr>
                <w:rPr>
                  <w:rFonts w:ascii="Cambria Math" w:hAnsi="Cambria Math" w:cs="Times New Roman"/>
                  <w:i/>
                  <w:lang w:val="nb-NO"/>
                </w:rPr>
              </m:ctrlPr>
            </m:sSubPr>
            <m:e>
              <m:r>
                <w:rPr>
                  <w:rFonts w:ascii="Cambria Math" w:hAnsi="Cambria Math" w:cs="Times New Roman"/>
                  <w:lang w:val="nb-NO"/>
                </w:rPr>
                <m:t>I</m:t>
              </m:r>
            </m:e>
            <m:sub>
              <m:r>
                <w:rPr>
                  <w:rFonts w:ascii="Cambria Math" w:hAnsi="Cambria Math" w:cs="Times New Roman"/>
                  <w:lang w:val="nb-NO"/>
                </w:rPr>
                <m:t>PV</m:t>
              </m:r>
            </m:sub>
          </m:sSub>
          <m:r>
            <w:rPr>
              <w:rFonts w:ascii="Cambria Math" w:eastAsiaTheme="minorEastAsia" w:hAnsi="Cambria Math" w:cs="Times New Roman"/>
              <w:lang w:val="nb-NO"/>
            </w:rPr>
            <m:t xml:space="preserve">                                                                   (16)</m:t>
          </m:r>
        </m:oMath>
      </m:oMathPara>
    </w:p>
    <w:p w14:paraId="0ED283B0" w14:textId="77777777" w:rsidR="0099669C" w:rsidRPr="00DE6DEE" w:rsidRDefault="0099669C" w:rsidP="0099669C">
      <w:pPr>
        <w:rPr>
          <w:rFonts w:cs="Times New Roman"/>
          <w:lang w:val="en-US"/>
        </w:rPr>
      </w:pPr>
      <w:r w:rsidRPr="00DE6DEE">
        <w:rPr>
          <w:rFonts w:cs="Times New Roman"/>
          <w:lang w:val="en-US"/>
        </w:rPr>
        <w:t xml:space="preserve">Where </w:t>
      </w:r>
      <m:oMath>
        <m:sSub>
          <m:sSubPr>
            <m:ctrlPr>
              <w:rPr>
                <w:rFonts w:ascii="Cambria Math" w:hAnsi="Cambria Math" w:cs="Times New Roman"/>
                <w:i/>
                <w:lang w:val="nb-NO"/>
              </w:rPr>
            </m:ctrlPr>
          </m:sSubPr>
          <m:e>
            <m:r>
              <w:rPr>
                <w:rFonts w:ascii="Cambria Math" w:hAnsi="Cambria Math" w:cs="Times New Roman"/>
                <w:lang w:val="nb-NO"/>
              </w:rPr>
              <m:t>V</m:t>
            </m:r>
          </m:e>
          <m:sub>
            <m:r>
              <w:rPr>
                <w:rFonts w:ascii="Cambria Math" w:hAnsi="Cambria Math" w:cs="Times New Roman"/>
                <w:lang w:val="nb-NO"/>
              </w:rPr>
              <m:t>PV</m:t>
            </m:r>
          </m:sub>
        </m:sSub>
      </m:oMath>
      <w:r w:rsidRPr="00DE6DEE">
        <w:rPr>
          <w:rFonts w:eastAsiaTheme="minorEastAsia" w:cs="Times New Roman"/>
          <w:lang w:val="en-US"/>
        </w:rPr>
        <w:t xml:space="preserve"> is the output voltage and </w:t>
      </w:r>
      <m:oMath>
        <m:sSub>
          <m:sSubPr>
            <m:ctrlPr>
              <w:rPr>
                <w:rFonts w:ascii="Cambria Math" w:hAnsi="Cambria Math" w:cs="Times New Roman"/>
                <w:i/>
                <w:lang w:val="nb-NO"/>
              </w:rPr>
            </m:ctrlPr>
          </m:sSubPr>
          <m:e>
            <m:r>
              <w:rPr>
                <w:rFonts w:ascii="Cambria Math" w:hAnsi="Cambria Math" w:cs="Times New Roman"/>
                <w:lang w:val="nb-NO"/>
              </w:rPr>
              <m:t>I</m:t>
            </m:r>
          </m:e>
          <m:sub>
            <m:r>
              <w:rPr>
                <w:rFonts w:ascii="Cambria Math" w:hAnsi="Cambria Math" w:cs="Times New Roman"/>
                <w:lang w:val="nb-NO"/>
              </w:rPr>
              <m:t>PV</m:t>
            </m:r>
          </m:sub>
        </m:sSub>
      </m:oMath>
      <w:r w:rsidRPr="00DE6DEE">
        <w:rPr>
          <w:rFonts w:eastAsiaTheme="minorEastAsia" w:cs="Times New Roman"/>
          <w:lang w:val="en-US"/>
        </w:rPr>
        <w:t xml:space="preserve"> is the output current. </w:t>
      </w:r>
      <w:r w:rsidRPr="00DE6DEE">
        <w:rPr>
          <w:rFonts w:cs="Times New Roman"/>
          <w:lang w:val="en-US"/>
        </w:rPr>
        <w:t xml:space="preserve">The five-parameter model allows for determining the maximum power </w:t>
      </w:r>
      <m:oMath>
        <m:sSub>
          <m:sSubPr>
            <m:ctrlPr>
              <w:rPr>
                <w:rFonts w:ascii="Cambria Math" w:hAnsi="Cambria Math" w:cs="Times New Roman"/>
              </w:rPr>
            </m:ctrlPr>
          </m:sSubPr>
          <m:e>
            <m:r>
              <w:rPr>
                <w:rFonts w:ascii="Cambria Math" w:hAnsi="Cambria Math" w:cs="Times New Roman"/>
              </w:rPr>
              <m:t>P</m:t>
            </m:r>
          </m:e>
          <m:sub>
            <m:r>
              <w:rPr>
                <w:rFonts w:ascii="Cambria Math" w:hAnsi="Cambria Math" w:cs="Times New Roman"/>
              </w:rPr>
              <m:t>mp</m:t>
            </m:r>
          </m:sub>
        </m:sSub>
        <m:r>
          <w:rPr>
            <w:rFonts w:ascii="Cambria Math" w:hAnsi="Cambria Math" w:cs="Times New Roman"/>
            <w:lang w:val="en-US"/>
          </w:rPr>
          <m:t xml:space="preserve"> </m:t>
        </m:r>
      </m:oMath>
      <w:r w:rsidRPr="00DE6DEE">
        <w:rPr>
          <w:rFonts w:cs="Times New Roman"/>
          <w:lang w:val="en-US"/>
        </w:rPr>
        <w:t xml:space="preserve">and the electrical efficiency </w:t>
      </w:r>
      <m:oMath>
        <m:sSub>
          <m:sSubPr>
            <m:ctrlPr>
              <w:rPr>
                <w:rFonts w:ascii="Cambria Math" w:hAnsi="Cambria Math" w:cs="Times New Roman"/>
              </w:rPr>
            </m:ctrlPr>
          </m:sSubPr>
          <m:e>
            <m:r>
              <w:rPr>
                <w:rFonts w:ascii="Cambria Math" w:hAnsi="Cambria Math" w:cs="Times New Roman"/>
              </w:rPr>
              <m:t>η</m:t>
            </m:r>
          </m:e>
          <m:sub>
            <m:r>
              <w:rPr>
                <w:rFonts w:ascii="Cambria Math" w:hAnsi="Cambria Math" w:cs="Times New Roman"/>
              </w:rPr>
              <m:t>el</m:t>
            </m:r>
          </m:sub>
        </m:sSub>
      </m:oMath>
      <w:r w:rsidRPr="00DE6DEE">
        <w:rPr>
          <w:rFonts w:eastAsiaTheme="minorEastAsia" w:cs="Times New Roman"/>
          <w:lang w:val="en-US"/>
        </w:rPr>
        <w:t xml:space="preserve"> Eq. (17) </w:t>
      </w:r>
      <w:r w:rsidRPr="00DE6DEE">
        <w:rPr>
          <w:rFonts w:cs="Times New Roman"/>
          <w:lang w:val="en-US"/>
        </w:rPr>
        <w:t xml:space="preserve">of the module under real operating conditions, defined by the solar irradiance </w:t>
      </w:r>
      <m:oMath>
        <m:r>
          <w:rPr>
            <w:rFonts w:ascii="Cambria Math" w:hAnsi="Cambria Math" w:cs="Times New Roman"/>
          </w:rPr>
          <m:t>G</m:t>
        </m:r>
      </m:oMath>
      <w:r w:rsidRPr="00DE6DEE">
        <w:rPr>
          <w:rFonts w:cs="Times New Roman"/>
          <w:lang w:val="en-US"/>
        </w:rPr>
        <w:t xml:space="preserve">and cell temperature </w:t>
      </w:r>
      <m:oMath>
        <m:sSub>
          <m:sSubPr>
            <m:ctrlPr>
              <w:rPr>
                <w:rFonts w:ascii="Cambria Math" w:hAnsi="Cambria Math" w:cs="Times New Roman"/>
              </w:rPr>
            </m:ctrlPr>
          </m:sSubPr>
          <m:e>
            <m:r>
              <w:rPr>
                <w:rFonts w:ascii="Cambria Math" w:hAnsi="Cambria Math" w:cs="Times New Roman"/>
              </w:rPr>
              <m:t>T</m:t>
            </m:r>
          </m:e>
          <m:sub>
            <m:r>
              <w:rPr>
                <w:rFonts w:ascii="Cambria Math" w:hAnsi="Cambria Math" w:cs="Times New Roman"/>
              </w:rPr>
              <m:t>c</m:t>
            </m:r>
          </m:sub>
        </m:sSub>
      </m:oMath>
      <w:r w:rsidRPr="00DE6DEE">
        <w:rPr>
          <w:rFonts w:cs="Times New Roman"/>
          <w:lang w:val="en-US"/>
        </w:rPr>
        <w:t>:</w:t>
      </w:r>
    </w:p>
    <w:p w14:paraId="3D12BC19" w14:textId="524A05D7" w:rsidR="0099669C" w:rsidRPr="00DE6DEE" w:rsidRDefault="00000000" w:rsidP="0099669C">
      <w:pPr>
        <w:rPr>
          <w:rFonts w:eastAsiaTheme="minorEastAsia" w:cs="Times New Roman"/>
          <w:lang w:val="nb-NO"/>
        </w:rPr>
      </w:pPr>
      <m:oMathPara>
        <m:oMathParaPr>
          <m:jc m:val="right"/>
        </m:oMathParaPr>
        <m:oMath>
          <m:sSub>
            <m:sSubPr>
              <m:ctrlPr>
                <w:rPr>
                  <w:rFonts w:ascii="Cambria Math" w:hAnsi="Cambria Math" w:cs="Times New Roman"/>
                  <w:i/>
                  <w:lang w:val="nb-NO"/>
                </w:rPr>
              </m:ctrlPr>
            </m:sSubPr>
            <m:e>
              <m:r>
                <w:rPr>
                  <w:rFonts w:ascii="Cambria Math" w:hAnsi="Cambria Math" w:cs="Times New Roman"/>
                  <w:lang w:val="nb-NO"/>
                </w:rPr>
                <m:t>η</m:t>
              </m:r>
            </m:e>
            <m:sub>
              <m:r>
                <w:rPr>
                  <w:rFonts w:ascii="Cambria Math" w:hAnsi="Cambria Math" w:cs="Times New Roman"/>
                  <w:lang w:val="nb-NO"/>
                </w:rPr>
                <m:t>el</m:t>
              </m:r>
            </m:sub>
          </m:sSub>
          <m:r>
            <w:rPr>
              <w:rFonts w:ascii="Cambria Math" w:hAnsi="Cambria Math" w:cs="Times New Roman"/>
              <w:lang w:val="nb-NO"/>
            </w:rPr>
            <m:t>=</m:t>
          </m:r>
          <m:f>
            <m:fPr>
              <m:ctrlPr>
                <w:rPr>
                  <w:rFonts w:ascii="Cambria Math" w:hAnsi="Cambria Math" w:cs="Times New Roman"/>
                  <w:i/>
                  <w:lang w:val="nb-NO"/>
                </w:rPr>
              </m:ctrlPr>
            </m:fPr>
            <m:num>
              <m:sSub>
                <m:sSubPr>
                  <m:ctrlPr>
                    <w:rPr>
                      <w:rFonts w:ascii="Cambria Math" w:hAnsi="Cambria Math" w:cs="Times New Roman"/>
                      <w:i/>
                      <w:lang w:val="nb-NO"/>
                    </w:rPr>
                  </m:ctrlPr>
                </m:sSubPr>
                <m:e>
                  <m:r>
                    <w:rPr>
                      <w:rFonts w:ascii="Cambria Math" w:hAnsi="Cambria Math" w:cs="Times New Roman"/>
                      <w:lang w:val="nb-NO"/>
                    </w:rPr>
                    <m:t>P</m:t>
                  </m:r>
                </m:e>
                <m:sub>
                  <m:r>
                    <w:rPr>
                      <w:rFonts w:ascii="Cambria Math" w:hAnsi="Cambria Math" w:cs="Times New Roman"/>
                      <w:lang w:val="nb-NO"/>
                    </w:rPr>
                    <m:t>mp</m:t>
                  </m:r>
                </m:sub>
              </m:sSub>
            </m:num>
            <m:den>
              <m:sSub>
                <m:sSubPr>
                  <m:ctrlPr>
                    <w:rPr>
                      <w:rFonts w:ascii="Cambria Math" w:hAnsi="Cambria Math" w:cs="Times New Roman"/>
                      <w:i/>
                      <w:lang w:val="nb-NO"/>
                    </w:rPr>
                  </m:ctrlPr>
                </m:sSubPr>
                <m:e>
                  <m:r>
                    <w:rPr>
                      <w:rFonts w:ascii="Cambria Math" w:hAnsi="Cambria Math" w:cs="Times New Roman"/>
                      <w:lang w:val="nb-NO"/>
                    </w:rPr>
                    <m:t>A</m:t>
                  </m:r>
                </m:e>
                <m:sub>
                  <m:r>
                    <w:rPr>
                      <w:rFonts w:ascii="Cambria Math" w:hAnsi="Cambria Math" w:cs="Times New Roman"/>
                      <w:lang w:val="nb-NO"/>
                    </w:rPr>
                    <m:t>PV</m:t>
                  </m:r>
                </m:sub>
              </m:sSub>
              <m:r>
                <w:rPr>
                  <w:rFonts w:ascii="Cambria Math" w:hAnsi="Cambria Math" w:cs="Times New Roman"/>
                  <w:lang w:val="nb-NO"/>
                </w:rPr>
                <m:t>G</m:t>
              </m:r>
            </m:den>
          </m:f>
          <m:r>
            <w:rPr>
              <w:rFonts w:ascii="Cambria Math" w:hAnsi="Cambria Math" w:cs="Times New Roman"/>
              <w:lang w:val="nb-NO"/>
            </w:rPr>
            <m:t xml:space="preserve">                                                                             (17)</m:t>
          </m:r>
        </m:oMath>
      </m:oMathPara>
    </w:p>
    <w:p w14:paraId="12C6D7A9" w14:textId="77777777" w:rsidR="0099669C" w:rsidRPr="00DE6DEE" w:rsidRDefault="0099669C" w:rsidP="0099669C">
      <w:pPr>
        <w:rPr>
          <w:rFonts w:eastAsiaTheme="minorEastAsia" w:cs="Times New Roman"/>
          <w:lang w:val="en-US"/>
        </w:rPr>
      </w:pPr>
      <w:r w:rsidRPr="00DE6DEE">
        <w:rPr>
          <w:rFonts w:eastAsiaTheme="minorEastAsia" w:cs="Times New Roman"/>
          <w:lang w:val="en-US"/>
        </w:rPr>
        <w:lastRenderedPageBreak/>
        <w:t>The overall efficiency of the PV/PCM system is then expressed in Eq. (18) as the sum of the electrical and thermal efficiencies:</w:t>
      </w:r>
    </w:p>
    <w:p w14:paraId="714C3A4B" w14:textId="77777777" w:rsidR="0099669C" w:rsidRPr="00DE6DEE" w:rsidRDefault="00000000" w:rsidP="0099669C">
      <w:pPr>
        <w:rPr>
          <w:rFonts w:eastAsiaTheme="minorEastAsia" w:cs="Times New Roman"/>
          <w:lang w:val="nb-NO"/>
        </w:rPr>
      </w:pPr>
      <m:oMathPara>
        <m:oMathParaPr>
          <m:jc m:val="right"/>
        </m:oMathParaPr>
        <m:oMath>
          <m:sSub>
            <m:sSubPr>
              <m:ctrlPr>
                <w:rPr>
                  <w:rFonts w:ascii="Cambria Math" w:eastAsiaTheme="minorEastAsia" w:hAnsi="Cambria Math" w:cs="Times New Roman"/>
                  <w:i/>
                  <w:lang w:val="nb-NO"/>
                </w:rPr>
              </m:ctrlPr>
            </m:sSubPr>
            <m:e>
              <m:r>
                <w:rPr>
                  <w:rFonts w:ascii="Cambria Math" w:eastAsiaTheme="minorEastAsia" w:hAnsi="Cambria Math" w:cs="Times New Roman"/>
                  <w:lang w:val="nb-NO"/>
                </w:rPr>
                <m:t>η</m:t>
              </m:r>
            </m:e>
            <m:sub>
              <m:r>
                <w:rPr>
                  <w:rFonts w:ascii="Cambria Math" w:eastAsiaTheme="minorEastAsia" w:hAnsi="Cambria Math" w:cs="Times New Roman"/>
                  <w:lang w:val="nb-NO"/>
                </w:rPr>
                <m:t>Ov</m:t>
              </m:r>
            </m:sub>
          </m:sSub>
          <m:r>
            <w:rPr>
              <w:rFonts w:ascii="Cambria Math" w:eastAsiaTheme="minorEastAsia" w:hAnsi="Cambria Math" w:cs="Times New Roman"/>
              <w:lang w:val="nb-NO"/>
            </w:rPr>
            <m:t>=</m:t>
          </m:r>
          <m:sSub>
            <m:sSubPr>
              <m:ctrlPr>
                <w:rPr>
                  <w:rFonts w:ascii="Cambria Math" w:eastAsiaTheme="minorEastAsia" w:hAnsi="Cambria Math" w:cs="Times New Roman"/>
                  <w:i/>
                  <w:lang w:val="nb-NO"/>
                </w:rPr>
              </m:ctrlPr>
            </m:sSubPr>
            <m:e>
              <m:r>
                <w:rPr>
                  <w:rFonts w:ascii="Cambria Math" w:eastAsiaTheme="minorEastAsia" w:hAnsi="Cambria Math" w:cs="Times New Roman"/>
                  <w:lang w:val="nb-NO"/>
                </w:rPr>
                <m:t>η</m:t>
              </m:r>
            </m:e>
            <m:sub>
              <m:r>
                <w:rPr>
                  <w:rFonts w:ascii="Cambria Math" w:eastAsiaTheme="minorEastAsia" w:hAnsi="Cambria Math" w:cs="Times New Roman"/>
                  <w:lang w:val="nb-NO"/>
                </w:rPr>
                <m:t>el</m:t>
              </m:r>
            </m:sub>
          </m:sSub>
          <m:r>
            <w:rPr>
              <w:rFonts w:ascii="Cambria Math" w:eastAsiaTheme="minorEastAsia" w:hAnsi="Cambria Math" w:cs="Times New Roman"/>
              <w:lang w:val="nb-NO"/>
            </w:rPr>
            <m:t>+</m:t>
          </m:r>
          <m:sSub>
            <m:sSubPr>
              <m:ctrlPr>
                <w:rPr>
                  <w:rFonts w:ascii="Cambria Math" w:eastAsiaTheme="minorEastAsia" w:hAnsi="Cambria Math" w:cs="Times New Roman"/>
                  <w:i/>
                  <w:lang w:val="nb-NO"/>
                </w:rPr>
              </m:ctrlPr>
            </m:sSubPr>
            <m:e>
              <m:r>
                <w:rPr>
                  <w:rFonts w:ascii="Cambria Math" w:eastAsiaTheme="minorEastAsia" w:hAnsi="Cambria Math" w:cs="Times New Roman"/>
                  <w:lang w:val="nb-NO"/>
                </w:rPr>
                <m:t>η</m:t>
              </m:r>
            </m:e>
            <m:sub>
              <m:r>
                <w:rPr>
                  <w:rFonts w:ascii="Cambria Math" w:eastAsiaTheme="minorEastAsia" w:hAnsi="Cambria Math" w:cs="Times New Roman"/>
                  <w:lang w:val="nb-NO"/>
                </w:rPr>
                <m:t>th</m:t>
              </m:r>
            </m:sub>
          </m:sSub>
          <m:r>
            <w:rPr>
              <w:rFonts w:ascii="Cambria Math" w:eastAsiaTheme="minorEastAsia" w:hAnsi="Cambria Math" w:cs="Times New Roman"/>
              <w:lang w:val="nb-NO"/>
            </w:rPr>
            <m:t xml:space="preserve">                                                                                  (18)</m:t>
          </m:r>
        </m:oMath>
      </m:oMathPara>
    </w:p>
    <w:p w14:paraId="14654F87" w14:textId="77777777" w:rsidR="0099669C" w:rsidRPr="00DE6DEE" w:rsidRDefault="0099669C" w:rsidP="0099669C">
      <w:pPr>
        <w:rPr>
          <w:rFonts w:cs="Times New Roman"/>
          <w:lang w:val="en-US"/>
        </w:rPr>
      </w:pPr>
      <w:r w:rsidRPr="00DE6DEE">
        <w:rPr>
          <w:rFonts w:cs="Times New Roman"/>
          <w:u w:val="single"/>
          <w:lang w:val="en-US"/>
        </w:rPr>
        <w:t>Simplied model</w:t>
      </w:r>
      <w:r w:rsidRPr="00DE6DEE">
        <w:rPr>
          <w:lang w:val="en-US"/>
        </w:rPr>
        <w:t xml:space="preserve">. </w:t>
      </w:r>
      <w:r w:rsidRPr="00DE6DEE">
        <w:rPr>
          <w:rFonts w:cs="Times New Roman"/>
          <w:lang w:val="en-US"/>
        </w:rPr>
        <w:t>A simplified model for calculating performance indicators of PV–PCM systems. In this context, the energy balance for a PV system is expressed by the following equation Eq. (19).</w:t>
      </w:r>
    </w:p>
    <w:p w14:paraId="0DA8A053" w14:textId="77777777" w:rsidR="0099669C" w:rsidRPr="00DE6DEE" w:rsidRDefault="00000000" w:rsidP="0099669C">
      <w:pPr>
        <w:rPr>
          <w:rFonts w:eastAsiaTheme="minorEastAsia" w:cs="Times New Roman"/>
        </w:rPr>
      </w:pPr>
      <m:oMathPara>
        <m:oMathParaPr>
          <m:jc m:val="right"/>
        </m:oMathParaPr>
        <m:oMath>
          <m:sSub>
            <m:sSubPr>
              <m:ctrlPr>
                <w:rPr>
                  <w:rFonts w:ascii="Cambria Math" w:hAnsi="Cambria Math"/>
                  <w:i/>
                </w:rPr>
              </m:ctrlPr>
            </m:sSubPr>
            <m:e>
              <m:r>
                <w:rPr>
                  <w:rFonts w:ascii="Cambria Math" w:hAnsi="Cambria Math"/>
                </w:rPr>
                <m:t>Q</m:t>
              </m:r>
            </m:e>
            <m:sub>
              <m:r>
                <w:rPr>
                  <w:rFonts w:ascii="Cambria Math" w:hAnsi="Cambria Math"/>
                </w:rPr>
                <m:t>SOLAR</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Q</m:t>
              </m:r>
            </m:e>
            <m:sub>
              <m:r>
                <w:rPr>
                  <w:rFonts w:ascii="Cambria Math" w:eastAsiaTheme="minorEastAsia" w:hAnsi="Cambria Math"/>
                </w:rPr>
                <m:t>ELEC</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Q</m:t>
              </m:r>
            </m:e>
            <m:sub>
              <m:r>
                <w:rPr>
                  <w:rFonts w:ascii="Cambria Math" w:eastAsiaTheme="minorEastAsia" w:hAnsi="Cambria Math"/>
                </w:rPr>
                <m:t>LOST</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Q</m:t>
              </m:r>
            </m:e>
            <m:sub>
              <m:r>
                <w:rPr>
                  <w:rFonts w:ascii="Cambria Math" w:eastAsiaTheme="minorEastAsia" w:hAnsi="Cambria Math"/>
                </w:rPr>
                <m:t>STORED</m:t>
              </m:r>
            </m:sub>
          </m:sSub>
          <m:r>
            <w:rPr>
              <w:rFonts w:ascii="Cambria Math" w:eastAsiaTheme="minorEastAsia" w:hAnsi="Cambria Math" w:cs="Times New Roman"/>
            </w:rPr>
            <m:t xml:space="preserve">                                                          (19)</m:t>
          </m:r>
        </m:oMath>
      </m:oMathPara>
    </w:p>
    <w:p w14:paraId="191B3F0F" w14:textId="5D0A532D" w:rsidR="0099669C" w:rsidRPr="00DE6DEE" w:rsidRDefault="0099669C" w:rsidP="0099669C">
      <w:pPr>
        <w:rPr>
          <w:rFonts w:eastAsiaTheme="minorEastAsia" w:cs="Times New Roman"/>
          <w:lang w:val="en-US"/>
        </w:rPr>
      </w:pPr>
      <w:r w:rsidRPr="00DE6DEE">
        <w:rPr>
          <w:rFonts w:eastAsiaTheme="minorEastAsia" w:cs="Times New Roman"/>
          <w:lang w:val="en-US"/>
        </w:rPr>
        <w:t xml:space="preserve">Where </w:t>
      </w:r>
      <m:oMath>
        <m:sSub>
          <m:sSubPr>
            <m:ctrlPr>
              <w:rPr>
                <w:rFonts w:ascii="Cambria Math" w:eastAsiaTheme="minorEastAsia" w:hAnsi="Cambria Math"/>
                <w:i/>
              </w:rPr>
            </m:ctrlPr>
          </m:sSubPr>
          <m:e>
            <m:r>
              <w:rPr>
                <w:rFonts w:ascii="Cambria Math" w:eastAsiaTheme="minorEastAsia" w:hAnsi="Cambria Math"/>
              </w:rPr>
              <m:t>Q</m:t>
            </m:r>
          </m:e>
          <m:sub>
            <m:r>
              <w:rPr>
                <w:rFonts w:ascii="Cambria Math" w:eastAsiaTheme="minorEastAsia" w:hAnsi="Cambria Math"/>
              </w:rPr>
              <m:t>SOLAR</m:t>
            </m:r>
          </m:sub>
        </m:sSub>
      </m:oMath>
      <w:r w:rsidRPr="00DE6DEE">
        <w:rPr>
          <w:rFonts w:eastAsiaTheme="minorEastAsia" w:cs="Times New Roman"/>
          <w:lang w:val="en-US"/>
        </w:rPr>
        <w:t xml:space="preserve"> is the solar energy incident on </w:t>
      </w:r>
      <w:r w:rsidR="00C07D17">
        <w:rPr>
          <w:rFonts w:eastAsiaTheme="minorEastAsia" w:cs="Times New Roman"/>
          <w:lang w:val="en-US"/>
        </w:rPr>
        <w:t xml:space="preserve">the </w:t>
      </w:r>
      <w:r w:rsidRPr="00DE6DEE">
        <w:rPr>
          <w:rFonts w:eastAsiaTheme="minorEastAsia" w:cs="Times New Roman"/>
          <w:lang w:val="en-US"/>
        </w:rPr>
        <w:t xml:space="preserve">PV </w:t>
      </w:r>
      <w:r w:rsidR="00C07D17">
        <w:rPr>
          <w:rFonts w:eastAsiaTheme="minorEastAsia" w:cs="Times New Roman"/>
          <w:lang w:val="en-US"/>
        </w:rPr>
        <w:t>module</w:t>
      </w:r>
      <w:r w:rsidRPr="00DE6DEE">
        <w:rPr>
          <w:rFonts w:eastAsiaTheme="minorEastAsia" w:cs="Times New Roman"/>
          <w:lang w:val="en-US"/>
        </w:rPr>
        <w:t xml:space="preserve">,  </w:t>
      </w:r>
      <m:oMath>
        <m:sSub>
          <m:sSubPr>
            <m:ctrlPr>
              <w:rPr>
                <w:rFonts w:ascii="Cambria Math" w:eastAsiaTheme="minorEastAsia" w:hAnsi="Cambria Math"/>
                <w:i/>
              </w:rPr>
            </m:ctrlPr>
          </m:sSubPr>
          <m:e>
            <m:r>
              <w:rPr>
                <w:rFonts w:ascii="Cambria Math" w:eastAsiaTheme="minorEastAsia" w:hAnsi="Cambria Math"/>
              </w:rPr>
              <m:t>Q</m:t>
            </m:r>
          </m:e>
          <m:sub>
            <m:r>
              <w:rPr>
                <w:rFonts w:ascii="Cambria Math" w:eastAsiaTheme="minorEastAsia" w:hAnsi="Cambria Math"/>
              </w:rPr>
              <m:t>ELEC</m:t>
            </m:r>
          </m:sub>
        </m:sSub>
        <m:r>
          <w:rPr>
            <w:rFonts w:ascii="Cambria Math" w:eastAsiaTheme="minorEastAsia" w:hAnsi="Cambria Math"/>
            <w:lang w:val="en-US"/>
          </w:rPr>
          <m:t xml:space="preserve"> </m:t>
        </m:r>
      </m:oMath>
      <w:r w:rsidRPr="00DE6DEE">
        <w:rPr>
          <w:rFonts w:eastAsiaTheme="minorEastAsia" w:cs="Times New Roman"/>
          <w:lang w:val="en-US"/>
        </w:rPr>
        <w:t xml:space="preserve">is the electricity output, </w:t>
      </w:r>
      <m:oMath>
        <m:sSub>
          <m:sSubPr>
            <m:ctrlPr>
              <w:rPr>
                <w:rFonts w:ascii="Cambria Math" w:eastAsia="Cambria Math" w:hAnsi="Cambria Math" w:cs="Cambria Math"/>
                <w:i/>
              </w:rPr>
            </m:ctrlPr>
          </m:sSubPr>
          <m:e>
            <m:r>
              <w:rPr>
                <w:rFonts w:ascii="Cambria Math" w:eastAsia="Cambria Math" w:hAnsi="Cambria Math" w:cs="Cambria Math"/>
              </w:rPr>
              <m:t>Q</m:t>
            </m:r>
          </m:e>
          <m:sub>
            <m:r>
              <w:rPr>
                <w:rFonts w:ascii="Cambria Math" w:eastAsia="Cambria Math" w:hAnsi="Cambria Math" w:cs="Cambria Math"/>
              </w:rPr>
              <m:t>LOST</m:t>
            </m:r>
          </m:sub>
        </m:sSub>
      </m:oMath>
      <w:r w:rsidRPr="00DE6DEE">
        <w:rPr>
          <w:rFonts w:eastAsiaTheme="minorEastAsia" w:cs="Times New Roman"/>
          <w:lang w:val="en-US"/>
        </w:rPr>
        <w:t xml:space="preserve"> is the thermal energy lost and </w:t>
      </w:r>
      <m:oMath>
        <m:sSub>
          <m:sSubPr>
            <m:ctrlPr>
              <w:rPr>
                <w:rFonts w:ascii="Cambria Math" w:eastAsia="Cambria Math" w:hAnsi="Cambria Math" w:cs="Cambria Math"/>
                <w:i/>
              </w:rPr>
            </m:ctrlPr>
          </m:sSubPr>
          <m:e>
            <m:r>
              <w:rPr>
                <w:rFonts w:ascii="Cambria Math" w:eastAsia="Cambria Math" w:hAnsi="Cambria Math" w:cs="Cambria Math"/>
              </w:rPr>
              <m:t>Q</m:t>
            </m:r>
          </m:e>
          <m:sub>
            <m:r>
              <w:rPr>
                <w:rFonts w:ascii="Cambria Math" w:eastAsia="Cambria Math" w:hAnsi="Cambria Math" w:cs="Cambria Math"/>
              </w:rPr>
              <m:t>STORED</m:t>
            </m:r>
          </m:sub>
        </m:sSub>
      </m:oMath>
      <w:r w:rsidRPr="00DE6DEE">
        <w:rPr>
          <w:rFonts w:eastAsiaTheme="minorEastAsia" w:cs="Times New Roman"/>
          <w:lang w:val="en-US"/>
        </w:rPr>
        <w:t xml:space="preserve"> is the thermal energy stored. The heat lost and stored by a system integrated with PCM are calculated in Eq. (20) and Eq. (21), respectively, as:</w:t>
      </w:r>
    </w:p>
    <w:p w14:paraId="454EF10D" w14:textId="77777777" w:rsidR="0099669C" w:rsidRPr="00DE6DEE" w:rsidRDefault="00000000" w:rsidP="0099669C">
      <w:pPr>
        <w:rPr>
          <w:rFonts w:eastAsiaTheme="minorEastAsia" w:cs="Times New Roman"/>
          <w:lang w:val="nb-NO"/>
        </w:rPr>
      </w:pPr>
      <m:oMathPara>
        <m:oMathParaPr>
          <m:jc m:val="right"/>
        </m:oMathParaPr>
        <m:oMath>
          <m:sSub>
            <m:sSubPr>
              <m:ctrlPr>
                <w:rPr>
                  <w:rFonts w:ascii="Cambria Math" w:eastAsiaTheme="minorEastAsia" w:hAnsi="Cambria Math" w:cs="Times New Roman"/>
                  <w:i/>
                  <w:lang w:val="nb-NO"/>
                </w:rPr>
              </m:ctrlPr>
            </m:sSubPr>
            <m:e>
              <m:r>
                <w:rPr>
                  <w:rFonts w:ascii="Cambria Math" w:eastAsiaTheme="minorEastAsia" w:hAnsi="Cambria Math" w:cs="Times New Roman"/>
                  <w:lang w:val="nb-NO"/>
                </w:rPr>
                <m:t>Q</m:t>
              </m:r>
            </m:e>
            <m:sub>
              <m:r>
                <w:rPr>
                  <w:rFonts w:ascii="Cambria Math" w:eastAsiaTheme="minorEastAsia" w:hAnsi="Cambria Math" w:cs="Times New Roman"/>
                  <w:lang w:val="nb-NO"/>
                </w:rPr>
                <m:t>LOST,PV-PCM</m:t>
              </m:r>
            </m:sub>
          </m:sSub>
          <m:r>
            <w:rPr>
              <w:rFonts w:ascii="Cambria Math" w:eastAsiaTheme="minorEastAsia" w:hAnsi="Cambria Math" w:cs="Times New Roman"/>
              <w:lang w:val="nb-NO"/>
            </w:rPr>
            <m:t>=G</m:t>
          </m:r>
          <m:sSub>
            <m:sSubPr>
              <m:ctrlPr>
                <w:rPr>
                  <w:rFonts w:ascii="Cambria Math" w:eastAsiaTheme="minorEastAsia" w:hAnsi="Cambria Math" w:cs="Times New Roman"/>
                  <w:i/>
                  <w:lang w:val="nb-NO"/>
                </w:rPr>
              </m:ctrlPr>
            </m:sSubPr>
            <m:e>
              <m:r>
                <w:rPr>
                  <w:rFonts w:ascii="Cambria Math" w:eastAsiaTheme="minorEastAsia" w:hAnsi="Cambria Math" w:cs="Times New Roman"/>
                  <w:lang w:val="nb-NO"/>
                </w:rPr>
                <m:t>A</m:t>
              </m:r>
            </m:e>
            <m:sub>
              <m:r>
                <w:rPr>
                  <w:rFonts w:ascii="Cambria Math" w:eastAsiaTheme="minorEastAsia" w:hAnsi="Cambria Math" w:cs="Times New Roman"/>
                  <w:lang w:val="nb-NO"/>
                </w:rPr>
                <m:t>PV</m:t>
              </m:r>
            </m:sub>
          </m:sSub>
          <m:d>
            <m:dPr>
              <m:ctrlPr>
                <w:rPr>
                  <w:rFonts w:ascii="Cambria Math" w:eastAsiaTheme="minorEastAsia" w:hAnsi="Cambria Math" w:cs="Times New Roman"/>
                  <w:i/>
                  <w:lang w:val="nb-NO"/>
                </w:rPr>
              </m:ctrlPr>
            </m:dPr>
            <m:e>
              <m:r>
                <w:rPr>
                  <w:rFonts w:ascii="Cambria Math" w:eastAsiaTheme="minorEastAsia" w:hAnsi="Cambria Math" w:cs="Times New Roman"/>
                  <w:lang w:val="nb-NO"/>
                </w:rPr>
                <m:t>1-ατ</m:t>
              </m:r>
            </m:e>
          </m:d>
          <m:r>
            <w:rPr>
              <w:rFonts w:ascii="Cambria Math" w:eastAsiaTheme="minorEastAsia" w:hAnsi="Cambria Math" w:cs="Times New Roman"/>
              <w:lang w:val="nb-NO"/>
            </w:rPr>
            <m:t>+</m:t>
          </m:r>
          <m:sSub>
            <m:sSubPr>
              <m:ctrlPr>
                <w:rPr>
                  <w:rFonts w:ascii="Cambria Math" w:eastAsiaTheme="minorEastAsia" w:hAnsi="Cambria Math" w:cs="Times New Roman"/>
                  <w:i/>
                  <w:lang w:val="nb-NO"/>
                </w:rPr>
              </m:ctrlPr>
            </m:sSubPr>
            <m:e>
              <m:r>
                <w:rPr>
                  <w:rFonts w:ascii="Cambria Math" w:eastAsiaTheme="minorEastAsia" w:hAnsi="Cambria Math" w:cs="Times New Roman"/>
                  <w:lang w:val="nb-NO"/>
                </w:rPr>
                <m:t>h</m:t>
              </m:r>
            </m:e>
            <m:sub>
              <m:r>
                <w:rPr>
                  <w:rFonts w:ascii="Cambria Math" w:eastAsiaTheme="minorEastAsia" w:hAnsi="Cambria Math" w:cs="Times New Roman"/>
                  <w:lang w:val="nb-NO"/>
                </w:rPr>
                <m:t>ac</m:t>
              </m:r>
            </m:sub>
          </m:sSub>
          <m:sSub>
            <m:sSubPr>
              <m:ctrlPr>
                <w:rPr>
                  <w:rFonts w:ascii="Cambria Math" w:eastAsiaTheme="minorEastAsia" w:hAnsi="Cambria Math" w:cs="Times New Roman"/>
                  <w:i/>
                  <w:lang w:val="nb-NO"/>
                </w:rPr>
              </m:ctrlPr>
            </m:sSubPr>
            <m:e>
              <m:r>
                <w:rPr>
                  <w:rFonts w:ascii="Cambria Math" w:eastAsiaTheme="minorEastAsia" w:hAnsi="Cambria Math" w:cs="Times New Roman"/>
                  <w:lang w:val="nb-NO"/>
                </w:rPr>
                <m:t>A</m:t>
              </m:r>
            </m:e>
            <m:sub>
              <m:r>
                <w:rPr>
                  <w:rFonts w:ascii="Cambria Math" w:eastAsiaTheme="minorEastAsia" w:hAnsi="Cambria Math" w:cs="Times New Roman"/>
                  <w:lang w:val="nb-NO"/>
                </w:rPr>
                <m:t>PV-PCM</m:t>
              </m:r>
            </m:sub>
          </m:sSub>
          <m:d>
            <m:dPr>
              <m:ctrlPr>
                <w:rPr>
                  <w:rFonts w:ascii="Cambria Math" w:eastAsiaTheme="minorEastAsia" w:hAnsi="Cambria Math" w:cs="Times New Roman"/>
                  <w:i/>
                  <w:lang w:val="nb-NO"/>
                </w:rPr>
              </m:ctrlPr>
            </m:dPr>
            <m:e>
              <m:sSub>
                <m:sSubPr>
                  <m:ctrlPr>
                    <w:rPr>
                      <w:rFonts w:ascii="Cambria Math" w:eastAsiaTheme="minorEastAsia" w:hAnsi="Cambria Math" w:cs="Times New Roman"/>
                      <w:i/>
                      <w:lang w:val="nb-NO"/>
                    </w:rPr>
                  </m:ctrlPr>
                </m:sSubPr>
                <m:e>
                  <m:r>
                    <w:rPr>
                      <w:rFonts w:ascii="Cambria Math" w:eastAsiaTheme="minorEastAsia" w:hAnsi="Cambria Math" w:cs="Times New Roman"/>
                      <w:lang w:val="nb-NO"/>
                    </w:rPr>
                    <m:t>T</m:t>
                  </m:r>
                </m:e>
                <m:sub>
                  <m:r>
                    <w:rPr>
                      <w:rFonts w:ascii="Cambria Math" w:eastAsiaTheme="minorEastAsia" w:hAnsi="Cambria Math" w:cs="Times New Roman"/>
                      <w:lang w:val="nb-NO"/>
                    </w:rPr>
                    <m:t>PV-PCM</m:t>
                  </m:r>
                </m:sub>
              </m:sSub>
              <m:r>
                <w:rPr>
                  <w:rFonts w:ascii="Cambria Math" w:eastAsiaTheme="minorEastAsia" w:hAnsi="Cambria Math" w:cs="Times New Roman"/>
                  <w:lang w:val="nb-NO"/>
                </w:rPr>
                <m:t>-</m:t>
              </m:r>
              <m:sSub>
                <m:sSubPr>
                  <m:ctrlPr>
                    <w:rPr>
                      <w:rFonts w:ascii="Cambria Math" w:eastAsiaTheme="minorEastAsia" w:hAnsi="Cambria Math" w:cs="Times New Roman"/>
                      <w:i/>
                      <w:lang w:val="nb-NO"/>
                    </w:rPr>
                  </m:ctrlPr>
                </m:sSubPr>
                <m:e>
                  <m:r>
                    <w:rPr>
                      <w:rFonts w:ascii="Cambria Math" w:eastAsiaTheme="minorEastAsia" w:hAnsi="Cambria Math" w:cs="Times New Roman"/>
                      <w:lang w:val="nb-NO"/>
                    </w:rPr>
                    <m:t>T</m:t>
                  </m:r>
                </m:e>
                <m:sub>
                  <m:r>
                    <w:rPr>
                      <w:rFonts w:ascii="Cambria Math" w:eastAsiaTheme="minorEastAsia" w:hAnsi="Cambria Math" w:cs="Times New Roman"/>
                      <w:lang w:val="nb-NO"/>
                    </w:rPr>
                    <m:t>amb</m:t>
                  </m:r>
                </m:sub>
              </m:sSub>
            </m:e>
          </m:d>
          <m:r>
            <w:rPr>
              <w:rFonts w:ascii="Cambria Math" w:eastAsiaTheme="minorEastAsia" w:hAnsi="Cambria Math" w:cs="Times New Roman"/>
              <w:lang w:val="nb-NO"/>
            </w:rPr>
            <m:t>Δt                (20)</m:t>
          </m:r>
          <m:r>
            <m:rPr>
              <m:sty m:val="p"/>
            </m:rPr>
            <w:rPr>
              <w:rFonts w:ascii="Cambria Math" w:eastAsiaTheme="minorEastAsia" w:hAnsi="Cambria Math" w:cs="Times New Roman"/>
              <w:lang w:val="nb-NO"/>
            </w:rPr>
            <w:br/>
          </m:r>
        </m:oMath>
        <m:oMath>
          <m:sSub>
            <m:sSubPr>
              <m:ctrlPr>
                <w:rPr>
                  <w:rFonts w:ascii="Cambria Math" w:eastAsiaTheme="minorEastAsia" w:hAnsi="Cambria Math" w:cs="Times New Roman"/>
                  <w:i/>
                  <w:lang w:val="nb-NO"/>
                </w:rPr>
              </m:ctrlPr>
            </m:sSubPr>
            <m:e>
              <m:r>
                <w:rPr>
                  <w:rFonts w:ascii="Cambria Math" w:eastAsiaTheme="minorEastAsia" w:hAnsi="Cambria Math" w:cs="Times New Roman"/>
                  <w:lang w:val="nb-NO"/>
                </w:rPr>
                <m:t>Q</m:t>
              </m:r>
            </m:e>
            <m:sub>
              <m:r>
                <w:rPr>
                  <w:rFonts w:ascii="Cambria Math" w:eastAsiaTheme="minorEastAsia" w:hAnsi="Cambria Math" w:cs="Times New Roman"/>
                  <w:lang w:val="nb-NO"/>
                </w:rPr>
                <m:t xml:space="preserve">STORED,PV-PCM </m:t>
              </m:r>
            </m:sub>
          </m:sSub>
          <m:r>
            <w:rPr>
              <w:rFonts w:ascii="Cambria Math" w:eastAsiaTheme="minorEastAsia" w:hAnsi="Cambria Math" w:cs="Times New Roman"/>
              <w:lang w:val="nb-NO"/>
            </w:rPr>
            <m:t>=</m:t>
          </m:r>
          <m:sSub>
            <m:sSubPr>
              <m:ctrlPr>
                <w:rPr>
                  <w:rFonts w:ascii="Cambria Math" w:eastAsiaTheme="minorEastAsia" w:hAnsi="Cambria Math" w:cs="Times New Roman"/>
                  <w:i/>
                  <w:lang w:val="nb-NO"/>
                </w:rPr>
              </m:ctrlPr>
            </m:sSubPr>
            <m:e>
              <m:r>
                <w:rPr>
                  <w:rFonts w:ascii="Cambria Math" w:eastAsiaTheme="minorEastAsia" w:hAnsi="Cambria Math" w:cs="Times New Roman"/>
                  <w:lang w:val="nb-NO"/>
                </w:rPr>
                <m:t>C</m:t>
              </m:r>
            </m:e>
            <m:sub>
              <m:r>
                <w:rPr>
                  <w:rFonts w:ascii="Cambria Math" w:eastAsiaTheme="minorEastAsia" w:hAnsi="Cambria Math" w:cs="Times New Roman"/>
                  <w:lang w:val="nb-NO"/>
                </w:rPr>
                <m:t>PV</m:t>
              </m:r>
            </m:sub>
          </m:sSub>
          <m:r>
            <w:rPr>
              <w:rFonts w:ascii="Cambria Math" w:eastAsiaTheme="minorEastAsia" w:hAnsi="Cambria Math" w:cs="Times New Roman"/>
              <w:lang w:val="nb-NO"/>
            </w:rPr>
            <m:t>ΔT+</m:t>
          </m:r>
          <m:sSub>
            <m:sSubPr>
              <m:ctrlPr>
                <w:rPr>
                  <w:rFonts w:ascii="Cambria Math" w:eastAsiaTheme="minorEastAsia" w:hAnsi="Cambria Math" w:cs="Times New Roman"/>
                  <w:i/>
                  <w:lang w:val="nb-NO"/>
                </w:rPr>
              </m:ctrlPr>
            </m:sSubPr>
            <m:e>
              <m:r>
                <w:rPr>
                  <w:rFonts w:ascii="Cambria Math" w:eastAsiaTheme="minorEastAsia" w:hAnsi="Cambria Math" w:cs="Times New Roman"/>
                  <w:lang w:val="nb-NO"/>
                </w:rPr>
                <m:t>V</m:t>
              </m:r>
            </m:e>
            <m:sub>
              <m:r>
                <w:rPr>
                  <w:rFonts w:ascii="Cambria Math" w:eastAsiaTheme="minorEastAsia" w:hAnsi="Cambria Math" w:cs="Times New Roman"/>
                  <w:lang w:val="nb-NO"/>
                </w:rPr>
                <m:t>PCM</m:t>
              </m:r>
            </m:sub>
          </m:sSub>
          <m:r>
            <w:rPr>
              <w:rFonts w:ascii="Cambria Math" w:eastAsiaTheme="minorEastAsia" w:hAnsi="Cambria Math" w:cs="Times New Roman"/>
              <w:lang w:val="nb-NO"/>
            </w:rPr>
            <m:t>Δρ                                                        (21)</m:t>
          </m:r>
        </m:oMath>
      </m:oMathPara>
    </w:p>
    <w:p w14:paraId="008247F5" w14:textId="6BAA739E" w:rsidR="0099669C" w:rsidRPr="00DE6DEE" w:rsidRDefault="0099669C" w:rsidP="0099669C">
      <w:pPr>
        <w:rPr>
          <w:rFonts w:eastAsiaTheme="minorEastAsia" w:cs="Times New Roman"/>
          <w:lang w:val="en-US"/>
        </w:rPr>
      </w:pPr>
      <w:r w:rsidRPr="00DE6DEE">
        <w:rPr>
          <w:rFonts w:eastAsiaTheme="minorEastAsia" w:cs="Times New Roman"/>
          <w:lang w:val="en-US"/>
        </w:rPr>
        <w:t xml:space="preserve">In the PV system, </w:t>
      </w:r>
      <m:oMath>
        <m:sSub>
          <m:sSubPr>
            <m:ctrlPr>
              <w:rPr>
                <w:rFonts w:ascii="Cambria Math" w:eastAsiaTheme="minorEastAsia" w:hAnsi="Cambria Math" w:cs="Times New Roman"/>
                <w:i/>
                <w:lang w:val="nb-NO"/>
              </w:rPr>
            </m:ctrlPr>
          </m:sSubPr>
          <m:e>
            <m:r>
              <w:rPr>
                <w:rFonts w:ascii="Cambria Math" w:eastAsiaTheme="minorEastAsia" w:hAnsi="Cambria Math" w:cs="Times New Roman"/>
                <w:lang w:val="nb-NO"/>
              </w:rPr>
              <m:t>Q</m:t>
            </m:r>
          </m:e>
          <m:sub>
            <m:r>
              <w:rPr>
                <w:rFonts w:ascii="Cambria Math" w:eastAsiaTheme="minorEastAsia" w:hAnsi="Cambria Math" w:cs="Times New Roman"/>
                <w:lang w:val="nb-NO"/>
              </w:rPr>
              <m:t>STORED</m:t>
            </m:r>
          </m:sub>
        </m:sSub>
      </m:oMath>
      <w:r w:rsidRPr="00DE6DEE">
        <w:rPr>
          <w:rFonts w:eastAsiaTheme="minorEastAsia" w:cs="Times New Roman"/>
          <w:lang w:val="en-US"/>
        </w:rPr>
        <w:t xml:space="preserve"> refers to the sensible heat contribution, which depends on the area, thickness, density, heat capacity, and temperature difference. For the PV–PCM system, the latent heat contribution is also included, depending on the PCM volume, density, and latent heat of fusion. The main physical principle behind this simplified model is that integrating PCM behind the PV module enables the storage of thermal energy that would otherwise be dissipated. This heat absorption effectively lowers the PV module temperature, thereby increasing its electrical output. However, since the stored thermal energy is of lower quality than electrical energy, a conversion efficiency of about 30% is typically assumed for this contribution</w:t>
      </w:r>
      <w:r w:rsidR="00C07D17">
        <w:rPr>
          <w:rFonts w:eastAsiaTheme="minorEastAsia" w:cs="Times New Roman"/>
          <w:lang w:val="en-US"/>
        </w:rPr>
        <w:t>,</w:t>
      </w:r>
      <w:r w:rsidRPr="00DE6DEE">
        <w:rPr>
          <w:rFonts w:eastAsiaTheme="minorEastAsia" w:cs="Times New Roman"/>
          <w:lang w:val="en-US"/>
        </w:rPr>
        <w:t xml:space="preserve"> as shown in Eq. (22).</w:t>
      </w:r>
    </w:p>
    <w:p w14:paraId="210F3961" w14:textId="77777777" w:rsidR="0099669C" w:rsidRPr="00DE6DEE" w:rsidRDefault="00000000" w:rsidP="0099669C">
      <w:pPr>
        <w:rPr>
          <w:rFonts w:eastAsiaTheme="minorEastAsia" w:cs="Times New Roman"/>
          <w:lang w:val="nb-NO"/>
        </w:rPr>
      </w:pPr>
      <m:oMathPara>
        <m:oMathParaPr>
          <m:jc m:val="right"/>
        </m:oMathParaPr>
        <m:oMath>
          <m:sSub>
            <m:sSubPr>
              <m:ctrlPr>
                <w:rPr>
                  <w:rFonts w:ascii="Cambria Math" w:eastAsiaTheme="minorEastAsia" w:hAnsi="Cambria Math" w:cs="Times New Roman"/>
                  <w:i/>
                  <w:lang w:val="nb-NO"/>
                </w:rPr>
              </m:ctrlPr>
            </m:sSubPr>
            <m:e>
              <m:r>
                <w:rPr>
                  <w:rFonts w:ascii="Cambria Math" w:eastAsiaTheme="minorEastAsia" w:hAnsi="Cambria Math" w:cs="Times New Roman"/>
                  <w:lang w:val="nb-NO"/>
                </w:rPr>
                <m:t>η</m:t>
              </m:r>
            </m:e>
            <m:sub>
              <m:r>
                <w:rPr>
                  <w:rFonts w:ascii="Cambria Math" w:eastAsiaTheme="minorEastAsia" w:hAnsi="Cambria Math" w:cs="Times New Roman"/>
                  <w:lang w:val="nb-NO"/>
                </w:rPr>
                <m:t>TH</m:t>
              </m:r>
            </m:sub>
          </m:sSub>
          <m:r>
            <w:rPr>
              <w:rFonts w:ascii="Cambria Math" w:eastAsiaTheme="minorEastAsia" w:hAnsi="Cambria Math" w:cs="Times New Roman"/>
              <w:lang w:val="nb-NO"/>
            </w:rPr>
            <m:t>=</m:t>
          </m:r>
          <m:f>
            <m:fPr>
              <m:ctrlPr>
                <w:rPr>
                  <w:rFonts w:ascii="Cambria Math" w:eastAsiaTheme="minorEastAsia" w:hAnsi="Cambria Math" w:cs="Times New Roman"/>
                  <w:i/>
                  <w:lang w:val="nb-NO"/>
                </w:rPr>
              </m:ctrlPr>
            </m:fPr>
            <m:num>
              <m:r>
                <w:rPr>
                  <w:rFonts w:ascii="Cambria Math" w:eastAsiaTheme="minorEastAsia" w:hAnsi="Cambria Math" w:cs="Times New Roman"/>
                  <w:lang w:val="nb-NO"/>
                </w:rPr>
                <m:t xml:space="preserve">0,3 </m:t>
              </m:r>
              <m:sSub>
                <m:sSubPr>
                  <m:ctrlPr>
                    <w:rPr>
                      <w:rFonts w:ascii="Cambria Math" w:eastAsiaTheme="minorEastAsia" w:hAnsi="Cambria Math" w:cs="Times New Roman"/>
                      <w:i/>
                      <w:lang w:val="nb-NO"/>
                    </w:rPr>
                  </m:ctrlPr>
                </m:sSubPr>
                <m:e>
                  <m:r>
                    <w:rPr>
                      <w:rFonts w:ascii="Cambria Math" w:eastAsiaTheme="minorEastAsia" w:hAnsi="Cambria Math" w:cs="Times New Roman"/>
                      <w:lang w:val="nb-NO"/>
                    </w:rPr>
                    <m:t>Q</m:t>
                  </m:r>
                </m:e>
                <m:sub>
                  <m:r>
                    <w:rPr>
                      <w:rFonts w:ascii="Cambria Math" w:eastAsiaTheme="minorEastAsia" w:hAnsi="Cambria Math" w:cs="Times New Roman"/>
                      <w:lang w:val="nb-NO"/>
                    </w:rPr>
                    <m:t>STORED</m:t>
                  </m:r>
                </m:sub>
              </m:sSub>
            </m:num>
            <m:den>
              <m:r>
                <w:rPr>
                  <w:rFonts w:ascii="Cambria Math" w:eastAsiaTheme="minorEastAsia" w:hAnsi="Cambria Math" w:cs="Times New Roman"/>
                  <w:lang w:val="nb-NO"/>
                </w:rPr>
                <m:t xml:space="preserve">G </m:t>
              </m:r>
              <m:sSub>
                <m:sSubPr>
                  <m:ctrlPr>
                    <w:rPr>
                      <w:rFonts w:ascii="Cambria Math" w:eastAsiaTheme="minorEastAsia" w:hAnsi="Cambria Math" w:cs="Times New Roman"/>
                      <w:i/>
                      <w:lang w:val="nb-NO"/>
                    </w:rPr>
                  </m:ctrlPr>
                </m:sSubPr>
                <m:e>
                  <m:r>
                    <w:rPr>
                      <w:rFonts w:ascii="Cambria Math" w:eastAsiaTheme="minorEastAsia" w:hAnsi="Cambria Math" w:cs="Times New Roman"/>
                      <w:lang w:val="nb-NO"/>
                    </w:rPr>
                    <m:t>A</m:t>
                  </m:r>
                </m:e>
                <m:sub>
                  <m:r>
                    <w:rPr>
                      <w:rFonts w:ascii="Cambria Math" w:eastAsiaTheme="minorEastAsia" w:hAnsi="Cambria Math" w:cs="Times New Roman"/>
                      <w:lang w:val="nb-NO"/>
                    </w:rPr>
                    <m:t>PV</m:t>
                  </m:r>
                </m:sub>
              </m:sSub>
            </m:den>
          </m:f>
          <m:r>
            <w:rPr>
              <w:rFonts w:ascii="Cambria Math" w:eastAsiaTheme="minorEastAsia" w:hAnsi="Cambria Math" w:cs="Times New Roman"/>
              <w:lang w:val="nb-NO"/>
            </w:rPr>
            <m:t xml:space="preserve">                                                                            (22)</m:t>
          </m:r>
        </m:oMath>
      </m:oMathPara>
    </w:p>
    <w:p w14:paraId="6018FAA1" w14:textId="77777777" w:rsidR="0099669C" w:rsidRPr="00DE6DEE" w:rsidRDefault="00000000" w:rsidP="0099669C">
      <w:pPr>
        <w:rPr>
          <w:rFonts w:eastAsiaTheme="minorEastAsia" w:cs="Times New Roman"/>
          <w:iCs/>
          <w:lang w:val="en-US"/>
        </w:rPr>
      </w:pPr>
      <m:oMath>
        <m:sSub>
          <m:sSubPr>
            <m:ctrlPr>
              <w:rPr>
                <w:rFonts w:ascii="Cambria Math" w:eastAsiaTheme="minorEastAsia" w:hAnsi="Cambria Math" w:cs="Times New Roman"/>
                <w:i/>
              </w:rPr>
            </m:ctrlPr>
          </m:sSubPr>
          <m:e>
            <m:r>
              <w:rPr>
                <w:rFonts w:ascii="Cambria Math" w:eastAsiaTheme="minorEastAsia" w:hAnsi="Cambria Math" w:cs="Times New Roman"/>
              </w:rPr>
              <m:t>Q</m:t>
            </m:r>
          </m:e>
          <m:sub>
            <m:r>
              <w:rPr>
                <w:rFonts w:ascii="Cambria Math" w:eastAsiaTheme="minorEastAsia" w:hAnsi="Cambria Math" w:cs="Times New Roman"/>
              </w:rPr>
              <m:t>SAVED</m:t>
            </m:r>
          </m:sub>
        </m:sSub>
      </m:oMath>
      <w:r w:rsidR="0099669C" w:rsidRPr="00DE6DEE">
        <w:rPr>
          <w:rFonts w:eastAsiaTheme="minorEastAsia" w:cs="Times New Roman"/>
          <w:i/>
          <w:lang w:val="en-US"/>
        </w:rPr>
        <w:t xml:space="preserve"> </w:t>
      </w:r>
      <w:r w:rsidR="0099669C" w:rsidRPr="00DE6DEE">
        <w:rPr>
          <w:rFonts w:eastAsiaTheme="minorEastAsia" w:cs="Times New Roman"/>
          <w:iCs/>
          <w:lang w:val="en-US"/>
        </w:rPr>
        <w:t>represents the total energy savings, both electrical and thermal, achieved by integrating the PCM into the PV system compared to a reference PV panel. These savings are calculated to evaluate the effectiveness of PV–PCM systems under different climatic conditions, as expressed below Eq. (23).</w:t>
      </w:r>
    </w:p>
    <w:p w14:paraId="3953E744" w14:textId="77777777" w:rsidR="0099669C" w:rsidRPr="00DE6DEE" w:rsidRDefault="00000000" w:rsidP="0099669C">
      <w:pPr>
        <w:rPr>
          <w:rFonts w:eastAsiaTheme="minorEastAsia" w:cs="Times New Roman"/>
        </w:rPr>
      </w:pPr>
      <m:oMathPara>
        <m:oMathParaPr>
          <m:jc m:val="right"/>
        </m:oMathParaPr>
        <m:oMath>
          <m:sSub>
            <m:sSubPr>
              <m:ctrlPr>
                <w:rPr>
                  <w:rFonts w:ascii="Cambria Math" w:eastAsiaTheme="minorEastAsia" w:hAnsi="Cambria Math" w:cs="Times New Roman"/>
                  <w:i/>
                </w:rPr>
              </m:ctrlPr>
            </m:sSubPr>
            <m:e>
              <m:r>
                <w:rPr>
                  <w:rFonts w:ascii="Cambria Math" w:eastAsiaTheme="minorEastAsia" w:hAnsi="Cambria Math" w:cs="Times New Roman"/>
                </w:rPr>
                <m:t>Q</m:t>
              </m:r>
            </m:e>
            <m:sub>
              <m:r>
                <w:rPr>
                  <w:rFonts w:ascii="Cambria Math" w:eastAsiaTheme="minorEastAsia" w:hAnsi="Cambria Math" w:cs="Times New Roman"/>
                </w:rPr>
                <m:t>SAVED</m:t>
              </m:r>
            </m:sub>
          </m:sSub>
          <m:r>
            <w:rPr>
              <w:rFonts w:ascii="Cambria Math" w:eastAsiaTheme="minorEastAsia" w:hAnsi="Cambria Math" w:cs="Times New Roman"/>
            </w:rPr>
            <m:t>​=</m:t>
          </m:r>
          <m:d>
            <m:dPr>
              <m:ctrlPr>
                <w:rPr>
                  <w:rFonts w:ascii="Cambria Math" w:eastAsiaTheme="minorEastAsia" w:hAnsi="Cambria Math" w:cs="Times New Roman"/>
                  <w:i/>
                </w:rPr>
              </m:ctrlPr>
            </m:dPr>
            <m:e>
              <m:sSub>
                <m:sSubPr>
                  <m:ctrlPr>
                    <w:rPr>
                      <w:rFonts w:ascii="Cambria Math" w:eastAsiaTheme="minorEastAsia" w:hAnsi="Cambria Math" w:cs="Times New Roman"/>
                      <w:i/>
                    </w:rPr>
                  </m:ctrlPr>
                </m:sSubPr>
                <m:e>
                  <m:r>
                    <w:rPr>
                      <w:rFonts w:ascii="Cambria Math" w:eastAsiaTheme="minorEastAsia" w:hAnsi="Cambria Math" w:cs="Times New Roman"/>
                    </w:rPr>
                    <m:t>Q</m:t>
                  </m:r>
                </m:e>
                <m:sub>
                  <m:r>
                    <w:rPr>
                      <w:rFonts w:ascii="Cambria Math" w:eastAsiaTheme="minorEastAsia" w:hAnsi="Cambria Math" w:cs="Times New Roman"/>
                    </w:rPr>
                    <m:t>ELEC,PV-PCM</m:t>
                  </m:r>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Q</m:t>
                  </m:r>
                  <m:ctrlPr>
                    <w:rPr>
                      <w:rFonts w:ascii="Cambria Math" w:eastAsiaTheme="minorEastAsia" w:hAnsi="Cambria Math" w:cs="Times New Roman"/>
                      <w:i/>
                      <w:iCs/>
                    </w:rPr>
                  </m:ctrlPr>
                </m:e>
                <m:sub>
                  <m:r>
                    <w:rPr>
                      <w:rFonts w:ascii="Cambria Math" w:eastAsiaTheme="minorEastAsia" w:hAnsi="Cambria Math" w:cs="Times New Roman"/>
                    </w:rPr>
                    <m:t>ELEC,PV</m:t>
                  </m:r>
                </m:sub>
              </m:sSub>
            </m:e>
          </m:d>
          <m:r>
            <w:rPr>
              <w:rFonts w:ascii="Cambria Math" w:eastAsiaTheme="minorEastAsia" w:hAnsi="Cambria Math" w:cs="Times New Roman"/>
            </w:rPr>
            <m:t>+0.3</m:t>
          </m:r>
          <m:d>
            <m:dPr>
              <m:ctrlPr>
                <w:rPr>
                  <w:rFonts w:ascii="Cambria Math" w:eastAsiaTheme="minorEastAsia" w:hAnsi="Cambria Math" w:cs="Times New Roman"/>
                  <w:i/>
                </w:rPr>
              </m:ctrlPr>
            </m:dPr>
            <m:e>
              <m:sSub>
                <m:sSubPr>
                  <m:ctrlPr>
                    <w:rPr>
                      <w:rFonts w:ascii="Cambria Math" w:eastAsiaTheme="minorEastAsia" w:hAnsi="Cambria Math" w:cs="Times New Roman"/>
                      <w:i/>
                    </w:rPr>
                  </m:ctrlPr>
                </m:sSubPr>
                <m:e>
                  <m:r>
                    <w:rPr>
                      <w:rFonts w:ascii="Cambria Math" w:eastAsiaTheme="minorEastAsia" w:hAnsi="Cambria Math" w:cs="Times New Roman"/>
                    </w:rPr>
                    <m:t>Q</m:t>
                  </m:r>
                </m:e>
                <m:sub>
                  <m:r>
                    <w:rPr>
                      <w:rFonts w:ascii="Cambria Math" w:eastAsiaTheme="minorEastAsia" w:hAnsi="Cambria Math" w:cs="Times New Roman"/>
                    </w:rPr>
                    <m:t>STORED,PV-PCM</m:t>
                  </m:r>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Q</m:t>
                  </m:r>
                  <m:ctrlPr>
                    <w:rPr>
                      <w:rFonts w:ascii="Cambria Math" w:eastAsiaTheme="minorEastAsia" w:hAnsi="Cambria Math" w:cs="Times New Roman"/>
                      <w:i/>
                      <w:iCs/>
                    </w:rPr>
                  </m:ctrlPr>
                </m:e>
                <m:sub>
                  <m:r>
                    <w:rPr>
                      <w:rFonts w:ascii="Cambria Math" w:eastAsiaTheme="minorEastAsia" w:hAnsi="Cambria Math" w:cs="Times New Roman"/>
                    </w:rPr>
                    <m:t>STORED,PV</m:t>
                  </m:r>
                </m:sub>
              </m:sSub>
              <m:r>
                <w:rPr>
                  <w:rFonts w:ascii="Cambria Math" w:eastAsiaTheme="minorEastAsia" w:hAnsi="Cambria Math" w:cs="Times New Roman"/>
                </w:rPr>
                <m:t>​</m:t>
              </m:r>
            </m:e>
          </m:d>
          <m:r>
            <w:rPr>
              <w:rFonts w:ascii="Cambria Math" w:eastAsiaTheme="minorEastAsia" w:hAnsi="Cambria Math" w:cs="Times New Roman"/>
            </w:rPr>
            <m:t xml:space="preserve">          (23)</m:t>
          </m:r>
        </m:oMath>
      </m:oMathPara>
    </w:p>
    <w:p w14:paraId="62DBE5BB" w14:textId="77777777" w:rsidR="0099669C" w:rsidRPr="00DE6DEE" w:rsidRDefault="0099669C" w:rsidP="0099669C">
      <w:pPr>
        <w:rPr>
          <w:rFonts w:eastAsiaTheme="minorEastAsia" w:cs="Times New Roman"/>
          <w:lang w:val="en-US"/>
        </w:rPr>
      </w:pPr>
      <w:r w:rsidRPr="00DE6DEE">
        <w:rPr>
          <w:rFonts w:eastAsiaTheme="minorEastAsia" w:cs="Times New Roman"/>
          <w:lang w:val="en-US"/>
        </w:rPr>
        <w:t>This model serves as one of the fundamental bases for estimating the energy savings and overall performance of PV–PCM systems. To improve the accuracy of such formulations, heat transfer methods should be incorporated to calculate the specific terms more precisely.</w:t>
      </w:r>
    </w:p>
    <w:p w14:paraId="29092275" w14:textId="67B27791" w:rsidR="0099669C" w:rsidRPr="00AC6DA0" w:rsidRDefault="0099669C" w:rsidP="00DE6DEE">
      <w:pPr>
        <w:pStyle w:val="Heading3"/>
        <w:rPr>
          <w:lang w:val="en-US"/>
        </w:rPr>
      </w:pPr>
      <w:bookmarkStart w:id="102" w:name="_Toc213354075"/>
      <w:bookmarkStart w:id="103" w:name="_Toc214356293"/>
      <w:r w:rsidRPr="00AC6DA0">
        <w:rPr>
          <w:lang w:val="en-US"/>
        </w:rPr>
        <w:t>PV-PCM system</w:t>
      </w:r>
      <w:bookmarkEnd w:id="102"/>
      <w:r w:rsidR="005A414B">
        <w:rPr>
          <w:lang w:val="en-US"/>
        </w:rPr>
        <w:t>s</w:t>
      </w:r>
      <w:bookmarkEnd w:id="103"/>
    </w:p>
    <w:p w14:paraId="5E7BAF14" w14:textId="5647E91D" w:rsidR="0099669C" w:rsidRPr="00DE6DEE" w:rsidRDefault="0099669C" w:rsidP="0099669C">
      <w:pPr>
        <w:rPr>
          <w:rFonts w:cs="Times New Roman"/>
          <w:lang w:val="en-US"/>
        </w:rPr>
      </w:pPr>
      <w:r w:rsidRPr="00DE6DEE">
        <w:rPr>
          <w:rFonts w:cs="Times New Roman"/>
          <w:lang w:val="en-US"/>
        </w:rPr>
        <w:t xml:space="preserve">The main configurations of PV–PCM systems are thoroughly described in the review by A. M. Ali </w:t>
      </w:r>
      <w:sdt>
        <w:sdtPr>
          <w:rPr>
            <w:rFonts w:cs="Times New Roman"/>
            <w:lang w:val="en-US"/>
          </w:rPr>
          <w:id w:val="454750204"/>
          <w:citation/>
        </w:sdtPr>
        <w:sdtContent>
          <w:r w:rsidR="00DE6DEE" w:rsidRPr="00DE6DEE">
            <w:rPr>
              <w:rFonts w:cs="Times New Roman"/>
              <w:lang w:val="en-US"/>
            </w:rPr>
            <w:fldChar w:fldCharType="begin"/>
          </w:r>
          <w:r w:rsidR="00DE6DEE" w:rsidRPr="00DE6DEE">
            <w:rPr>
              <w:rFonts w:cs="Times New Roman"/>
              <w:lang w:val="en-US"/>
            </w:rPr>
            <w:instrText xml:space="preserve"> CITATION Placeholder93 \l 1040 </w:instrText>
          </w:r>
          <w:r w:rsidR="00DE6DEE" w:rsidRPr="00DE6DEE">
            <w:rPr>
              <w:rFonts w:cs="Times New Roman"/>
              <w:lang w:val="en-US"/>
            </w:rPr>
            <w:fldChar w:fldCharType="separate"/>
          </w:r>
          <w:r w:rsidR="00855396" w:rsidRPr="00855396">
            <w:rPr>
              <w:rFonts w:cs="Times New Roman"/>
              <w:noProof/>
              <w:lang w:val="en-US"/>
            </w:rPr>
            <w:t>[87]</w:t>
          </w:r>
          <w:r w:rsidR="00DE6DEE" w:rsidRPr="00DE6DEE">
            <w:rPr>
              <w:rFonts w:cs="Times New Roman"/>
              <w:lang w:val="en-US"/>
            </w:rPr>
            <w:fldChar w:fldCharType="end"/>
          </w:r>
        </w:sdtContent>
      </w:sdt>
      <w:r w:rsidRPr="00DE6DEE">
        <w:rPr>
          <w:rFonts w:cs="Times New Roman"/>
          <w:lang w:val="en-US"/>
        </w:rPr>
        <w:t xml:space="preserve">, which provides a comprehensive classification of the different design </w:t>
      </w:r>
      <w:r w:rsidRPr="00DE6DEE">
        <w:rPr>
          <w:rFonts w:cs="Times New Roman"/>
          <w:lang w:val="en-US"/>
        </w:rPr>
        <w:lastRenderedPageBreak/>
        <w:t xml:space="preserve">solutions and integration approaches adopted for incorporating PCMs into PV modules. </w:t>
      </w:r>
    </w:p>
    <w:p w14:paraId="49F88488" w14:textId="6FB2A571" w:rsidR="0099669C" w:rsidRPr="00DE6DEE" w:rsidRDefault="0099669C" w:rsidP="0099669C">
      <w:pPr>
        <w:rPr>
          <w:rFonts w:cs="Times New Roman"/>
          <w:lang w:val="en-US"/>
        </w:rPr>
      </w:pPr>
    </w:p>
    <w:p w14:paraId="5E012F52" w14:textId="66791F48" w:rsidR="0099669C" w:rsidRPr="00DE6DEE" w:rsidRDefault="00DE6DEE" w:rsidP="0099669C">
      <w:pPr>
        <w:rPr>
          <w:rFonts w:cs="Times New Roman"/>
          <w:lang w:val="en-US"/>
        </w:rPr>
      </w:pPr>
      <w:r w:rsidRPr="00DE6DEE">
        <w:rPr>
          <w:noProof/>
        </w:rPr>
        <mc:AlternateContent>
          <mc:Choice Requires="wps">
            <w:drawing>
              <wp:anchor distT="45720" distB="45720" distL="114300" distR="114300" simplePos="0" relativeHeight="251714560" behindDoc="0" locked="0" layoutInCell="1" allowOverlap="1" wp14:anchorId="46BB1AF8" wp14:editId="0F204D7E">
                <wp:simplePos x="0" y="0"/>
                <wp:positionH relativeFrom="column">
                  <wp:posOffset>3561291</wp:posOffset>
                </wp:positionH>
                <wp:positionV relativeFrom="paragraph">
                  <wp:posOffset>1399963</wp:posOffset>
                </wp:positionV>
                <wp:extent cx="381000" cy="397933"/>
                <wp:effectExtent l="0" t="0" r="0" b="2540"/>
                <wp:wrapNone/>
                <wp:docPr id="50343734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97933"/>
                        </a:xfrm>
                        <a:prstGeom prst="rect">
                          <a:avLst/>
                        </a:prstGeom>
                        <a:noFill/>
                        <a:ln w="9525">
                          <a:noFill/>
                          <a:miter lim="800000"/>
                          <a:headEnd/>
                          <a:tailEnd/>
                        </a:ln>
                      </wps:spPr>
                      <wps:txbx>
                        <w:txbxContent>
                          <w:p w14:paraId="1F9F5E31" w14:textId="77777777" w:rsidR="0099669C" w:rsidRPr="00187FE9" w:rsidRDefault="0099669C" w:rsidP="0099669C">
                            <w:pPr>
                              <w:rPr>
                                <w:lang w:val="en-US"/>
                              </w:rPr>
                            </w:pPr>
                            <w: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BB1AF8" id="_x0000_s1042" type="#_x0000_t202" style="position:absolute;left:0;text-align:left;margin-left:280.4pt;margin-top:110.25pt;width:30pt;height:31.35pt;z-index:2517145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" filled="f" stroked="f">
                <v:textbox>
                  <w:txbxContent>
                    <w:p w14:paraId="1F9F5E31" w14:textId="77777777" w:rsidR="0099669C" w:rsidRPr="00187FE9" w:rsidRDefault="0099669C" w:rsidP="0099669C">
                      <w:pPr>
                        <w:rPr>
                          <w:lang w:val="en-US"/>
                        </w:rPr>
                      </w:pPr>
                      <w:r>
                        <w:t>b)</w:t>
                      </w:r>
                    </w:p>
                  </w:txbxContent>
                </v:textbox>
              </v:shape>
            </w:pict>
          </mc:Fallback>
        </mc:AlternateContent>
      </w:r>
      <w:r w:rsidRPr="00DE6DEE">
        <w:rPr>
          <w:noProof/>
        </w:rPr>
        <mc:AlternateContent>
          <mc:Choice Requires="wps">
            <w:drawing>
              <wp:anchor distT="45720" distB="45720" distL="114300" distR="114300" simplePos="0" relativeHeight="251713536" behindDoc="0" locked="0" layoutInCell="1" allowOverlap="1" wp14:anchorId="05CA5BA1" wp14:editId="78D205A5">
                <wp:simplePos x="0" y="0"/>
                <wp:positionH relativeFrom="column">
                  <wp:posOffset>3840903</wp:posOffset>
                </wp:positionH>
                <wp:positionV relativeFrom="paragraph">
                  <wp:posOffset>-4869</wp:posOffset>
                </wp:positionV>
                <wp:extent cx="381000" cy="474133"/>
                <wp:effectExtent l="0" t="0" r="0" b="2540"/>
                <wp:wrapNone/>
                <wp:docPr id="192675417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474133"/>
                        </a:xfrm>
                        <a:prstGeom prst="rect">
                          <a:avLst/>
                        </a:prstGeom>
                        <a:noFill/>
                        <a:ln w="9525">
                          <a:noFill/>
                          <a:miter lim="800000"/>
                          <a:headEnd/>
                          <a:tailEnd/>
                        </a:ln>
                      </wps:spPr>
                      <wps:txbx>
                        <w:txbxContent>
                          <w:p w14:paraId="0D5493FF" w14:textId="77777777" w:rsidR="0099669C" w:rsidRPr="00187FE9" w:rsidRDefault="0099669C" w:rsidP="0099669C">
                            <w:pPr>
                              <w:rPr>
                                <w:lang w:val="en-US"/>
                              </w:rPr>
                            </w:pPr>
                            <w: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5CA5BA1" id="_x0000_s1043" type="#_x0000_t202" style="position:absolute;left:0;text-align:left;margin-left:302.45pt;margin-top:-.4pt;width:30pt;height:37.35pt;z-index:2517135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" filled="f" stroked="f">
                <v:textbox>
                  <w:txbxContent>
                    <w:p w14:paraId="0D5493FF" w14:textId="77777777" w:rsidR="0099669C" w:rsidRPr="00187FE9" w:rsidRDefault="0099669C" w:rsidP="0099669C">
                      <w:pPr>
                        <w:rPr>
                          <w:lang w:val="en-US"/>
                        </w:rPr>
                      </w:pPr>
                      <w:r>
                        <w:t>a)</w:t>
                      </w:r>
                    </w:p>
                  </w:txbxContent>
                </v:textbox>
              </v:shape>
            </w:pict>
          </mc:Fallback>
        </mc:AlternateContent>
      </w:r>
      <w:r w:rsidR="0099669C" w:rsidRPr="00DE6DEE">
        <w:rPr>
          <w:rFonts w:cs="Times New Roman"/>
          <w:u w:val="single"/>
          <w:lang w:val="en-US"/>
        </w:rPr>
        <w:t>PV with pure PCM</w:t>
      </w:r>
      <w:r w:rsidR="0099669C" w:rsidRPr="00DE6DEE">
        <w:rPr>
          <w:rFonts w:cs="Times New Roman"/>
          <w:lang w:val="en-US"/>
        </w:rPr>
        <w:t xml:space="preserve">. PCM has proven to be highly effective in absorbing the excess heat from PV panels that is not converted into electrical energy. The latent heat of the PCM helps lower the panel temperature, keeping </w:t>
      </w:r>
      <w:r w:rsidR="0099669C" w:rsidRPr="00DE6DEE">
        <w:rPr>
          <w:rFonts w:cs="Times New Roman"/>
          <w:b/>
          <w:bCs/>
          <w:noProof/>
          <w:lang w:val="nb-NO"/>
        </w:rPr>
        <w:drawing>
          <wp:anchor distT="0" distB="0" distL="114300" distR="114300" simplePos="0" relativeHeight="251709440" behindDoc="0" locked="0" layoutInCell="1" allowOverlap="1" wp14:anchorId="43CFC2F7" wp14:editId="4132B499">
            <wp:simplePos x="0" y="0"/>
            <wp:positionH relativeFrom="margin">
              <wp:align>right</wp:align>
            </wp:positionH>
            <wp:positionV relativeFrom="paragraph">
              <wp:posOffset>1905</wp:posOffset>
            </wp:positionV>
            <wp:extent cx="2197100" cy="3615690"/>
            <wp:effectExtent l="0" t="0" r="0" b="3810"/>
            <wp:wrapSquare wrapText="bothSides"/>
            <wp:docPr id="1410878827" name="Immagine 1" descr="A diagram of a heat exchang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0878827" name="Immagine 1" descr="A diagram of a heat exchanger&#10;&#10;AI-generated content may be incorrect."/>
                    <pic:cNvPicPr/>
                  </pic:nvPicPr>
                  <pic:blipFill>
                    <a:blip r:embed="rId115">
                      <a:extLst>
                        <a:ext uri="{28A0092B-C50C-407E-A947-70E740481C1C}">
                          <a14:useLocalDpi xmlns:a14="http://schemas.microsoft.com/office/drawing/2010/main" val="0"/>
                        </a:ext>
                      </a:extLst>
                    </a:blip>
                    <a:stretch>
                      <a:fillRect/>
                    </a:stretch>
                  </pic:blipFill>
                  <pic:spPr>
                    <a:xfrm>
                      <a:off x="0" y="0"/>
                      <a:ext cx="2197100" cy="3615690"/>
                    </a:xfrm>
                    <a:prstGeom prst="rect">
                      <a:avLst/>
                    </a:prstGeom>
                  </pic:spPr>
                </pic:pic>
              </a:graphicData>
            </a:graphic>
            <wp14:sizeRelH relativeFrom="margin">
              <wp14:pctWidth>0</wp14:pctWidth>
            </wp14:sizeRelH>
            <wp14:sizeRelV relativeFrom="margin">
              <wp14:pctHeight>0</wp14:pctHeight>
            </wp14:sizeRelV>
          </wp:anchor>
        </w:drawing>
      </w:r>
      <w:r w:rsidR="0099669C" w:rsidRPr="00DE6DEE">
        <w:rPr>
          <w:rFonts w:cs="Times New Roman"/>
          <w:lang w:val="en-US"/>
        </w:rPr>
        <w:t>it close to 25 °C and almost constant during daylight hours. Mahamudul et al.</w:t>
      </w:r>
      <w:r w:rsidRPr="00DE6DEE">
        <w:rPr>
          <w:rFonts w:cs="Times New Roman"/>
          <w:lang w:val="en-US"/>
        </w:rPr>
        <w:t xml:space="preserve"> </w:t>
      </w:r>
      <w:sdt>
        <w:sdtPr>
          <w:rPr>
            <w:rFonts w:cs="Times New Roman"/>
            <w:lang w:val="en-US"/>
          </w:rPr>
          <w:id w:val="405191595"/>
          <w:citation/>
        </w:sdtPr>
        <w:sdtContent>
          <w:r w:rsidRPr="00DE6DEE">
            <w:rPr>
              <w:rFonts w:cs="Times New Roman"/>
              <w:lang w:val="en-US"/>
            </w:rPr>
            <w:fldChar w:fldCharType="begin"/>
          </w:r>
          <w:r w:rsidRPr="00422EEB">
            <w:rPr>
              <w:rFonts w:cs="Times New Roman"/>
              <w:lang w:val="en-US"/>
            </w:rPr>
            <w:instrText xml:space="preserve"> CITATION Placeholder94 \l 1040 </w:instrText>
          </w:r>
          <w:r w:rsidRPr="00DE6DEE">
            <w:rPr>
              <w:rFonts w:cs="Times New Roman"/>
              <w:lang w:val="en-US"/>
            </w:rPr>
            <w:fldChar w:fldCharType="separate"/>
          </w:r>
          <w:r w:rsidR="00855396" w:rsidRPr="00855396">
            <w:rPr>
              <w:rFonts w:cs="Times New Roman"/>
              <w:noProof/>
              <w:lang w:val="en-US"/>
            </w:rPr>
            <w:t>[88]</w:t>
          </w:r>
          <w:r w:rsidRPr="00DE6DEE">
            <w:rPr>
              <w:rFonts w:cs="Times New Roman"/>
              <w:lang w:val="en-US"/>
            </w:rPr>
            <w:fldChar w:fldCharType="end"/>
          </w:r>
        </w:sdtContent>
      </w:sdt>
      <w:r>
        <w:rPr>
          <w:rFonts w:cs="Times New Roman"/>
          <w:lang w:val="en-US"/>
        </w:rPr>
        <w:t xml:space="preserve"> r</w:t>
      </w:r>
      <w:r w:rsidR="0099669C" w:rsidRPr="00DE6DEE">
        <w:rPr>
          <w:rFonts w:cs="Times New Roman"/>
          <w:lang w:val="en-US"/>
        </w:rPr>
        <w:t>eported that a maximum temperature reduction of about 35 °C can be achieved using PCM. As shown in Figure 2</w:t>
      </w:r>
      <w:r w:rsidRPr="00DE6DEE">
        <w:rPr>
          <w:rFonts w:cs="Times New Roman"/>
          <w:lang w:val="en-US"/>
        </w:rPr>
        <w:t>.</w:t>
      </w:r>
      <w:r w:rsidR="0099669C" w:rsidRPr="00DE6DEE">
        <w:rPr>
          <w:rFonts w:cs="Times New Roman"/>
          <w:lang w:val="en-US"/>
        </w:rPr>
        <w:t>8, PV efficiency can be increased by up to 16% through the use of PCM. Comparison of the two graphs indicates that researchers observed greater improvement in summer than in winter, demonstrating that PCM integration is more effective under high-temperature conditions. This is due to the higher heat absorption capacity of the PCM during summer, stored in the form of latent heat.</w:t>
      </w:r>
    </w:p>
    <w:p w14:paraId="6E81356D" w14:textId="646D8C17" w:rsidR="0099669C" w:rsidRPr="00DE6DEE" w:rsidRDefault="00DE6DEE" w:rsidP="0099669C">
      <w:pPr>
        <w:rPr>
          <w:rFonts w:cs="Times New Roman"/>
          <w:lang w:val="en-US"/>
        </w:rPr>
      </w:pPr>
      <w:r w:rsidRPr="00DE6DEE">
        <w:rPr>
          <w:noProof/>
        </w:rPr>
        <mc:AlternateContent>
          <mc:Choice Requires="wps">
            <w:drawing>
              <wp:anchor distT="0" distB="0" distL="114300" distR="114300" simplePos="0" relativeHeight="251715584" behindDoc="0" locked="0" layoutInCell="1" allowOverlap="1" wp14:anchorId="79FE2275" wp14:editId="58F4884F">
                <wp:simplePos x="0" y="0"/>
                <wp:positionH relativeFrom="margin">
                  <wp:align>right</wp:align>
                </wp:positionH>
                <wp:positionV relativeFrom="paragraph">
                  <wp:posOffset>4445</wp:posOffset>
                </wp:positionV>
                <wp:extent cx="2197100" cy="635"/>
                <wp:effectExtent l="0" t="0" r="0" b="5080"/>
                <wp:wrapSquare wrapText="bothSides"/>
                <wp:docPr id="365550136" name="Text Box 1"/>
                <wp:cNvGraphicFramePr/>
                <a:graphic xmlns:a="http://schemas.openxmlformats.org/drawingml/2006/main">
                  <a:graphicData uri="http://schemas.microsoft.com/office/word/2010/wordprocessingShape">
                    <wps:wsp>
                      <wps:cNvSpPr txBox="1"/>
                      <wps:spPr>
                        <a:xfrm>
                          <a:off x="0" y="0"/>
                          <a:ext cx="2197100" cy="635"/>
                        </a:xfrm>
                        <a:prstGeom prst="rect">
                          <a:avLst/>
                        </a:prstGeom>
                        <a:solidFill>
                          <a:prstClr val="white"/>
                        </a:solidFill>
                        <a:ln>
                          <a:noFill/>
                        </a:ln>
                      </wps:spPr>
                      <wps:txbx>
                        <w:txbxContent>
                          <w:p w14:paraId="0E1199B9" w14:textId="3BFC675A" w:rsidR="0099669C" w:rsidRPr="0087785D" w:rsidRDefault="0099669C" w:rsidP="0099669C">
                            <w:pPr>
                              <w:pStyle w:val="Caption"/>
                              <w:rPr>
                                <w:rFonts w:ascii="Times New Roman" w:hAnsi="Times New Roman" w:cs="Times New Roman"/>
                                <w:noProof/>
                                <w:szCs w:val="22"/>
                              </w:rPr>
                            </w:pPr>
                            <w:bookmarkStart w:id="104" w:name="_Toc214357735"/>
                            <w:r w:rsidRPr="0087785D">
                              <w:rPr>
                                <w:rFonts w:ascii="Times New Roman" w:hAnsi="Times New Roman" w:cs="Times New Roman"/>
                              </w:rPr>
                              <w:t xml:space="preserve">Figure </w:t>
                            </w:r>
                            <w:r w:rsidR="00F824A5">
                              <w:rPr>
                                <w:rFonts w:ascii="Times New Roman" w:hAnsi="Times New Roman" w:cs="Times New Roman"/>
                              </w:rPr>
                              <w:fldChar w:fldCharType="begin"/>
                            </w:r>
                            <w:r w:rsidR="00F824A5">
                              <w:rPr>
                                <w:rFonts w:ascii="Times New Roman" w:hAnsi="Times New Roman" w:cs="Times New Roman"/>
                              </w:rPr>
                              <w:instrText xml:space="preserve"> STYLEREF 1 \s </w:instrText>
                            </w:r>
                            <w:r w:rsidR="00F824A5">
                              <w:rPr>
                                <w:rFonts w:ascii="Times New Roman" w:hAnsi="Times New Roman" w:cs="Times New Roman"/>
                              </w:rPr>
                              <w:fldChar w:fldCharType="separate"/>
                            </w:r>
                            <w:r w:rsidR="000412CE">
                              <w:rPr>
                                <w:rFonts w:ascii="Times New Roman" w:hAnsi="Times New Roman" w:cs="Times New Roman"/>
                                <w:noProof/>
                              </w:rPr>
                              <w:t>2</w:t>
                            </w:r>
                            <w:r w:rsidR="00F824A5">
                              <w:rPr>
                                <w:rFonts w:ascii="Times New Roman" w:hAnsi="Times New Roman" w:cs="Times New Roman"/>
                              </w:rPr>
                              <w:fldChar w:fldCharType="end"/>
                            </w:r>
                            <w:r w:rsidR="00F824A5">
                              <w:rPr>
                                <w:rFonts w:ascii="Times New Roman" w:hAnsi="Times New Roman" w:cs="Times New Roman"/>
                              </w:rPr>
                              <w:t>.</w:t>
                            </w:r>
                            <w:r w:rsidR="00F824A5">
                              <w:rPr>
                                <w:rFonts w:ascii="Times New Roman" w:hAnsi="Times New Roman" w:cs="Times New Roman"/>
                              </w:rPr>
                              <w:fldChar w:fldCharType="begin"/>
                            </w:r>
                            <w:r w:rsidR="00F824A5">
                              <w:rPr>
                                <w:rFonts w:ascii="Times New Roman" w:hAnsi="Times New Roman" w:cs="Times New Roman"/>
                              </w:rPr>
                              <w:instrText xml:space="preserve"> SEQ Figure \* ARABIC \s 1 </w:instrText>
                            </w:r>
                            <w:r w:rsidR="00F824A5">
                              <w:rPr>
                                <w:rFonts w:ascii="Times New Roman" w:hAnsi="Times New Roman" w:cs="Times New Roman"/>
                              </w:rPr>
                              <w:fldChar w:fldCharType="separate"/>
                            </w:r>
                            <w:r w:rsidR="000412CE">
                              <w:rPr>
                                <w:rFonts w:ascii="Times New Roman" w:hAnsi="Times New Roman" w:cs="Times New Roman"/>
                                <w:noProof/>
                              </w:rPr>
                              <w:t>7</w:t>
                            </w:r>
                            <w:r w:rsidR="00F824A5">
                              <w:rPr>
                                <w:rFonts w:ascii="Times New Roman" w:hAnsi="Times New Roman" w:cs="Times New Roman"/>
                              </w:rPr>
                              <w:fldChar w:fldCharType="end"/>
                            </w:r>
                            <w:r w:rsidRPr="0087785D">
                              <w:rPr>
                                <w:rFonts w:ascii="Times New Roman" w:hAnsi="Times New Roman" w:cs="Times New Roman"/>
                              </w:rPr>
                              <w:t>. Effect of pure PCM on PV: maximum electrical-efficiency gain under (a) summer and (b) winter condition</w:t>
                            </w:r>
                            <w:r w:rsidR="008F3712">
                              <w:rPr>
                                <w:rFonts w:ascii="Times New Roman" w:hAnsi="Times New Roman" w:cs="Times New Roman"/>
                              </w:rPr>
                              <w:t xml:space="preserve"> [87]</w:t>
                            </w:r>
                            <w:r w:rsidR="00A165BA">
                              <w:rPr>
                                <w:rFonts w:ascii="Times New Roman" w:hAnsi="Times New Roman" w:cs="Times New Roman"/>
                              </w:rPr>
                              <w:t>.</w:t>
                            </w:r>
                            <w:bookmarkEnd w:id="10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9FE2275" id="_x0000_s1044" type="#_x0000_t202" style="position:absolute;left:0;text-align:left;margin-left:121.8pt;margin-top:.35pt;width:173pt;height:.05pt;z-index:251715584;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" stroked="f">
                <v:textbox style="mso-fit-shape-to-text:t" inset="0,0,0,0">
                  <w:txbxContent>
                    <w:p w14:paraId="0E1199B9" w14:textId="3BFC675A" w:rsidR="0099669C" w:rsidRPr="0087785D" w:rsidRDefault="0099669C" w:rsidP="0099669C">
                      <w:pPr>
                        <w:pStyle w:val="Caption"/>
                        <w:rPr>
                          <w:rFonts w:ascii="Times New Roman" w:hAnsi="Times New Roman" w:cs="Times New Roman"/>
                          <w:noProof/>
                          <w:szCs w:val="22"/>
                        </w:rPr>
                      </w:pPr>
                      <w:bookmarkStart w:id="105" w:name="_Toc214357735"/>
                      <w:r w:rsidRPr="0087785D">
                        <w:rPr>
                          <w:rFonts w:ascii="Times New Roman" w:hAnsi="Times New Roman" w:cs="Times New Roman"/>
                        </w:rPr>
                        <w:t xml:space="preserve">Figure </w:t>
                      </w:r>
                      <w:r w:rsidR="00F824A5">
                        <w:rPr>
                          <w:rFonts w:ascii="Times New Roman" w:hAnsi="Times New Roman" w:cs="Times New Roman"/>
                        </w:rPr>
                        <w:fldChar w:fldCharType="begin"/>
                      </w:r>
                      <w:r w:rsidR="00F824A5">
                        <w:rPr>
                          <w:rFonts w:ascii="Times New Roman" w:hAnsi="Times New Roman" w:cs="Times New Roman"/>
                        </w:rPr>
                        <w:instrText xml:space="preserve"> STYLEREF 1 \s </w:instrText>
                      </w:r>
                      <w:r w:rsidR="00F824A5">
                        <w:rPr>
                          <w:rFonts w:ascii="Times New Roman" w:hAnsi="Times New Roman" w:cs="Times New Roman"/>
                        </w:rPr>
                        <w:fldChar w:fldCharType="separate"/>
                      </w:r>
                      <w:r w:rsidR="000412CE">
                        <w:rPr>
                          <w:rFonts w:ascii="Times New Roman" w:hAnsi="Times New Roman" w:cs="Times New Roman"/>
                          <w:noProof/>
                        </w:rPr>
                        <w:t>2</w:t>
                      </w:r>
                      <w:r w:rsidR="00F824A5">
                        <w:rPr>
                          <w:rFonts w:ascii="Times New Roman" w:hAnsi="Times New Roman" w:cs="Times New Roman"/>
                        </w:rPr>
                        <w:fldChar w:fldCharType="end"/>
                      </w:r>
                      <w:r w:rsidR="00F824A5">
                        <w:rPr>
                          <w:rFonts w:ascii="Times New Roman" w:hAnsi="Times New Roman" w:cs="Times New Roman"/>
                        </w:rPr>
                        <w:t>.</w:t>
                      </w:r>
                      <w:r w:rsidR="00F824A5">
                        <w:rPr>
                          <w:rFonts w:ascii="Times New Roman" w:hAnsi="Times New Roman" w:cs="Times New Roman"/>
                        </w:rPr>
                        <w:fldChar w:fldCharType="begin"/>
                      </w:r>
                      <w:r w:rsidR="00F824A5">
                        <w:rPr>
                          <w:rFonts w:ascii="Times New Roman" w:hAnsi="Times New Roman" w:cs="Times New Roman"/>
                        </w:rPr>
                        <w:instrText xml:space="preserve"> SEQ Figure \* ARABIC \s 1 </w:instrText>
                      </w:r>
                      <w:r w:rsidR="00F824A5">
                        <w:rPr>
                          <w:rFonts w:ascii="Times New Roman" w:hAnsi="Times New Roman" w:cs="Times New Roman"/>
                        </w:rPr>
                        <w:fldChar w:fldCharType="separate"/>
                      </w:r>
                      <w:r w:rsidR="000412CE">
                        <w:rPr>
                          <w:rFonts w:ascii="Times New Roman" w:hAnsi="Times New Roman" w:cs="Times New Roman"/>
                          <w:noProof/>
                        </w:rPr>
                        <w:t>7</w:t>
                      </w:r>
                      <w:r w:rsidR="00F824A5">
                        <w:rPr>
                          <w:rFonts w:ascii="Times New Roman" w:hAnsi="Times New Roman" w:cs="Times New Roman"/>
                        </w:rPr>
                        <w:fldChar w:fldCharType="end"/>
                      </w:r>
                      <w:r w:rsidRPr="0087785D">
                        <w:rPr>
                          <w:rFonts w:ascii="Times New Roman" w:hAnsi="Times New Roman" w:cs="Times New Roman"/>
                        </w:rPr>
                        <w:t>. Effect of pure PCM on PV: maximum electrical-efficiency gain under (a) summer and (b) winter condition</w:t>
                      </w:r>
                      <w:r w:rsidR="008F3712">
                        <w:rPr>
                          <w:rFonts w:ascii="Times New Roman" w:hAnsi="Times New Roman" w:cs="Times New Roman"/>
                        </w:rPr>
                        <w:t xml:space="preserve"> [87]</w:t>
                      </w:r>
                      <w:r w:rsidR="00A165BA">
                        <w:rPr>
                          <w:rFonts w:ascii="Times New Roman" w:hAnsi="Times New Roman" w:cs="Times New Roman"/>
                        </w:rPr>
                        <w:t>.</w:t>
                      </w:r>
                      <w:bookmarkEnd w:id="105"/>
                    </w:p>
                  </w:txbxContent>
                </v:textbox>
                <w10:wrap type="square" anchorx="margin"/>
              </v:shape>
            </w:pict>
          </mc:Fallback>
        </mc:AlternateContent>
      </w:r>
      <w:r w:rsidR="0099669C" w:rsidRPr="00DE6DEE">
        <w:rPr>
          <w:rFonts w:cs="Times New Roman"/>
          <w:u w:val="single"/>
          <w:lang w:val="en-US"/>
        </w:rPr>
        <w:t>PV with finned PCM</w:t>
      </w:r>
      <w:r w:rsidR="0099669C" w:rsidRPr="00DE6DEE">
        <w:rPr>
          <w:rFonts w:cs="Times New Roman"/>
          <w:lang w:val="en-US"/>
        </w:rPr>
        <w:t>. Figure 2</w:t>
      </w:r>
      <w:r w:rsidRPr="00DE6DEE">
        <w:rPr>
          <w:rFonts w:cs="Times New Roman"/>
          <w:lang w:val="en-US"/>
        </w:rPr>
        <w:t>.</w:t>
      </w:r>
      <w:r w:rsidR="0099669C" w:rsidRPr="00DE6DEE">
        <w:rPr>
          <w:rFonts w:cs="Times New Roman"/>
          <w:lang w:val="en-US"/>
        </w:rPr>
        <w:t xml:space="preserve">9 shows the use of finned PCM. It allows a reduction in PV module temperature ranging between 5 and 20 °C, with a maximum decrease of about 31 °C reported by Huang et al. (2006) </w:t>
      </w:r>
      <w:sdt>
        <w:sdtPr>
          <w:rPr>
            <w:rFonts w:cs="Times New Roman"/>
            <w:lang w:val="en-US"/>
          </w:rPr>
          <w:id w:val="919294376"/>
          <w:citation/>
        </w:sdtPr>
        <w:sdtContent>
          <w:r>
            <w:rPr>
              <w:rFonts w:cs="Times New Roman"/>
              <w:lang w:val="en-US"/>
            </w:rPr>
            <w:fldChar w:fldCharType="begin"/>
          </w:r>
          <w:r w:rsidRPr="00DE6DEE">
            <w:rPr>
              <w:rFonts w:cs="Times New Roman"/>
              <w:lang w:val="en-US"/>
            </w:rPr>
            <w:instrText xml:space="preserve"> CITATION Placeholder95 \l 1040 </w:instrText>
          </w:r>
          <w:r>
            <w:rPr>
              <w:rFonts w:cs="Times New Roman"/>
              <w:lang w:val="en-US"/>
            </w:rPr>
            <w:fldChar w:fldCharType="separate"/>
          </w:r>
          <w:r w:rsidR="00855396" w:rsidRPr="00855396">
            <w:rPr>
              <w:rFonts w:cs="Times New Roman"/>
              <w:noProof/>
              <w:lang w:val="en-US"/>
            </w:rPr>
            <w:t>[89]</w:t>
          </w:r>
          <w:r>
            <w:rPr>
              <w:rFonts w:cs="Times New Roman"/>
              <w:lang w:val="en-US"/>
            </w:rPr>
            <w:fldChar w:fldCharType="end"/>
          </w:r>
        </w:sdtContent>
      </w:sdt>
      <w:r w:rsidR="0099669C" w:rsidRPr="00DE6DEE">
        <w:rPr>
          <w:rFonts w:cs="Times New Roman"/>
          <w:lang w:val="en-US"/>
        </w:rPr>
        <w:t xml:space="preserve">, who used RT25 with a melting point of 26.6 °C, close to the ideal PV operating temperature of 25°C. The insertion of fins within the PCM enhances its thermal conductivity, which is typically low, promoting more efficient heat transfer from the panel surface to the PCM. This results in improved PV module performance, greater surface temperature uniformity, and an extended thermal regulation period during peak hours (Huang et al., 2011 </w:t>
      </w:r>
      <w:sdt>
        <w:sdtPr>
          <w:rPr>
            <w:rFonts w:cs="Times New Roman"/>
            <w:lang w:val="en-US"/>
          </w:rPr>
          <w:id w:val="66305931"/>
          <w:citation/>
        </w:sdtPr>
        <w:sdtContent>
          <w:r>
            <w:rPr>
              <w:rFonts w:cs="Times New Roman"/>
              <w:lang w:val="en-US"/>
            </w:rPr>
            <w:fldChar w:fldCharType="begin"/>
          </w:r>
          <w:r w:rsidRPr="00DE6DEE">
            <w:rPr>
              <w:rFonts w:cs="Times New Roman"/>
              <w:lang w:val="en-US"/>
            </w:rPr>
            <w:instrText xml:space="preserve"> CITATION Placeholder96 \l 1040 </w:instrText>
          </w:r>
          <w:r>
            <w:rPr>
              <w:rFonts w:cs="Times New Roman"/>
              <w:lang w:val="en-US"/>
            </w:rPr>
            <w:fldChar w:fldCharType="separate"/>
          </w:r>
          <w:r w:rsidR="00855396" w:rsidRPr="00855396">
            <w:rPr>
              <w:rFonts w:cs="Times New Roman"/>
              <w:noProof/>
              <w:lang w:val="en-US"/>
            </w:rPr>
            <w:t>[90]</w:t>
          </w:r>
          <w:r>
            <w:rPr>
              <w:rFonts w:cs="Times New Roman"/>
              <w:lang w:val="en-US"/>
            </w:rPr>
            <w:fldChar w:fldCharType="end"/>
          </w:r>
        </w:sdtContent>
      </w:sdt>
      <w:r w:rsidR="0099669C" w:rsidRPr="00DE6DEE">
        <w:rPr>
          <w:rFonts w:cs="Times New Roman"/>
          <w:lang w:val="en-US"/>
        </w:rPr>
        <w:t xml:space="preserve">). In the literature, the best results in terms of efficiency improvement reach around 21% (Indartono et al., 2016 </w:t>
      </w:r>
      <w:sdt>
        <w:sdtPr>
          <w:rPr>
            <w:rFonts w:cs="Times New Roman"/>
            <w:lang w:val="en-US"/>
          </w:rPr>
          <w:id w:val="331039934"/>
          <w:citation/>
        </w:sdtPr>
        <w:sdtContent>
          <w:r>
            <w:rPr>
              <w:rFonts w:cs="Times New Roman"/>
              <w:lang w:val="en-US"/>
            </w:rPr>
            <w:fldChar w:fldCharType="begin"/>
          </w:r>
          <w:r w:rsidRPr="00DE6DEE">
            <w:rPr>
              <w:rFonts w:cs="Times New Roman"/>
              <w:lang w:val="en-US"/>
            </w:rPr>
            <w:instrText xml:space="preserve"> CITATION Placeholder97 \l 1040 </w:instrText>
          </w:r>
          <w:r>
            <w:rPr>
              <w:rFonts w:cs="Times New Roman"/>
              <w:lang w:val="en-US"/>
            </w:rPr>
            <w:fldChar w:fldCharType="separate"/>
          </w:r>
          <w:r w:rsidR="00855396" w:rsidRPr="00855396">
            <w:rPr>
              <w:rFonts w:cs="Times New Roman"/>
              <w:noProof/>
              <w:lang w:val="en-US"/>
            </w:rPr>
            <w:t>[91]</w:t>
          </w:r>
          <w:r>
            <w:rPr>
              <w:rFonts w:cs="Times New Roman"/>
              <w:lang w:val="en-US"/>
            </w:rPr>
            <w:fldChar w:fldCharType="end"/>
          </w:r>
        </w:sdtContent>
      </w:sdt>
      <w:r w:rsidR="0099669C" w:rsidRPr="00DE6DEE">
        <w:rPr>
          <w:rFonts w:cs="Times New Roman"/>
          <w:lang w:val="en-US"/>
        </w:rPr>
        <w:t>) when using PCM combined with yellow petroleum jelly. The same study also reported a significant increase in power output due to the PCM’s high heat absorption capacity and the enhanced conduction provided by the fins. Other studies show more moderate improvements, ranging between 5% and 12%, still confirming the effectiveness of finned PCM in enhancing both the thermal and electrical performance of PV modules.</w:t>
      </w:r>
    </w:p>
    <w:p w14:paraId="6DEB923A" w14:textId="77777777" w:rsidR="0099669C" w:rsidRPr="00DE6DEE" w:rsidRDefault="0099669C" w:rsidP="0099669C">
      <w:pPr>
        <w:keepNext/>
        <w:jc w:val="center"/>
      </w:pPr>
      <w:r w:rsidRPr="00DE6DEE">
        <w:rPr>
          <w:rFonts w:cs="Times New Roman"/>
          <w:b/>
          <w:bCs/>
          <w:noProof/>
          <w:lang w:val="nb-NO"/>
        </w:rPr>
        <w:lastRenderedPageBreak/>
        <w:drawing>
          <wp:inline distT="0" distB="0" distL="0" distR="0" wp14:anchorId="41DD2869" wp14:editId="5C640E06">
            <wp:extent cx="2705478" cy="1895740"/>
            <wp:effectExtent l="0" t="0" r="0" b="9525"/>
            <wp:docPr id="1244986189" name="Immagine 1" descr="Immagine che contiene testo, ricevuta, linea,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986189" name="Immagine 1" descr="Immagine che contiene testo, ricevuta, linea, Carattere&#10;&#10;Il contenuto generato dall'IA potrebbe non essere corretto."/>
                    <pic:cNvPicPr/>
                  </pic:nvPicPr>
                  <pic:blipFill>
                    <a:blip r:embed="rId116"/>
                    <a:stretch>
                      <a:fillRect/>
                    </a:stretch>
                  </pic:blipFill>
                  <pic:spPr>
                    <a:xfrm>
                      <a:off x="0" y="0"/>
                      <a:ext cx="2705478" cy="1895740"/>
                    </a:xfrm>
                    <a:prstGeom prst="rect">
                      <a:avLst/>
                    </a:prstGeom>
                  </pic:spPr>
                </pic:pic>
              </a:graphicData>
            </a:graphic>
          </wp:inline>
        </w:drawing>
      </w:r>
    </w:p>
    <w:p w14:paraId="0155B030" w14:textId="26857445" w:rsidR="0099669C" w:rsidRPr="00DE6DEE" w:rsidRDefault="0099669C" w:rsidP="0099669C">
      <w:pPr>
        <w:pStyle w:val="Caption"/>
        <w:rPr>
          <w:rFonts w:cs="Times New Roman"/>
          <w:b/>
          <w:bCs/>
        </w:rPr>
      </w:pPr>
      <w:bookmarkStart w:id="106" w:name="_Toc214357736"/>
      <w:r w:rsidRPr="00DE6DEE">
        <w:rPr>
          <w:rFonts w:cs="Times New Roman"/>
        </w:rPr>
        <w:t xml:space="preserve">Figure </w:t>
      </w:r>
      <w:r w:rsidR="00F824A5">
        <w:rPr>
          <w:rFonts w:cs="Times New Roman"/>
        </w:rPr>
        <w:fldChar w:fldCharType="begin"/>
      </w:r>
      <w:r w:rsidR="00F824A5">
        <w:rPr>
          <w:rFonts w:cs="Times New Roman"/>
        </w:rPr>
        <w:instrText xml:space="preserve"> STYLEREF 1 \s </w:instrText>
      </w:r>
      <w:r w:rsidR="00F824A5">
        <w:rPr>
          <w:rFonts w:cs="Times New Roman"/>
        </w:rPr>
        <w:fldChar w:fldCharType="separate"/>
      </w:r>
      <w:r w:rsidR="000412CE">
        <w:rPr>
          <w:rFonts w:cs="Times New Roman"/>
          <w:noProof/>
        </w:rPr>
        <w:t>2</w:t>
      </w:r>
      <w:r w:rsidR="00F824A5">
        <w:rPr>
          <w:rFonts w:cs="Times New Roman"/>
        </w:rPr>
        <w:fldChar w:fldCharType="end"/>
      </w:r>
      <w:r w:rsidR="00F824A5">
        <w:rPr>
          <w:rFonts w:cs="Times New Roman"/>
        </w:rPr>
        <w:t>.</w:t>
      </w:r>
      <w:r w:rsidR="00F824A5">
        <w:rPr>
          <w:rFonts w:cs="Times New Roman"/>
        </w:rPr>
        <w:fldChar w:fldCharType="begin"/>
      </w:r>
      <w:r w:rsidR="00F824A5">
        <w:rPr>
          <w:rFonts w:cs="Times New Roman"/>
        </w:rPr>
        <w:instrText xml:space="preserve"> SEQ Figure \* ARABIC \s 1 </w:instrText>
      </w:r>
      <w:r w:rsidR="00F824A5">
        <w:rPr>
          <w:rFonts w:cs="Times New Roman"/>
        </w:rPr>
        <w:fldChar w:fldCharType="separate"/>
      </w:r>
      <w:r w:rsidR="000412CE">
        <w:rPr>
          <w:rFonts w:cs="Times New Roman"/>
          <w:noProof/>
        </w:rPr>
        <w:t>8</w:t>
      </w:r>
      <w:r w:rsidR="00F824A5">
        <w:rPr>
          <w:rFonts w:cs="Times New Roman"/>
        </w:rPr>
        <w:fldChar w:fldCharType="end"/>
      </w:r>
      <w:r w:rsidRPr="00DE6DEE">
        <w:rPr>
          <w:rFonts w:cs="Times New Roman"/>
        </w:rPr>
        <w:t>. Maximum reduction in PV-temperature using finned-PCM</w:t>
      </w:r>
      <w:r w:rsidR="008F3712">
        <w:rPr>
          <w:rFonts w:cs="Times New Roman"/>
        </w:rPr>
        <w:t xml:space="preserve"> [89]</w:t>
      </w:r>
      <w:r w:rsidR="00A165BA">
        <w:rPr>
          <w:rFonts w:cs="Times New Roman"/>
        </w:rPr>
        <w:t>.</w:t>
      </w:r>
      <w:bookmarkEnd w:id="106"/>
    </w:p>
    <w:p w14:paraId="4F54D151" w14:textId="43EB1A8F" w:rsidR="0099669C" w:rsidRPr="00DE6DEE" w:rsidRDefault="0099669C" w:rsidP="0099669C">
      <w:pPr>
        <w:rPr>
          <w:rFonts w:cs="Times New Roman"/>
          <w:lang w:val="en-US"/>
        </w:rPr>
      </w:pPr>
      <w:r w:rsidRPr="00DE6DEE">
        <w:rPr>
          <w:rFonts w:cs="Times New Roman"/>
          <w:u w:val="single"/>
          <w:lang w:val="en-US"/>
        </w:rPr>
        <w:t>PV with composite PCM</w:t>
      </w:r>
      <w:r w:rsidRPr="00DE6DEE">
        <w:rPr>
          <w:rFonts w:cs="Times New Roman"/>
          <w:lang w:val="en-US"/>
        </w:rPr>
        <w:t xml:space="preserve">. Several studies have proposed methods to improve the thermal conductivity of PCMs, including the addition of nanoparticles, metal turnings, or expandable graphite. The highest increase, reaching 16.35 W/mK, was achieved with graphite-infused PCM (Atkin and Farid, </w:t>
      </w:r>
      <w:sdt>
        <w:sdtPr>
          <w:rPr>
            <w:rFonts w:cs="Times New Roman"/>
            <w:lang w:val="en-US"/>
          </w:rPr>
          <w:id w:val="1191495509"/>
          <w:citation/>
        </w:sdtPr>
        <w:sdtContent>
          <w:r w:rsidR="00DE6DEE">
            <w:rPr>
              <w:rFonts w:cs="Times New Roman"/>
              <w:lang w:val="en-US"/>
            </w:rPr>
            <w:fldChar w:fldCharType="begin"/>
          </w:r>
          <w:r w:rsidR="00DE6DEE" w:rsidRPr="00DE6DEE">
            <w:rPr>
              <w:rFonts w:cs="Times New Roman"/>
              <w:lang w:val="en-US"/>
            </w:rPr>
            <w:instrText xml:space="preserve"> CITATION Placeholder98 \l 1040 </w:instrText>
          </w:r>
          <w:r w:rsidR="00DE6DEE">
            <w:rPr>
              <w:rFonts w:cs="Times New Roman"/>
              <w:lang w:val="en-US"/>
            </w:rPr>
            <w:fldChar w:fldCharType="separate"/>
          </w:r>
          <w:r w:rsidR="00855396" w:rsidRPr="00855396">
            <w:rPr>
              <w:rFonts w:cs="Times New Roman"/>
              <w:noProof/>
              <w:lang w:val="en-US"/>
            </w:rPr>
            <w:t>[92]</w:t>
          </w:r>
          <w:r w:rsidR="00DE6DEE">
            <w:rPr>
              <w:rFonts w:cs="Times New Roman"/>
              <w:lang w:val="en-US"/>
            </w:rPr>
            <w:fldChar w:fldCharType="end"/>
          </w:r>
        </w:sdtContent>
      </w:sdt>
      <w:r w:rsidRPr="00DE6DEE">
        <w:rPr>
          <w:rFonts w:cs="Times New Roman"/>
          <w:lang w:val="en-US"/>
        </w:rPr>
        <w:t xml:space="preserve">). When comparing pure and composite PCMs, most researchers (Hachem et al. </w:t>
      </w:r>
      <w:sdt>
        <w:sdtPr>
          <w:rPr>
            <w:rFonts w:cs="Times New Roman"/>
            <w:lang w:val="en-US"/>
          </w:rPr>
          <w:id w:val="-67964857"/>
          <w:citation/>
        </w:sdtPr>
        <w:sdtContent>
          <w:r w:rsidR="00DE6DEE">
            <w:rPr>
              <w:rFonts w:cs="Times New Roman"/>
              <w:lang w:val="en-US"/>
            </w:rPr>
            <w:fldChar w:fldCharType="begin"/>
          </w:r>
          <w:r w:rsidR="00DE6DEE" w:rsidRPr="00422EEB">
            <w:rPr>
              <w:rFonts w:cs="Times New Roman"/>
              <w:lang w:val="en-US"/>
            </w:rPr>
            <w:instrText xml:space="preserve"> CITATION Placeholder99 \l 1040 </w:instrText>
          </w:r>
          <w:r w:rsidR="00DE6DEE">
            <w:rPr>
              <w:rFonts w:cs="Times New Roman"/>
              <w:lang w:val="en-US"/>
            </w:rPr>
            <w:fldChar w:fldCharType="separate"/>
          </w:r>
          <w:r w:rsidR="00855396" w:rsidRPr="00855396">
            <w:rPr>
              <w:rFonts w:cs="Times New Roman"/>
              <w:noProof/>
              <w:lang w:val="en-US"/>
            </w:rPr>
            <w:t>[93]</w:t>
          </w:r>
          <w:r w:rsidR="00DE6DEE">
            <w:rPr>
              <w:rFonts w:cs="Times New Roman"/>
              <w:lang w:val="en-US"/>
            </w:rPr>
            <w:fldChar w:fldCharType="end"/>
          </w:r>
        </w:sdtContent>
      </w:sdt>
      <w:r w:rsidRPr="00DE6DEE">
        <w:rPr>
          <w:rFonts w:cs="Times New Roman"/>
          <w:lang w:val="en-US"/>
        </w:rPr>
        <w:t xml:space="preserve">) observed a greater temperature reduction in the latter, due to its improved thermal regulation capability. Even after PCM melting, composite PCMs exhibit a slower temperature rise, making them more effective for PV module cooling. The use of composite PCMs has also led to significant increases in PV output power, in some cases up to 55%  like Sharma et al. </w:t>
      </w:r>
      <w:sdt>
        <w:sdtPr>
          <w:rPr>
            <w:rFonts w:cs="Times New Roman"/>
            <w:lang w:val="en-US"/>
          </w:rPr>
          <w:id w:val="1403025633"/>
          <w:citation/>
        </w:sdtPr>
        <w:sdtContent>
          <w:r w:rsidR="00DE6DEE">
            <w:rPr>
              <w:rFonts w:cs="Times New Roman"/>
              <w:lang w:val="en-US"/>
            </w:rPr>
            <w:fldChar w:fldCharType="begin"/>
          </w:r>
          <w:r w:rsidR="00DE6DEE" w:rsidRPr="00422EEB">
            <w:rPr>
              <w:rFonts w:cs="Times New Roman"/>
              <w:lang w:val="en-US"/>
            </w:rPr>
            <w:instrText xml:space="preserve"> CITATION Placeholder100 \l 1040 </w:instrText>
          </w:r>
          <w:r w:rsidR="00DE6DEE">
            <w:rPr>
              <w:rFonts w:cs="Times New Roman"/>
              <w:lang w:val="en-US"/>
            </w:rPr>
            <w:fldChar w:fldCharType="separate"/>
          </w:r>
          <w:r w:rsidR="00855396" w:rsidRPr="00855396">
            <w:rPr>
              <w:rFonts w:cs="Times New Roman"/>
              <w:noProof/>
              <w:lang w:val="en-US"/>
            </w:rPr>
            <w:t>[94]</w:t>
          </w:r>
          <w:r w:rsidR="00DE6DEE">
            <w:rPr>
              <w:rFonts w:cs="Times New Roman"/>
              <w:lang w:val="en-US"/>
            </w:rPr>
            <w:fldChar w:fldCharType="end"/>
          </w:r>
        </w:sdtContent>
      </w:sdt>
      <w:r w:rsidRPr="00DE6DEE">
        <w:rPr>
          <w:rFonts w:cs="Times New Roman"/>
          <w:lang w:val="en-US"/>
        </w:rPr>
        <w:t>, thanks to the application of nano-PCM combined with rear fins for cooling. Although the addition of nanoparticles slightly reduces the heat storage capacity, it greatly enhances thermal conductivity, allowing more efficient absorption of excess heat and mitigating power decline over time.</w:t>
      </w:r>
    </w:p>
    <w:p w14:paraId="0002AB51" w14:textId="5A3FCB24" w:rsidR="0099669C" w:rsidRPr="00422EEB" w:rsidRDefault="0099669C" w:rsidP="00422EEB">
      <w:pPr>
        <w:pStyle w:val="Heading3"/>
        <w:rPr>
          <w:lang w:val="en-US"/>
        </w:rPr>
      </w:pPr>
      <w:bookmarkStart w:id="107" w:name="_Toc213354076"/>
      <w:bookmarkStart w:id="108" w:name="_Toc214356294"/>
      <w:r w:rsidRPr="00422EEB">
        <w:rPr>
          <w:lang w:val="en-US"/>
        </w:rPr>
        <w:t>Economic and environmental considerations of</w:t>
      </w:r>
      <w:r w:rsidR="00A85824">
        <w:rPr>
          <w:lang w:val="en-US"/>
        </w:rPr>
        <w:t xml:space="preserve"> </w:t>
      </w:r>
      <w:r w:rsidRPr="00422EEB">
        <w:rPr>
          <w:lang w:val="en-US"/>
        </w:rPr>
        <w:t xml:space="preserve">PV-PCM </w:t>
      </w:r>
      <w:r w:rsidR="00A85824">
        <w:rPr>
          <w:lang w:val="en-US"/>
        </w:rPr>
        <w:t>and PV/T</w:t>
      </w:r>
      <w:r w:rsidR="00A85824" w:rsidRPr="00422EEB">
        <w:rPr>
          <w:lang w:val="en-US"/>
        </w:rPr>
        <w:t>-P</w:t>
      </w:r>
      <w:r w:rsidR="00A85824">
        <w:rPr>
          <w:lang w:val="en-US"/>
        </w:rPr>
        <w:t xml:space="preserve">CM </w:t>
      </w:r>
      <w:r w:rsidRPr="00422EEB">
        <w:rPr>
          <w:lang w:val="en-US"/>
        </w:rPr>
        <w:t>system</w:t>
      </w:r>
      <w:r w:rsidR="00A85824">
        <w:rPr>
          <w:lang w:val="en-US"/>
        </w:rPr>
        <w:t>s</w:t>
      </w:r>
      <w:bookmarkEnd w:id="107"/>
      <w:bookmarkEnd w:id="108"/>
    </w:p>
    <w:p w14:paraId="0172F6A8" w14:textId="23044C23" w:rsidR="0099669C" w:rsidRPr="00DE6DEE" w:rsidRDefault="0099669C" w:rsidP="0099669C">
      <w:pPr>
        <w:rPr>
          <w:rFonts w:cs="Times New Roman"/>
          <w:lang w:val="en-US"/>
        </w:rPr>
      </w:pPr>
      <w:r w:rsidRPr="00DE6DEE">
        <w:rPr>
          <w:rFonts w:cs="Times New Roman"/>
          <w:lang w:val="en-US"/>
        </w:rPr>
        <w:t xml:space="preserve">Mazzeo et al. </w:t>
      </w:r>
      <w:r w:rsidR="00422EEB">
        <w:rPr>
          <w:rFonts w:cs="Times New Roman"/>
          <w:lang w:val="en-US"/>
        </w:rPr>
        <w:t>[80]</w:t>
      </w:r>
      <w:r w:rsidRPr="00DE6DEE">
        <w:rPr>
          <w:rFonts w:cs="Times New Roman"/>
          <w:lang w:val="en-US"/>
        </w:rPr>
        <w:t xml:space="preserve"> report an environmental and economic assessment of PV–PCM systems, showing that the integration of PCMs enhances both the sustainability and overall efficiency of PV modules, despite a slight increase in environmental impact. The study by Foteinis et al. </w:t>
      </w:r>
      <w:sdt>
        <w:sdtPr>
          <w:rPr>
            <w:rFonts w:cs="Times New Roman"/>
            <w:lang w:val="en-US"/>
          </w:rPr>
          <w:id w:val="840428751"/>
          <w:citation/>
        </w:sdtPr>
        <w:sdtContent>
          <w:r w:rsidR="00422EEB">
            <w:rPr>
              <w:rFonts w:cs="Times New Roman"/>
              <w:lang w:val="en-US"/>
            </w:rPr>
            <w:fldChar w:fldCharType="begin"/>
          </w:r>
          <w:r w:rsidR="00422EEB" w:rsidRPr="00422EEB">
            <w:rPr>
              <w:rFonts w:cs="Times New Roman"/>
              <w:lang w:val="en-US"/>
            </w:rPr>
            <w:instrText xml:space="preserve"> CITATION Placeholder101 \l 1040 </w:instrText>
          </w:r>
          <w:r w:rsidR="00422EEB">
            <w:rPr>
              <w:rFonts w:cs="Times New Roman"/>
              <w:lang w:val="en-US"/>
            </w:rPr>
            <w:fldChar w:fldCharType="separate"/>
          </w:r>
          <w:r w:rsidR="00855396" w:rsidRPr="00855396">
            <w:rPr>
              <w:rFonts w:cs="Times New Roman"/>
              <w:noProof/>
              <w:lang w:val="en-US"/>
            </w:rPr>
            <w:t>[95]</w:t>
          </w:r>
          <w:r w:rsidR="00422EEB">
            <w:rPr>
              <w:rFonts w:cs="Times New Roman"/>
              <w:lang w:val="en-US"/>
            </w:rPr>
            <w:fldChar w:fldCharType="end"/>
          </w:r>
        </w:sdtContent>
      </w:sdt>
      <w:r w:rsidR="00422EEB">
        <w:rPr>
          <w:rFonts w:cs="Times New Roman"/>
          <w:lang w:val="en-US"/>
        </w:rPr>
        <w:t xml:space="preserve"> </w:t>
      </w:r>
      <w:r w:rsidRPr="00DE6DEE">
        <w:rPr>
          <w:rFonts w:cs="Times New Roman"/>
          <w:lang w:val="en-US"/>
        </w:rPr>
        <w:t xml:space="preserve">found that using PCM as a cooling system increases the environmental footprint by 21.9%, but also boosts electricity generation by 9.4% and extends the PV module’s lifespan by at least five years. The additional energy produced helps reduce ecotoxicity and human toxicity, while also increasing the share of renewable energy in the overall energy mix. From an economic perspective, the cost-effectiveness and efficiency of PV–PCM systems depend on location, material costs, and solar radiation levels. Hasan et al. </w:t>
      </w:r>
      <w:sdt>
        <w:sdtPr>
          <w:rPr>
            <w:rFonts w:cs="Times New Roman"/>
            <w:lang w:val="en-US"/>
          </w:rPr>
          <w:id w:val="-1526389714"/>
          <w:citation/>
        </w:sdtPr>
        <w:sdtContent>
          <w:r w:rsidR="00422EEB">
            <w:rPr>
              <w:rFonts w:cs="Times New Roman"/>
              <w:lang w:val="en-US"/>
            </w:rPr>
            <w:fldChar w:fldCharType="begin"/>
          </w:r>
          <w:r w:rsidR="00422EEB" w:rsidRPr="00422EEB">
            <w:rPr>
              <w:rFonts w:cs="Times New Roman"/>
              <w:lang w:val="en-US"/>
            </w:rPr>
            <w:instrText xml:space="preserve"> CITATION Placeholder102 \l 1040 </w:instrText>
          </w:r>
          <w:r w:rsidR="00422EEB">
            <w:rPr>
              <w:rFonts w:cs="Times New Roman"/>
              <w:lang w:val="en-US"/>
            </w:rPr>
            <w:fldChar w:fldCharType="separate"/>
          </w:r>
          <w:r w:rsidR="00855396" w:rsidRPr="00855396">
            <w:rPr>
              <w:rFonts w:cs="Times New Roman"/>
              <w:noProof/>
              <w:lang w:val="en-US"/>
            </w:rPr>
            <w:t>[96]</w:t>
          </w:r>
          <w:r w:rsidR="00422EEB">
            <w:rPr>
              <w:rFonts w:cs="Times New Roman"/>
              <w:lang w:val="en-US"/>
            </w:rPr>
            <w:fldChar w:fldCharType="end"/>
          </w:r>
        </w:sdtContent>
      </w:sdt>
      <w:r w:rsidRPr="00DE6DEE">
        <w:rPr>
          <w:rFonts w:cs="Times New Roman"/>
          <w:lang w:val="en-US"/>
        </w:rPr>
        <w:t xml:space="preserve"> demonstrated that the system becomes more economically viable in areas with lower material costs and higher solar irradiance. Moreover, by replacing paraffin wax with salt hydrates, the energy payback time (EPBT) was reduced from 10 to 3 years. Finally, Radziemska et al. </w:t>
      </w:r>
      <w:sdt>
        <w:sdtPr>
          <w:rPr>
            <w:rFonts w:cs="Times New Roman"/>
            <w:lang w:val="en-US"/>
          </w:rPr>
          <w:id w:val="1299651541"/>
          <w:citation/>
        </w:sdtPr>
        <w:sdtContent>
          <w:r w:rsidR="00422EEB">
            <w:rPr>
              <w:rFonts w:cs="Times New Roman"/>
              <w:lang w:val="en-US"/>
            </w:rPr>
            <w:fldChar w:fldCharType="begin"/>
          </w:r>
          <w:r w:rsidR="00422EEB" w:rsidRPr="00422EEB">
            <w:rPr>
              <w:rFonts w:cs="Times New Roman"/>
              <w:lang w:val="en-US"/>
            </w:rPr>
            <w:instrText xml:space="preserve"> CITATION Placeholder103 \l 1040 </w:instrText>
          </w:r>
          <w:r w:rsidR="00422EEB">
            <w:rPr>
              <w:rFonts w:cs="Times New Roman"/>
              <w:lang w:val="en-US"/>
            </w:rPr>
            <w:fldChar w:fldCharType="separate"/>
          </w:r>
          <w:r w:rsidR="00855396" w:rsidRPr="00855396">
            <w:rPr>
              <w:rFonts w:cs="Times New Roman"/>
              <w:noProof/>
              <w:lang w:val="en-US"/>
            </w:rPr>
            <w:t>[97]</w:t>
          </w:r>
          <w:r w:rsidR="00422EEB">
            <w:rPr>
              <w:rFonts w:cs="Times New Roman"/>
              <w:lang w:val="en-US"/>
            </w:rPr>
            <w:fldChar w:fldCharType="end"/>
          </w:r>
        </w:sdtContent>
      </w:sdt>
      <w:r w:rsidR="00422EEB">
        <w:rPr>
          <w:rFonts w:cs="Times New Roman"/>
          <w:lang w:val="en-US"/>
        </w:rPr>
        <w:t xml:space="preserve"> </w:t>
      </w:r>
      <w:r w:rsidRPr="00DE6DEE">
        <w:rPr>
          <w:rFonts w:cs="Times New Roman"/>
          <w:lang w:val="en-US"/>
        </w:rPr>
        <w:lastRenderedPageBreak/>
        <w:t>estimated that a 1 kW PV–PCM system costs about 8.5% more than a conventional one, but produces 7% more energy, leading to a 10% profit margin over a 30-year lifespan.</w:t>
      </w:r>
    </w:p>
    <w:p w14:paraId="0D946644" w14:textId="534D6495" w:rsidR="002A1CEA" w:rsidRDefault="0099669C" w:rsidP="0099669C">
      <w:pPr>
        <w:rPr>
          <w:rFonts w:cs="Times New Roman"/>
          <w:lang w:val="en-US"/>
        </w:rPr>
      </w:pPr>
      <w:r w:rsidRPr="00DE6DEE">
        <w:rPr>
          <w:rFonts w:cs="Times New Roman"/>
          <w:lang w:val="en-US"/>
        </w:rPr>
        <w:t xml:space="preserve">Cui et al </w:t>
      </w:r>
      <w:sdt>
        <w:sdtPr>
          <w:rPr>
            <w:rFonts w:cs="Times New Roman"/>
            <w:lang w:val="en-US"/>
          </w:rPr>
          <w:id w:val="838352578"/>
          <w:citation/>
        </w:sdtPr>
        <w:sdtContent>
          <w:r w:rsidR="00422EEB">
            <w:rPr>
              <w:rFonts w:cs="Times New Roman"/>
              <w:lang w:val="en-US"/>
            </w:rPr>
            <w:fldChar w:fldCharType="begin"/>
          </w:r>
          <w:r w:rsidR="00422EEB" w:rsidRPr="00422EEB">
            <w:rPr>
              <w:rFonts w:cs="Times New Roman"/>
              <w:lang w:val="en-US"/>
            </w:rPr>
            <w:instrText xml:space="preserve"> CITATION Placeholder104 \l 1040 </w:instrText>
          </w:r>
          <w:r w:rsidR="00422EEB">
            <w:rPr>
              <w:rFonts w:cs="Times New Roman"/>
              <w:lang w:val="en-US"/>
            </w:rPr>
            <w:fldChar w:fldCharType="separate"/>
          </w:r>
          <w:r w:rsidR="00855396" w:rsidRPr="00855396">
            <w:rPr>
              <w:rFonts w:cs="Times New Roman"/>
              <w:noProof/>
              <w:lang w:val="en-US"/>
            </w:rPr>
            <w:t>[98]</w:t>
          </w:r>
          <w:r w:rsidR="00422EEB">
            <w:rPr>
              <w:rFonts w:cs="Times New Roman"/>
              <w:lang w:val="en-US"/>
            </w:rPr>
            <w:fldChar w:fldCharType="end"/>
          </w:r>
        </w:sdtContent>
      </w:sdt>
      <w:r w:rsidR="00422EEB">
        <w:rPr>
          <w:rFonts w:cs="Times New Roman"/>
          <w:lang w:val="en-US"/>
        </w:rPr>
        <w:t xml:space="preserve"> </w:t>
      </w:r>
      <w:r w:rsidRPr="00DE6DEE">
        <w:rPr>
          <w:rFonts w:cs="Times New Roman"/>
          <w:lang w:val="en-US"/>
        </w:rPr>
        <w:t>reported that the PV/T system is normally utilized for the conversion of solar energy into heat and power. In their review, they analyze the technical challenges of 4 E (energy, exergy, economic, and environmental)  assessments and recommendations for future work. Future perspectives for PV/T–PCM systems focus on improving thermal conductivity, integrating nanofluids, and designing more efficient configurations. It is necessary to develop practical solutions that enable the combined use of PCM for both heating and cooling applications. Currently, paraffin wax is the most commonly used PCM due to its safety and cost-effectiveness, although its low thermal conductivity limits performance. For this reason, research should explore the use of high-conductivity materials and composite PCMs. Long-term studies are essential to ensure system reliability, taking into account the solidification process, which is often incomplete in salt hydrate PCMs. The stability of PCM and nano-PCM also requires further investigation, as interactions between nanoparticles and surfaces strongly affect heat transfer. Although nano-PCMs show great potential, more theoretical models and experimental validation are still needed. From an energy perspective, efforts should focus on minimizing heat losses and improving efficiency through exergy and thermodynamic analyses. From an economic standpoint, sustainability should be assessed using Life Cycle Assessment (LCA) tools, considering costs, energy payback time, and net present value. Finally, from an environmental point of view, the production of PCM and nano-PCM leads to significant greenhouse gas emissions, and their impact should be reduced in accordance with internation</w:t>
      </w:r>
      <w:r w:rsidR="00422EEB">
        <w:rPr>
          <w:rFonts w:cs="Times New Roman"/>
          <w:lang w:val="en-US"/>
        </w:rPr>
        <w:t>al environmental standards.</w:t>
      </w:r>
    </w:p>
    <w:p w14:paraId="06A1D5F2" w14:textId="77777777" w:rsidR="008F3712" w:rsidRDefault="008F3712" w:rsidP="0099669C">
      <w:pPr>
        <w:rPr>
          <w:rFonts w:cs="Times New Roman"/>
          <w:lang w:val="en-US"/>
        </w:rPr>
      </w:pPr>
    </w:p>
    <w:p w14:paraId="6AC17221" w14:textId="77777777" w:rsidR="008F3712" w:rsidRDefault="008F3712" w:rsidP="0099669C">
      <w:pPr>
        <w:rPr>
          <w:rFonts w:cs="Times New Roman"/>
          <w:lang w:val="en-US"/>
        </w:rPr>
      </w:pPr>
    </w:p>
    <w:p w14:paraId="5CB87B34" w14:textId="77777777" w:rsidR="008F3712" w:rsidRDefault="008F3712" w:rsidP="0099669C">
      <w:pPr>
        <w:rPr>
          <w:rFonts w:cs="Times New Roman"/>
          <w:lang w:val="en-US"/>
        </w:rPr>
      </w:pPr>
    </w:p>
    <w:p w14:paraId="66E6721C" w14:textId="77777777" w:rsidR="008F3712" w:rsidRDefault="008F3712" w:rsidP="0099669C">
      <w:pPr>
        <w:rPr>
          <w:rFonts w:cs="Times New Roman"/>
          <w:lang w:val="en-US"/>
        </w:rPr>
      </w:pPr>
    </w:p>
    <w:p w14:paraId="59FAF260" w14:textId="77777777" w:rsidR="008F3712" w:rsidRDefault="008F3712" w:rsidP="0099669C">
      <w:pPr>
        <w:rPr>
          <w:rFonts w:cs="Times New Roman"/>
          <w:lang w:val="en-US"/>
        </w:rPr>
      </w:pPr>
    </w:p>
    <w:p w14:paraId="7F2A3509" w14:textId="77777777" w:rsidR="008F3712" w:rsidRDefault="008F3712" w:rsidP="0099669C">
      <w:pPr>
        <w:rPr>
          <w:rFonts w:cs="Times New Roman"/>
          <w:lang w:val="en-US"/>
        </w:rPr>
      </w:pPr>
    </w:p>
    <w:p w14:paraId="70C19160" w14:textId="77777777" w:rsidR="008F3712" w:rsidRDefault="008F3712" w:rsidP="0099669C">
      <w:pPr>
        <w:rPr>
          <w:rFonts w:cs="Times New Roman"/>
          <w:lang w:val="en-US"/>
        </w:rPr>
      </w:pPr>
    </w:p>
    <w:p w14:paraId="22DC6A02" w14:textId="77777777" w:rsidR="008F3712" w:rsidRDefault="008F3712" w:rsidP="0099669C">
      <w:pPr>
        <w:rPr>
          <w:rFonts w:cs="Times New Roman"/>
          <w:lang w:val="en-US"/>
        </w:rPr>
      </w:pPr>
    </w:p>
    <w:p w14:paraId="5C45D067" w14:textId="77777777" w:rsidR="008F3712" w:rsidRDefault="008F3712" w:rsidP="0099669C">
      <w:pPr>
        <w:rPr>
          <w:rFonts w:cs="Times New Roman"/>
          <w:lang w:val="en-US"/>
        </w:rPr>
      </w:pPr>
    </w:p>
    <w:p w14:paraId="3A73B71A" w14:textId="77777777" w:rsidR="008F3712" w:rsidRDefault="008F3712" w:rsidP="0099669C">
      <w:pPr>
        <w:rPr>
          <w:rFonts w:cs="Times New Roman"/>
          <w:lang w:val="en-US"/>
        </w:rPr>
      </w:pPr>
    </w:p>
    <w:p w14:paraId="243A1BB1" w14:textId="77777777" w:rsidR="008F3712" w:rsidRDefault="008F3712" w:rsidP="0099669C">
      <w:pPr>
        <w:rPr>
          <w:rFonts w:cs="Times New Roman"/>
          <w:lang w:val="en-US"/>
        </w:rPr>
      </w:pPr>
    </w:p>
    <w:p w14:paraId="156875E7" w14:textId="77777777" w:rsidR="008F3712" w:rsidRDefault="008F3712" w:rsidP="0099669C">
      <w:pPr>
        <w:rPr>
          <w:rFonts w:cs="Times New Roman"/>
          <w:lang w:val="en-US"/>
        </w:rPr>
      </w:pPr>
    </w:p>
    <w:p w14:paraId="23422622" w14:textId="77777777" w:rsidR="008F3712" w:rsidRDefault="008F3712" w:rsidP="0099669C">
      <w:pPr>
        <w:rPr>
          <w:rFonts w:cs="Times New Roman"/>
          <w:lang w:val="en-US"/>
        </w:rPr>
      </w:pPr>
    </w:p>
    <w:p w14:paraId="0367BE4E" w14:textId="77777777" w:rsidR="008F3712" w:rsidRDefault="008F3712" w:rsidP="0099669C">
      <w:pPr>
        <w:rPr>
          <w:rFonts w:cs="Times New Roman"/>
          <w:lang w:val="en-US"/>
        </w:rPr>
      </w:pPr>
    </w:p>
    <w:p w14:paraId="59045C76" w14:textId="77777777" w:rsidR="008F3712" w:rsidRDefault="008F3712" w:rsidP="0099669C">
      <w:pPr>
        <w:rPr>
          <w:rFonts w:cs="Times New Roman"/>
          <w:lang w:val="en-US"/>
        </w:rPr>
      </w:pPr>
    </w:p>
    <w:p w14:paraId="3A6FBE83" w14:textId="77777777" w:rsidR="008F3712" w:rsidRDefault="008F3712" w:rsidP="0099669C">
      <w:pPr>
        <w:rPr>
          <w:rFonts w:cs="Times New Roman"/>
          <w:lang w:val="en-US"/>
        </w:rPr>
      </w:pPr>
    </w:p>
    <w:p w14:paraId="2DC6F29D" w14:textId="77777777" w:rsidR="008F3712" w:rsidRDefault="008F3712" w:rsidP="0099669C">
      <w:pPr>
        <w:rPr>
          <w:rFonts w:cs="Times New Roman"/>
          <w:lang w:val="en-US"/>
        </w:rPr>
      </w:pPr>
    </w:p>
    <w:p w14:paraId="20D593A5" w14:textId="77777777" w:rsidR="008F3712" w:rsidRDefault="008F3712" w:rsidP="0099669C">
      <w:pPr>
        <w:rPr>
          <w:rFonts w:cs="Times New Roman"/>
          <w:lang w:val="en-US"/>
        </w:rPr>
      </w:pPr>
    </w:p>
    <w:p w14:paraId="2C4CC351" w14:textId="77777777" w:rsidR="008F3712" w:rsidRDefault="008F3712" w:rsidP="0099669C">
      <w:pPr>
        <w:rPr>
          <w:rFonts w:cs="Times New Roman"/>
          <w:lang w:val="en-US"/>
        </w:rPr>
      </w:pPr>
    </w:p>
    <w:p w14:paraId="1291970B" w14:textId="77777777" w:rsidR="008F3712" w:rsidRDefault="008F3712" w:rsidP="0099669C">
      <w:pPr>
        <w:rPr>
          <w:rFonts w:cs="Times New Roman"/>
          <w:lang w:val="en-US"/>
        </w:rPr>
      </w:pPr>
    </w:p>
    <w:p w14:paraId="34001436" w14:textId="77777777" w:rsidR="00422EEB" w:rsidRPr="009F615D" w:rsidRDefault="00422EEB" w:rsidP="00422EEB">
      <w:pPr>
        <w:pStyle w:val="Heading2"/>
        <w:rPr>
          <w:lang w:val="en-US"/>
        </w:rPr>
      </w:pPr>
      <w:bookmarkStart w:id="109" w:name="_Toc214356295"/>
      <w:r w:rsidRPr="00422EEB">
        <w:t>PCMs</w:t>
      </w:r>
      <w:r w:rsidRPr="009F615D">
        <w:rPr>
          <w:lang w:val="en-US"/>
        </w:rPr>
        <w:t xml:space="preserve"> in buildings</w:t>
      </w:r>
      <w:bookmarkEnd w:id="109"/>
    </w:p>
    <w:p w14:paraId="02141E9B" w14:textId="77777777" w:rsidR="00422EEB" w:rsidRPr="00422EEB" w:rsidRDefault="00422EEB" w:rsidP="00422EEB">
      <w:pPr>
        <w:rPr>
          <w:rFonts w:cs="Times New Roman"/>
          <w:lang w:val="en-US"/>
        </w:rPr>
      </w:pPr>
      <w:r w:rsidRPr="00422EEB">
        <w:rPr>
          <w:rFonts w:cs="Times New Roman"/>
          <w:lang w:val="en-US"/>
        </w:rPr>
        <w:t>To investigate the state of the art on the applications of PCMs in buildings, a systematic literature review was conducted using Scopus. The search query was:</w:t>
      </w:r>
    </w:p>
    <w:p w14:paraId="58E6E29E" w14:textId="77777777" w:rsidR="00422EEB" w:rsidRPr="00422EEB" w:rsidRDefault="00422EEB" w:rsidP="00422EEB">
      <w:pPr>
        <w:jc w:val="center"/>
        <w:rPr>
          <w:rFonts w:cs="Times New Roman"/>
          <w:b/>
          <w:bCs/>
          <w:i/>
          <w:iCs/>
          <w:lang w:val="en-US"/>
        </w:rPr>
      </w:pPr>
      <w:r w:rsidRPr="00422EEB">
        <w:rPr>
          <w:rFonts w:cs="Times New Roman"/>
          <w:b/>
          <w:bCs/>
          <w:i/>
          <w:iCs/>
          <w:lang w:val="en-US"/>
        </w:rPr>
        <w:t>(“phase change materials” OR PCM) AND (building OR construction OR wall) AND (insulation OR “thermal comfort” OR “energy saving”)</w:t>
      </w:r>
    </w:p>
    <w:p w14:paraId="2C90BE17" w14:textId="232117D3" w:rsidR="00422EEB" w:rsidRPr="00422EEB" w:rsidRDefault="00422EEB" w:rsidP="00422EEB">
      <w:pPr>
        <w:rPr>
          <w:rFonts w:cs="Times New Roman"/>
          <w:lang w:val="en-US"/>
        </w:rPr>
      </w:pPr>
      <w:r w:rsidRPr="00422EEB">
        <w:rPr>
          <w:rFonts w:cs="Times New Roman"/>
          <w:lang w:val="en-US"/>
        </w:rPr>
        <w:t>The search returned 3,058 results, including research articles, conference proceedings, and review studies published in international journals. In line with the previous phases of this work, the results were filtered based on the relevance of the studies and the quality of the sources</w:t>
      </w:r>
      <w:r w:rsidR="008F3712">
        <w:rPr>
          <w:rFonts w:cs="Times New Roman"/>
          <w:lang w:val="en-US"/>
        </w:rPr>
        <w:t>.</w:t>
      </w:r>
    </w:p>
    <w:p w14:paraId="7A48395D" w14:textId="4CD4F109" w:rsidR="00422EEB" w:rsidRDefault="008F3712" w:rsidP="00422EEB">
      <w:pPr>
        <w:keepNext/>
      </w:pPr>
      <w:r w:rsidRPr="00422EEB">
        <w:rPr>
          <w:noProof/>
        </w:rPr>
        <mc:AlternateContent>
          <mc:Choice Requires="wps">
            <w:drawing>
              <wp:anchor distT="45720" distB="45720" distL="114300" distR="114300" simplePos="0" relativeHeight="251719680" behindDoc="0" locked="0" layoutInCell="1" allowOverlap="1" wp14:anchorId="311CB4EC" wp14:editId="4274A0DE">
                <wp:simplePos x="0" y="0"/>
                <wp:positionH relativeFrom="column">
                  <wp:posOffset>-33889</wp:posOffset>
                </wp:positionH>
                <wp:positionV relativeFrom="paragraph">
                  <wp:posOffset>47959</wp:posOffset>
                </wp:positionV>
                <wp:extent cx="381000" cy="497305"/>
                <wp:effectExtent l="0" t="0" r="0" b="0"/>
                <wp:wrapNone/>
                <wp:docPr id="70441340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497305"/>
                        </a:xfrm>
                        <a:prstGeom prst="rect">
                          <a:avLst/>
                        </a:prstGeom>
                        <a:noFill/>
                        <a:ln w="9525">
                          <a:noFill/>
                          <a:miter lim="800000"/>
                          <a:headEnd/>
                          <a:tailEnd/>
                        </a:ln>
                      </wps:spPr>
                      <wps:txbx>
                        <w:txbxContent>
                          <w:p w14:paraId="7181891C" w14:textId="77777777" w:rsidR="00422EEB" w:rsidRPr="00187FE9" w:rsidRDefault="00422EEB" w:rsidP="00422EEB">
                            <w:pPr>
                              <w:rPr>
                                <w:lang w:val="en-US"/>
                              </w:rPr>
                            </w:pPr>
                            <w: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11CB4EC" id="_x0000_s1045" type="#_x0000_t202" style="position:absolute;left:0;text-align:left;margin-left:-2.65pt;margin-top:3.8pt;width:30pt;height:39.15pt;z-index:2517196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" filled="f" stroked="f">
                <v:textbox>
                  <w:txbxContent>
                    <w:p w14:paraId="7181891C" w14:textId="77777777" w:rsidR="00422EEB" w:rsidRPr="00187FE9" w:rsidRDefault="00422EEB" w:rsidP="00422EEB">
                      <w:pPr>
                        <w:rPr>
                          <w:lang w:val="en-US"/>
                        </w:rPr>
                      </w:pPr>
                      <w:r>
                        <w:t>a)</w:t>
                      </w:r>
                    </w:p>
                  </w:txbxContent>
                </v:textbox>
              </v:shape>
            </w:pict>
          </mc:Fallback>
        </mc:AlternateContent>
      </w:r>
      <w:r w:rsidR="00422EEB" w:rsidRPr="00422EEB">
        <w:rPr>
          <w:noProof/>
        </w:rPr>
        <mc:AlternateContent>
          <mc:Choice Requires="wps">
            <w:drawing>
              <wp:anchor distT="45720" distB="45720" distL="114300" distR="114300" simplePos="0" relativeHeight="251720704" behindDoc="0" locked="0" layoutInCell="1" allowOverlap="1" wp14:anchorId="3F057867" wp14:editId="14371C42">
                <wp:simplePos x="0" y="0"/>
                <wp:positionH relativeFrom="margin">
                  <wp:posOffset>2813217</wp:posOffset>
                </wp:positionH>
                <wp:positionV relativeFrom="paragraph">
                  <wp:posOffset>7954</wp:posOffset>
                </wp:positionV>
                <wp:extent cx="381000" cy="473242"/>
                <wp:effectExtent l="0" t="0" r="0" b="3175"/>
                <wp:wrapNone/>
                <wp:docPr id="7886625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473242"/>
                        </a:xfrm>
                        <a:prstGeom prst="rect">
                          <a:avLst/>
                        </a:prstGeom>
                        <a:noFill/>
                        <a:ln w="9525">
                          <a:noFill/>
                          <a:miter lim="800000"/>
                          <a:headEnd/>
                          <a:tailEnd/>
                        </a:ln>
                      </wps:spPr>
                      <wps:txbx>
                        <w:txbxContent>
                          <w:p w14:paraId="6436E99D" w14:textId="77777777" w:rsidR="00422EEB" w:rsidRPr="00187FE9" w:rsidRDefault="00422EEB" w:rsidP="00422EEB">
                            <w:pPr>
                              <w:rPr>
                                <w:lang w:val="en-US"/>
                              </w:rPr>
                            </w:pPr>
                            <w: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F057867" id="_x0000_s1046" type="#_x0000_t202" style="position:absolute;left:0;text-align:left;margin-left:221.5pt;margin-top:.65pt;width:30pt;height:37.25pt;z-index:2517207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" filled="f" stroked="f">
                <v:textbox>
                  <w:txbxContent>
                    <w:p w14:paraId="6436E99D" w14:textId="77777777" w:rsidR="00422EEB" w:rsidRPr="00187FE9" w:rsidRDefault="00422EEB" w:rsidP="00422EEB">
                      <w:pPr>
                        <w:rPr>
                          <w:lang w:val="en-US"/>
                        </w:rPr>
                      </w:pPr>
                      <w:r>
                        <w:t>b)</w:t>
                      </w:r>
                    </w:p>
                  </w:txbxContent>
                </v:textbox>
                <w10:wrap anchorx="margin"/>
              </v:shape>
            </w:pict>
          </mc:Fallback>
        </mc:AlternateContent>
      </w:r>
      <w:r w:rsidR="00422EEB" w:rsidRPr="00422EEB">
        <w:rPr>
          <w:rFonts w:cs="Times New Roman"/>
          <w:noProof/>
          <w:lang w:val="en-US"/>
        </w:rPr>
        <w:drawing>
          <wp:inline distT="0" distB="0" distL="0" distR="0" wp14:anchorId="2D1C2C28" wp14:editId="470A0CEE">
            <wp:extent cx="5783179" cy="1822919"/>
            <wp:effectExtent l="0" t="0" r="8255" b="6350"/>
            <wp:docPr id="700761787" name="Picture 1" descr="A graph and chart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0761787" name="Picture 1" descr="A graph and chart with text&#10;&#10;AI-generated content may be incorrect."/>
                    <pic:cNvPicPr/>
                  </pic:nvPicPr>
                  <pic:blipFill>
                    <a:blip r:embed="rId117"/>
                    <a:stretch>
                      <a:fillRect/>
                    </a:stretch>
                  </pic:blipFill>
                  <pic:spPr>
                    <a:xfrm>
                      <a:off x="0" y="0"/>
                      <a:ext cx="5850472" cy="1844130"/>
                    </a:xfrm>
                    <a:prstGeom prst="rect">
                      <a:avLst/>
                    </a:prstGeom>
                  </pic:spPr>
                </pic:pic>
              </a:graphicData>
            </a:graphic>
          </wp:inline>
        </w:drawing>
      </w:r>
    </w:p>
    <w:p w14:paraId="7347E6F8" w14:textId="78ADE581" w:rsidR="00422EEB" w:rsidRPr="00422EEB" w:rsidRDefault="00422EEB" w:rsidP="00422EEB">
      <w:pPr>
        <w:pStyle w:val="Caption"/>
        <w:jc w:val="both"/>
      </w:pPr>
      <w:bookmarkStart w:id="110" w:name="_Toc214357737"/>
      <w:r>
        <w:t xml:space="preserve">Figure </w:t>
      </w:r>
      <w:r w:rsidR="00F824A5">
        <w:fldChar w:fldCharType="begin"/>
      </w:r>
      <w:r w:rsidR="00F824A5">
        <w:instrText xml:space="preserve"> STYLEREF 1 \s </w:instrText>
      </w:r>
      <w:r w:rsidR="00F824A5">
        <w:fldChar w:fldCharType="separate"/>
      </w:r>
      <w:r w:rsidR="000412CE">
        <w:rPr>
          <w:noProof/>
        </w:rPr>
        <w:t>2</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9</w:t>
      </w:r>
      <w:r w:rsidR="00F824A5">
        <w:fldChar w:fldCharType="end"/>
      </w:r>
      <w:r w:rsidR="00DE026D">
        <w:t>.</w:t>
      </w:r>
      <w:r>
        <w:t xml:space="preserve"> </w:t>
      </w:r>
      <w:r w:rsidRPr="0092762D">
        <w:t>Scopus trends for PCMs in buildings: (a) publication trend with a recent peak; (b) country share led by China, then India</w:t>
      </w:r>
      <w:r w:rsidR="00591F15">
        <w:t>,</w:t>
      </w:r>
      <w:r w:rsidRPr="0092762D">
        <w:t xml:space="preserve"> and the US.</w:t>
      </w:r>
      <w:bookmarkEnd w:id="110"/>
    </w:p>
    <w:p w14:paraId="2874A44B" w14:textId="0DE874A5" w:rsidR="00422EEB" w:rsidRPr="00422EEB" w:rsidRDefault="008F3712" w:rsidP="00422EEB">
      <w:pPr>
        <w:rPr>
          <w:lang w:val="en-US"/>
        </w:rPr>
      </w:pPr>
      <w:r w:rsidRPr="00422EEB">
        <w:rPr>
          <w:noProof/>
        </w:rPr>
        <mc:AlternateContent>
          <mc:Choice Requires="wps">
            <w:drawing>
              <wp:anchor distT="0" distB="0" distL="114300" distR="114300" simplePos="0" relativeHeight="251721728" behindDoc="0" locked="0" layoutInCell="1" allowOverlap="1" wp14:anchorId="4861B4E6" wp14:editId="77D1C42C">
                <wp:simplePos x="0" y="0"/>
                <wp:positionH relativeFrom="margin">
                  <wp:align>right</wp:align>
                </wp:positionH>
                <wp:positionV relativeFrom="paragraph">
                  <wp:posOffset>1564640</wp:posOffset>
                </wp:positionV>
                <wp:extent cx="2313305" cy="635"/>
                <wp:effectExtent l="0" t="0" r="0" b="5080"/>
                <wp:wrapSquare wrapText="bothSides"/>
                <wp:docPr id="941796961" name="Text Box 1"/>
                <wp:cNvGraphicFramePr/>
                <a:graphic xmlns:a="http://schemas.openxmlformats.org/drawingml/2006/main">
                  <a:graphicData uri="http://schemas.microsoft.com/office/word/2010/wordprocessingShape">
                    <wps:wsp>
                      <wps:cNvSpPr txBox="1"/>
                      <wps:spPr>
                        <a:xfrm>
                          <a:off x="0" y="0"/>
                          <a:ext cx="2313305" cy="635"/>
                        </a:xfrm>
                        <a:prstGeom prst="rect">
                          <a:avLst/>
                        </a:prstGeom>
                        <a:solidFill>
                          <a:prstClr val="white"/>
                        </a:solidFill>
                        <a:ln>
                          <a:noFill/>
                        </a:ln>
                      </wps:spPr>
                      <wps:txbx>
                        <w:txbxContent>
                          <w:p w14:paraId="71BD5C5E" w14:textId="5215ABE1" w:rsidR="00422EEB" w:rsidRPr="00EF7678" w:rsidRDefault="00422EEB" w:rsidP="00422EEB">
                            <w:pPr>
                              <w:pStyle w:val="Caption"/>
                              <w:rPr>
                                <w:rFonts w:ascii="Times New Roman" w:hAnsi="Times New Roman" w:cs="Times New Roman"/>
                                <w:noProof/>
                                <w:szCs w:val="22"/>
                              </w:rPr>
                            </w:pPr>
                            <w:bookmarkStart w:id="111" w:name="_Toc214357738"/>
                            <w:r w:rsidRPr="00EF7678">
                              <w:rPr>
                                <w:rFonts w:ascii="Times New Roman" w:hAnsi="Times New Roman" w:cs="Times New Roman"/>
                              </w:rPr>
                              <w:t xml:space="preserve">Figure </w:t>
                            </w:r>
                            <w:r w:rsidR="00F824A5">
                              <w:rPr>
                                <w:rFonts w:ascii="Times New Roman" w:hAnsi="Times New Roman" w:cs="Times New Roman"/>
                              </w:rPr>
                              <w:fldChar w:fldCharType="begin"/>
                            </w:r>
                            <w:r w:rsidR="00F824A5">
                              <w:rPr>
                                <w:rFonts w:ascii="Times New Roman" w:hAnsi="Times New Roman" w:cs="Times New Roman"/>
                              </w:rPr>
                              <w:instrText xml:space="preserve"> STYLEREF 1 \s </w:instrText>
                            </w:r>
                            <w:r w:rsidR="00F824A5">
                              <w:rPr>
                                <w:rFonts w:ascii="Times New Roman" w:hAnsi="Times New Roman" w:cs="Times New Roman"/>
                              </w:rPr>
                              <w:fldChar w:fldCharType="separate"/>
                            </w:r>
                            <w:r w:rsidR="000412CE">
                              <w:rPr>
                                <w:rFonts w:ascii="Times New Roman" w:hAnsi="Times New Roman" w:cs="Times New Roman"/>
                                <w:noProof/>
                              </w:rPr>
                              <w:t>2</w:t>
                            </w:r>
                            <w:r w:rsidR="00F824A5">
                              <w:rPr>
                                <w:rFonts w:ascii="Times New Roman" w:hAnsi="Times New Roman" w:cs="Times New Roman"/>
                              </w:rPr>
                              <w:fldChar w:fldCharType="end"/>
                            </w:r>
                            <w:r w:rsidR="00F824A5">
                              <w:rPr>
                                <w:rFonts w:ascii="Times New Roman" w:hAnsi="Times New Roman" w:cs="Times New Roman"/>
                              </w:rPr>
                              <w:t>.</w:t>
                            </w:r>
                            <w:r w:rsidR="00F824A5">
                              <w:rPr>
                                <w:rFonts w:ascii="Times New Roman" w:hAnsi="Times New Roman" w:cs="Times New Roman"/>
                              </w:rPr>
                              <w:fldChar w:fldCharType="begin"/>
                            </w:r>
                            <w:r w:rsidR="00F824A5">
                              <w:rPr>
                                <w:rFonts w:ascii="Times New Roman" w:hAnsi="Times New Roman" w:cs="Times New Roman"/>
                              </w:rPr>
                              <w:instrText xml:space="preserve"> SEQ Figure \* ARABIC \s 1 </w:instrText>
                            </w:r>
                            <w:r w:rsidR="00F824A5">
                              <w:rPr>
                                <w:rFonts w:ascii="Times New Roman" w:hAnsi="Times New Roman" w:cs="Times New Roman"/>
                              </w:rPr>
                              <w:fldChar w:fldCharType="separate"/>
                            </w:r>
                            <w:r w:rsidR="000412CE">
                              <w:rPr>
                                <w:rFonts w:ascii="Times New Roman" w:hAnsi="Times New Roman" w:cs="Times New Roman"/>
                                <w:noProof/>
                              </w:rPr>
                              <w:t>10</w:t>
                            </w:r>
                            <w:r w:rsidR="00F824A5">
                              <w:rPr>
                                <w:rFonts w:ascii="Times New Roman" w:hAnsi="Times New Roman" w:cs="Times New Roman"/>
                              </w:rPr>
                              <w:fldChar w:fldCharType="end"/>
                            </w:r>
                            <w:r w:rsidRPr="00EF7678">
                              <w:rPr>
                                <w:rFonts w:ascii="Times New Roman" w:hAnsi="Times New Roman" w:cs="Times New Roman"/>
                              </w:rPr>
                              <w:t>. Journal trends for PCMs in buildings: Energy and Buildings led early; Journal of Energy Storage and Journal of Building Engineering</w:t>
                            </w:r>
                            <w:r w:rsidR="00A165BA">
                              <w:rPr>
                                <w:rFonts w:ascii="Times New Roman" w:hAnsi="Times New Roman" w:cs="Times New Roman"/>
                              </w:rPr>
                              <w:t>.</w:t>
                            </w:r>
                            <w:bookmarkEnd w:id="11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 w14:anchorId="4861B4E6" id="_x0000_s1047" type="#_x0000_t202" style="position:absolute;left:0;text-align:left;margin-left:130.95pt;margin-top:123.2pt;width:182.15pt;height:.05pt;z-index:251721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" stroked="f">
                <v:textbox style="mso-fit-shape-to-text:t" inset="0,0,0,0">
                  <w:txbxContent>
                    <w:p w14:paraId="71BD5C5E" w14:textId="5215ABE1" w:rsidR="00422EEB" w:rsidRPr="00EF7678" w:rsidRDefault="00422EEB" w:rsidP="00422EEB">
                      <w:pPr>
                        <w:pStyle w:val="Caption"/>
                        <w:rPr>
                          <w:rFonts w:ascii="Times New Roman" w:hAnsi="Times New Roman" w:cs="Times New Roman"/>
                          <w:noProof/>
                          <w:szCs w:val="22"/>
                        </w:rPr>
                      </w:pPr>
                      <w:bookmarkStart w:id="112" w:name="_Toc214357738"/>
                      <w:r w:rsidRPr="00EF7678">
                        <w:rPr>
                          <w:rFonts w:ascii="Times New Roman" w:hAnsi="Times New Roman" w:cs="Times New Roman"/>
                        </w:rPr>
                        <w:t xml:space="preserve">Figure </w:t>
                      </w:r>
                      <w:r w:rsidR="00F824A5">
                        <w:rPr>
                          <w:rFonts w:ascii="Times New Roman" w:hAnsi="Times New Roman" w:cs="Times New Roman"/>
                        </w:rPr>
                        <w:fldChar w:fldCharType="begin"/>
                      </w:r>
                      <w:r w:rsidR="00F824A5">
                        <w:rPr>
                          <w:rFonts w:ascii="Times New Roman" w:hAnsi="Times New Roman" w:cs="Times New Roman"/>
                        </w:rPr>
                        <w:instrText xml:space="preserve"> STYLEREF 1 \s </w:instrText>
                      </w:r>
                      <w:r w:rsidR="00F824A5">
                        <w:rPr>
                          <w:rFonts w:ascii="Times New Roman" w:hAnsi="Times New Roman" w:cs="Times New Roman"/>
                        </w:rPr>
                        <w:fldChar w:fldCharType="separate"/>
                      </w:r>
                      <w:r w:rsidR="000412CE">
                        <w:rPr>
                          <w:rFonts w:ascii="Times New Roman" w:hAnsi="Times New Roman" w:cs="Times New Roman"/>
                          <w:noProof/>
                        </w:rPr>
                        <w:t>2</w:t>
                      </w:r>
                      <w:r w:rsidR="00F824A5">
                        <w:rPr>
                          <w:rFonts w:ascii="Times New Roman" w:hAnsi="Times New Roman" w:cs="Times New Roman"/>
                        </w:rPr>
                        <w:fldChar w:fldCharType="end"/>
                      </w:r>
                      <w:r w:rsidR="00F824A5">
                        <w:rPr>
                          <w:rFonts w:ascii="Times New Roman" w:hAnsi="Times New Roman" w:cs="Times New Roman"/>
                        </w:rPr>
                        <w:t>.</w:t>
                      </w:r>
                      <w:r w:rsidR="00F824A5">
                        <w:rPr>
                          <w:rFonts w:ascii="Times New Roman" w:hAnsi="Times New Roman" w:cs="Times New Roman"/>
                        </w:rPr>
                        <w:fldChar w:fldCharType="begin"/>
                      </w:r>
                      <w:r w:rsidR="00F824A5">
                        <w:rPr>
                          <w:rFonts w:ascii="Times New Roman" w:hAnsi="Times New Roman" w:cs="Times New Roman"/>
                        </w:rPr>
                        <w:instrText xml:space="preserve"> SEQ Figure \* ARABIC \s 1 </w:instrText>
                      </w:r>
                      <w:r w:rsidR="00F824A5">
                        <w:rPr>
                          <w:rFonts w:ascii="Times New Roman" w:hAnsi="Times New Roman" w:cs="Times New Roman"/>
                        </w:rPr>
                        <w:fldChar w:fldCharType="separate"/>
                      </w:r>
                      <w:r w:rsidR="000412CE">
                        <w:rPr>
                          <w:rFonts w:ascii="Times New Roman" w:hAnsi="Times New Roman" w:cs="Times New Roman"/>
                          <w:noProof/>
                        </w:rPr>
                        <w:t>10</w:t>
                      </w:r>
                      <w:r w:rsidR="00F824A5">
                        <w:rPr>
                          <w:rFonts w:ascii="Times New Roman" w:hAnsi="Times New Roman" w:cs="Times New Roman"/>
                        </w:rPr>
                        <w:fldChar w:fldCharType="end"/>
                      </w:r>
                      <w:r w:rsidRPr="00EF7678">
                        <w:rPr>
                          <w:rFonts w:ascii="Times New Roman" w:hAnsi="Times New Roman" w:cs="Times New Roman"/>
                        </w:rPr>
                        <w:t>. Journal trends for PCMs in buildings: Energy and Buildings led early; Journal of Energy Storage and Journal of Building Engineering</w:t>
                      </w:r>
                      <w:r w:rsidR="00A165BA">
                        <w:rPr>
                          <w:rFonts w:ascii="Times New Roman" w:hAnsi="Times New Roman" w:cs="Times New Roman"/>
                        </w:rPr>
                        <w:t>.</w:t>
                      </w:r>
                      <w:bookmarkEnd w:id="112"/>
                    </w:p>
                  </w:txbxContent>
                </v:textbox>
                <w10:wrap type="square" anchorx="margin"/>
              </v:shape>
            </w:pict>
          </mc:Fallback>
        </mc:AlternateContent>
      </w:r>
      <w:r w:rsidR="00422EEB" w:rsidRPr="00422EEB">
        <w:rPr>
          <w:rFonts w:cs="Times New Roman"/>
          <w:lang w:val="en-US"/>
        </w:rPr>
        <w:t xml:space="preserve">As shown in Figure </w:t>
      </w:r>
      <w:r w:rsidR="00422EEB">
        <w:rPr>
          <w:rFonts w:cs="Times New Roman"/>
          <w:lang w:val="en-US"/>
        </w:rPr>
        <w:t>2.1</w:t>
      </w:r>
      <w:r w:rsidR="00422EEB" w:rsidRPr="00422EEB">
        <w:rPr>
          <w:rFonts w:cs="Times New Roman"/>
          <w:lang w:val="en-US"/>
        </w:rPr>
        <w:t xml:space="preserve">0a, the number of publications on PCMs in buildings exhibits clear, sustained growth: after a nearly marginal phase up to the early 2000s, scientific output accelerates over the last decade, reaches a very recent peak, and then shows a slight decline. This temporal profile signals the maturation of the topic and the entry of PCMs among established solutions for insulation, thermal comfort control, and energy-use </w:t>
      </w:r>
      <w:r w:rsidR="00422EEB" w:rsidRPr="00422EEB">
        <w:rPr>
          <w:rFonts w:cs="Times New Roman"/>
          <w:lang w:val="en-US"/>
        </w:rPr>
        <w:lastRenderedPageBreak/>
        <w:t xml:space="preserve">reduction, with growing attention to envelope integration and seasonal heat-management strategies. The geographical distribution of publications, reported in Figure </w:t>
      </w:r>
      <w:r w:rsidR="00422EEB">
        <w:rPr>
          <w:rFonts w:cs="Times New Roman"/>
          <w:lang w:val="en-US"/>
        </w:rPr>
        <w:t>2.10</w:t>
      </w:r>
      <w:r w:rsidR="00422EEB" w:rsidRPr="00422EEB">
        <w:rPr>
          <w:rFonts w:cs="Times New Roman"/>
          <w:lang w:val="en-US"/>
        </w:rPr>
        <w:t xml:space="preserve">b, indicates strong activity in Asia, with China clearly leading, followed by India and the United States, and steady contributions from France, the United Kingdom, Italy, Turkey, Iran, South Korea, and Australia. This map reflects the overlap between </w:t>
      </w:r>
      <w:r w:rsidR="00422EEB" w:rsidRPr="00422EEB">
        <w:rPr>
          <w:rFonts w:cs="Times New Roman"/>
          <w:noProof/>
          <w:lang w:val="en-US"/>
        </w:rPr>
        <w:drawing>
          <wp:anchor distT="0" distB="0" distL="114300" distR="114300" simplePos="0" relativeHeight="251718656" behindDoc="0" locked="0" layoutInCell="1" allowOverlap="1" wp14:anchorId="45540533" wp14:editId="49435888">
            <wp:simplePos x="0" y="0"/>
            <wp:positionH relativeFrom="margin">
              <wp:align>right</wp:align>
            </wp:positionH>
            <wp:positionV relativeFrom="paragraph">
              <wp:posOffset>0</wp:posOffset>
            </wp:positionV>
            <wp:extent cx="2313305" cy="1438275"/>
            <wp:effectExtent l="0" t="0" r="0" b="9525"/>
            <wp:wrapSquare wrapText="bothSides"/>
            <wp:docPr id="282377177" name="Picture 1" descr="A graph of energy storag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377177" name="Picture 1" descr="A graph of energy storage&#10;&#10;AI-generated content may be incorrect."/>
                    <pic:cNvPicPr/>
                  </pic:nvPicPr>
                  <pic:blipFill>
                    <a:blip r:embed="rId118" cstate="print">
                      <a:extLst>
                        <a:ext uri="{28A0092B-C50C-407E-A947-70E740481C1C}">
                          <a14:useLocalDpi xmlns:a14="http://schemas.microsoft.com/office/drawing/2010/main" val="0"/>
                        </a:ext>
                      </a:extLst>
                    </a:blip>
                    <a:stretch>
                      <a:fillRect/>
                    </a:stretch>
                  </pic:blipFill>
                  <pic:spPr>
                    <a:xfrm>
                      <a:off x="0" y="0"/>
                      <a:ext cx="2313305" cy="1438275"/>
                    </a:xfrm>
                    <a:prstGeom prst="rect">
                      <a:avLst/>
                    </a:prstGeom>
                  </pic:spPr>
                </pic:pic>
              </a:graphicData>
            </a:graphic>
            <wp14:sizeRelH relativeFrom="margin">
              <wp14:pctWidth>0</wp14:pctWidth>
            </wp14:sizeRelH>
            <wp14:sizeRelV relativeFrom="margin">
              <wp14:pctHeight>0</wp14:pctHeight>
            </wp14:sizeRelV>
          </wp:anchor>
        </w:drawing>
      </w:r>
      <w:r w:rsidR="00422EEB" w:rsidRPr="00422EEB">
        <w:rPr>
          <w:rFonts w:cs="Times New Roman"/>
          <w:lang w:val="en-US"/>
        </w:rPr>
        <w:t xml:space="preserve">climatic pressures, energy-efficiency objectives, and industrial momentum on advanced materials; as a result, different emphases emerge, for example, peak-load attenuation and load shifting in hot climates, and retrofit and winter comfort priorities in European contexts. Scopus also helps identify the most authoritative sources in the literature. Figure </w:t>
      </w:r>
      <w:r w:rsidR="00422EEB">
        <w:rPr>
          <w:rFonts w:cs="Times New Roman"/>
          <w:lang w:val="en-US"/>
        </w:rPr>
        <w:t>2.1</w:t>
      </w:r>
      <w:r w:rsidR="00422EEB" w:rsidRPr="00422EEB">
        <w:rPr>
          <w:rFonts w:cs="Times New Roman"/>
          <w:lang w:val="en-US"/>
        </w:rPr>
        <w:t>1 shows the progressive diversification of publication venues on PCMs in buildings. Energy and Buildings acts as the historical driver, growing from 2008 with peaks between 2014–2017, reflecting roots in building physics and thermal comfort. From 2021, the Journal of Energy Storage r</w:t>
      </w:r>
      <w:r w:rsidR="003C1375">
        <w:rPr>
          <w:rFonts w:cs="Times New Roman"/>
          <w:lang w:val="en-US"/>
        </w:rPr>
        <w:t>ose</w:t>
      </w:r>
      <w:r w:rsidR="00422EEB" w:rsidRPr="00422EEB">
        <w:rPr>
          <w:rFonts w:cs="Times New Roman"/>
          <w:lang w:val="en-US"/>
        </w:rPr>
        <w:t xml:space="preserve"> strongly, reaching the highest yearly volumes around 2024 and framing PCMs as storage and demand-shifting technologies. The Journal of Building Engineering accelerates from 2019 with a peak in 2024, consistent with the design integration of PCMs into the building envelope and construction systems. Applied Thermal Engineering and Construction and Building Materials show steady growth in publications, indicating attention to thermo-mechanical, energy, and materials aspects. Table 2</w:t>
      </w:r>
      <w:r w:rsidR="00422EEB">
        <w:rPr>
          <w:rFonts w:cs="Times New Roman"/>
          <w:lang w:val="en-US"/>
        </w:rPr>
        <w:t>.6</w:t>
      </w:r>
      <w:r w:rsidR="00422EEB" w:rsidRPr="00422EEB">
        <w:rPr>
          <w:rFonts w:cs="Times New Roman"/>
          <w:lang w:val="en-US"/>
        </w:rPr>
        <w:t xml:space="preserve"> presents a selection of the most relevant literature on the use of PCMs in buildings. The studies cover integrations in envelope components and passive systems to enhance insulation, thermal comfort, and energy savings. For each paper, the main bibliographic information as title, authors, source, year of publication, citation count, together with the key findings distilled from the abstracts.</w:t>
      </w:r>
    </w:p>
    <w:tbl>
      <w:tblPr>
        <w:tblStyle w:val="TableGrid"/>
        <w:tblW w:w="0" w:type="auto"/>
        <w:tblLayout w:type="fixed"/>
        <w:tblLook w:val="04A0" w:firstRow="1" w:lastRow="0" w:firstColumn="1" w:lastColumn="0" w:noHBand="0" w:noVBand="1"/>
      </w:tblPr>
      <w:tblGrid>
        <w:gridCol w:w="2235"/>
        <w:gridCol w:w="1134"/>
        <w:gridCol w:w="1134"/>
        <w:gridCol w:w="850"/>
        <w:gridCol w:w="1134"/>
        <w:gridCol w:w="2369"/>
      </w:tblGrid>
      <w:tr w:rsidR="00422EEB" w:rsidRPr="00422EEB" w14:paraId="387B2034" w14:textId="77777777" w:rsidTr="00422EEB">
        <w:tc>
          <w:tcPr>
            <w:tcW w:w="2235" w:type="dxa"/>
            <w:shd w:val="clear" w:color="auto" w:fill="8EA5B6"/>
            <w:vAlign w:val="center"/>
          </w:tcPr>
          <w:p w14:paraId="1DCF8FD0" w14:textId="46F5E9F7" w:rsidR="00422EEB" w:rsidRPr="00422EEB" w:rsidRDefault="00422EEB" w:rsidP="00422EEB">
            <w:pPr>
              <w:jc w:val="center"/>
              <w:rPr>
                <w:rFonts w:cs="Times New Roman"/>
                <w:b/>
                <w:bCs/>
                <w:sz w:val="18"/>
                <w:szCs w:val="18"/>
              </w:rPr>
            </w:pPr>
            <w:r w:rsidRPr="00422EEB">
              <w:rPr>
                <w:rFonts w:cs="Times New Roman"/>
                <w:b/>
                <w:bCs/>
                <w:sz w:val="18"/>
                <w:szCs w:val="18"/>
              </w:rPr>
              <w:t>Title</w:t>
            </w:r>
          </w:p>
        </w:tc>
        <w:tc>
          <w:tcPr>
            <w:tcW w:w="1134" w:type="dxa"/>
            <w:shd w:val="clear" w:color="auto" w:fill="8EA5B6"/>
            <w:vAlign w:val="center"/>
          </w:tcPr>
          <w:p w14:paraId="3ECCEBBD" w14:textId="77777777" w:rsidR="00422EEB" w:rsidRPr="00422EEB" w:rsidRDefault="00422EEB" w:rsidP="00422EEB">
            <w:pPr>
              <w:jc w:val="center"/>
              <w:rPr>
                <w:rFonts w:cs="Times New Roman"/>
                <w:b/>
                <w:bCs/>
                <w:sz w:val="18"/>
                <w:szCs w:val="18"/>
              </w:rPr>
            </w:pPr>
            <w:r w:rsidRPr="00422EEB">
              <w:rPr>
                <w:rFonts w:cs="Times New Roman"/>
                <w:b/>
                <w:bCs/>
                <w:sz w:val="18"/>
                <w:szCs w:val="18"/>
              </w:rPr>
              <w:t>Authors</w:t>
            </w:r>
          </w:p>
        </w:tc>
        <w:tc>
          <w:tcPr>
            <w:tcW w:w="1134" w:type="dxa"/>
            <w:shd w:val="clear" w:color="auto" w:fill="8EA5B6"/>
            <w:vAlign w:val="center"/>
          </w:tcPr>
          <w:p w14:paraId="567C8EF2" w14:textId="77777777" w:rsidR="00422EEB" w:rsidRPr="00422EEB" w:rsidRDefault="00422EEB" w:rsidP="00422EEB">
            <w:pPr>
              <w:jc w:val="center"/>
              <w:rPr>
                <w:rFonts w:cs="Times New Roman"/>
                <w:b/>
                <w:bCs/>
                <w:sz w:val="18"/>
                <w:szCs w:val="18"/>
              </w:rPr>
            </w:pPr>
            <w:r w:rsidRPr="00422EEB">
              <w:rPr>
                <w:rFonts w:cs="Times New Roman"/>
                <w:b/>
                <w:bCs/>
                <w:sz w:val="18"/>
                <w:szCs w:val="18"/>
              </w:rPr>
              <w:t>Source</w:t>
            </w:r>
          </w:p>
        </w:tc>
        <w:tc>
          <w:tcPr>
            <w:tcW w:w="850" w:type="dxa"/>
            <w:shd w:val="clear" w:color="auto" w:fill="8EA5B6"/>
            <w:vAlign w:val="center"/>
          </w:tcPr>
          <w:p w14:paraId="0384B93A" w14:textId="77777777" w:rsidR="00422EEB" w:rsidRPr="00422EEB" w:rsidRDefault="00422EEB" w:rsidP="00422EEB">
            <w:pPr>
              <w:jc w:val="center"/>
              <w:rPr>
                <w:rFonts w:cs="Times New Roman"/>
                <w:b/>
                <w:bCs/>
                <w:sz w:val="18"/>
                <w:szCs w:val="18"/>
              </w:rPr>
            </w:pPr>
            <w:r w:rsidRPr="00422EEB">
              <w:rPr>
                <w:rFonts w:cs="Times New Roman"/>
                <w:b/>
                <w:bCs/>
                <w:sz w:val="18"/>
                <w:szCs w:val="18"/>
              </w:rPr>
              <w:t>Year</w:t>
            </w:r>
          </w:p>
        </w:tc>
        <w:tc>
          <w:tcPr>
            <w:tcW w:w="1134" w:type="dxa"/>
            <w:shd w:val="clear" w:color="auto" w:fill="8EA5B6"/>
            <w:vAlign w:val="center"/>
          </w:tcPr>
          <w:p w14:paraId="15C29B59" w14:textId="77777777" w:rsidR="00422EEB" w:rsidRPr="00422EEB" w:rsidRDefault="00422EEB" w:rsidP="00422EEB">
            <w:pPr>
              <w:jc w:val="center"/>
              <w:rPr>
                <w:rFonts w:cs="Times New Roman"/>
                <w:b/>
                <w:bCs/>
                <w:sz w:val="18"/>
                <w:szCs w:val="18"/>
              </w:rPr>
            </w:pPr>
            <w:r w:rsidRPr="00422EEB">
              <w:rPr>
                <w:rFonts w:cs="Times New Roman"/>
                <w:b/>
                <w:bCs/>
                <w:sz w:val="18"/>
                <w:szCs w:val="18"/>
              </w:rPr>
              <w:t>Citations</w:t>
            </w:r>
          </w:p>
        </w:tc>
        <w:tc>
          <w:tcPr>
            <w:tcW w:w="2369" w:type="dxa"/>
            <w:shd w:val="clear" w:color="auto" w:fill="8EA5B6"/>
            <w:vAlign w:val="center"/>
          </w:tcPr>
          <w:p w14:paraId="3909652C" w14:textId="2539BACE" w:rsidR="00422EEB" w:rsidRPr="00422EEB" w:rsidRDefault="00422EEB" w:rsidP="003C1375">
            <w:pPr>
              <w:jc w:val="center"/>
              <w:rPr>
                <w:rFonts w:cs="Times New Roman"/>
                <w:b/>
                <w:bCs/>
                <w:sz w:val="18"/>
                <w:szCs w:val="18"/>
              </w:rPr>
            </w:pPr>
            <w:r w:rsidRPr="00422EEB">
              <w:rPr>
                <w:rFonts w:cs="Times New Roman"/>
                <w:b/>
                <w:bCs/>
                <w:sz w:val="18"/>
                <w:szCs w:val="18"/>
              </w:rPr>
              <w:t>Abstract summary</w:t>
            </w:r>
          </w:p>
        </w:tc>
      </w:tr>
      <w:tr w:rsidR="00422EEB" w:rsidRPr="00422EEB" w14:paraId="1ACE91F7" w14:textId="77777777" w:rsidTr="00422EEB">
        <w:tc>
          <w:tcPr>
            <w:tcW w:w="2235" w:type="dxa"/>
            <w:vAlign w:val="center"/>
          </w:tcPr>
          <w:p w14:paraId="668F2ED9" w14:textId="0327A971" w:rsidR="00422EEB" w:rsidRPr="00422EEB" w:rsidRDefault="00422EEB" w:rsidP="00422EEB">
            <w:pPr>
              <w:jc w:val="center"/>
              <w:rPr>
                <w:rFonts w:cs="Times New Roman"/>
                <w:sz w:val="18"/>
                <w:szCs w:val="18"/>
                <w:lang w:val="en-US"/>
              </w:rPr>
            </w:pPr>
            <w:r w:rsidRPr="00422EEB">
              <w:rPr>
                <w:rFonts w:cs="Times New Roman"/>
                <w:sz w:val="18"/>
                <w:szCs w:val="18"/>
                <w:lang w:val="en-US"/>
              </w:rPr>
              <w:t>Thermal performance of phase change materials (PCM)-enhanced cellulose insulation in passive solar residential building walls</w:t>
            </w:r>
          </w:p>
        </w:tc>
        <w:tc>
          <w:tcPr>
            <w:tcW w:w="1134" w:type="dxa"/>
            <w:vAlign w:val="center"/>
          </w:tcPr>
          <w:p w14:paraId="1E05315F" w14:textId="77777777" w:rsidR="00422EEB" w:rsidRPr="00422EEB" w:rsidRDefault="00422EEB" w:rsidP="00422EEB">
            <w:pPr>
              <w:jc w:val="center"/>
              <w:rPr>
                <w:rFonts w:cs="Times New Roman"/>
                <w:sz w:val="18"/>
                <w:szCs w:val="18"/>
              </w:rPr>
            </w:pPr>
            <w:r w:rsidRPr="00422EEB">
              <w:rPr>
                <w:rFonts w:cs="Times New Roman"/>
                <w:sz w:val="18"/>
                <w:szCs w:val="18"/>
              </w:rPr>
              <w:t>Lee, K.O., Medina, M.A., Sun, X., Jin, X.</w:t>
            </w:r>
          </w:p>
        </w:tc>
        <w:tc>
          <w:tcPr>
            <w:tcW w:w="1134" w:type="dxa"/>
            <w:vAlign w:val="center"/>
          </w:tcPr>
          <w:p w14:paraId="4843CAA0" w14:textId="77777777" w:rsidR="00422EEB" w:rsidRPr="00422EEB" w:rsidRDefault="00422EEB" w:rsidP="00422EEB">
            <w:pPr>
              <w:jc w:val="center"/>
              <w:rPr>
                <w:rFonts w:cs="Times New Roman"/>
                <w:sz w:val="18"/>
                <w:szCs w:val="18"/>
              </w:rPr>
            </w:pPr>
            <w:r w:rsidRPr="00422EEB">
              <w:rPr>
                <w:rFonts w:cs="Times New Roman"/>
                <w:sz w:val="18"/>
                <w:szCs w:val="18"/>
              </w:rPr>
              <w:t>Solar Energy, 163, pp. 113–121</w:t>
            </w:r>
          </w:p>
        </w:tc>
        <w:tc>
          <w:tcPr>
            <w:tcW w:w="850" w:type="dxa"/>
            <w:vAlign w:val="center"/>
          </w:tcPr>
          <w:p w14:paraId="6BC1300B" w14:textId="77777777" w:rsidR="00422EEB" w:rsidRPr="00422EEB" w:rsidRDefault="00422EEB" w:rsidP="00422EEB">
            <w:pPr>
              <w:jc w:val="center"/>
              <w:rPr>
                <w:rFonts w:cs="Times New Roman"/>
                <w:sz w:val="18"/>
                <w:szCs w:val="18"/>
              </w:rPr>
            </w:pPr>
            <w:r w:rsidRPr="00422EEB">
              <w:rPr>
                <w:rFonts w:cs="Times New Roman"/>
                <w:sz w:val="18"/>
                <w:szCs w:val="18"/>
              </w:rPr>
              <w:t>2018</w:t>
            </w:r>
          </w:p>
        </w:tc>
        <w:tc>
          <w:tcPr>
            <w:tcW w:w="1134" w:type="dxa"/>
            <w:vAlign w:val="center"/>
          </w:tcPr>
          <w:p w14:paraId="6D5D009E" w14:textId="77777777" w:rsidR="00422EEB" w:rsidRPr="00422EEB" w:rsidRDefault="00422EEB" w:rsidP="00422EEB">
            <w:pPr>
              <w:jc w:val="center"/>
              <w:rPr>
                <w:rFonts w:cs="Times New Roman"/>
                <w:sz w:val="18"/>
                <w:szCs w:val="18"/>
              </w:rPr>
            </w:pPr>
            <w:r w:rsidRPr="00422EEB">
              <w:rPr>
                <w:rFonts w:cs="Times New Roman"/>
                <w:sz w:val="18"/>
                <w:szCs w:val="18"/>
              </w:rPr>
              <w:t>163</w:t>
            </w:r>
          </w:p>
        </w:tc>
        <w:tc>
          <w:tcPr>
            <w:tcW w:w="2369" w:type="dxa"/>
            <w:vAlign w:val="center"/>
          </w:tcPr>
          <w:p w14:paraId="6D276159" w14:textId="1DC81896" w:rsidR="00422EEB" w:rsidRPr="00422EEB" w:rsidRDefault="00422EEB" w:rsidP="003C1375">
            <w:pPr>
              <w:rPr>
                <w:rFonts w:cs="Times New Roman"/>
                <w:sz w:val="18"/>
                <w:szCs w:val="18"/>
              </w:rPr>
            </w:pPr>
            <w:r w:rsidRPr="00422EEB">
              <w:rPr>
                <w:rFonts w:cs="Times New Roman"/>
                <w:sz w:val="18"/>
                <w:szCs w:val="18"/>
                <w:lang w:val="en-US"/>
              </w:rPr>
              <w:t xml:space="preserve">Mixing PCM directly into cellulose insulation cuts wall heat‑flux peaks (≈−25% daily average). </w:t>
            </w:r>
            <w:r w:rsidRPr="00422EEB">
              <w:rPr>
                <w:rFonts w:cs="Times New Roman"/>
                <w:sz w:val="18"/>
                <w:szCs w:val="18"/>
              </w:rPr>
              <w:t xml:space="preserve">Benefits are measured </w:t>
            </w:r>
            <w:r w:rsidR="00591F15">
              <w:rPr>
                <w:rFonts w:cs="Times New Roman"/>
                <w:sz w:val="18"/>
                <w:szCs w:val="18"/>
              </w:rPr>
              <w:t>i</w:t>
            </w:r>
            <w:r w:rsidRPr="00422EEB">
              <w:rPr>
                <w:rFonts w:cs="Times New Roman"/>
                <w:sz w:val="18"/>
                <w:szCs w:val="18"/>
              </w:rPr>
              <w:t>n all orientations in twin houses.</w:t>
            </w:r>
          </w:p>
        </w:tc>
      </w:tr>
      <w:tr w:rsidR="00422EEB" w:rsidRPr="00736B36" w14:paraId="0174EBF6" w14:textId="77777777" w:rsidTr="00422EEB">
        <w:tc>
          <w:tcPr>
            <w:tcW w:w="2235" w:type="dxa"/>
            <w:vAlign w:val="center"/>
          </w:tcPr>
          <w:p w14:paraId="1968987B" w14:textId="33DA109C" w:rsidR="00422EEB" w:rsidRPr="00422EEB" w:rsidRDefault="00422EEB" w:rsidP="00422EEB">
            <w:pPr>
              <w:jc w:val="center"/>
              <w:rPr>
                <w:rFonts w:cs="Times New Roman"/>
                <w:sz w:val="18"/>
                <w:szCs w:val="18"/>
                <w:lang w:val="en-US"/>
              </w:rPr>
            </w:pPr>
            <w:r w:rsidRPr="00422EEB">
              <w:rPr>
                <w:rFonts w:cs="Times New Roman"/>
                <w:sz w:val="18"/>
                <w:szCs w:val="18"/>
                <w:lang w:val="en-US"/>
              </w:rPr>
              <w:t xml:space="preserve">Thermal comfort enhancement of office buildings located under warm and humid climate through phase change material and </w:t>
            </w:r>
            <w:r w:rsidRPr="00422EEB">
              <w:rPr>
                <w:rFonts w:cs="Times New Roman"/>
                <w:sz w:val="18"/>
                <w:szCs w:val="18"/>
                <w:lang w:val="en-US"/>
              </w:rPr>
              <w:lastRenderedPageBreak/>
              <w:t>insulation coupled with natural ventilation</w:t>
            </w:r>
            <w:r>
              <w:rPr>
                <w:rFonts w:cs="Times New Roman"/>
                <w:sz w:val="18"/>
                <w:szCs w:val="18"/>
                <w:lang w:val="en-US"/>
              </w:rPr>
              <w:t>.</w:t>
            </w:r>
          </w:p>
        </w:tc>
        <w:tc>
          <w:tcPr>
            <w:tcW w:w="1134" w:type="dxa"/>
            <w:vAlign w:val="center"/>
          </w:tcPr>
          <w:p w14:paraId="5CAE64CD" w14:textId="77777777" w:rsidR="00422EEB" w:rsidRPr="00422EEB" w:rsidRDefault="00422EEB" w:rsidP="00422EEB">
            <w:pPr>
              <w:jc w:val="center"/>
              <w:rPr>
                <w:rFonts w:cs="Times New Roman"/>
                <w:sz w:val="18"/>
                <w:szCs w:val="18"/>
              </w:rPr>
            </w:pPr>
            <w:r w:rsidRPr="00422EEB">
              <w:rPr>
                <w:rFonts w:cs="Times New Roman"/>
                <w:sz w:val="18"/>
                <w:szCs w:val="18"/>
              </w:rPr>
              <w:lastRenderedPageBreak/>
              <w:t>Arumugam, P., Ramalingam, V.</w:t>
            </w:r>
          </w:p>
        </w:tc>
        <w:tc>
          <w:tcPr>
            <w:tcW w:w="1134" w:type="dxa"/>
            <w:vAlign w:val="center"/>
          </w:tcPr>
          <w:p w14:paraId="295DED35" w14:textId="77777777" w:rsidR="00422EEB" w:rsidRPr="00422EEB" w:rsidRDefault="00422EEB" w:rsidP="00422EEB">
            <w:pPr>
              <w:jc w:val="center"/>
              <w:rPr>
                <w:rFonts w:cs="Times New Roman"/>
                <w:sz w:val="18"/>
                <w:szCs w:val="18"/>
                <w:lang w:val="en-US"/>
              </w:rPr>
            </w:pPr>
            <w:r w:rsidRPr="00422EEB">
              <w:rPr>
                <w:rFonts w:cs="Times New Roman"/>
                <w:sz w:val="18"/>
                <w:szCs w:val="18"/>
                <w:lang w:val="en-US"/>
              </w:rPr>
              <w:t>Sustainable Energy Technologies and Assessments, 63, 103657</w:t>
            </w:r>
          </w:p>
        </w:tc>
        <w:tc>
          <w:tcPr>
            <w:tcW w:w="850" w:type="dxa"/>
            <w:vAlign w:val="center"/>
          </w:tcPr>
          <w:p w14:paraId="1361D0D7" w14:textId="77777777" w:rsidR="00422EEB" w:rsidRPr="00422EEB" w:rsidRDefault="00422EEB" w:rsidP="00422EEB">
            <w:pPr>
              <w:jc w:val="center"/>
              <w:rPr>
                <w:rFonts w:cs="Times New Roman"/>
                <w:sz w:val="18"/>
                <w:szCs w:val="18"/>
              </w:rPr>
            </w:pPr>
            <w:r w:rsidRPr="00422EEB">
              <w:rPr>
                <w:rFonts w:cs="Times New Roman"/>
                <w:sz w:val="18"/>
                <w:szCs w:val="18"/>
              </w:rPr>
              <w:t>2024</w:t>
            </w:r>
          </w:p>
        </w:tc>
        <w:tc>
          <w:tcPr>
            <w:tcW w:w="1134" w:type="dxa"/>
            <w:vAlign w:val="center"/>
          </w:tcPr>
          <w:p w14:paraId="2A957FA1" w14:textId="77777777" w:rsidR="00422EEB" w:rsidRPr="00422EEB" w:rsidRDefault="00422EEB" w:rsidP="00422EEB">
            <w:pPr>
              <w:jc w:val="center"/>
              <w:rPr>
                <w:rFonts w:cs="Times New Roman"/>
                <w:sz w:val="18"/>
                <w:szCs w:val="18"/>
              </w:rPr>
            </w:pPr>
            <w:r w:rsidRPr="00422EEB">
              <w:rPr>
                <w:rFonts w:cs="Times New Roman"/>
                <w:sz w:val="18"/>
                <w:szCs w:val="18"/>
              </w:rPr>
              <w:t>13</w:t>
            </w:r>
          </w:p>
        </w:tc>
        <w:tc>
          <w:tcPr>
            <w:tcW w:w="2369" w:type="dxa"/>
            <w:vAlign w:val="center"/>
          </w:tcPr>
          <w:p w14:paraId="444E0DD1" w14:textId="77777777" w:rsidR="00422EEB" w:rsidRPr="00422EEB" w:rsidRDefault="00422EEB" w:rsidP="003C1375">
            <w:pPr>
              <w:rPr>
                <w:rFonts w:cs="Times New Roman"/>
                <w:sz w:val="18"/>
                <w:szCs w:val="18"/>
                <w:lang w:val="en-US"/>
              </w:rPr>
            </w:pPr>
            <w:r w:rsidRPr="00422EEB">
              <w:rPr>
                <w:rFonts w:cs="Times New Roman"/>
                <w:sz w:val="18"/>
                <w:szCs w:val="18"/>
                <w:lang w:val="en-US"/>
              </w:rPr>
              <w:t xml:space="preserve">PCM alone isn’t enough; with proper insulation, operative temperatures stay ~26.6–26.8 °C. Optimal: 50 mm insulation + 30 mm PCM </w:t>
            </w:r>
            <w:r w:rsidRPr="00422EEB">
              <w:rPr>
                <w:rFonts w:ascii="Times New Roman" w:hAnsi="Times New Roman" w:cs="Times New Roman"/>
                <w:sz w:val="18"/>
                <w:szCs w:val="18"/>
                <w:lang w:val="en-US"/>
              </w:rPr>
              <w:t>→</w:t>
            </w:r>
            <w:r w:rsidRPr="00422EEB">
              <w:rPr>
                <w:rFonts w:cs="Times New Roman"/>
                <w:sz w:val="18"/>
                <w:szCs w:val="18"/>
                <w:lang w:val="en-US"/>
              </w:rPr>
              <w:t xml:space="preserve"> comfort index &lt; 1.7 year</w:t>
            </w:r>
            <w:r w:rsidRPr="00422EEB">
              <w:rPr>
                <w:rFonts w:cs="Palatino Linotype"/>
                <w:sz w:val="18"/>
                <w:szCs w:val="18"/>
                <w:lang w:val="en-US"/>
              </w:rPr>
              <w:t>‑</w:t>
            </w:r>
            <w:r w:rsidRPr="00422EEB">
              <w:rPr>
                <w:rFonts w:cs="Times New Roman"/>
                <w:sz w:val="18"/>
                <w:szCs w:val="18"/>
                <w:lang w:val="en-US"/>
              </w:rPr>
              <w:t>round.</w:t>
            </w:r>
          </w:p>
        </w:tc>
      </w:tr>
      <w:tr w:rsidR="00422EEB" w:rsidRPr="00736B36" w14:paraId="3678B2DB" w14:textId="77777777" w:rsidTr="00422EEB">
        <w:tc>
          <w:tcPr>
            <w:tcW w:w="2235" w:type="dxa"/>
            <w:vAlign w:val="center"/>
          </w:tcPr>
          <w:p w14:paraId="7D8CF875" w14:textId="77777777" w:rsidR="00422EEB" w:rsidRPr="00422EEB" w:rsidRDefault="00422EEB" w:rsidP="00422EEB">
            <w:pPr>
              <w:jc w:val="center"/>
              <w:rPr>
                <w:rFonts w:cs="Times New Roman"/>
                <w:sz w:val="18"/>
                <w:szCs w:val="18"/>
                <w:lang w:val="en-US"/>
              </w:rPr>
            </w:pPr>
            <w:r w:rsidRPr="00422EEB">
              <w:rPr>
                <w:rFonts w:cs="Times New Roman"/>
                <w:sz w:val="18"/>
                <w:szCs w:val="18"/>
                <w:lang w:val="en-US"/>
              </w:rPr>
              <w:t>Enhancing building energy performance by effectively using phase change material and dynamic insulation in walls</w:t>
            </w:r>
          </w:p>
        </w:tc>
        <w:tc>
          <w:tcPr>
            <w:tcW w:w="1134" w:type="dxa"/>
            <w:vAlign w:val="center"/>
          </w:tcPr>
          <w:p w14:paraId="24249445" w14:textId="77777777" w:rsidR="00422EEB" w:rsidRPr="00422EEB" w:rsidRDefault="00422EEB" w:rsidP="00422EEB">
            <w:pPr>
              <w:jc w:val="center"/>
              <w:rPr>
                <w:rFonts w:cs="Times New Roman"/>
                <w:sz w:val="18"/>
                <w:szCs w:val="18"/>
                <w:lang w:val="nb-NO"/>
              </w:rPr>
            </w:pPr>
            <w:r w:rsidRPr="00422EEB">
              <w:rPr>
                <w:rFonts w:cs="Times New Roman"/>
                <w:sz w:val="18"/>
                <w:szCs w:val="18"/>
                <w:lang w:val="nb-NO"/>
              </w:rPr>
              <w:t>Kishore, R.A., Bianchi, M.V.A., Booten, C., Vidal, J., Jackson, R.</w:t>
            </w:r>
          </w:p>
        </w:tc>
        <w:tc>
          <w:tcPr>
            <w:tcW w:w="1134" w:type="dxa"/>
            <w:vAlign w:val="center"/>
          </w:tcPr>
          <w:p w14:paraId="2A58F282" w14:textId="77777777" w:rsidR="00422EEB" w:rsidRPr="00422EEB" w:rsidRDefault="00422EEB" w:rsidP="00422EEB">
            <w:pPr>
              <w:jc w:val="center"/>
              <w:rPr>
                <w:rFonts w:cs="Times New Roman"/>
                <w:sz w:val="18"/>
                <w:szCs w:val="18"/>
              </w:rPr>
            </w:pPr>
            <w:r w:rsidRPr="00422EEB">
              <w:rPr>
                <w:rFonts w:cs="Times New Roman"/>
                <w:sz w:val="18"/>
                <w:szCs w:val="18"/>
              </w:rPr>
              <w:t>Applied Energy, 283, 116306</w:t>
            </w:r>
          </w:p>
        </w:tc>
        <w:tc>
          <w:tcPr>
            <w:tcW w:w="850" w:type="dxa"/>
            <w:vAlign w:val="center"/>
          </w:tcPr>
          <w:p w14:paraId="315C3E18" w14:textId="77777777" w:rsidR="00422EEB" w:rsidRPr="00422EEB" w:rsidRDefault="00422EEB" w:rsidP="00422EEB">
            <w:pPr>
              <w:jc w:val="center"/>
              <w:rPr>
                <w:rFonts w:cs="Times New Roman"/>
                <w:sz w:val="18"/>
                <w:szCs w:val="18"/>
              </w:rPr>
            </w:pPr>
            <w:r w:rsidRPr="00422EEB">
              <w:rPr>
                <w:rFonts w:cs="Times New Roman"/>
                <w:sz w:val="18"/>
                <w:szCs w:val="18"/>
              </w:rPr>
              <w:t>2021</w:t>
            </w:r>
          </w:p>
        </w:tc>
        <w:tc>
          <w:tcPr>
            <w:tcW w:w="1134" w:type="dxa"/>
            <w:vAlign w:val="center"/>
          </w:tcPr>
          <w:p w14:paraId="3AC6E288" w14:textId="77777777" w:rsidR="00422EEB" w:rsidRPr="00422EEB" w:rsidRDefault="00422EEB" w:rsidP="00422EEB">
            <w:pPr>
              <w:jc w:val="center"/>
              <w:rPr>
                <w:rFonts w:cs="Times New Roman"/>
                <w:sz w:val="18"/>
                <w:szCs w:val="18"/>
              </w:rPr>
            </w:pPr>
            <w:r w:rsidRPr="00422EEB">
              <w:rPr>
                <w:rFonts w:cs="Times New Roman"/>
                <w:sz w:val="18"/>
                <w:szCs w:val="18"/>
              </w:rPr>
              <w:t>159</w:t>
            </w:r>
          </w:p>
        </w:tc>
        <w:tc>
          <w:tcPr>
            <w:tcW w:w="2369" w:type="dxa"/>
            <w:vAlign w:val="center"/>
          </w:tcPr>
          <w:p w14:paraId="7A62AC4B" w14:textId="16C2D0C0" w:rsidR="00422EEB" w:rsidRPr="00422EEB" w:rsidRDefault="00422EEB" w:rsidP="003C1375">
            <w:pPr>
              <w:rPr>
                <w:rFonts w:cs="Times New Roman"/>
                <w:sz w:val="18"/>
                <w:szCs w:val="18"/>
                <w:lang w:val="en-US"/>
              </w:rPr>
            </w:pPr>
            <w:r w:rsidRPr="00422EEB">
              <w:rPr>
                <w:rFonts w:cs="Times New Roman"/>
                <w:sz w:val="18"/>
                <w:szCs w:val="18"/>
                <w:lang w:val="en-US"/>
              </w:rPr>
              <w:t>PCM between two dynamic‑insulation layers saves more than PCM or DIMS alone: −15–72% annual heat gains and −7–38% annual heat losses, depending on climate/orientation.</w:t>
            </w:r>
          </w:p>
        </w:tc>
      </w:tr>
      <w:tr w:rsidR="00422EEB" w:rsidRPr="00736B36" w14:paraId="642CF3FB" w14:textId="77777777" w:rsidTr="00422EEB">
        <w:tc>
          <w:tcPr>
            <w:tcW w:w="2235" w:type="dxa"/>
            <w:vAlign w:val="center"/>
          </w:tcPr>
          <w:p w14:paraId="4F724DE7" w14:textId="77777777" w:rsidR="00422EEB" w:rsidRPr="00422EEB" w:rsidRDefault="00422EEB" w:rsidP="00422EEB">
            <w:pPr>
              <w:jc w:val="center"/>
              <w:rPr>
                <w:rFonts w:cs="Times New Roman"/>
                <w:sz w:val="18"/>
                <w:szCs w:val="18"/>
                <w:lang w:val="en-US"/>
              </w:rPr>
            </w:pPr>
            <w:r w:rsidRPr="00422EEB">
              <w:rPr>
                <w:rFonts w:cs="Times New Roman"/>
                <w:sz w:val="18"/>
                <w:szCs w:val="18"/>
                <w:lang w:val="en-US"/>
              </w:rPr>
              <w:t>Phase change material's (PCM) impacts on the energy performance and thermal comfort of buildings in a mild climate</w:t>
            </w:r>
          </w:p>
        </w:tc>
        <w:tc>
          <w:tcPr>
            <w:tcW w:w="1134" w:type="dxa"/>
            <w:vAlign w:val="center"/>
          </w:tcPr>
          <w:p w14:paraId="6F2388A8" w14:textId="77777777" w:rsidR="00422EEB" w:rsidRPr="00422EEB" w:rsidRDefault="00422EEB" w:rsidP="00422EEB">
            <w:pPr>
              <w:jc w:val="center"/>
              <w:rPr>
                <w:rFonts w:cs="Times New Roman"/>
                <w:sz w:val="18"/>
                <w:szCs w:val="18"/>
              </w:rPr>
            </w:pPr>
            <w:r w:rsidRPr="00422EEB">
              <w:rPr>
                <w:rFonts w:cs="Times New Roman"/>
                <w:sz w:val="18"/>
                <w:szCs w:val="18"/>
              </w:rPr>
              <w:t>Nghana, B., Tariku, F.</w:t>
            </w:r>
          </w:p>
        </w:tc>
        <w:tc>
          <w:tcPr>
            <w:tcW w:w="1134" w:type="dxa"/>
            <w:vAlign w:val="center"/>
          </w:tcPr>
          <w:p w14:paraId="413E8AE5" w14:textId="77777777" w:rsidR="00422EEB" w:rsidRPr="00422EEB" w:rsidRDefault="00422EEB" w:rsidP="00422EEB">
            <w:pPr>
              <w:jc w:val="center"/>
              <w:rPr>
                <w:rFonts w:cs="Times New Roman"/>
                <w:sz w:val="18"/>
                <w:szCs w:val="18"/>
              </w:rPr>
            </w:pPr>
            <w:r w:rsidRPr="00422EEB">
              <w:rPr>
                <w:rFonts w:cs="Times New Roman"/>
                <w:sz w:val="18"/>
                <w:szCs w:val="18"/>
              </w:rPr>
              <w:t>Building and Environment, 99, pp. 221–238</w:t>
            </w:r>
          </w:p>
        </w:tc>
        <w:tc>
          <w:tcPr>
            <w:tcW w:w="850" w:type="dxa"/>
            <w:vAlign w:val="center"/>
          </w:tcPr>
          <w:p w14:paraId="17634265" w14:textId="77777777" w:rsidR="00422EEB" w:rsidRPr="00422EEB" w:rsidRDefault="00422EEB" w:rsidP="00422EEB">
            <w:pPr>
              <w:jc w:val="center"/>
              <w:rPr>
                <w:rFonts w:cs="Times New Roman"/>
                <w:sz w:val="18"/>
                <w:szCs w:val="18"/>
              </w:rPr>
            </w:pPr>
            <w:r w:rsidRPr="00422EEB">
              <w:rPr>
                <w:rFonts w:cs="Times New Roman"/>
                <w:sz w:val="18"/>
                <w:szCs w:val="18"/>
              </w:rPr>
              <w:t>2016</w:t>
            </w:r>
          </w:p>
        </w:tc>
        <w:tc>
          <w:tcPr>
            <w:tcW w:w="1134" w:type="dxa"/>
            <w:vAlign w:val="center"/>
          </w:tcPr>
          <w:p w14:paraId="55F6CFF1" w14:textId="77777777" w:rsidR="00422EEB" w:rsidRPr="00422EEB" w:rsidRDefault="00422EEB" w:rsidP="00422EEB">
            <w:pPr>
              <w:jc w:val="center"/>
              <w:rPr>
                <w:rFonts w:cs="Times New Roman"/>
                <w:sz w:val="18"/>
                <w:szCs w:val="18"/>
              </w:rPr>
            </w:pPr>
            <w:r w:rsidRPr="00422EEB">
              <w:rPr>
                <w:rFonts w:cs="Times New Roman"/>
                <w:sz w:val="18"/>
                <w:szCs w:val="18"/>
              </w:rPr>
              <w:t>159</w:t>
            </w:r>
          </w:p>
        </w:tc>
        <w:tc>
          <w:tcPr>
            <w:tcW w:w="2369" w:type="dxa"/>
            <w:vAlign w:val="center"/>
          </w:tcPr>
          <w:p w14:paraId="688F7FF6" w14:textId="05E0D573" w:rsidR="00422EEB" w:rsidRPr="00422EEB" w:rsidRDefault="00422EEB" w:rsidP="003C1375">
            <w:pPr>
              <w:rPr>
                <w:rFonts w:cs="Times New Roman"/>
                <w:sz w:val="18"/>
                <w:szCs w:val="18"/>
                <w:lang w:val="en-US"/>
              </w:rPr>
            </w:pPr>
            <w:r w:rsidRPr="00422EEB">
              <w:rPr>
                <w:rFonts w:cs="Times New Roman"/>
                <w:sz w:val="18"/>
                <w:szCs w:val="18"/>
                <w:lang w:val="en-US"/>
              </w:rPr>
              <w:t>Field tests + simulations: PCM stabilizes air/wall temperatures (oscillation 1.4/−2.7 °C) and can cut winter heating demand up to 57%; limited summer night comfort gains.</w:t>
            </w:r>
          </w:p>
        </w:tc>
      </w:tr>
      <w:tr w:rsidR="00422EEB" w:rsidRPr="00736B36" w14:paraId="4A9E8236" w14:textId="77777777" w:rsidTr="00422EEB">
        <w:tc>
          <w:tcPr>
            <w:tcW w:w="2235" w:type="dxa"/>
            <w:vAlign w:val="center"/>
          </w:tcPr>
          <w:p w14:paraId="2B98C870" w14:textId="77777777" w:rsidR="00422EEB" w:rsidRPr="00422EEB" w:rsidRDefault="00422EEB" w:rsidP="00422EEB">
            <w:pPr>
              <w:jc w:val="center"/>
              <w:rPr>
                <w:rFonts w:cs="Times New Roman"/>
                <w:sz w:val="18"/>
                <w:szCs w:val="18"/>
                <w:lang w:val="en-US"/>
              </w:rPr>
            </w:pPr>
            <w:r w:rsidRPr="00422EEB">
              <w:rPr>
                <w:rFonts w:cs="Times New Roman"/>
                <w:sz w:val="18"/>
                <w:szCs w:val="18"/>
                <w:lang w:val="en-US"/>
              </w:rPr>
              <w:t>Investigation of heat transfer of a building wall in the presence of phase change material (PCM)</w:t>
            </w:r>
          </w:p>
        </w:tc>
        <w:tc>
          <w:tcPr>
            <w:tcW w:w="1134" w:type="dxa"/>
            <w:vAlign w:val="center"/>
          </w:tcPr>
          <w:p w14:paraId="1F4E4BE1" w14:textId="77777777" w:rsidR="00422EEB" w:rsidRPr="00422EEB" w:rsidRDefault="00422EEB" w:rsidP="00422EEB">
            <w:pPr>
              <w:jc w:val="center"/>
              <w:rPr>
                <w:rFonts w:cs="Times New Roman"/>
                <w:sz w:val="18"/>
                <w:szCs w:val="18"/>
                <w:lang w:val="en-US"/>
              </w:rPr>
            </w:pPr>
            <w:r w:rsidRPr="00422EEB">
              <w:rPr>
                <w:rFonts w:cs="Times New Roman"/>
                <w:sz w:val="18"/>
                <w:szCs w:val="18"/>
                <w:lang w:val="en-US"/>
              </w:rPr>
              <w:t>Khan, R.J., Bhuiyan, M.Z.H., Ahmed, D.H.</w:t>
            </w:r>
          </w:p>
        </w:tc>
        <w:tc>
          <w:tcPr>
            <w:tcW w:w="1134" w:type="dxa"/>
            <w:vAlign w:val="center"/>
          </w:tcPr>
          <w:p w14:paraId="19C1AC64" w14:textId="77777777" w:rsidR="00422EEB" w:rsidRPr="00422EEB" w:rsidRDefault="00422EEB" w:rsidP="00422EEB">
            <w:pPr>
              <w:jc w:val="center"/>
              <w:rPr>
                <w:rFonts w:cs="Times New Roman"/>
                <w:sz w:val="18"/>
                <w:szCs w:val="18"/>
                <w:lang w:val="en-US"/>
              </w:rPr>
            </w:pPr>
            <w:r w:rsidRPr="00422EEB">
              <w:rPr>
                <w:rFonts w:cs="Times New Roman"/>
                <w:sz w:val="18"/>
                <w:szCs w:val="18"/>
                <w:lang w:val="en-US"/>
              </w:rPr>
              <w:t>Energy and Built Environment, 1(2), pp. 199–206</w:t>
            </w:r>
          </w:p>
        </w:tc>
        <w:tc>
          <w:tcPr>
            <w:tcW w:w="850" w:type="dxa"/>
            <w:vAlign w:val="center"/>
          </w:tcPr>
          <w:p w14:paraId="35FF2DE7" w14:textId="77777777" w:rsidR="00422EEB" w:rsidRPr="00422EEB" w:rsidRDefault="00422EEB" w:rsidP="00422EEB">
            <w:pPr>
              <w:jc w:val="center"/>
              <w:rPr>
                <w:rFonts w:cs="Times New Roman"/>
                <w:sz w:val="18"/>
                <w:szCs w:val="18"/>
              </w:rPr>
            </w:pPr>
            <w:r w:rsidRPr="00422EEB">
              <w:rPr>
                <w:rFonts w:cs="Times New Roman"/>
                <w:sz w:val="18"/>
                <w:szCs w:val="18"/>
              </w:rPr>
              <w:t>2020</w:t>
            </w:r>
          </w:p>
        </w:tc>
        <w:tc>
          <w:tcPr>
            <w:tcW w:w="1134" w:type="dxa"/>
            <w:vAlign w:val="center"/>
          </w:tcPr>
          <w:p w14:paraId="1990CBE4" w14:textId="77777777" w:rsidR="00422EEB" w:rsidRPr="00422EEB" w:rsidRDefault="00422EEB" w:rsidP="00422EEB">
            <w:pPr>
              <w:jc w:val="center"/>
              <w:rPr>
                <w:rFonts w:cs="Times New Roman"/>
                <w:sz w:val="18"/>
                <w:szCs w:val="18"/>
              </w:rPr>
            </w:pPr>
            <w:r w:rsidRPr="00422EEB">
              <w:rPr>
                <w:rFonts w:cs="Times New Roman"/>
                <w:sz w:val="18"/>
                <w:szCs w:val="18"/>
              </w:rPr>
              <w:t>138</w:t>
            </w:r>
          </w:p>
        </w:tc>
        <w:tc>
          <w:tcPr>
            <w:tcW w:w="2369" w:type="dxa"/>
            <w:vAlign w:val="center"/>
          </w:tcPr>
          <w:p w14:paraId="5D84CC4D" w14:textId="428B0705" w:rsidR="00422EEB" w:rsidRPr="00422EEB" w:rsidRDefault="00422EEB" w:rsidP="003C1375">
            <w:pPr>
              <w:rPr>
                <w:rFonts w:cs="Times New Roman"/>
                <w:sz w:val="18"/>
                <w:szCs w:val="18"/>
                <w:lang w:val="en-US"/>
              </w:rPr>
            </w:pPr>
            <w:r w:rsidRPr="00422EEB">
              <w:rPr>
                <w:rFonts w:cs="Times New Roman"/>
                <w:sz w:val="18"/>
                <w:szCs w:val="18"/>
                <w:lang w:val="en-US"/>
              </w:rPr>
              <w:t>Locating PCM near the heat source best limits indoor heating, flattens peaks, and delays time to peak; air gaps and traditional materials are used for comparison.</w:t>
            </w:r>
          </w:p>
        </w:tc>
      </w:tr>
      <w:tr w:rsidR="00422EEB" w:rsidRPr="00736B36" w14:paraId="427D5FC4" w14:textId="77777777" w:rsidTr="00422EEB">
        <w:tc>
          <w:tcPr>
            <w:tcW w:w="2235" w:type="dxa"/>
            <w:vAlign w:val="center"/>
          </w:tcPr>
          <w:p w14:paraId="3DF61C19" w14:textId="77777777" w:rsidR="00422EEB" w:rsidRPr="00422EEB" w:rsidRDefault="00422EEB" w:rsidP="00422EEB">
            <w:pPr>
              <w:jc w:val="center"/>
              <w:rPr>
                <w:rFonts w:cs="Times New Roman"/>
                <w:sz w:val="18"/>
                <w:szCs w:val="18"/>
                <w:lang w:val="en-US"/>
              </w:rPr>
            </w:pPr>
            <w:r w:rsidRPr="00422EEB">
              <w:rPr>
                <w:rFonts w:cs="Times New Roman"/>
                <w:sz w:val="18"/>
                <w:szCs w:val="18"/>
                <w:lang w:val="en-US"/>
              </w:rPr>
              <w:t>Thermal performance analysis of sensible and pcm-integrated thermal insulation layers to improve thermal comfort in building</w:t>
            </w:r>
          </w:p>
        </w:tc>
        <w:tc>
          <w:tcPr>
            <w:tcW w:w="1134" w:type="dxa"/>
            <w:vAlign w:val="center"/>
          </w:tcPr>
          <w:p w14:paraId="25A0B3B1" w14:textId="77777777" w:rsidR="00422EEB" w:rsidRPr="00422EEB" w:rsidRDefault="00422EEB" w:rsidP="00422EEB">
            <w:pPr>
              <w:jc w:val="center"/>
              <w:rPr>
                <w:rFonts w:cs="Times New Roman"/>
                <w:sz w:val="18"/>
                <w:szCs w:val="18"/>
              </w:rPr>
            </w:pPr>
            <w:r w:rsidRPr="00422EEB">
              <w:rPr>
                <w:rFonts w:cs="Times New Roman"/>
                <w:sz w:val="18"/>
                <w:szCs w:val="18"/>
              </w:rPr>
              <w:t>Kerroumi, N., Touati, B., Virgone, J.</w:t>
            </w:r>
          </w:p>
        </w:tc>
        <w:tc>
          <w:tcPr>
            <w:tcW w:w="1134" w:type="dxa"/>
            <w:vAlign w:val="center"/>
          </w:tcPr>
          <w:p w14:paraId="211A4127" w14:textId="77777777" w:rsidR="00422EEB" w:rsidRPr="00422EEB" w:rsidRDefault="00422EEB" w:rsidP="00422EEB">
            <w:pPr>
              <w:jc w:val="center"/>
              <w:rPr>
                <w:rFonts w:cs="Times New Roman"/>
                <w:sz w:val="18"/>
                <w:szCs w:val="18"/>
                <w:lang w:val="en-US"/>
              </w:rPr>
            </w:pPr>
            <w:r w:rsidRPr="00422EEB">
              <w:rPr>
                <w:rFonts w:cs="Times New Roman"/>
                <w:sz w:val="18"/>
                <w:szCs w:val="18"/>
                <w:lang w:val="en-US"/>
              </w:rPr>
              <w:t>Interfacial Phenomena and Heat Transfer, 8(1), pp. 67–80</w:t>
            </w:r>
          </w:p>
        </w:tc>
        <w:tc>
          <w:tcPr>
            <w:tcW w:w="850" w:type="dxa"/>
            <w:vAlign w:val="center"/>
          </w:tcPr>
          <w:p w14:paraId="07424352" w14:textId="77777777" w:rsidR="00422EEB" w:rsidRPr="00422EEB" w:rsidRDefault="00422EEB" w:rsidP="00422EEB">
            <w:pPr>
              <w:jc w:val="center"/>
              <w:rPr>
                <w:rFonts w:cs="Times New Roman"/>
                <w:sz w:val="18"/>
                <w:szCs w:val="18"/>
              </w:rPr>
            </w:pPr>
            <w:r w:rsidRPr="00422EEB">
              <w:rPr>
                <w:rFonts w:cs="Times New Roman"/>
                <w:sz w:val="18"/>
                <w:szCs w:val="18"/>
              </w:rPr>
              <w:t>2020</w:t>
            </w:r>
          </w:p>
        </w:tc>
        <w:tc>
          <w:tcPr>
            <w:tcW w:w="1134" w:type="dxa"/>
            <w:vAlign w:val="center"/>
          </w:tcPr>
          <w:p w14:paraId="141D6594" w14:textId="77777777" w:rsidR="00422EEB" w:rsidRPr="00422EEB" w:rsidRDefault="00422EEB" w:rsidP="00422EEB">
            <w:pPr>
              <w:jc w:val="center"/>
              <w:rPr>
                <w:rFonts w:cs="Times New Roman"/>
                <w:sz w:val="18"/>
                <w:szCs w:val="18"/>
              </w:rPr>
            </w:pPr>
            <w:r w:rsidRPr="00422EEB">
              <w:rPr>
                <w:rFonts w:cs="Times New Roman"/>
                <w:sz w:val="18"/>
                <w:szCs w:val="18"/>
              </w:rPr>
              <w:t>6</w:t>
            </w:r>
          </w:p>
        </w:tc>
        <w:tc>
          <w:tcPr>
            <w:tcW w:w="2369" w:type="dxa"/>
            <w:vAlign w:val="center"/>
          </w:tcPr>
          <w:p w14:paraId="7C577701" w14:textId="0221FEE6" w:rsidR="00422EEB" w:rsidRPr="00422EEB" w:rsidRDefault="00422EEB" w:rsidP="003C1375">
            <w:pPr>
              <w:rPr>
                <w:rFonts w:cs="Times New Roman"/>
                <w:sz w:val="18"/>
                <w:szCs w:val="18"/>
                <w:lang w:val="en-US"/>
              </w:rPr>
            </w:pPr>
            <w:r w:rsidRPr="00422EEB">
              <w:rPr>
                <w:rFonts w:cs="Times New Roman"/>
                <w:sz w:val="18"/>
                <w:szCs w:val="18"/>
                <w:lang w:val="en-US"/>
              </w:rPr>
              <w:t>Seasonal simulations: melting‑temperature choice is crucial; encapsulated PCM plus an extra air layer improves indoor comfort vs conventional plasters.</w:t>
            </w:r>
          </w:p>
        </w:tc>
      </w:tr>
      <w:tr w:rsidR="00422EEB" w:rsidRPr="00736B36" w14:paraId="05FA9A65" w14:textId="77777777" w:rsidTr="00422EEB">
        <w:tc>
          <w:tcPr>
            <w:tcW w:w="2235" w:type="dxa"/>
            <w:vAlign w:val="center"/>
          </w:tcPr>
          <w:p w14:paraId="5ECFCC86" w14:textId="77777777" w:rsidR="00422EEB" w:rsidRPr="00422EEB" w:rsidRDefault="00422EEB" w:rsidP="00422EEB">
            <w:pPr>
              <w:jc w:val="center"/>
              <w:rPr>
                <w:rFonts w:cs="Times New Roman"/>
                <w:sz w:val="18"/>
                <w:szCs w:val="18"/>
                <w:lang w:val="en-US"/>
              </w:rPr>
            </w:pPr>
            <w:r w:rsidRPr="00422EEB">
              <w:rPr>
                <w:rFonts w:cs="Times New Roman"/>
                <w:sz w:val="18"/>
                <w:szCs w:val="18"/>
                <w:lang w:val="en-US"/>
              </w:rPr>
              <w:t>Optimal positioning of phase change material and insulation through numerical investigations to reduce cooling loads in office buildings</w:t>
            </w:r>
          </w:p>
        </w:tc>
        <w:tc>
          <w:tcPr>
            <w:tcW w:w="1134" w:type="dxa"/>
            <w:vAlign w:val="center"/>
          </w:tcPr>
          <w:p w14:paraId="64E62737" w14:textId="77777777" w:rsidR="00422EEB" w:rsidRPr="00422EEB" w:rsidRDefault="00422EEB" w:rsidP="00422EEB">
            <w:pPr>
              <w:jc w:val="center"/>
              <w:rPr>
                <w:rFonts w:cs="Times New Roman"/>
                <w:sz w:val="18"/>
                <w:szCs w:val="18"/>
              </w:rPr>
            </w:pPr>
            <w:r w:rsidRPr="00422EEB">
              <w:rPr>
                <w:rFonts w:cs="Times New Roman"/>
                <w:sz w:val="18"/>
                <w:szCs w:val="18"/>
              </w:rPr>
              <w:t>Arumugam, P., Ramalingam, V., Vellaichamy, P.</w:t>
            </w:r>
          </w:p>
        </w:tc>
        <w:tc>
          <w:tcPr>
            <w:tcW w:w="1134" w:type="dxa"/>
            <w:vAlign w:val="center"/>
          </w:tcPr>
          <w:p w14:paraId="6C7B5074" w14:textId="77777777" w:rsidR="00422EEB" w:rsidRPr="00422EEB" w:rsidRDefault="00422EEB" w:rsidP="00422EEB">
            <w:pPr>
              <w:jc w:val="center"/>
              <w:rPr>
                <w:rFonts w:cs="Times New Roman"/>
                <w:sz w:val="18"/>
                <w:szCs w:val="18"/>
              </w:rPr>
            </w:pPr>
            <w:r w:rsidRPr="00422EEB">
              <w:rPr>
                <w:rFonts w:cs="Times New Roman"/>
                <w:sz w:val="18"/>
                <w:szCs w:val="18"/>
              </w:rPr>
              <w:t>Journal of Energy Storage, 52, 104946</w:t>
            </w:r>
          </w:p>
        </w:tc>
        <w:tc>
          <w:tcPr>
            <w:tcW w:w="850" w:type="dxa"/>
            <w:vAlign w:val="center"/>
          </w:tcPr>
          <w:p w14:paraId="51CA6C6C" w14:textId="77777777" w:rsidR="00422EEB" w:rsidRPr="00422EEB" w:rsidRDefault="00422EEB" w:rsidP="00422EEB">
            <w:pPr>
              <w:jc w:val="center"/>
              <w:rPr>
                <w:rFonts w:cs="Times New Roman"/>
                <w:sz w:val="18"/>
                <w:szCs w:val="18"/>
              </w:rPr>
            </w:pPr>
            <w:r w:rsidRPr="00422EEB">
              <w:rPr>
                <w:rFonts w:cs="Times New Roman"/>
                <w:sz w:val="18"/>
                <w:szCs w:val="18"/>
              </w:rPr>
              <w:t>2022</w:t>
            </w:r>
          </w:p>
        </w:tc>
        <w:tc>
          <w:tcPr>
            <w:tcW w:w="1134" w:type="dxa"/>
            <w:vAlign w:val="center"/>
          </w:tcPr>
          <w:p w14:paraId="5DAE55DB" w14:textId="77777777" w:rsidR="00422EEB" w:rsidRPr="00422EEB" w:rsidRDefault="00422EEB" w:rsidP="00422EEB">
            <w:pPr>
              <w:jc w:val="center"/>
              <w:rPr>
                <w:rFonts w:cs="Times New Roman"/>
                <w:sz w:val="18"/>
                <w:szCs w:val="18"/>
              </w:rPr>
            </w:pPr>
            <w:r w:rsidRPr="00422EEB">
              <w:rPr>
                <w:rFonts w:cs="Times New Roman"/>
                <w:sz w:val="18"/>
                <w:szCs w:val="18"/>
              </w:rPr>
              <w:t>28</w:t>
            </w:r>
          </w:p>
        </w:tc>
        <w:tc>
          <w:tcPr>
            <w:tcW w:w="2369" w:type="dxa"/>
            <w:vAlign w:val="center"/>
          </w:tcPr>
          <w:p w14:paraId="7271774C" w14:textId="164DE761" w:rsidR="00422EEB" w:rsidRPr="00422EEB" w:rsidRDefault="00422EEB" w:rsidP="003C1375">
            <w:pPr>
              <w:rPr>
                <w:rFonts w:cs="Times New Roman"/>
                <w:sz w:val="18"/>
                <w:szCs w:val="18"/>
                <w:lang w:val="en-US"/>
              </w:rPr>
            </w:pPr>
            <w:r w:rsidRPr="00422EEB">
              <w:rPr>
                <w:rFonts w:cs="Times New Roman"/>
                <w:sz w:val="18"/>
                <w:szCs w:val="18"/>
                <w:lang w:val="en-US"/>
              </w:rPr>
              <w:t>Exterior‑wall placement outperforms interior in all climates analyzed; recommended schemes cut cooling loads by ~57–64% across cities.</w:t>
            </w:r>
          </w:p>
        </w:tc>
      </w:tr>
      <w:tr w:rsidR="00422EEB" w:rsidRPr="00736B36" w14:paraId="005BB4FB" w14:textId="77777777" w:rsidTr="00422EEB">
        <w:tc>
          <w:tcPr>
            <w:tcW w:w="2235" w:type="dxa"/>
            <w:vAlign w:val="center"/>
          </w:tcPr>
          <w:p w14:paraId="31D066A3" w14:textId="081FE30B" w:rsidR="00422EEB" w:rsidRPr="00422EEB" w:rsidRDefault="00422EEB" w:rsidP="00422EEB">
            <w:pPr>
              <w:jc w:val="center"/>
              <w:rPr>
                <w:rFonts w:cs="Times New Roman"/>
                <w:b/>
                <w:bCs/>
                <w:sz w:val="18"/>
                <w:szCs w:val="18"/>
                <w:lang w:val="en-US"/>
              </w:rPr>
            </w:pPr>
            <w:r w:rsidRPr="00422EEB">
              <w:rPr>
                <w:rFonts w:cs="Times New Roman"/>
                <w:sz w:val="18"/>
                <w:szCs w:val="18"/>
                <w:lang w:val="en-US"/>
              </w:rPr>
              <w:t>Exterior insulation finishing system using cementitious plaster/microencapsulated phase change material for improving the building thermal storage performance</w:t>
            </w:r>
          </w:p>
        </w:tc>
        <w:tc>
          <w:tcPr>
            <w:tcW w:w="1134" w:type="dxa"/>
            <w:vAlign w:val="center"/>
          </w:tcPr>
          <w:p w14:paraId="22FE59DA" w14:textId="77777777" w:rsidR="00422EEB" w:rsidRPr="00422EEB" w:rsidRDefault="00422EEB" w:rsidP="00422EEB">
            <w:pPr>
              <w:jc w:val="center"/>
              <w:rPr>
                <w:rFonts w:cs="Times New Roman"/>
                <w:sz w:val="18"/>
                <w:szCs w:val="18"/>
                <w:lang w:val="en-US"/>
              </w:rPr>
            </w:pPr>
            <w:r w:rsidRPr="00422EEB">
              <w:rPr>
                <w:rFonts w:cs="Times New Roman"/>
                <w:sz w:val="18"/>
                <w:szCs w:val="18"/>
                <w:lang w:val="en-US"/>
              </w:rPr>
              <w:t>Wi, S., Yang, S., Yeol Yun, B., Kim, S.</w:t>
            </w:r>
          </w:p>
        </w:tc>
        <w:tc>
          <w:tcPr>
            <w:tcW w:w="1134" w:type="dxa"/>
            <w:vAlign w:val="center"/>
          </w:tcPr>
          <w:p w14:paraId="12C9C37C" w14:textId="77777777" w:rsidR="00422EEB" w:rsidRPr="00422EEB" w:rsidRDefault="00422EEB" w:rsidP="00422EEB">
            <w:pPr>
              <w:jc w:val="center"/>
              <w:rPr>
                <w:rFonts w:cs="Times New Roman"/>
                <w:sz w:val="18"/>
                <w:szCs w:val="18"/>
              </w:rPr>
            </w:pPr>
            <w:r w:rsidRPr="00422EEB">
              <w:rPr>
                <w:rFonts w:cs="Times New Roman"/>
                <w:sz w:val="18"/>
                <w:szCs w:val="18"/>
              </w:rPr>
              <w:t>Construction and Building Materials, 299, 123932</w:t>
            </w:r>
          </w:p>
        </w:tc>
        <w:tc>
          <w:tcPr>
            <w:tcW w:w="850" w:type="dxa"/>
            <w:vAlign w:val="center"/>
          </w:tcPr>
          <w:p w14:paraId="615D23DE" w14:textId="77777777" w:rsidR="00422EEB" w:rsidRPr="00422EEB" w:rsidRDefault="00422EEB" w:rsidP="00422EEB">
            <w:pPr>
              <w:jc w:val="center"/>
              <w:rPr>
                <w:rFonts w:cs="Times New Roman"/>
                <w:sz w:val="18"/>
                <w:szCs w:val="18"/>
              </w:rPr>
            </w:pPr>
            <w:r w:rsidRPr="00422EEB">
              <w:rPr>
                <w:rFonts w:cs="Times New Roman"/>
                <w:sz w:val="18"/>
                <w:szCs w:val="18"/>
              </w:rPr>
              <w:t>2021</w:t>
            </w:r>
          </w:p>
        </w:tc>
        <w:tc>
          <w:tcPr>
            <w:tcW w:w="1134" w:type="dxa"/>
            <w:vAlign w:val="center"/>
          </w:tcPr>
          <w:p w14:paraId="4D35E1DA" w14:textId="77777777" w:rsidR="00422EEB" w:rsidRPr="00422EEB" w:rsidRDefault="00422EEB" w:rsidP="00422EEB">
            <w:pPr>
              <w:jc w:val="center"/>
              <w:rPr>
                <w:rFonts w:cs="Times New Roman"/>
                <w:sz w:val="18"/>
                <w:szCs w:val="18"/>
              </w:rPr>
            </w:pPr>
            <w:r w:rsidRPr="00422EEB">
              <w:rPr>
                <w:rFonts w:cs="Times New Roman"/>
                <w:sz w:val="18"/>
                <w:szCs w:val="18"/>
              </w:rPr>
              <w:t>35</w:t>
            </w:r>
          </w:p>
        </w:tc>
        <w:tc>
          <w:tcPr>
            <w:tcW w:w="2369" w:type="dxa"/>
            <w:vAlign w:val="center"/>
          </w:tcPr>
          <w:p w14:paraId="272638BF" w14:textId="77777777" w:rsidR="00422EEB" w:rsidRPr="00422EEB" w:rsidRDefault="00422EEB" w:rsidP="003C1375">
            <w:pPr>
              <w:rPr>
                <w:rFonts w:cs="Times New Roman"/>
                <w:sz w:val="18"/>
                <w:szCs w:val="18"/>
                <w:lang w:val="en-US"/>
              </w:rPr>
            </w:pPr>
            <w:r w:rsidRPr="00422EEB">
              <w:rPr>
                <w:rFonts w:cs="Times New Roman"/>
                <w:sz w:val="18"/>
                <w:szCs w:val="18"/>
                <w:lang w:val="en-US"/>
              </w:rPr>
              <w:t>Mortar with 10 wt% MPCM increases time‑lag by ~59% and provides strong thermal storage; favorable thermo‑mechanical tests.</w:t>
            </w:r>
          </w:p>
        </w:tc>
      </w:tr>
      <w:tr w:rsidR="00422EEB" w:rsidRPr="00736B36" w14:paraId="4F600E3B" w14:textId="77777777" w:rsidTr="00422EEB">
        <w:tc>
          <w:tcPr>
            <w:tcW w:w="2235" w:type="dxa"/>
            <w:vAlign w:val="center"/>
          </w:tcPr>
          <w:p w14:paraId="593AC07F" w14:textId="77777777" w:rsidR="00422EEB" w:rsidRPr="00422EEB" w:rsidRDefault="00422EEB" w:rsidP="00422EEB">
            <w:pPr>
              <w:jc w:val="center"/>
              <w:rPr>
                <w:rFonts w:cs="Times New Roman"/>
                <w:sz w:val="18"/>
                <w:szCs w:val="18"/>
                <w:lang w:val="en-US"/>
              </w:rPr>
            </w:pPr>
            <w:r w:rsidRPr="00422EEB">
              <w:rPr>
                <w:rFonts w:cs="Times New Roman"/>
                <w:sz w:val="18"/>
                <w:szCs w:val="18"/>
                <w:lang w:val="en-US"/>
              </w:rPr>
              <w:t xml:space="preserve">Energy performance based optimization of building envelope </w:t>
            </w:r>
            <w:r w:rsidRPr="00422EEB">
              <w:rPr>
                <w:rFonts w:cs="Times New Roman"/>
                <w:sz w:val="18"/>
                <w:szCs w:val="18"/>
                <w:lang w:val="en-US"/>
              </w:rPr>
              <w:lastRenderedPageBreak/>
              <w:t>containing PCM combined with insulation considering various configurations</w:t>
            </w:r>
          </w:p>
        </w:tc>
        <w:tc>
          <w:tcPr>
            <w:tcW w:w="1134" w:type="dxa"/>
            <w:vAlign w:val="center"/>
          </w:tcPr>
          <w:p w14:paraId="3DF7B4A3" w14:textId="77777777" w:rsidR="00422EEB" w:rsidRPr="00422EEB" w:rsidRDefault="00422EEB" w:rsidP="00422EEB">
            <w:pPr>
              <w:jc w:val="center"/>
              <w:rPr>
                <w:rFonts w:cs="Times New Roman"/>
                <w:sz w:val="18"/>
                <w:szCs w:val="18"/>
                <w:lang w:val="en-US"/>
              </w:rPr>
            </w:pPr>
            <w:r w:rsidRPr="00422EEB">
              <w:rPr>
                <w:rFonts w:cs="Times New Roman"/>
                <w:sz w:val="18"/>
                <w:szCs w:val="18"/>
                <w:lang w:val="en-US"/>
              </w:rPr>
              <w:lastRenderedPageBreak/>
              <w:t xml:space="preserve">Dardouri, S., Mankai, S., </w:t>
            </w:r>
            <w:r w:rsidRPr="00422EEB">
              <w:rPr>
                <w:rFonts w:cs="Times New Roman"/>
                <w:sz w:val="18"/>
                <w:szCs w:val="18"/>
                <w:lang w:val="en-US"/>
              </w:rPr>
              <w:lastRenderedPageBreak/>
              <w:t>Almoneef, M.M., Mbarek, M., Sghaier, J.</w:t>
            </w:r>
          </w:p>
        </w:tc>
        <w:tc>
          <w:tcPr>
            <w:tcW w:w="1134" w:type="dxa"/>
            <w:vAlign w:val="center"/>
          </w:tcPr>
          <w:p w14:paraId="62D993AD" w14:textId="77777777" w:rsidR="00422EEB" w:rsidRPr="00422EEB" w:rsidRDefault="00422EEB" w:rsidP="00422EEB">
            <w:pPr>
              <w:jc w:val="center"/>
              <w:rPr>
                <w:rFonts w:cs="Times New Roman"/>
                <w:sz w:val="18"/>
                <w:szCs w:val="18"/>
              </w:rPr>
            </w:pPr>
            <w:r w:rsidRPr="00422EEB">
              <w:rPr>
                <w:rFonts w:cs="Times New Roman"/>
                <w:sz w:val="18"/>
                <w:szCs w:val="18"/>
              </w:rPr>
              <w:lastRenderedPageBreak/>
              <w:t xml:space="preserve">Energy Reports, </w:t>
            </w:r>
            <w:r w:rsidRPr="00422EEB">
              <w:rPr>
                <w:rFonts w:cs="Times New Roman"/>
                <w:sz w:val="18"/>
                <w:szCs w:val="18"/>
              </w:rPr>
              <w:lastRenderedPageBreak/>
              <w:t>10, pp. 895–909</w:t>
            </w:r>
          </w:p>
        </w:tc>
        <w:tc>
          <w:tcPr>
            <w:tcW w:w="850" w:type="dxa"/>
            <w:vAlign w:val="center"/>
          </w:tcPr>
          <w:p w14:paraId="5003321B" w14:textId="77777777" w:rsidR="00422EEB" w:rsidRPr="00422EEB" w:rsidRDefault="00422EEB" w:rsidP="00422EEB">
            <w:pPr>
              <w:jc w:val="center"/>
              <w:rPr>
                <w:rFonts w:cs="Times New Roman"/>
                <w:sz w:val="18"/>
                <w:szCs w:val="18"/>
              </w:rPr>
            </w:pPr>
            <w:r w:rsidRPr="00422EEB">
              <w:rPr>
                <w:rFonts w:cs="Times New Roman"/>
                <w:sz w:val="18"/>
                <w:szCs w:val="18"/>
              </w:rPr>
              <w:lastRenderedPageBreak/>
              <w:t>2023</w:t>
            </w:r>
          </w:p>
        </w:tc>
        <w:tc>
          <w:tcPr>
            <w:tcW w:w="1134" w:type="dxa"/>
            <w:vAlign w:val="center"/>
          </w:tcPr>
          <w:p w14:paraId="25A622FB" w14:textId="77777777" w:rsidR="00422EEB" w:rsidRPr="00422EEB" w:rsidRDefault="00422EEB" w:rsidP="00422EEB">
            <w:pPr>
              <w:jc w:val="center"/>
              <w:rPr>
                <w:rFonts w:cs="Times New Roman"/>
                <w:sz w:val="18"/>
                <w:szCs w:val="18"/>
              </w:rPr>
            </w:pPr>
            <w:r w:rsidRPr="00422EEB">
              <w:rPr>
                <w:rFonts w:cs="Times New Roman"/>
                <w:sz w:val="18"/>
                <w:szCs w:val="18"/>
              </w:rPr>
              <w:t>36</w:t>
            </w:r>
          </w:p>
        </w:tc>
        <w:tc>
          <w:tcPr>
            <w:tcW w:w="2369" w:type="dxa"/>
            <w:vAlign w:val="center"/>
          </w:tcPr>
          <w:p w14:paraId="0C951C01" w14:textId="18E62A0E" w:rsidR="00422EEB" w:rsidRPr="00422EEB" w:rsidRDefault="00422EEB" w:rsidP="003C1375">
            <w:pPr>
              <w:rPr>
                <w:rFonts w:cs="Times New Roman"/>
                <w:sz w:val="18"/>
                <w:szCs w:val="18"/>
                <w:lang w:val="en-US"/>
              </w:rPr>
            </w:pPr>
            <w:r w:rsidRPr="00422EEB">
              <w:rPr>
                <w:rFonts w:cs="Times New Roman"/>
                <w:sz w:val="18"/>
                <w:szCs w:val="18"/>
                <w:lang w:val="en-US"/>
              </w:rPr>
              <w:t xml:space="preserve">Optimized PCM Tm/location/thickness achieves 74–76% </w:t>
            </w:r>
            <w:r w:rsidRPr="00422EEB">
              <w:rPr>
                <w:rFonts w:cs="Times New Roman"/>
                <w:sz w:val="18"/>
                <w:szCs w:val="18"/>
                <w:lang w:val="en-US"/>
              </w:rPr>
              <w:lastRenderedPageBreak/>
              <w:t>energy‑demand cuts and major CO₂ reduction; optimal thickness ~6 cm; two PCM layers in double walls work best.</w:t>
            </w:r>
          </w:p>
        </w:tc>
      </w:tr>
      <w:tr w:rsidR="00422EEB" w:rsidRPr="00736B36" w14:paraId="17BF6200" w14:textId="77777777" w:rsidTr="00422EEB">
        <w:tc>
          <w:tcPr>
            <w:tcW w:w="2235" w:type="dxa"/>
            <w:vAlign w:val="center"/>
          </w:tcPr>
          <w:p w14:paraId="330ECC4B" w14:textId="77777777" w:rsidR="00422EEB" w:rsidRPr="00422EEB" w:rsidRDefault="00422EEB" w:rsidP="00422EEB">
            <w:pPr>
              <w:jc w:val="center"/>
              <w:rPr>
                <w:rFonts w:cs="Times New Roman"/>
                <w:sz w:val="18"/>
                <w:szCs w:val="18"/>
                <w:lang w:val="en-US"/>
              </w:rPr>
            </w:pPr>
            <w:r w:rsidRPr="00422EEB">
              <w:rPr>
                <w:rFonts w:cs="Times New Roman"/>
                <w:sz w:val="18"/>
                <w:szCs w:val="18"/>
                <w:lang w:val="en-US"/>
              </w:rPr>
              <w:lastRenderedPageBreak/>
              <w:t>Application research and effectiveness analysis of phase change materials in building envelope: A review</w:t>
            </w:r>
          </w:p>
        </w:tc>
        <w:tc>
          <w:tcPr>
            <w:tcW w:w="1134" w:type="dxa"/>
            <w:vAlign w:val="center"/>
          </w:tcPr>
          <w:p w14:paraId="59C0316F" w14:textId="77777777" w:rsidR="00422EEB" w:rsidRPr="00422EEB" w:rsidRDefault="00422EEB" w:rsidP="00422EEB">
            <w:pPr>
              <w:jc w:val="center"/>
              <w:rPr>
                <w:rFonts w:cs="Times New Roman"/>
                <w:sz w:val="18"/>
                <w:szCs w:val="18"/>
              </w:rPr>
            </w:pPr>
            <w:r w:rsidRPr="00422EEB">
              <w:rPr>
                <w:rFonts w:cs="Times New Roman"/>
                <w:sz w:val="18"/>
                <w:szCs w:val="18"/>
                <w:lang w:val="en-US"/>
              </w:rPr>
              <w:t xml:space="preserve">Zhao, S., Ming, T., Wu, Y., ... </w:t>
            </w:r>
            <w:r w:rsidRPr="00422EEB">
              <w:rPr>
                <w:rFonts w:cs="Times New Roman"/>
                <w:sz w:val="18"/>
                <w:szCs w:val="18"/>
              </w:rPr>
              <w:t>Chen, Y., Zhou, N.</w:t>
            </w:r>
          </w:p>
        </w:tc>
        <w:tc>
          <w:tcPr>
            <w:tcW w:w="1134" w:type="dxa"/>
            <w:vAlign w:val="center"/>
          </w:tcPr>
          <w:p w14:paraId="3D356782" w14:textId="77777777" w:rsidR="00422EEB" w:rsidRPr="00422EEB" w:rsidRDefault="00422EEB" w:rsidP="00422EEB">
            <w:pPr>
              <w:jc w:val="center"/>
              <w:rPr>
                <w:rFonts w:cs="Times New Roman"/>
                <w:sz w:val="18"/>
                <w:szCs w:val="18"/>
              </w:rPr>
            </w:pPr>
            <w:r w:rsidRPr="00422EEB">
              <w:rPr>
                <w:rFonts w:cs="Times New Roman"/>
                <w:sz w:val="18"/>
                <w:szCs w:val="18"/>
              </w:rPr>
              <w:t>Energy and Buildings, 324, 114923</w:t>
            </w:r>
          </w:p>
        </w:tc>
        <w:tc>
          <w:tcPr>
            <w:tcW w:w="850" w:type="dxa"/>
            <w:vAlign w:val="center"/>
          </w:tcPr>
          <w:p w14:paraId="44D0CD8D" w14:textId="77777777" w:rsidR="00422EEB" w:rsidRPr="00422EEB" w:rsidRDefault="00422EEB" w:rsidP="00422EEB">
            <w:pPr>
              <w:jc w:val="center"/>
              <w:rPr>
                <w:rFonts w:cs="Times New Roman"/>
                <w:sz w:val="18"/>
                <w:szCs w:val="18"/>
              </w:rPr>
            </w:pPr>
            <w:r w:rsidRPr="00422EEB">
              <w:rPr>
                <w:rFonts w:cs="Times New Roman"/>
                <w:sz w:val="18"/>
                <w:szCs w:val="18"/>
              </w:rPr>
              <w:t>2024</w:t>
            </w:r>
          </w:p>
        </w:tc>
        <w:tc>
          <w:tcPr>
            <w:tcW w:w="1134" w:type="dxa"/>
            <w:vAlign w:val="center"/>
          </w:tcPr>
          <w:p w14:paraId="196A8692" w14:textId="77777777" w:rsidR="00422EEB" w:rsidRPr="00422EEB" w:rsidRDefault="00422EEB" w:rsidP="00422EEB">
            <w:pPr>
              <w:jc w:val="center"/>
              <w:rPr>
                <w:rFonts w:cs="Times New Roman"/>
                <w:sz w:val="18"/>
                <w:szCs w:val="18"/>
              </w:rPr>
            </w:pPr>
            <w:r w:rsidRPr="00422EEB">
              <w:rPr>
                <w:rFonts w:cs="Times New Roman"/>
                <w:sz w:val="18"/>
                <w:szCs w:val="18"/>
              </w:rPr>
              <w:t>11</w:t>
            </w:r>
          </w:p>
        </w:tc>
        <w:tc>
          <w:tcPr>
            <w:tcW w:w="2369" w:type="dxa"/>
            <w:vAlign w:val="center"/>
          </w:tcPr>
          <w:p w14:paraId="2FF9A86E" w14:textId="3BE57C28" w:rsidR="00422EEB" w:rsidRPr="00422EEB" w:rsidRDefault="00422EEB" w:rsidP="003C1375">
            <w:pPr>
              <w:rPr>
                <w:rFonts w:cs="Times New Roman"/>
                <w:sz w:val="18"/>
                <w:szCs w:val="18"/>
                <w:lang w:val="en-US"/>
              </w:rPr>
            </w:pPr>
            <w:r w:rsidRPr="00422EEB">
              <w:rPr>
                <w:rFonts w:cs="Times New Roman"/>
                <w:sz w:val="18"/>
                <w:szCs w:val="18"/>
                <w:lang w:val="en-US"/>
              </w:rPr>
              <w:t>Comprehensive survey of wall/roof/floor/window integrations and composites; summarizes impacts on thermal comfort, energy, CO₂, and costs; outlines research needs.</w:t>
            </w:r>
          </w:p>
        </w:tc>
      </w:tr>
      <w:tr w:rsidR="00422EEB" w:rsidRPr="00736B36" w14:paraId="1B6D4F4F" w14:textId="77777777" w:rsidTr="00422EEB">
        <w:tc>
          <w:tcPr>
            <w:tcW w:w="2235" w:type="dxa"/>
            <w:vAlign w:val="center"/>
          </w:tcPr>
          <w:p w14:paraId="241F4BE7" w14:textId="77777777" w:rsidR="00422EEB" w:rsidRPr="00422EEB" w:rsidRDefault="00422EEB" w:rsidP="00422EEB">
            <w:pPr>
              <w:jc w:val="center"/>
              <w:rPr>
                <w:rFonts w:cs="Times New Roman"/>
                <w:b/>
                <w:bCs/>
                <w:sz w:val="18"/>
                <w:szCs w:val="18"/>
                <w:lang w:val="en-US"/>
              </w:rPr>
            </w:pPr>
            <w:r w:rsidRPr="00422EEB">
              <w:rPr>
                <w:rFonts w:cs="Times New Roman"/>
                <w:sz w:val="18"/>
                <w:szCs w:val="18"/>
                <w:lang w:val="en-US"/>
              </w:rPr>
              <w:t>Low-cost phase change material as an energy storage medium in building envelopes: Experimental and numerical analyses</w:t>
            </w:r>
          </w:p>
          <w:p w14:paraId="5FAFB5B5" w14:textId="77777777" w:rsidR="00422EEB" w:rsidRPr="00422EEB" w:rsidRDefault="00422EEB" w:rsidP="00422EEB">
            <w:pPr>
              <w:jc w:val="center"/>
              <w:rPr>
                <w:rFonts w:cs="Times New Roman"/>
                <w:sz w:val="18"/>
                <w:szCs w:val="18"/>
                <w:lang w:val="en-US"/>
              </w:rPr>
            </w:pPr>
          </w:p>
        </w:tc>
        <w:tc>
          <w:tcPr>
            <w:tcW w:w="1134" w:type="dxa"/>
            <w:vAlign w:val="center"/>
          </w:tcPr>
          <w:p w14:paraId="72DAC3F5" w14:textId="77777777" w:rsidR="00422EEB" w:rsidRPr="00422EEB" w:rsidRDefault="00422EEB" w:rsidP="00422EEB">
            <w:pPr>
              <w:jc w:val="center"/>
              <w:rPr>
                <w:rFonts w:cs="Times New Roman"/>
                <w:sz w:val="18"/>
                <w:szCs w:val="18"/>
              </w:rPr>
            </w:pPr>
            <w:r w:rsidRPr="00422EEB">
              <w:rPr>
                <w:rFonts w:cs="Times New Roman"/>
                <w:sz w:val="18"/>
                <w:szCs w:val="18"/>
              </w:rPr>
              <w:t>Biswas, K., Abhari, R.</w:t>
            </w:r>
          </w:p>
        </w:tc>
        <w:tc>
          <w:tcPr>
            <w:tcW w:w="1134" w:type="dxa"/>
            <w:vAlign w:val="center"/>
          </w:tcPr>
          <w:p w14:paraId="4D9C7AB9" w14:textId="77777777" w:rsidR="00422EEB" w:rsidRPr="00422EEB" w:rsidRDefault="00422EEB" w:rsidP="00422EEB">
            <w:pPr>
              <w:jc w:val="center"/>
              <w:rPr>
                <w:rFonts w:cs="Times New Roman"/>
                <w:sz w:val="18"/>
                <w:szCs w:val="18"/>
                <w:lang w:val="en-US"/>
              </w:rPr>
            </w:pPr>
            <w:r w:rsidRPr="00422EEB">
              <w:rPr>
                <w:rFonts w:cs="Times New Roman"/>
                <w:sz w:val="18"/>
                <w:szCs w:val="18"/>
                <w:lang w:val="en-US"/>
              </w:rPr>
              <w:t>Energy Conversion and Management, 88, pp. 1020–1031</w:t>
            </w:r>
          </w:p>
        </w:tc>
        <w:tc>
          <w:tcPr>
            <w:tcW w:w="850" w:type="dxa"/>
            <w:vAlign w:val="center"/>
          </w:tcPr>
          <w:p w14:paraId="071CFAA1" w14:textId="77777777" w:rsidR="00422EEB" w:rsidRPr="00422EEB" w:rsidRDefault="00422EEB" w:rsidP="00422EEB">
            <w:pPr>
              <w:jc w:val="center"/>
              <w:rPr>
                <w:rFonts w:cs="Times New Roman"/>
                <w:sz w:val="18"/>
                <w:szCs w:val="18"/>
              </w:rPr>
            </w:pPr>
            <w:r w:rsidRPr="00422EEB">
              <w:rPr>
                <w:rFonts w:cs="Times New Roman"/>
                <w:sz w:val="18"/>
                <w:szCs w:val="18"/>
              </w:rPr>
              <w:t>2014</w:t>
            </w:r>
          </w:p>
        </w:tc>
        <w:tc>
          <w:tcPr>
            <w:tcW w:w="1134" w:type="dxa"/>
            <w:vAlign w:val="center"/>
          </w:tcPr>
          <w:p w14:paraId="7DC7A9C8" w14:textId="77777777" w:rsidR="00422EEB" w:rsidRPr="00422EEB" w:rsidRDefault="00422EEB" w:rsidP="00422EEB">
            <w:pPr>
              <w:jc w:val="center"/>
              <w:rPr>
                <w:rFonts w:cs="Times New Roman"/>
                <w:sz w:val="18"/>
                <w:szCs w:val="18"/>
              </w:rPr>
            </w:pPr>
            <w:r w:rsidRPr="00422EEB">
              <w:rPr>
                <w:rFonts w:cs="Times New Roman"/>
                <w:sz w:val="18"/>
                <w:szCs w:val="18"/>
              </w:rPr>
              <w:t>105</w:t>
            </w:r>
          </w:p>
        </w:tc>
        <w:tc>
          <w:tcPr>
            <w:tcW w:w="2369" w:type="dxa"/>
            <w:vAlign w:val="center"/>
          </w:tcPr>
          <w:p w14:paraId="6FC95FCE" w14:textId="77777777" w:rsidR="00422EEB" w:rsidRPr="00422EEB" w:rsidRDefault="00422EEB" w:rsidP="003C1375">
            <w:pPr>
              <w:rPr>
                <w:rFonts w:cs="Times New Roman"/>
                <w:sz w:val="18"/>
                <w:szCs w:val="18"/>
                <w:lang w:val="en-US"/>
              </w:rPr>
            </w:pPr>
            <w:r w:rsidRPr="00422EEB">
              <w:rPr>
                <w:rFonts w:cs="Times New Roman"/>
                <w:sz w:val="18"/>
                <w:szCs w:val="18"/>
                <w:lang w:val="en-US"/>
              </w:rPr>
              <w:t>Fatty‑acid PCM in HDPE pellets blended with cellulose: experiments + annual simulations confirm lower envelope gains/losses and energy consumption.</w:t>
            </w:r>
          </w:p>
        </w:tc>
      </w:tr>
      <w:tr w:rsidR="00422EEB" w:rsidRPr="00736B36" w14:paraId="445F202E" w14:textId="77777777" w:rsidTr="00422EEB">
        <w:tc>
          <w:tcPr>
            <w:tcW w:w="2235" w:type="dxa"/>
            <w:vAlign w:val="center"/>
          </w:tcPr>
          <w:p w14:paraId="4B884BB6" w14:textId="77777777" w:rsidR="00422EEB" w:rsidRPr="00422EEB" w:rsidRDefault="00422EEB" w:rsidP="00422EEB">
            <w:pPr>
              <w:jc w:val="center"/>
              <w:rPr>
                <w:rFonts w:cs="Times New Roman"/>
                <w:sz w:val="18"/>
                <w:szCs w:val="18"/>
                <w:lang w:val="en-US"/>
              </w:rPr>
            </w:pPr>
            <w:r w:rsidRPr="00422EEB">
              <w:rPr>
                <w:rFonts w:cs="Times New Roman"/>
                <w:sz w:val="18"/>
                <w:szCs w:val="18"/>
                <w:lang w:val="en-US"/>
              </w:rPr>
              <w:t>Potential evaluation of energy flexibility and energy-saving of PCM-integrated office building walls</w:t>
            </w:r>
          </w:p>
        </w:tc>
        <w:tc>
          <w:tcPr>
            <w:tcW w:w="1134" w:type="dxa"/>
            <w:vAlign w:val="center"/>
          </w:tcPr>
          <w:p w14:paraId="46CD5FEE" w14:textId="77777777" w:rsidR="00422EEB" w:rsidRPr="00422EEB" w:rsidRDefault="00422EEB" w:rsidP="00422EEB">
            <w:pPr>
              <w:jc w:val="center"/>
              <w:rPr>
                <w:rFonts w:cs="Times New Roman"/>
                <w:sz w:val="18"/>
                <w:szCs w:val="18"/>
              </w:rPr>
            </w:pPr>
            <w:r w:rsidRPr="00422EEB">
              <w:rPr>
                <w:rFonts w:cs="Times New Roman"/>
                <w:sz w:val="18"/>
                <w:szCs w:val="18"/>
                <w:lang w:val="en-US"/>
              </w:rPr>
              <w:t xml:space="preserve">Dong, Y., Zhang, L., Wang, P., ... </w:t>
            </w:r>
            <w:r w:rsidRPr="00422EEB">
              <w:rPr>
                <w:rFonts w:cs="Times New Roman"/>
                <w:sz w:val="18"/>
                <w:szCs w:val="18"/>
              </w:rPr>
              <w:t>Liao, H., Jiang, X.</w:t>
            </w:r>
          </w:p>
        </w:tc>
        <w:tc>
          <w:tcPr>
            <w:tcW w:w="1134" w:type="dxa"/>
            <w:vAlign w:val="center"/>
          </w:tcPr>
          <w:p w14:paraId="4FE60CFE" w14:textId="77777777" w:rsidR="00422EEB" w:rsidRPr="00422EEB" w:rsidRDefault="00422EEB" w:rsidP="00422EEB">
            <w:pPr>
              <w:jc w:val="center"/>
              <w:rPr>
                <w:rFonts w:cs="Times New Roman"/>
                <w:sz w:val="18"/>
                <w:szCs w:val="18"/>
              </w:rPr>
            </w:pPr>
            <w:r w:rsidRPr="00422EEB">
              <w:rPr>
                <w:rFonts w:cs="Times New Roman"/>
                <w:sz w:val="18"/>
                <w:szCs w:val="18"/>
              </w:rPr>
              <w:t>Journal of Building Engineering, 79, 107857</w:t>
            </w:r>
          </w:p>
        </w:tc>
        <w:tc>
          <w:tcPr>
            <w:tcW w:w="850" w:type="dxa"/>
            <w:vAlign w:val="center"/>
          </w:tcPr>
          <w:p w14:paraId="478D5CD1" w14:textId="77777777" w:rsidR="00422EEB" w:rsidRPr="00422EEB" w:rsidRDefault="00422EEB" w:rsidP="00422EEB">
            <w:pPr>
              <w:jc w:val="center"/>
              <w:rPr>
                <w:rFonts w:cs="Times New Roman"/>
                <w:sz w:val="18"/>
                <w:szCs w:val="18"/>
              </w:rPr>
            </w:pPr>
            <w:r w:rsidRPr="00422EEB">
              <w:rPr>
                <w:rFonts w:cs="Times New Roman"/>
                <w:sz w:val="18"/>
                <w:szCs w:val="18"/>
              </w:rPr>
              <w:t>2023</w:t>
            </w:r>
          </w:p>
        </w:tc>
        <w:tc>
          <w:tcPr>
            <w:tcW w:w="1134" w:type="dxa"/>
            <w:vAlign w:val="center"/>
          </w:tcPr>
          <w:p w14:paraId="152E9106" w14:textId="77777777" w:rsidR="00422EEB" w:rsidRPr="00422EEB" w:rsidRDefault="00422EEB" w:rsidP="00422EEB">
            <w:pPr>
              <w:jc w:val="center"/>
              <w:rPr>
                <w:rFonts w:cs="Times New Roman"/>
                <w:sz w:val="18"/>
                <w:szCs w:val="18"/>
              </w:rPr>
            </w:pPr>
            <w:r w:rsidRPr="00422EEB">
              <w:rPr>
                <w:rFonts w:cs="Times New Roman"/>
                <w:sz w:val="18"/>
                <w:szCs w:val="18"/>
              </w:rPr>
              <w:t>21</w:t>
            </w:r>
          </w:p>
        </w:tc>
        <w:tc>
          <w:tcPr>
            <w:tcW w:w="2369" w:type="dxa"/>
            <w:vAlign w:val="center"/>
          </w:tcPr>
          <w:p w14:paraId="27F02F9B" w14:textId="40324A8A" w:rsidR="00422EEB" w:rsidRPr="00422EEB" w:rsidRDefault="00422EEB" w:rsidP="003C1375">
            <w:pPr>
              <w:rPr>
                <w:rFonts w:cs="Times New Roman"/>
                <w:sz w:val="18"/>
                <w:szCs w:val="18"/>
                <w:lang w:val="en-US"/>
              </w:rPr>
            </w:pPr>
            <w:r w:rsidRPr="00422EEB">
              <w:rPr>
                <w:rFonts w:cs="Times New Roman"/>
                <w:sz w:val="18"/>
                <w:szCs w:val="18"/>
                <w:lang w:val="en-US"/>
              </w:rPr>
              <w:t xml:space="preserve">Validated model: optimized precooling + time‑of‑use tariffs </w:t>
            </w:r>
            <w:r w:rsidRPr="00422EEB">
              <w:rPr>
                <w:rFonts w:ascii="Times New Roman" w:hAnsi="Times New Roman" w:cs="Times New Roman"/>
                <w:sz w:val="18"/>
                <w:szCs w:val="18"/>
                <w:lang w:val="en-US"/>
              </w:rPr>
              <w:t>→</w:t>
            </w:r>
            <w:r w:rsidRPr="00422EEB">
              <w:rPr>
                <w:rFonts w:cs="Times New Roman"/>
                <w:sz w:val="18"/>
                <w:szCs w:val="18"/>
                <w:lang w:val="en-US"/>
              </w:rPr>
              <w:t xml:space="preserve"> flexibility index 69.7%, total load </w:t>
            </w:r>
            <w:r w:rsidRPr="00422EEB">
              <w:rPr>
                <w:rFonts w:cs="Palatino Linotype"/>
                <w:sz w:val="18"/>
                <w:szCs w:val="18"/>
                <w:lang w:val="en-US"/>
              </w:rPr>
              <w:t>−</w:t>
            </w:r>
            <w:r w:rsidRPr="00422EEB">
              <w:rPr>
                <w:rFonts w:cs="Times New Roman"/>
                <w:sz w:val="18"/>
                <w:szCs w:val="18"/>
                <w:lang w:val="en-US"/>
              </w:rPr>
              <w:t xml:space="preserve">1.3%, electricity cost </w:t>
            </w:r>
            <w:r w:rsidRPr="00422EEB">
              <w:rPr>
                <w:rFonts w:cs="Palatino Linotype"/>
                <w:sz w:val="18"/>
                <w:szCs w:val="18"/>
                <w:lang w:val="en-US"/>
              </w:rPr>
              <w:t>−</w:t>
            </w:r>
            <w:r w:rsidRPr="00422EEB">
              <w:rPr>
                <w:rFonts w:cs="Times New Roman"/>
                <w:sz w:val="18"/>
                <w:szCs w:val="18"/>
                <w:lang w:val="en-US"/>
              </w:rPr>
              <w:t>51%; PCM location and Tm dominate.</w:t>
            </w:r>
          </w:p>
        </w:tc>
      </w:tr>
      <w:tr w:rsidR="00422EEB" w:rsidRPr="00736B36" w14:paraId="1360F821" w14:textId="77777777" w:rsidTr="00422EEB">
        <w:tc>
          <w:tcPr>
            <w:tcW w:w="2235" w:type="dxa"/>
            <w:vAlign w:val="center"/>
          </w:tcPr>
          <w:p w14:paraId="10625A82" w14:textId="77777777" w:rsidR="00422EEB" w:rsidRPr="00422EEB" w:rsidRDefault="00422EEB" w:rsidP="00422EEB">
            <w:pPr>
              <w:jc w:val="center"/>
              <w:rPr>
                <w:rFonts w:cs="Times New Roman"/>
                <w:sz w:val="18"/>
                <w:szCs w:val="18"/>
                <w:lang w:val="en-US"/>
              </w:rPr>
            </w:pPr>
            <w:r w:rsidRPr="00422EEB">
              <w:rPr>
                <w:rFonts w:cs="Times New Roman"/>
                <w:sz w:val="18"/>
                <w:szCs w:val="18"/>
                <w:lang w:val="en-US"/>
              </w:rPr>
              <w:t>Thermal performance and energy saving using phase change materials (PCM) integrated in building walls</w:t>
            </w:r>
          </w:p>
        </w:tc>
        <w:tc>
          <w:tcPr>
            <w:tcW w:w="1134" w:type="dxa"/>
            <w:vAlign w:val="center"/>
          </w:tcPr>
          <w:p w14:paraId="2836DFE1" w14:textId="77777777" w:rsidR="00422EEB" w:rsidRPr="00F43E9A" w:rsidRDefault="00422EEB" w:rsidP="00422EEB">
            <w:pPr>
              <w:jc w:val="center"/>
              <w:rPr>
                <w:rFonts w:cs="Times New Roman"/>
                <w:sz w:val="18"/>
                <w:szCs w:val="18"/>
                <w:lang w:val="en-US"/>
              </w:rPr>
            </w:pPr>
            <w:r w:rsidRPr="00F43E9A">
              <w:rPr>
                <w:rFonts w:cs="Times New Roman"/>
                <w:sz w:val="18"/>
                <w:szCs w:val="18"/>
                <w:lang w:val="en-US"/>
              </w:rPr>
              <w:t>Anter, A.G., Sultan, A.A., Hegazi, A.A., El Bouz, M.A.</w:t>
            </w:r>
          </w:p>
        </w:tc>
        <w:tc>
          <w:tcPr>
            <w:tcW w:w="1134" w:type="dxa"/>
            <w:vAlign w:val="center"/>
          </w:tcPr>
          <w:p w14:paraId="5C378C7C" w14:textId="77777777" w:rsidR="00422EEB" w:rsidRPr="00422EEB" w:rsidRDefault="00422EEB" w:rsidP="00422EEB">
            <w:pPr>
              <w:jc w:val="center"/>
              <w:rPr>
                <w:rFonts w:cs="Times New Roman"/>
                <w:sz w:val="18"/>
                <w:szCs w:val="18"/>
              </w:rPr>
            </w:pPr>
            <w:r w:rsidRPr="00422EEB">
              <w:rPr>
                <w:rFonts w:cs="Times New Roman"/>
                <w:sz w:val="18"/>
                <w:szCs w:val="18"/>
              </w:rPr>
              <w:t>Journal of Energy Storage, 67, 107568</w:t>
            </w:r>
          </w:p>
        </w:tc>
        <w:tc>
          <w:tcPr>
            <w:tcW w:w="850" w:type="dxa"/>
            <w:vAlign w:val="center"/>
          </w:tcPr>
          <w:p w14:paraId="5A155167" w14:textId="77777777" w:rsidR="00422EEB" w:rsidRPr="00422EEB" w:rsidRDefault="00422EEB" w:rsidP="00422EEB">
            <w:pPr>
              <w:jc w:val="center"/>
              <w:rPr>
                <w:rFonts w:cs="Times New Roman"/>
                <w:sz w:val="18"/>
                <w:szCs w:val="18"/>
              </w:rPr>
            </w:pPr>
            <w:r w:rsidRPr="00422EEB">
              <w:rPr>
                <w:rFonts w:cs="Times New Roman"/>
                <w:sz w:val="18"/>
                <w:szCs w:val="18"/>
              </w:rPr>
              <w:t>2023</w:t>
            </w:r>
          </w:p>
        </w:tc>
        <w:tc>
          <w:tcPr>
            <w:tcW w:w="1134" w:type="dxa"/>
            <w:vAlign w:val="center"/>
          </w:tcPr>
          <w:p w14:paraId="7EE0CCE2" w14:textId="77777777" w:rsidR="00422EEB" w:rsidRPr="00422EEB" w:rsidRDefault="00422EEB" w:rsidP="00422EEB">
            <w:pPr>
              <w:jc w:val="center"/>
              <w:rPr>
                <w:rFonts w:cs="Times New Roman"/>
                <w:sz w:val="18"/>
                <w:szCs w:val="18"/>
              </w:rPr>
            </w:pPr>
            <w:r w:rsidRPr="00422EEB">
              <w:rPr>
                <w:rFonts w:cs="Times New Roman"/>
                <w:sz w:val="18"/>
                <w:szCs w:val="18"/>
              </w:rPr>
              <w:t>108</w:t>
            </w:r>
          </w:p>
        </w:tc>
        <w:tc>
          <w:tcPr>
            <w:tcW w:w="2369" w:type="dxa"/>
            <w:vAlign w:val="center"/>
          </w:tcPr>
          <w:p w14:paraId="37214BAD" w14:textId="6E2BBBC0" w:rsidR="00422EEB" w:rsidRPr="00422EEB" w:rsidRDefault="00422EEB" w:rsidP="003C1375">
            <w:pPr>
              <w:rPr>
                <w:rFonts w:cs="Times New Roman"/>
                <w:sz w:val="18"/>
                <w:szCs w:val="18"/>
                <w:lang w:val="en-US"/>
              </w:rPr>
            </w:pPr>
            <w:r w:rsidRPr="00422EEB">
              <w:rPr>
                <w:rFonts w:cs="Times New Roman"/>
                <w:sz w:val="18"/>
                <w:szCs w:val="18"/>
                <w:lang w:val="en-US"/>
              </w:rPr>
              <w:t>Various PCMs, thicknesses (1–8 cm), positions: RT‑35HC best; optimal 1.5 cm from inner/outer faces; inner wall temperature 27.7 °C with PCM vs 31.1 °C without; summer energy gain −66%.</w:t>
            </w:r>
          </w:p>
        </w:tc>
      </w:tr>
      <w:tr w:rsidR="00422EEB" w:rsidRPr="00736B36" w14:paraId="0B5D5EB5" w14:textId="77777777" w:rsidTr="00422EEB">
        <w:tc>
          <w:tcPr>
            <w:tcW w:w="2235" w:type="dxa"/>
            <w:vAlign w:val="center"/>
          </w:tcPr>
          <w:p w14:paraId="0A1BBA05" w14:textId="77777777" w:rsidR="00422EEB" w:rsidRPr="00422EEB" w:rsidRDefault="00422EEB" w:rsidP="00422EEB">
            <w:pPr>
              <w:jc w:val="center"/>
              <w:rPr>
                <w:rFonts w:cs="Times New Roman"/>
                <w:sz w:val="18"/>
                <w:szCs w:val="18"/>
                <w:lang w:val="en-US"/>
              </w:rPr>
            </w:pPr>
            <w:r w:rsidRPr="00422EEB">
              <w:rPr>
                <w:rFonts w:cs="Times New Roman"/>
                <w:sz w:val="18"/>
                <w:szCs w:val="18"/>
                <w:lang w:val="en-US"/>
              </w:rPr>
              <w:t>A numerical study of building integrated with CaCl2·6H2O/expanded graphite composite phase change material</w:t>
            </w:r>
          </w:p>
        </w:tc>
        <w:tc>
          <w:tcPr>
            <w:tcW w:w="1134" w:type="dxa"/>
            <w:vAlign w:val="center"/>
          </w:tcPr>
          <w:p w14:paraId="64BC15D9" w14:textId="77777777" w:rsidR="00422EEB" w:rsidRPr="00422EEB" w:rsidRDefault="00422EEB" w:rsidP="00422EEB">
            <w:pPr>
              <w:jc w:val="center"/>
              <w:rPr>
                <w:rFonts w:cs="Times New Roman"/>
                <w:sz w:val="18"/>
                <w:szCs w:val="18"/>
                <w:lang w:val="nb-NO"/>
              </w:rPr>
            </w:pPr>
            <w:r w:rsidRPr="00422EEB">
              <w:rPr>
                <w:rFonts w:cs="Times New Roman"/>
                <w:sz w:val="18"/>
                <w:szCs w:val="18"/>
                <w:lang w:val="nb-NO"/>
              </w:rPr>
              <w:t>Ye, R., Lin, W., Fang, X., Zhang, Z.</w:t>
            </w:r>
          </w:p>
        </w:tc>
        <w:tc>
          <w:tcPr>
            <w:tcW w:w="1134" w:type="dxa"/>
            <w:vAlign w:val="center"/>
          </w:tcPr>
          <w:p w14:paraId="1E9F2357" w14:textId="77777777" w:rsidR="00422EEB" w:rsidRPr="00422EEB" w:rsidRDefault="00422EEB" w:rsidP="00422EEB">
            <w:pPr>
              <w:jc w:val="center"/>
              <w:rPr>
                <w:rFonts w:cs="Times New Roman"/>
                <w:sz w:val="18"/>
                <w:szCs w:val="18"/>
              </w:rPr>
            </w:pPr>
            <w:r w:rsidRPr="00422EEB">
              <w:rPr>
                <w:rFonts w:cs="Times New Roman"/>
                <w:sz w:val="18"/>
                <w:szCs w:val="18"/>
              </w:rPr>
              <w:t>Applied Thermal Engineering, 126, pp. 480–488</w:t>
            </w:r>
          </w:p>
        </w:tc>
        <w:tc>
          <w:tcPr>
            <w:tcW w:w="850" w:type="dxa"/>
            <w:vAlign w:val="center"/>
          </w:tcPr>
          <w:p w14:paraId="5A1B7D99" w14:textId="77777777" w:rsidR="00422EEB" w:rsidRPr="00422EEB" w:rsidRDefault="00422EEB" w:rsidP="00422EEB">
            <w:pPr>
              <w:jc w:val="center"/>
              <w:rPr>
                <w:rFonts w:cs="Times New Roman"/>
                <w:sz w:val="18"/>
                <w:szCs w:val="18"/>
              </w:rPr>
            </w:pPr>
            <w:r w:rsidRPr="00422EEB">
              <w:rPr>
                <w:rFonts w:cs="Times New Roman"/>
                <w:sz w:val="18"/>
                <w:szCs w:val="18"/>
              </w:rPr>
              <w:t>2017</w:t>
            </w:r>
          </w:p>
        </w:tc>
        <w:tc>
          <w:tcPr>
            <w:tcW w:w="1134" w:type="dxa"/>
            <w:vAlign w:val="center"/>
          </w:tcPr>
          <w:p w14:paraId="6BAE2AE0" w14:textId="77777777" w:rsidR="00422EEB" w:rsidRPr="00422EEB" w:rsidRDefault="00422EEB" w:rsidP="00422EEB">
            <w:pPr>
              <w:jc w:val="center"/>
              <w:rPr>
                <w:rFonts w:cs="Times New Roman"/>
                <w:sz w:val="18"/>
                <w:szCs w:val="18"/>
              </w:rPr>
            </w:pPr>
            <w:r w:rsidRPr="00422EEB">
              <w:rPr>
                <w:rFonts w:cs="Times New Roman"/>
                <w:sz w:val="18"/>
                <w:szCs w:val="18"/>
              </w:rPr>
              <w:t>56</w:t>
            </w:r>
          </w:p>
        </w:tc>
        <w:tc>
          <w:tcPr>
            <w:tcW w:w="2369" w:type="dxa"/>
            <w:vAlign w:val="center"/>
          </w:tcPr>
          <w:p w14:paraId="5791B1C3" w14:textId="220846D4" w:rsidR="00422EEB" w:rsidRPr="00422EEB" w:rsidRDefault="00422EEB" w:rsidP="003C1375">
            <w:pPr>
              <w:rPr>
                <w:rFonts w:cs="Times New Roman"/>
                <w:sz w:val="18"/>
                <w:szCs w:val="18"/>
                <w:lang w:val="en-US"/>
              </w:rPr>
            </w:pPr>
            <w:r w:rsidRPr="00422EEB">
              <w:rPr>
                <w:rFonts w:cs="Times New Roman"/>
                <w:sz w:val="18"/>
                <w:szCs w:val="18"/>
                <w:lang w:val="en-US"/>
              </w:rPr>
              <w:t>Simulations/validation: PCM density/k minor; panel thickness, orientation, climate, construction matter—guidelines provided.</w:t>
            </w:r>
          </w:p>
        </w:tc>
      </w:tr>
      <w:tr w:rsidR="00422EEB" w:rsidRPr="00736B36" w14:paraId="7545157B" w14:textId="77777777" w:rsidTr="00422EEB">
        <w:tc>
          <w:tcPr>
            <w:tcW w:w="2235" w:type="dxa"/>
            <w:vAlign w:val="center"/>
          </w:tcPr>
          <w:p w14:paraId="18070991" w14:textId="77777777" w:rsidR="00422EEB" w:rsidRPr="00422EEB" w:rsidRDefault="00422EEB" w:rsidP="00422EEB">
            <w:pPr>
              <w:jc w:val="center"/>
              <w:rPr>
                <w:rFonts w:cs="Times New Roman"/>
                <w:sz w:val="18"/>
                <w:szCs w:val="18"/>
                <w:lang w:val="en-US"/>
              </w:rPr>
            </w:pPr>
            <w:r w:rsidRPr="00422EEB">
              <w:rPr>
                <w:rFonts w:cs="Times New Roman"/>
                <w:sz w:val="18"/>
                <w:szCs w:val="18"/>
                <w:lang w:val="en-US"/>
              </w:rPr>
              <w:t>Multi-factor analysis on thermal comfort and energy saving potential for PCM-integrated buildings in summer</w:t>
            </w:r>
          </w:p>
        </w:tc>
        <w:tc>
          <w:tcPr>
            <w:tcW w:w="1134" w:type="dxa"/>
            <w:vAlign w:val="center"/>
          </w:tcPr>
          <w:p w14:paraId="6106C1E9" w14:textId="77777777" w:rsidR="00422EEB" w:rsidRPr="00422EEB" w:rsidRDefault="00422EEB" w:rsidP="00422EEB">
            <w:pPr>
              <w:jc w:val="center"/>
              <w:rPr>
                <w:rFonts w:cs="Times New Roman"/>
                <w:sz w:val="18"/>
                <w:szCs w:val="18"/>
              </w:rPr>
            </w:pPr>
            <w:r w:rsidRPr="00422EEB">
              <w:rPr>
                <w:rFonts w:cs="Times New Roman"/>
                <w:sz w:val="18"/>
                <w:szCs w:val="18"/>
              </w:rPr>
              <w:t>Qu, Y., Zhou, D., Xue, F., Cui, L.</w:t>
            </w:r>
          </w:p>
        </w:tc>
        <w:tc>
          <w:tcPr>
            <w:tcW w:w="1134" w:type="dxa"/>
            <w:vAlign w:val="center"/>
          </w:tcPr>
          <w:p w14:paraId="5B49F75C" w14:textId="77777777" w:rsidR="00422EEB" w:rsidRPr="00422EEB" w:rsidRDefault="00422EEB" w:rsidP="00422EEB">
            <w:pPr>
              <w:jc w:val="center"/>
              <w:rPr>
                <w:rFonts w:cs="Times New Roman"/>
                <w:sz w:val="18"/>
                <w:szCs w:val="18"/>
              </w:rPr>
            </w:pPr>
            <w:r w:rsidRPr="00422EEB">
              <w:rPr>
                <w:rFonts w:cs="Times New Roman"/>
                <w:sz w:val="18"/>
                <w:szCs w:val="18"/>
              </w:rPr>
              <w:t>Energy and Buildings, 241, 110966</w:t>
            </w:r>
          </w:p>
        </w:tc>
        <w:tc>
          <w:tcPr>
            <w:tcW w:w="850" w:type="dxa"/>
            <w:vAlign w:val="center"/>
          </w:tcPr>
          <w:p w14:paraId="3FA37DF5" w14:textId="77777777" w:rsidR="00422EEB" w:rsidRPr="00422EEB" w:rsidRDefault="00422EEB" w:rsidP="00422EEB">
            <w:pPr>
              <w:jc w:val="center"/>
              <w:rPr>
                <w:rFonts w:cs="Times New Roman"/>
                <w:sz w:val="18"/>
                <w:szCs w:val="18"/>
              </w:rPr>
            </w:pPr>
            <w:r w:rsidRPr="00422EEB">
              <w:rPr>
                <w:rFonts w:cs="Times New Roman"/>
                <w:sz w:val="18"/>
                <w:szCs w:val="18"/>
              </w:rPr>
              <w:t>2021</w:t>
            </w:r>
          </w:p>
        </w:tc>
        <w:tc>
          <w:tcPr>
            <w:tcW w:w="1134" w:type="dxa"/>
            <w:vAlign w:val="center"/>
          </w:tcPr>
          <w:p w14:paraId="7E23EB4E" w14:textId="77777777" w:rsidR="00422EEB" w:rsidRPr="00422EEB" w:rsidRDefault="00422EEB" w:rsidP="00422EEB">
            <w:pPr>
              <w:jc w:val="center"/>
              <w:rPr>
                <w:rFonts w:cs="Times New Roman"/>
                <w:sz w:val="18"/>
                <w:szCs w:val="18"/>
              </w:rPr>
            </w:pPr>
            <w:r w:rsidRPr="00422EEB">
              <w:rPr>
                <w:rFonts w:cs="Times New Roman"/>
                <w:sz w:val="18"/>
                <w:szCs w:val="18"/>
              </w:rPr>
              <w:t>101</w:t>
            </w:r>
          </w:p>
        </w:tc>
        <w:tc>
          <w:tcPr>
            <w:tcW w:w="2369" w:type="dxa"/>
            <w:vAlign w:val="center"/>
          </w:tcPr>
          <w:p w14:paraId="7E53F0AD" w14:textId="523F1582" w:rsidR="00422EEB" w:rsidRPr="00422EEB" w:rsidRDefault="00422EEB" w:rsidP="003C1375">
            <w:pPr>
              <w:rPr>
                <w:rFonts w:cs="Times New Roman"/>
                <w:sz w:val="18"/>
                <w:szCs w:val="18"/>
                <w:lang w:val="en-US"/>
              </w:rPr>
            </w:pPr>
            <w:r w:rsidRPr="00422EEB">
              <w:rPr>
                <w:rFonts w:cs="Times New Roman"/>
                <w:sz w:val="18"/>
                <w:szCs w:val="18"/>
                <w:lang w:val="en-US"/>
              </w:rPr>
              <w:t xml:space="preserve">Influence ranking: envelope type &gt; PCM layer layout &gt; PCM type &gt; PCM thickness. Best: BioPCM™ 23, 7 cm on </w:t>
            </w:r>
            <w:r w:rsidR="003C1375">
              <w:rPr>
                <w:rFonts w:cs="Times New Roman"/>
                <w:sz w:val="18"/>
                <w:szCs w:val="18"/>
                <w:lang w:val="en-US"/>
              </w:rPr>
              <w:t xml:space="preserve">the </w:t>
            </w:r>
            <w:r w:rsidRPr="00422EEB">
              <w:rPr>
                <w:rFonts w:cs="Times New Roman"/>
                <w:sz w:val="18"/>
                <w:szCs w:val="18"/>
                <w:lang w:val="en-US"/>
              </w:rPr>
              <w:t>inner side of walls/roof; savings 4.8–34.8% by climate.</w:t>
            </w:r>
          </w:p>
        </w:tc>
      </w:tr>
      <w:tr w:rsidR="00422EEB" w:rsidRPr="00736B36" w14:paraId="1013F3D4" w14:textId="77777777" w:rsidTr="00422EEB">
        <w:tc>
          <w:tcPr>
            <w:tcW w:w="2235" w:type="dxa"/>
            <w:vAlign w:val="center"/>
          </w:tcPr>
          <w:p w14:paraId="7655FA9A" w14:textId="77777777" w:rsidR="00422EEB" w:rsidRPr="00422EEB" w:rsidRDefault="00422EEB" w:rsidP="00422EEB">
            <w:pPr>
              <w:jc w:val="center"/>
              <w:rPr>
                <w:rFonts w:cs="Times New Roman"/>
                <w:sz w:val="18"/>
                <w:szCs w:val="18"/>
                <w:lang w:val="en-US"/>
              </w:rPr>
            </w:pPr>
            <w:r w:rsidRPr="00422EEB">
              <w:rPr>
                <w:rFonts w:cs="Times New Roman"/>
                <w:sz w:val="18"/>
                <w:szCs w:val="18"/>
                <w:lang w:val="en-US"/>
              </w:rPr>
              <w:lastRenderedPageBreak/>
              <w:t>Experimental investigation of phase change materials for insulation of residential buildings</w:t>
            </w:r>
          </w:p>
        </w:tc>
        <w:tc>
          <w:tcPr>
            <w:tcW w:w="1134" w:type="dxa"/>
            <w:vAlign w:val="center"/>
          </w:tcPr>
          <w:p w14:paraId="5B7BEDF0" w14:textId="77777777" w:rsidR="00422EEB" w:rsidRPr="00422EEB" w:rsidRDefault="00422EEB" w:rsidP="00422EEB">
            <w:pPr>
              <w:jc w:val="center"/>
              <w:rPr>
                <w:rFonts w:cs="Times New Roman"/>
                <w:sz w:val="18"/>
                <w:szCs w:val="18"/>
                <w:lang w:val="en-US"/>
              </w:rPr>
            </w:pPr>
            <w:r w:rsidRPr="00422EEB">
              <w:rPr>
                <w:rFonts w:cs="Times New Roman"/>
                <w:sz w:val="18"/>
                <w:szCs w:val="18"/>
                <w:lang w:val="en-US"/>
              </w:rPr>
              <w:t>Hasan, M.I., Basher, H.O., Shdhan, A.O.</w:t>
            </w:r>
          </w:p>
        </w:tc>
        <w:tc>
          <w:tcPr>
            <w:tcW w:w="1134" w:type="dxa"/>
            <w:vAlign w:val="center"/>
          </w:tcPr>
          <w:p w14:paraId="3C64041A" w14:textId="77777777" w:rsidR="00422EEB" w:rsidRPr="00422EEB" w:rsidRDefault="00422EEB" w:rsidP="00422EEB">
            <w:pPr>
              <w:jc w:val="center"/>
              <w:rPr>
                <w:rFonts w:cs="Times New Roman"/>
                <w:sz w:val="18"/>
                <w:szCs w:val="18"/>
                <w:lang w:val="en-US"/>
              </w:rPr>
            </w:pPr>
            <w:r w:rsidRPr="00422EEB">
              <w:rPr>
                <w:rFonts w:cs="Times New Roman"/>
                <w:sz w:val="18"/>
                <w:szCs w:val="18"/>
                <w:lang w:val="en-US"/>
              </w:rPr>
              <w:t>Sustainable Cities and Society, 36, pp. 42–58</w:t>
            </w:r>
          </w:p>
        </w:tc>
        <w:tc>
          <w:tcPr>
            <w:tcW w:w="850" w:type="dxa"/>
            <w:vAlign w:val="center"/>
          </w:tcPr>
          <w:p w14:paraId="63FE3335" w14:textId="77777777" w:rsidR="00422EEB" w:rsidRPr="00422EEB" w:rsidRDefault="00422EEB" w:rsidP="00422EEB">
            <w:pPr>
              <w:jc w:val="center"/>
              <w:rPr>
                <w:rFonts w:cs="Times New Roman"/>
                <w:sz w:val="18"/>
                <w:szCs w:val="18"/>
              </w:rPr>
            </w:pPr>
            <w:r w:rsidRPr="00422EEB">
              <w:rPr>
                <w:rFonts w:cs="Times New Roman"/>
                <w:sz w:val="18"/>
                <w:szCs w:val="18"/>
              </w:rPr>
              <w:t>2018</w:t>
            </w:r>
          </w:p>
        </w:tc>
        <w:tc>
          <w:tcPr>
            <w:tcW w:w="1134" w:type="dxa"/>
            <w:vAlign w:val="center"/>
          </w:tcPr>
          <w:p w14:paraId="29FF6953" w14:textId="77777777" w:rsidR="00422EEB" w:rsidRPr="00422EEB" w:rsidRDefault="00422EEB" w:rsidP="00422EEB">
            <w:pPr>
              <w:jc w:val="center"/>
              <w:rPr>
                <w:rFonts w:cs="Times New Roman"/>
                <w:sz w:val="18"/>
                <w:szCs w:val="18"/>
              </w:rPr>
            </w:pPr>
            <w:r w:rsidRPr="00422EEB">
              <w:rPr>
                <w:rFonts w:cs="Times New Roman"/>
                <w:sz w:val="18"/>
                <w:szCs w:val="18"/>
              </w:rPr>
              <w:t>147</w:t>
            </w:r>
          </w:p>
        </w:tc>
        <w:tc>
          <w:tcPr>
            <w:tcW w:w="2369" w:type="dxa"/>
            <w:vAlign w:val="center"/>
          </w:tcPr>
          <w:p w14:paraId="46784C4D" w14:textId="537B6C57" w:rsidR="00422EEB" w:rsidRPr="00422EEB" w:rsidRDefault="00422EEB" w:rsidP="003C1375">
            <w:pPr>
              <w:keepNext/>
              <w:rPr>
                <w:rFonts w:cs="Times New Roman"/>
                <w:sz w:val="18"/>
                <w:szCs w:val="18"/>
                <w:lang w:val="en-US"/>
              </w:rPr>
            </w:pPr>
            <w:r w:rsidRPr="00422EEB">
              <w:rPr>
                <w:rFonts w:cs="Times New Roman"/>
                <w:sz w:val="18"/>
                <w:szCs w:val="18"/>
                <w:lang w:val="en-US"/>
              </w:rPr>
              <w:t xml:space="preserve">Twin rooms with PCM in walls/ceiling show lower indoor temperatures and cooling loads, saving electricity; </w:t>
            </w:r>
            <w:r w:rsidR="003C1375">
              <w:rPr>
                <w:rFonts w:cs="Times New Roman"/>
                <w:sz w:val="18"/>
                <w:szCs w:val="18"/>
                <w:lang w:val="en-US"/>
              </w:rPr>
              <w:t xml:space="preserve">the </w:t>
            </w:r>
            <w:r w:rsidRPr="00422EEB">
              <w:rPr>
                <w:rFonts w:cs="Times New Roman"/>
                <w:sz w:val="18"/>
                <w:szCs w:val="18"/>
                <w:lang w:val="en-US"/>
              </w:rPr>
              <w:t>effect depends on thickness and orientation.</w:t>
            </w:r>
          </w:p>
        </w:tc>
      </w:tr>
    </w:tbl>
    <w:p w14:paraId="5EBD2C32" w14:textId="7AEA5CDC" w:rsidR="00422EEB" w:rsidRDefault="00422EEB" w:rsidP="00422EEB">
      <w:pPr>
        <w:pStyle w:val="Caption"/>
        <w:rPr>
          <w:rFonts w:cs="Times New Roman"/>
        </w:rPr>
      </w:pPr>
      <w:bookmarkStart w:id="113" w:name="_Toc214362634"/>
      <w:r>
        <w:t xml:space="preserve">Table </w:t>
      </w:r>
      <w:r w:rsidR="00F43E9A">
        <w:fldChar w:fldCharType="begin"/>
      </w:r>
      <w:r w:rsidR="00F43E9A">
        <w:instrText xml:space="preserve"> STYLEREF 1 \s </w:instrText>
      </w:r>
      <w:r w:rsidR="00F43E9A">
        <w:fldChar w:fldCharType="separate"/>
      </w:r>
      <w:r w:rsidR="000412CE">
        <w:rPr>
          <w:noProof/>
        </w:rPr>
        <w:t>2</w:t>
      </w:r>
      <w:r w:rsidR="00F43E9A">
        <w:fldChar w:fldCharType="end"/>
      </w:r>
      <w:r w:rsidR="00F43E9A">
        <w:t>.</w:t>
      </w:r>
      <w:r w:rsidR="00F43E9A">
        <w:fldChar w:fldCharType="begin"/>
      </w:r>
      <w:r w:rsidR="00F43E9A">
        <w:instrText xml:space="preserve"> SEQ Table \* ARABIC \s 1 </w:instrText>
      </w:r>
      <w:r w:rsidR="00F43E9A">
        <w:fldChar w:fldCharType="separate"/>
      </w:r>
      <w:r w:rsidR="000412CE">
        <w:rPr>
          <w:noProof/>
        </w:rPr>
        <w:t>6</w:t>
      </w:r>
      <w:r w:rsidR="00F43E9A">
        <w:fldChar w:fldCharType="end"/>
      </w:r>
      <w:r w:rsidR="00DE026D">
        <w:t xml:space="preserve">. </w:t>
      </w:r>
      <w:r w:rsidRPr="00367F35">
        <w:t>Selected studies on PCMs in buildings: bibliographic details (title, authors, source, year, citations) and distilled findings from abstracts.</w:t>
      </w:r>
      <w:bookmarkEnd w:id="113"/>
    </w:p>
    <w:p w14:paraId="3992C8AE" w14:textId="23BE62EA" w:rsidR="00422EEB" w:rsidRPr="00422EEB" w:rsidRDefault="00422EEB" w:rsidP="00422EEB">
      <w:pPr>
        <w:rPr>
          <w:lang w:val="en-US"/>
        </w:rPr>
      </w:pPr>
      <w:r w:rsidRPr="00422EEB">
        <w:rPr>
          <w:rFonts w:cs="Times New Roman"/>
          <w:lang w:val="en-US"/>
        </w:rPr>
        <w:t xml:space="preserve">Table </w:t>
      </w:r>
      <w:r>
        <w:rPr>
          <w:rFonts w:cs="Times New Roman"/>
          <w:lang w:val="en-US"/>
        </w:rPr>
        <w:t>2.7</w:t>
      </w:r>
      <w:r w:rsidRPr="00422EEB">
        <w:rPr>
          <w:rFonts w:cs="Times New Roman"/>
          <w:lang w:val="en-US"/>
        </w:rPr>
        <w:t xml:space="preserve"> summarizes a selection of the most influential review papers on the application of PCMs in buildings. These reviews synthesize PCM properties, integration strategies in envelope and passive systems, and assess benefits in insulation, thermal comfort, and energy savings, while outlining challenges and research gaps. For each review, the main bibliographic information as title, authors, source, year of publication, citation count, and the principal insights highlighted by the authors</w:t>
      </w:r>
      <w:r w:rsidR="003C1375">
        <w:rPr>
          <w:rFonts w:cs="Times New Roman"/>
          <w:lang w:val="en-US"/>
        </w:rPr>
        <w:t>,</w:t>
      </w:r>
      <w:r w:rsidRPr="00422EEB">
        <w:rPr>
          <w:rFonts w:cs="Times New Roman"/>
          <w:lang w:val="en-US"/>
        </w:rPr>
        <w:t xml:space="preserve"> </w:t>
      </w:r>
      <w:r w:rsidR="003C1375">
        <w:rPr>
          <w:rFonts w:cs="Times New Roman"/>
          <w:lang w:val="en-US"/>
        </w:rPr>
        <w:t>is</w:t>
      </w:r>
      <w:r w:rsidRPr="00422EEB">
        <w:rPr>
          <w:rFonts w:cs="Times New Roman"/>
          <w:lang w:val="en-US"/>
        </w:rPr>
        <w:t xml:space="preserve"> reported.</w:t>
      </w:r>
    </w:p>
    <w:tbl>
      <w:tblPr>
        <w:tblStyle w:val="TableGrid"/>
        <w:tblW w:w="0" w:type="auto"/>
        <w:tblLook w:val="04A0" w:firstRow="1" w:lastRow="0" w:firstColumn="1" w:lastColumn="0" w:noHBand="0" w:noVBand="1"/>
      </w:tblPr>
      <w:tblGrid>
        <w:gridCol w:w="1717"/>
        <w:gridCol w:w="1202"/>
        <w:gridCol w:w="1561"/>
        <w:gridCol w:w="790"/>
        <w:gridCol w:w="1109"/>
        <w:gridCol w:w="2681"/>
      </w:tblGrid>
      <w:tr w:rsidR="00422EEB" w:rsidRPr="00422EEB" w14:paraId="0412062C" w14:textId="77777777" w:rsidTr="00422EEB">
        <w:tc>
          <w:tcPr>
            <w:tcW w:w="1723" w:type="dxa"/>
            <w:shd w:val="clear" w:color="auto" w:fill="8EA5B6"/>
            <w:vAlign w:val="center"/>
          </w:tcPr>
          <w:p w14:paraId="4F299A38" w14:textId="77777777" w:rsidR="00422EEB" w:rsidRPr="00422EEB" w:rsidRDefault="00422EEB" w:rsidP="00422EEB">
            <w:pPr>
              <w:jc w:val="center"/>
              <w:rPr>
                <w:rFonts w:cs="Times New Roman"/>
                <w:b/>
                <w:bCs/>
                <w:sz w:val="18"/>
                <w:szCs w:val="18"/>
              </w:rPr>
            </w:pPr>
            <w:r w:rsidRPr="00422EEB">
              <w:rPr>
                <w:rFonts w:cs="Times New Roman"/>
                <w:b/>
                <w:bCs/>
                <w:sz w:val="18"/>
                <w:szCs w:val="18"/>
              </w:rPr>
              <w:t>Title</w:t>
            </w:r>
          </w:p>
        </w:tc>
        <w:tc>
          <w:tcPr>
            <w:tcW w:w="1207" w:type="dxa"/>
            <w:shd w:val="clear" w:color="auto" w:fill="8EA5B6"/>
            <w:vAlign w:val="center"/>
          </w:tcPr>
          <w:p w14:paraId="0A0E3C7A" w14:textId="77777777" w:rsidR="00422EEB" w:rsidRPr="00422EEB" w:rsidRDefault="00422EEB" w:rsidP="00422EEB">
            <w:pPr>
              <w:jc w:val="center"/>
              <w:rPr>
                <w:rFonts w:cs="Times New Roman"/>
                <w:b/>
                <w:bCs/>
                <w:sz w:val="18"/>
                <w:szCs w:val="18"/>
              </w:rPr>
            </w:pPr>
            <w:r w:rsidRPr="00422EEB">
              <w:rPr>
                <w:rFonts w:cs="Times New Roman"/>
                <w:b/>
                <w:bCs/>
                <w:sz w:val="18"/>
                <w:szCs w:val="18"/>
              </w:rPr>
              <w:t>Authors</w:t>
            </w:r>
          </w:p>
        </w:tc>
        <w:tc>
          <w:tcPr>
            <w:tcW w:w="1568" w:type="dxa"/>
            <w:shd w:val="clear" w:color="auto" w:fill="8EA5B6"/>
            <w:vAlign w:val="center"/>
          </w:tcPr>
          <w:p w14:paraId="5F32B789" w14:textId="77777777" w:rsidR="00422EEB" w:rsidRPr="00422EEB" w:rsidRDefault="00422EEB" w:rsidP="00422EEB">
            <w:pPr>
              <w:jc w:val="center"/>
              <w:rPr>
                <w:rFonts w:cs="Times New Roman"/>
                <w:b/>
                <w:bCs/>
                <w:sz w:val="18"/>
                <w:szCs w:val="18"/>
              </w:rPr>
            </w:pPr>
            <w:r w:rsidRPr="00422EEB">
              <w:rPr>
                <w:rFonts w:cs="Times New Roman"/>
                <w:b/>
                <w:bCs/>
                <w:sz w:val="18"/>
                <w:szCs w:val="18"/>
              </w:rPr>
              <w:t>Source</w:t>
            </w:r>
          </w:p>
        </w:tc>
        <w:tc>
          <w:tcPr>
            <w:tcW w:w="795" w:type="dxa"/>
            <w:shd w:val="clear" w:color="auto" w:fill="8EA5B6"/>
            <w:vAlign w:val="center"/>
          </w:tcPr>
          <w:p w14:paraId="37B7EAD9" w14:textId="77777777" w:rsidR="00422EEB" w:rsidRPr="00422EEB" w:rsidRDefault="00422EEB" w:rsidP="00422EEB">
            <w:pPr>
              <w:jc w:val="center"/>
              <w:rPr>
                <w:rFonts w:cs="Times New Roman"/>
                <w:b/>
                <w:bCs/>
                <w:sz w:val="18"/>
                <w:szCs w:val="18"/>
              </w:rPr>
            </w:pPr>
            <w:r w:rsidRPr="00422EEB">
              <w:rPr>
                <w:rFonts w:cs="Times New Roman"/>
                <w:b/>
                <w:bCs/>
                <w:sz w:val="18"/>
                <w:szCs w:val="18"/>
              </w:rPr>
              <w:t>Year</w:t>
            </w:r>
          </w:p>
        </w:tc>
        <w:tc>
          <w:tcPr>
            <w:tcW w:w="1112" w:type="dxa"/>
            <w:shd w:val="clear" w:color="auto" w:fill="8EA5B6"/>
            <w:vAlign w:val="center"/>
          </w:tcPr>
          <w:p w14:paraId="25B945C6" w14:textId="77777777" w:rsidR="00422EEB" w:rsidRPr="00422EEB" w:rsidRDefault="00422EEB" w:rsidP="00422EEB">
            <w:pPr>
              <w:jc w:val="center"/>
              <w:rPr>
                <w:rFonts w:cs="Times New Roman"/>
                <w:b/>
                <w:bCs/>
                <w:sz w:val="18"/>
                <w:szCs w:val="18"/>
              </w:rPr>
            </w:pPr>
            <w:r w:rsidRPr="00422EEB">
              <w:rPr>
                <w:rFonts w:cs="Times New Roman"/>
                <w:b/>
                <w:bCs/>
                <w:sz w:val="18"/>
                <w:szCs w:val="18"/>
              </w:rPr>
              <w:t>Citations</w:t>
            </w:r>
          </w:p>
        </w:tc>
        <w:tc>
          <w:tcPr>
            <w:tcW w:w="2451" w:type="dxa"/>
            <w:shd w:val="clear" w:color="auto" w:fill="8EA5B6"/>
            <w:vAlign w:val="center"/>
          </w:tcPr>
          <w:p w14:paraId="2855F12D" w14:textId="27B872FC" w:rsidR="00422EEB" w:rsidRPr="00422EEB" w:rsidRDefault="00422EEB" w:rsidP="003C1375">
            <w:pPr>
              <w:jc w:val="center"/>
              <w:rPr>
                <w:rFonts w:cs="Times New Roman"/>
                <w:b/>
                <w:bCs/>
                <w:sz w:val="18"/>
                <w:szCs w:val="18"/>
              </w:rPr>
            </w:pPr>
            <w:r w:rsidRPr="00422EEB">
              <w:rPr>
                <w:rFonts w:cs="Times New Roman"/>
                <w:b/>
                <w:bCs/>
                <w:sz w:val="18"/>
                <w:szCs w:val="18"/>
              </w:rPr>
              <w:t>Abstract summary</w:t>
            </w:r>
          </w:p>
        </w:tc>
      </w:tr>
      <w:tr w:rsidR="00422EEB" w:rsidRPr="00736B36" w14:paraId="24490750" w14:textId="77777777" w:rsidTr="00422EEB">
        <w:tc>
          <w:tcPr>
            <w:tcW w:w="1723" w:type="dxa"/>
            <w:vAlign w:val="center"/>
          </w:tcPr>
          <w:p w14:paraId="428369A7" w14:textId="77777777" w:rsidR="00422EEB" w:rsidRPr="00422EEB" w:rsidRDefault="00422EEB" w:rsidP="00422EEB">
            <w:pPr>
              <w:jc w:val="center"/>
              <w:rPr>
                <w:rFonts w:cs="Times New Roman"/>
                <w:sz w:val="18"/>
                <w:szCs w:val="18"/>
                <w:lang w:val="en-US"/>
              </w:rPr>
            </w:pPr>
            <w:r w:rsidRPr="00422EEB">
              <w:rPr>
                <w:rFonts w:cs="Times New Roman"/>
                <w:sz w:val="18"/>
                <w:szCs w:val="18"/>
                <w:lang w:val="en-US"/>
              </w:rPr>
              <w:t>Incorporation of phase change materials into building envelope for thermal comfort and energy saving: A comprehensive analysis</w:t>
            </w:r>
          </w:p>
        </w:tc>
        <w:tc>
          <w:tcPr>
            <w:tcW w:w="1207" w:type="dxa"/>
            <w:vAlign w:val="center"/>
          </w:tcPr>
          <w:p w14:paraId="4678F0D4" w14:textId="77777777" w:rsidR="00422EEB" w:rsidRPr="00422EEB" w:rsidRDefault="00422EEB" w:rsidP="00422EEB">
            <w:pPr>
              <w:jc w:val="center"/>
              <w:rPr>
                <w:rFonts w:cs="Times New Roman"/>
                <w:sz w:val="18"/>
                <w:szCs w:val="18"/>
              </w:rPr>
            </w:pPr>
            <w:r w:rsidRPr="00422EEB">
              <w:rPr>
                <w:rFonts w:cs="Times New Roman"/>
                <w:sz w:val="18"/>
                <w:szCs w:val="18"/>
              </w:rPr>
              <w:t>Al-Yasiri, Q., Szabó, M.</w:t>
            </w:r>
          </w:p>
        </w:tc>
        <w:tc>
          <w:tcPr>
            <w:tcW w:w="1568" w:type="dxa"/>
            <w:vAlign w:val="center"/>
          </w:tcPr>
          <w:p w14:paraId="28BBC198" w14:textId="77777777" w:rsidR="00422EEB" w:rsidRPr="00422EEB" w:rsidRDefault="00422EEB" w:rsidP="00422EEB">
            <w:pPr>
              <w:jc w:val="center"/>
              <w:rPr>
                <w:rFonts w:cs="Times New Roman"/>
                <w:sz w:val="18"/>
                <w:szCs w:val="18"/>
              </w:rPr>
            </w:pPr>
            <w:r w:rsidRPr="00422EEB">
              <w:rPr>
                <w:rFonts w:cs="Times New Roman"/>
                <w:sz w:val="18"/>
                <w:szCs w:val="18"/>
              </w:rPr>
              <w:t>Journal of Building Engineering, 36, 102122</w:t>
            </w:r>
          </w:p>
        </w:tc>
        <w:tc>
          <w:tcPr>
            <w:tcW w:w="795" w:type="dxa"/>
            <w:vAlign w:val="center"/>
          </w:tcPr>
          <w:p w14:paraId="45FEB01F" w14:textId="77777777" w:rsidR="00422EEB" w:rsidRPr="00422EEB" w:rsidRDefault="00422EEB" w:rsidP="00422EEB">
            <w:pPr>
              <w:jc w:val="center"/>
              <w:rPr>
                <w:rFonts w:cs="Times New Roman"/>
                <w:sz w:val="18"/>
                <w:szCs w:val="18"/>
              </w:rPr>
            </w:pPr>
            <w:r w:rsidRPr="00422EEB">
              <w:rPr>
                <w:rFonts w:cs="Times New Roman"/>
                <w:sz w:val="18"/>
                <w:szCs w:val="18"/>
              </w:rPr>
              <w:t>2021</w:t>
            </w:r>
          </w:p>
        </w:tc>
        <w:tc>
          <w:tcPr>
            <w:tcW w:w="1112" w:type="dxa"/>
            <w:vAlign w:val="center"/>
          </w:tcPr>
          <w:p w14:paraId="56B76F2D" w14:textId="77777777" w:rsidR="00422EEB" w:rsidRPr="00422EEB" w:rsidRDefault="00422EEB" w:rsidP="00422EEB">
            <w:pPr>
              <w:jc w:val="center"/>
              <w:rPr>
                <w:rFonts w:cs="Times New Roman"/>
                <w:sz w:val="18"/>
                <w:szCs w:val="18"/>
              </w:rPr>
            </w:pPr>
            <w:r w:rsidRPr="00422EEB">
              <w:rPr>
                <w:rFonts w:cs="Times New Roman"/>
                <w:sz w:val="18"/>
                <w:szCs w:val="18"/>
              </w:rPr>
              <w:t>356</w:t>
            </w:r>
          </w:p>
        </w:tc>
        <w:tc>
          <w:tcPr>
            <w:tcW w:w="2451" w:type="dxa"/>
            <w:vAlign w:val="center"/>
          </w:tcPr>
          <w:p w14:paraId="2D8D642E" w14:textId="5D509FBC" w:rsidR="00422EEB" w:rsidRPr="00422EEB" w:rsidRDefault="00422EEB" w:rsidP="003C1375">
            <w:pPr>
              <w:rPr>
                <w:rFonts w:cs="Times New Roman"/>
                <w:sz w:val="18"/>
                <w:szCs w:val="18"/>
                <w:lang w:val="en-US"/>
              </w:rPr>
            </w:pPr>
            <w:r w:rsidRPr="00422EEB">
              <w:rPr>
                <w:rFonts w:cs="Times New Roman"/>
                <w:sz w:val="18"/>
                <w:szCs w:val="18"/>
                <w:lang w:val="en-US"/>
              </w:rPr>
              <w:t>PCMs added to roofs and external walls can cut heating/cooling loads, save energy, and improve comfort by storing/releasing heat around their melting point. The review maps PCM types, desired properties, placement, and modeling methods, and ranks techniques by climate/location—while noting key gaps for future research.</w:t>
            </w:r>
          </w:p>
        </w:tc>
      </w:tr>
      <w:tr w:rsidR="00422EEB" w:rsidRPr="00736B36" w14:paraId="273CC194" w14:textId="77777777" w:rsidTr="00422EEB">
        <w:tc>
          <w:tcPr>
            <w:tcW w:w="1723" w:type="dxa"/>
            <w:vAlign w:val="center"/>
          </w:tcPr>
          <w:p w14:paraId="20AA504C" w14:textId="77777777" w:rsidR="00422EEB" w:rsidRPr="00422EEB" w:rsidRDefault="00422EEB" w:rsidP="00422EEB">
            <w:pPr>
              <w:jc w:val="center"/>
              <w:rPr>
                <w:rFonts w:cs="Times New Roman"/>
                <w:sz w:val="18"/>
                <w:szCs w:val="18"/>
                <w:lang w:val="en-US"/>
              </w:rPr>
            </w:pPr>
            <w:r w:rsidRPr="00422EEB">
              <w:rPr>
                <w:rFonts w:cs="Times New Roman"/>
                <w:sz w:val="18"/>
                <w:szCs w:val="18"/>
                <w:lang w:val="en-US"/>
              </w:rPr>
              <w:t>A review of novel methods and current developments of phase change materials in the building walls for cooling applications</w:t>
            </w:r>
          </w:p>
        </w:tc>
        <w:tc>
          <w:tcPr>
            <w:tcW w:w="1207" w:type="dxa"/>
            <w:vAlign w:val="center"/>
          </w:tcPr>
          <w:p w14:paraId="40D72AFB" w14:textId="77777777" w:rsidR="00422EEB" w:rsidRPr="00422EEB" w:rsidRDefault="00422EEB" w:rsidP="00422EEB">
            <w:pPr>
              <w:jc w:val="center"/>
              <w:rPr>
                <w:rFonts w:cs="Times New Roman"/>
                <w:sz w:val="18"/>
                <w:szCs w:val="18"/>
                <w:lang w:val="en-US"/>
              </w:rPr>
            </w:pPr>
            <w:r w:rsidRPr="00422EEB">
              <w:rPr>
                <w:rFonts w:cs="Times New Roman"/>
                <w:sz w:val="18"/>
                <w:szCs w:val="18"/>
                <w:lang w:val="en-US"/>
              </w:rPr>
              <w:t>Mukram, T.A., Daniel, J.</w:t>
            </w:r>
          </w:p>
        </w:tc>
        <w:tc>
          <w:tcPr>
            <w:tcW w:w="1568" w:type="dxa"/>
            <w:vAlign w:val="center"/>
          </w:tcPr>
          <w:p w14:paraId="1998C1F1" w14:textId="77777777" w:rsidR="00422EEB" w:rsidRPr="00422EEB" w:rsidRDefault="00422EEB" w:rsidP="00422EEB">
            <w:pPr>
              <w:jc w:val="center"/>
              <w:rPr>
                <w:rFonts w:cs="Times New Roman"/>
                <w:sz w:val="18"/>
                <w:szCs w:val="18"/>
                <w:lang w:val="en-US"/>
              </w:rPr>
            </w:pPr>
            <w:r w:rsidRPr="00422EEB">
              <w:rPr>
                <w:rFonts w:cs="Times New Roman"/>
                <w:sz w:val="18"/>
                <w:szCs w:val="18"/>
                <w:lang w:val="en-US"/>
              </w:rPr>
              <w:t>Sustainable Energy Technologies and Assessments, 49, 101709</w:t>
            </w:r>
          </w:p>
        </w:tc>
        <w:tc>
          <w:tcPr>
            <w:tcW w:w="795" w:type="dxa"/>
            <w:vAlign w:val="center"/>
          </w:tcPr>
          <w:p w14:paraId="1454FD77" w14:textId="77777777" w:rsidR="00422EEB" w:rsidRPr="00422EEB" w:rsidRDefault="00422EEB" w:rsidP="00422EEB">
            <w:pPr>
              <w:jc w:val="center"/>
              <w:rPr>
                <w:rFonts w:cs="Times New Roman"/>
                <w:sz w:val="18"/>
                <w:szCs w:val="18"/>
              </w:rPr>
            </w:pPr>
            <w:r w:rsidRPr="00422EEB">
              <w:rPr>
                <w:rFonts w:cs="Times New Roman"/>
                <w:sz w:val="18"/>
                <w:szCs w:val="18"/>
              </w:rPr>
              <w:t>2022</w:t>
            </w:r>
          </w:p>
        </w:tc>
        <w:tc>
          <w:tcPr>
            <w:tcW w:w="1112" w:type="dxa"/>
            <w:vAlign w:val="center"/>
          </w:tcPr>
          <w:p w14:paraId="1B8C7994" w14:textId="77777777" w:rsidR="00422EEB" w:rsidRPr="00422EEB" w:rsidRDefault="00422EEB" w:rsidP="00422EEB">
            <w:pPr>
              <w:jc w:val="center"/>
              <w:rPr>
                <w:rFonts w:cs="Times New Roman"/>
                <w:sz w:val="18"/>
                <w:szCs w:val="18"/>
              </w:rPr>
            </w:pPr>
            <w:r w:rsidRPr="00422EEB">
              <w:rPr>
                <w:rFonts w:cs="Times New Roman"/>
                <w:sz w:val="18"/>
                <w:szCs w:val="18"/>
              </w:rPr>
              <w:t>28</w:t>
            </w:r>
          </w:p>
        </w:tc>
        <w:tc>
          <w:tcPr>
            <w:tcW w:w="2451" w:type="dxa"/>
            <w:vAlign w:val="center"/>
          </w:tcPr>
          <w:p w14:paraId="40F8E382" w14:textId="6E708E56" w:rsidR="00422EEB" w:rsidRPr="00422EEB" w:rsidRDefault="00422EEB" w:rsidP="003C1375">
            <w:pPr>
              <w:rPr>
                <w:rFonts w:cs="Times New Roman"/>
                <w:sz w:val="18"/>
                <w:szCs w:val="18"/>
                <w:lang w:val="en-US"/>
              </w:rPr>
            </w:pPr>
            <w:r w:rsidRPr="00422EEB">
              <w:rPr>
                <w:rFonts w:cs="Times New Roman"/>
                <w:sz w:val="18"/>
                <w:szCs w:val="18"/>
                <w:lang w:val="en-US"/>
              </w:rPr>
              <w:t>For the building sector’s high energy/GHG footprint, PCM‑impregnated walls and bricks can lower cooling load, peak heat flux, and shift peaks off working hours. Best practice depends on PCM type, melt temperature, and location; keeping the PCM layer near the heat source often yields superior performance.</w:t>
            </w:r>
          </w:p>
        </w:tc>
      </w:tr>
      <w:tr w:rsidR="00422EEB" w:rsidRPr="00736B36" w14:paraId="1590C76C" w14:textId="77777777" w:rsidTr="00422EEB">
        <w:tc>
          <w:tcPr>
            <w:tcW w:w="1723" w:type="dxa"/>
            <w:vAlign w:val="center"/>
          </w:tcPr>
          <w:p w14:paraId="60DB0BF4" w14:textId="77777777" w:rsidR="00422EEB" w:rsidRPr="00422EEB" w:rsidRDefault="00422EEB" w:rsidP="00422EEB">
            <w:pPr>
              <w:jc w:val="center"/>
              <w:rPr>
                <w:rFonts w:cs="Times New Roman"/>
                <w:sz w:val="18"/>
                <w:szCs w:val="18"/>
                <w:lang w:val="en-US"/>
              </w:rPr>
            </w:pPr>
            <w:r w:rsidRPr="00422EEB">
              <w:rPr>
                <w:rFonts w:cs="Times New Roman"/>
                <w:sz w:val="18"/>
                <w:szCs w:val="18"/>
                <w:lang w:val="en-US"/>
              </w:rPr>
              <w:t xml:space="preserve">Recent Advances and Developments in Phase Change Materials in High-Temperature </w:t>
            </w:r>
            <w:r w:rsidRPr="00422EEB">
              <w:rPr>
                <w:rFonts w:cs="Times New Roman"/>
                <w:sz w:val="18"/>
                <w:szCs w:val="18"/>
                <w:lang w:val="en-US"/>
              </w:rPr>
              <w:lastRenderedPageBreak/>
              <w:t>Building Envelopes: A Review of Solutions and Challenges</w:t>
            </w:r>
          </w:p>
        </w:tc>
        <w:tc>
          <w:tcPr>
            <w:tcW w:w="1207" w:type="dxa"/>
            <w:vAlign w:val="center"/>
          </w:tcPr>
          <w:p w14:paraId="4E666A87" w14:textId="77777777" w:rsidR="00422EEB" w:rsidRPr="00422EEB" w:rsidRDefault="00422EEB" w:rsidP="00422EEB">
            <w:pPr>
              <w:jc w:val="center"/>
              <w:rPr>
                <w:rFonts w:cs="Times New Roman"/>
                <w:sz w:val="18"/>
                <w:szCs w:val="18"/>
              </w:rPr>
            </w:pPr>
            <w:r w:rsidRPr="00422EEB">
              <w:rPr>
                <w:rFonts w:cs="Times New Roman"/>
                <w:sz w:val="18"/>
                <w:szCs w:val="18"/>
                <w:lang w:val="en-US"/>
              </w:rPr>
              <w:lastRenderedPageBreak/>
              <w:t xml:space="preserve">Rashid, F.L., Dulaimi, A., Hatem, W.A., ... </w:t>
            </w:r>
            <w:r w:rsidRPr="00422EEB">
              <w:rPr>
                <w:rFonts w:cs="Times New Roman"/>
                <w:sz w:val="18"/>
                <w:szCs w:val="18"/>
              </w:rPr>
              <w:t xml:space="preserve">Bernardo, </w:t>
            </w:r>
            <w:r w:rsidRPr="00422EEB">
              <w:rPr>
                <w:rFonts w:cs="Times New Roman"/>
                <w:sz w:val="18"/>
                <w:szCs w:val="18"/>
              </w:rPr>
              <w:lastRenderedPageBreak/>
              <w:t>L.F.A., Hu, J.W.</w:t>
            </w:r>
          </w:p>
        </w:tc>
        <w:tc>
          <w:tcPr>
            <w:tcW w:w="1568" w:type="dxa"/>
            <w:vAlign w:val="center"/>
          </w:tcPr>
          <w:p w14:paraId="4A11A38B" w14:textId="77777777" w:rsidR="00422EEB" w:rsidRPr="00422EEB" w:rsidRDefault="00422EEB" w:rsidP="00422EEB">
            <w:pPr>
              <w:jc w:val="center"/>
              <w:rPr>
                <w:rFonts w:cs="Times New Roman"/>
                <w:sz w:val="18"/>
                <w:szCs w:val="18"/>
              </w:rPr>
            </w:pPr>
            <w:r w:rsidRPr="00422EEB">
              <w:rPr>
                <w:rFonts w:cs="Times New Roman"/>
                <w:sz w:val="18"/>
                <w:szCs w:val="18"/>
              </w:rPr>
              <w:lastRenderedPageBreak/>
              <w:t>Buildings, 14(6), 1582</w:t>
            </w:r>
          </w:p>
        </w:tc>
        <w:tc>
          <w:tcPr>
            <w:tcW w:w="795" w:type="dxa"/>
            <w:vAlign w:val="center"/>
          </w:tcPr>
          <w:p w14:paraId="21BBF7EB" w14:textId="77777777" w:rsidR="00422EEB" w:rsidRPr="00422EEB" w:rsidRDefault="00422EEB" w:rsidP="00422EEB">
            <w:pPr>
              <w:jc w:val="center"/>
              <w:rPr>
                <w:rFonts w:cs="Times New Roman"/>
                <w:sz w:val="18"/>
                <w:szCs w:val="18"/>
              </w:rPr>
            </w:pPr>
            <w:r w:rsidRPr="00422EEB">
              <w:rPr>
                <w:rFonts w:cs="Times New Roman"/>
                <w:sz w:val="18"/>
                <w:szCs w:val="18"/>
              </w:rPr>
              <w:t>2024</w:t>
            </w:r>
          </w:p>
        </w:tc>
        <w:tc>
          <w:tcPr>
            <w:tcW w:w="1112" w:type="dxa"/>
            <w:vAlign w:val="center"/>
          </w:tcPr>
          <w:p w14:paraId="4322C5D7" w14:textId="77777777" w:rsidR="00422EEB" w:rsidRPr="00422EEB" w:rsidRDefault="00422EEB" w:rsidP="00422EEB">
            <w:pPr>
              <w:jc w:val="center"/>
              <w:rPr>
                <w:rFonts w:cs="Times New Roman"/>
                <w:sz w:val="18"/>
                <w:szCs w:val="18"/>
              </w:rPr>
            </w:pPr>
            <w:r w:rsidRPr="00422EEB">
              <w:rPr>
                <w:rFonts w:cs="Times New Roman"/>
                <w:sz w:val="18"/>
                <w:szCs w:val="18"/>
              </w:rPr>
              <w:t>20</w:t>
            </w:r>
          </w:p>
        </w:tc>
        <w:tc>
          <w:tcPr>
            <w:tcW w:w="2451" w:type="dxa"/>
            <w:vAlign w:val="center"/>
          </w:tcPr>
          <w:p w14:paraId="09D39892" w14:textId="46DC590E" w:rsidR="00422EEB" w:rsidRPr="00422EEB" w:rsidRDefault="00422EEB" w:rsidP="003C1375">
            <w:pPr>
              <w:rPr>
                <w:rFonts w:cs="Times New Roman"/>
                <w:sz w:val="18"/>
                <w:szCs w:val="18"/>
                <w:lang w:val="en-US"/>
              </w:rPr>
            </w:pPr>
            <w:r w:rsidRPr="00422EEB">
              <w:rPr>
                <w:rFonts w:cs="Times New Roman"/>
                <w:sz w:val="18"/>
                <w:szCs w:val="18"/>
                <w:lang w:val="en-US"/>
              </w:rPr>
              <w:t xml:space="preserve">PCMs in envelopes reduce cooling demand and hours above comfort limits by delaying peak temperature, but high daytime heat can hinder night crystallization. </w:t>
            </w:r>
            <w:r w:rsidRPr="00422EEB">
              <w:rPr>
                <w:rFonts w:cs="Times New Roman"/>
                <w:sz w:val="18"/>
                <w:szCs w:val="18"/>
                <w:lang w:val="en-US"/>
              </w:rPr>
              <w:lastRenderedPageBreak/>
              <w:t>Selecting high‑temperature PCMs and tuning insulation density, specific heat, and conductivity are critical; the review proposes quantification methods and research directions.</w:t>
            </w:r>
          </w:p>
        </w:tc>
      </w:tr>
      <w:tr w:rsidR="00422EEB" w:rsidRPr="00736B36" w14:paraId="7E8E65FB" w14:textId="77777777" w:rsidTr="00422EEB">
        <w:tc>
          <w:tcPr>
            <w:tcW w:w="1723" w:type="dxa"/>
            <w:vAlign w:val="center"/>
          </w:tcPr>
          <w:p w14:paraId="6E3F3E6B" w14:textId="77777777" w:rsidR="00422EEB" w:rsidRPr="00422EEB" w:rsidRDefault="00422EEB" w:rsidP="00422EEB">
            <w:pPr>
              <w:jc w:val="center"/>
              <w:rPr>
                <w:rFonts w:cs="Times New Roman"/>
                <w:sz w:val="18"/>
                <w:szCs w:val="18"/>
                <w:lang w:val="en-US"/>
              </w:rPr>
            </w:pPr>
            <w:r w:rsidRPr="00422EEB">
              <w:rPr>
                <w:rFonts w:cs="Times New Roman"/>
                <w:sz w:val="18"/>
                <w:szCs w:val="18"/>
                <w:lang w:val="en-US"/>
              </w:rPr>
              <w:lastRenderedPageBreak/>
              <w:t>Phase Change Materials Integration in Building Envelopes Under Different Climatic Conditions: State of the Art, Opportunities, and Challenges</w:t>
            </w:r>
          </w:p>
        </w:tc>
        <w:tc>
          <w:tcPr>
            <w:tcW w:w="1207" w:type="dxa"/>
            <w:vAlign w:val="center"/>
          </w:tcPr>
          <w:p w14:paraId="0B4A73F4" w14:textId="77777777" w:rsidR="00422EEB" w:rsidRPr="00422EEB" w:rsidRDefault="00422EEB" w:rsidP="00422EEB">
            <w:pPr>
              <w:jc w:val="center"/>
              <w:rPr>
                <w:rFonts w:cs="Times New Roman"/>
                <w:sz w:val="18"/>
                <w:szCs w:val="18"/>
                <w:lang w:val="en-US"/>
              </w:rPr>
            </w:pPr>
            <w:r w:rsidRPr="00422EEB">
              <w:rPr>
                <w:rFonts w:cs="Times New Roman"/>
                <w:sz w:val="18"/>
                <w:szCs w:val="18"/>
                <w:lang w:val="en-US"/>
              </w:rPr>
              <w:t>Teamah, H.M., Teamah, M.</w:t>
            </w:r>
          </w:p>
        </w:tc>
        <w:tc>
          <w:tcPr>
            <w:tcW w:w="1568" w:type="dxa"/>
            <w:vAlign w:val="center"/>
          </w:tcPr>
          <w:p w14:paraId="424F0C77" w14:textId="77777777" w:rsidR="00422EEB" w:rsidRPr="00422EEB" w:rsidRDefault="00422EEB" w:rsidP="00422EEB">
            <w:pPr>
              <w:jc w:val="center"/>
              <w:rPr>
                <w:rFonts w:cs="Times New Roman"/>
                <w:sz w:val="18"/>
                <w:szCs w:val="18"/>
              </w:rPr>
            </w:pPr>
            <w:r w:rsidRPr="00422EEB">
              <w:rPr>
                <w:rFonts w:cs="Times New Roman"/>
                <w:sz w:val="18"/>
                <w:szCs w:val="18"/>
              </w:rPr>
              <w:t>Energy Storage, 7(5), e70250</w:t>
            </w:r>
          </w:p>
        </w:tc>
        <w:tc>
          <w:tcPr>
            <w:tcW w:w="795" w:type="dxa"/>
            <w:vAlign w:val="center"/>
          </w:tcPr>
          <w:p w14:paraId="6D9E0D3D" w14:textId="77777777" w:rsidR="00422EEB" w:rsidRPr="00422EEB" w:rsidRDefault="00422EEB" w:rsidP="00422EEB">
            <w:pPr>
              <w:jc w:val="center"/>
              <w:rPr>
                <w:rFonts w:cs="Times New Roman"/>
                <w:sz w:val="18"/>
                <w:szCs w:val="18"/>
              </w:rPr>
            </w:pPr>
            <w:r w:rsidRPr="00422EEB">
              <w:rPr>
                <w:rFonts w:cs="Times New Roman"/>
                <w:sz w:val="18"/>
                <w:szCs w:val="18"/>
              </w:rPr>
              <w:t>2025</w:t>
            </w:r>
          </w:p>
        </w:tc>
        <w:tc>
          <w:tcPr>
            <w:tcW w:w="1112" w:type="dxa"/>
            <w:vAlign w:val="center"/>
          </w:tcPr>
          <w:p w14:paraId="636EDF75" w14:textId="77777777" w:rsidR="00422EEB" w:rsidRPr="00422EEB" w:rsidRDefault="00422EEB" w:rsidP="00422EEB">
            <w:pPr>
              <w:jc w:val="center"/>
              <w:rPr>
                <w:rFonts w:cs="Times New Roman"/>
                <w:sz w:val="18"/>
                <w:szCs w:val="18"/>
              </w:rPr>
            </w:pPr>
            <w:r w:rsidRPr="00422EEB">
              <w:rPr>
                <w:rFonts w:cs="Times New Roman"/>
                <w:sz w:val="18"/>
                <w:szCs w:val="18"/>
              </w:rPr>
              <w:t>0</w:t>
            </w:r>
          </w:p>
        </w:tc>
        <w:tc>
          <w:tcPr>
            <w:tcW w:w="2451" w:type="dxa"/>
            <w:vAlign w:val="center"/>
          </w:tcPr>
          <w:p w14:paraId="4A6778B4" w14:textId="4F197EAC" w:rsidR="00422EEB" w:rsidRPr="00422EEB" w:rsidRDefault="00422EEB" w:rsidP="003C1375">
            <w:pPr>
              <w:rPr>
                <w:rFonts w:cs="Times New Roman"/>
                <w:sz w:val="18"/>
                <w:szCs w:val="18"/>
                <w:lang w:val="en-US"/>
              </w:rPr>
            </w:pPr>
            <w:r w:rsidRPr="00422EEB">
              <w:rPr>
                <w:rFonts w:cs="Times New Roman"/>
                <w:sz w:val="18"/>
                <w:szCs w:val="18"/>
                <w:lang w:val="en-US"/>
              </w:rPr>
              <w:t>Across walls, roofs, and floors, PCMs can trim building loads by up to ~30% and keep indoor swings within ~2 °C when well integrated. The paper surveys performance drivers, integration methods, and modeling, and notes uneven global uptake (strong in Europe/Asia; challenging in climates with large temperature swings).</w:t>
            </w:r>
          </w:p>
        </w:tc>
      </w:tr>
      <w:tr w:rsidR="00422EEB" w:rsidRPr="00736B36" w14:paraId="38ECE5A1" w14:textId="77777777" w:rsidTr="00422EEB">
        <w:tc>
          <w:tcPr>
            <w:tcW w:w="1723" w:type="dxa"/>
            <w:vAlign w:val="center"/>
          </w:tcPr>
          <w:p w14:paraId="37EB5129" w14:textId="77777777" w:rsidR="00422EEB" w:rsidRPr="00422EEB" w:rsidRDefault="00422EEB" w:rsidP="00422EEB">
            <w:pPr>
              <w:jc w:val="center"/>
              <w:rPr>
                <w:rFonts w:cs="Times New Roman"/>
                <w:sz w:val="18"/>
                <w:szCs w:val="18"/>
                <w:lang w:val="en-US"/>
              </w:rPr>
            </w:pPr>
            <w:r w:rsidRPr="00422EEB">
              <w:rPr>
                <w:rFonts w:cs="Times New Roman"/>
                <w:sz w:val="18"/>
                <w:szCs w:val="18"/>
                <w:lang w:val="en-US"/>
              </w:rPr>
              <w:t>Phase change material incorporation techniques in building envelopes for enhancing the building thermal Comfort-A review</w:t>
            </w:r>
          </w:p>
        </w:tc>
        <w:tc>
          <w:tcPr>
            <w:tcW w:w="1207" w:type="dxa"/>
            <w:vAlign w:val="center"/>
          </w:tcPr>
          <w:p w14:paraId="599558DA" w14:textId="77777777" w:rsidR="00422EEB" w:rsidRPr="0067768F" w:rsidRDefault="00422EEB" w:rsidP="00422EEB">
            <w:pPr>
              <w:jc w:val="center"/>
              <w:rPr>
                <w:rFonts w:cs="Times New Roman"/>
                <w:sz w:val="18"/>
                <w:szCs w:val="18"/>
                <w:lang w:val="en-US"/>
              </w:rPr>
            </w:pPr>
            <w:r w:rsidRPr="0067768F">
              <w:rPr>
                <w:rFonts w:cs="Times New Roman"/>
                <w:sz w:val="18"/>
                <w:szCs w:val="18"/>
                <w:lang w:val="en-US"/>
              </w:rPr>
              <w:t>Suresh, C., Kumar Hotta, T., Saha, S.K.</w:t>
            </w:r>
          </w:p>
        </w:tc>
        <w:tc>
          <w:tcPr>
            <w:tcW w:w="1568" w:type="dxa"/>
            <w:vAlign w:val="center"/>
          </w:tcPr>
          <w:p w14:paraId="517E7D8F" w14:textId="77777777" w:rsidR="00422EEB" w:rsidRPr="00422EEB" w:rsidRDefault="00422EEB" w:rsidP="00422EEB">
            <w:pPr>
              <w:jc w:val="center"/>
              <w:rPr>
                <w:rFonts w:cs="Times New Roman"/>
                <w:sz w:val="18"/>
                <w:szCs w:val="18"/>
              </w:rPr>
            </w:pPr>
            <w:r w:rsidRPr="00422EEB">
              <w:rPr>
                <w:rFonts w:cs="Times New Roman"/>
                <w:sz w:val="18"/>
                <w:szCs w:val="18"/>
              </w:rPr>
              <w:t>Energy and Buildings, 268, 112225</w:t>
            </w:r>
          </w:p>
        </w:tc>
        <w:tc>
          <w:tcPr>
            <w:tcW w:w="795" w:type="dxa"/>
            <w:vAlign w:val="center"/>
          </w:tcPr>
          <w:p w14:paraId="7CA3B308" w14:textId="77777777" w:rsidR="00422EEB" w:rsidRPr="00422EEB" w:rsidRDefault="00422EEB" w:rsidP="00422EEB">
            <w:pPr>
              <w:jc w:val="center"/>
              <w:rPr>
                <w:rFonts w:cs="Times New Roman"/>
                <w:sz w:val="18"/>
                <w:szCs w:val="18"/>
              </w:rPr>
            </w:pPr>
            <w:r w:rsidRPr="00422EEB">
              <w:rPr>
                <w:rFonts w:cs="Times New Roman"/>
                <w:sz w:val="18"/>
                <w:szCs w:val="18"/>
              </w:rPr>
              <w:t>2022</w:t>
            </w:r>
          </w:p>
        </w:tc>
        <w:tc>
          <w:tcPr>
            <w:tcW w:w="1112" w:type="dxa"/>
            <w:vAlign w:val="center"/>
          </w:tcPr>
          <w:p w14:paraId="2F18432D" w14:textId="77777777" w:rsidR="00422EEB" w:rsidRPr="00422EEB" w:rsidRDefault="00422EEB" w:rsidP="00422EEB">
            <w:pPr>
              <w:jc w:val="center"/>
              <w:rPr>
                <w:rFonts w:cs="Times New Roman"/>
                <w:sz w:val="18"/>
                <w:szCs w:val="18"/>
              </w:rPr>
            </w:pPr>
            <w:r w:rsidRPr="00422EEB">
              <w:rPr>
                <w:rFonts w:cs="Times New Roman"/>
                <w:sz w:val="18"/>
                <w:szCs w:val="18"/>
              </w:rPr>
              <w:t>10</w:t>
            </w:r>
          </w:p>
        </w:tc>
        <w:tc>
          <w:tcPr>
            <w:tcW w:w="2451" w:type="dxa"/>
            <w:vAlign w:val="center"/>
          </w:tcPr>
          <w:p w14:paraId="50D5E632" w14:textId="77777777" w:rsidR="00422EEB" w:rsidRPr="00422EEB" w:rsidRDefault="00422EEB" w:rsidP="003C1375">
            <w:pPr>
              <w:keepNext/>
              <w:rPr>
                <w:rFonts w:cs="Times New Roman"/>
                <w:sz w:val="18"/>
                <w:szCs w:val="18"/>
                <w:lang w:val="en-US"/>
              </w:rPr>
            </w:pPr>
            <w:r w:rsidRPr="00422EEB">
              <w:rPr>
                <w:rFonts w:cs="Times New Roman"/>
                <w:sz w:val="18"/>
                <w:szCs w:val="18"/>
                <w:lang w:val="en-US"/>
              </w:rPr>
              <w:t>A broad review confirms that PCM‑enhanced envelopes (walls/roofs/ceilings/windows) improve comfort and reduce energy use; micro/nano‑encapsulation and shape‑stabilized PCMs outperform macro/impregnation due to better heat transfer and no leakage. It recommends PCMs with melt points near ambient, and highlights in‑situ/emulsion polymerization as effective encapsulation routes, plus remaining research needs.</w:t>
            </w:r>
          </w:p>
        </w:tc>
      </w:tr>
    </w:tbl>
    <w:p w14:paraId="733226AE" w14:textId="62EF614C" w:rsidR="00422EEB" w:rsidRPr="00422EEB" w:rsidRDefault="00422EEB" w:rsidP="00422EEB">
      <w:pPr>
        <w:pStyle w:val="Caption"/>
        <w:rPr>
          <w:rFonts w:cs="Times New Roman"/>
        </w:rPr>
      </w:pPr>
      <w:bookmarkStart w:id="114" w:name="_Toc214362635"/>
      <w:r w:rsidRPr="00422EEB">
        <w:rPr>
          <w:rFonts w:cs="Times New Roman"/>
        </w:rPr>
        <w:t xml:space="preserve">Table </w:t>
      </w:r>
      <w:r w:rsidR="00F43E9A">
        <w:rPr>
          <w:rFonts w:cs="Times New Roman"/>
        </w:rPr>
        <w:fldChar w:fldCharType="begin"/>
      </w:r>
      <w:r w:rsidR="00F43E9A">
        <w:rPr>
          <w:rFonts w:cs="Times New Roman"/>
        </w:rPr>
        <w:instrText xml:space="preserve"> STYLEREF 1 \s </w:instrText>
      </w:r>
      <w:r w:rsidR="00F43E9A">
        <w:rPr>
          <w:rFonts w:cs="Times New Roman"/>
        </w:rPr>
        <w:fldChar w:fldCharType="separate"/>
      </w:r>
      <w:r w:rsidR="000412CE">
        <w:rPr>
          <w:rFonts w:cs="Times New Roman"/>
          <w:noProof/>
        </w:rPr>
        <w:t>2</w:t>
      </w:r>
      <w:r w:rsidR="00F43E9A">
        <w:rPr>
          <w:rFonts w:cs="Times New Roman"/>
        </w:rPr>
        <w:fldChar w:fldCharType="end"/>
      </w:r>
      <w:r w:rsidR="00F43E9A">
        <w:rPr>
          <w:rFonts w:cs="Times New Roman"/>
        </w:rPr>
        <w:t>.</w:t>
      </w:r>
      <w:r w:rsidR="00F43E9A">
        <w:rPr>
          <w:rFonts w:cs="Times New Roman"/>
        </w:rPr>
        <w:fldChar w:fldCharType="begin"/>
      </w:r>
      <w:r w:rsidR="00F43E9A">
        <w:rPr>
          <w:rFonts w:cs="Times New Roman"/>
        </w:rPr>
        <w:instrText xml:space="preserve"> SEQ Table \* ARABIC \s 1 </w:instrText>
      </w:r>
      <w:r w:rsidR="00F43E9A">
        <w:rPr>
          <w:rFonts w:cs="Times New Roman"/>
        </w:rPr>
        <w:fldChar w:fldCharType="separate"/>
      </w:r>
      <w:r w:rsidR="000412CE">
        <w:rPr>
          <w:rFonts w:cs="Times New Roman"/>
          <w:noProof/>
        </w:rPr>
        <w:t>7</w:t>
      </w:r>
      <w:r w:rsidR="00F43E9A">
        <w:rPr>
          <w:rFonts w:cs="Times New Roman"/>
        </w:rPr>
        <w:fldChar w:fldCharType="end"/>
      </w:r>
      <w:r w:rsidRPr="00422EEB">
        <w:rPr>
          <w:rFonts w:cs="Times New Roman"/>
        </w:rPr>
        <w:t>. Influential reviews on PCMs in buildings: key bibliographic details (title, authors, source, year, citations) and synthesized insights</w:t>
      </w:r>
      <w:r w:rsidR="00A165BA">
        <w:rPr>
          <w:rFonts w:cs="Times New Roman"/>
        </w:rPr>
        <w:t>.</w:t>
      </w:r>
      <w:bookmarkEnd w:id="114"/>
    </w:p>
    <w:p w14:paraId="6602CF34" w14:textId="2AB487C7" w:rsidR="00422EEB" w:rsidRPr="00422EEB" w:rsidRDefault="00422EEB" w:rsidP="00422EEB">
      <w:pPr>
        <w:pStyle w:val="Heading3"/>
        <w:rPr>
          <w:lang w:val="en-US"/>
        </w:rPr>
      </w:pPr>
      <w:bookmarkStart w:id="115" w:name="_Toc213354078"/>
      <w:bookmarkStart w:id="116" w:name="_Toc214356296"/>
      <w:r w:rsidRPr="00422EEB">
        <w:rPr>
          <w:lang w:val="en-US"/>
        </w:rPr>
        <w:t>Incorporation of PCMs into buildings for thermal comfort and energy optimization</w:t>
      </w:r>
      <w:bookmarkEnd w:id="115"/>
      <w:bookmarkEnd w:id="116"/>
    </w:p>
    <w:p w14:paraId="14D3F09C" w14:textId="2F14825F" w:rsidR="00422EEB" w:rsidRPr="00422EEB" w:rsidRDefault="00422EEB" w:rsidP="00422EEB">
      <w:pPr>
        <w:rPr>
          <w:rFonts w:cs="Times New Roman"/>
          <w:lang w:val="en-US"/>
        </w:rPr>
      </w:pPr>
      <w:r w:rsidRPr="00422EEB">
        <w:rPr>
          <w:rFonts w:cs="Times New Roman"/>
          <w:lang w:val="en-US"/>
        </w:rPr>
        <w:t xml:space="preserve">Buildings account for a significant share of global energy consumption and contribute substantially to carbon dioxide emissions, a major driver of global warming, as reported by Zhao et al </w:t>
      </w:r>
      <w:sdt>
        <w:sdtPr>
          <w:rPr>
            <w:rFonts w:cs="Times New Roman"/>
            <w:lang w:val="en-US"/>
          </w:rPr>
          <w:id w:val="229668312"/>
          <w:citation/>
        </w:sdtPr>
        <w:sdtContent>
          <w:r>
            <w:rPr>
              <w:rFonts w:cs="Times New Roman"/>
              <w:lang w:val="en-US"/>
            </w:rPr>
            <w:fldChar w:fldCharType="begin"/>
          </w:r>
          <w:r w:rsidRPr="00422EEB">
            <w:rPr>
              <w:rFonts w:cs="Times New Roman"/>
              <w:lang w:val="en-US"/>
            </w:rPr>
            <w:instrText xml:space="preserve"> CITATION Placeholder105 \l 1040 </w:instrText>
          </w:r>
          <w:r>
            <w:rPr>
              <w:rFonts w:cs="Times New Roman"/>
              <w:lang w:val="en-US"/>
            </w:rPr>
            <w:fldChar w:fldCharType="separate"/>
          </w:r>
          <w:r w:rsidR="00855396" w:rsidRPr="00855396">
            <w:rPr>
              <w:rFonts w:cs="Times New Roman"/>
              <w:noProof/>
              <w:lang w:val="en-US"/>
            </w:rPr>
            <w:t>[99]</w:t>
          </w:r>
          <w:r>
            <w:rPr>
              <w:rFonts w:cs="Times New Roman"/>
              <w:lang w:val="en-US"/>
            </w:rPr>
            <w:fldChar w:fldCharType="end"/>
          </w:r>
        </w:sdtContent>
      </w:sdt>
      <w:r w:rsidRPr="00422EEB">
        <w:rPr>
          <w:rFonts w:cs="Times New Roman"/>
          <w:lang w:val="en-US"/>
        </w:rPr>
        <w:t xml:space="preserve">. Their energy use represents about 21% of total greenhouse gas emissions and is expected to exceed 50% by 2050 due to rising global temperatures and increasing urbanization </w:t>
      </w:r>
      <w:sdt>
        <w:sdtPr>
          <w:rPr>
            <w:rFonts w:cs="Times New Roman"/>
            <w:lang w:val="en-US"/>
          </w:rPr>
          <w:id w:val="1752464947"/>
          <w:citation/>
        </w:sdtPr>
        <w:sdtContent>
          <w:r>
            <w:rPr>
              <w:rFonts w:cs="Times New Roman"/>
              <w:lang w:val="en-US"/>
            </w:rPr>
            <w:fldChar w:fldCharType="begin"/>
          </w:r>
          <w:r w:rsidRPr="00422EEB">
            <w:rPr>
              <w:rFonts w:cs="Times New Roman"/>
              <w:lang w:val="en-US"/>
            </w:rPr>
            <w:instrText xml:space="preserve"> CITATION Placeholder106 \l 1040 </w:instrText>
          </w:r>
          <w:r>
            <w:rPr>
              <w:rFonts w:cs="Times New Roman"/>
              <w:lang w:val="en-US"/>
            </w:rPr>
            <w:fldChar w:fldCharType="separate"/>
          </w:r>
          <w:r w:rsidR="00855396" w:rsidRPr="00855396">
            <w:rPr>
              <w:rFonts w:cs="Times New Roman"/>
              <w:noProof/>
              <w:lang w:val="en-US"/>
            </w:rPr>
            <w:t>[100]</w:t>
          </w:r>
          <w:r>
            <w:rPr>
              <w:rFonts w:cs="Times New Roman"/>
              <w:lang w:val="en-US"/>
            </w:rPr>
            <w:fldChar w:fldCharType="end"/>
          </w:r>
        </w:sdtContent>
      </w:sdt>
      <w:r w:rsidRPr="00422EEB">
        <w:rPr>
          <w:rFonts w:cs="Times New Roman"/>
          <w:lang w:val="en-US"/>
        </w:rPr>
        <w:t xml:space="preserve">. To reduce energy consumption and improve efficiency, particular attention must be given to the building envelope. The building </w:t>
      </w:r>
      <w:r w:rsidRPr="00422EEB">
        <w:rPr>
          <w:rFonts w:cs="Times New Roman"/>
          <w:lang w:val="en-US"/>
        </w:rPr>
        <w:lastRenderedPageBreak/>
        <w:t xml:space="preserve">envelope acts as a barrier between indoor and outdoor environments and includes walls, roofs, floors, windows, and doors </w:t>
      </w:r>
      <w:sdt>
        <w:sdtPr>
          <w:rPr>
            <w:rFonts w:cs="Times New Roman"/>
            <w:lang w:val="en-US"/>
          </w:rPr>
          <w:id w:val="-1083370714"/>
          <w:citation/>
        </w:sdtPr>
        <w:sdtContent>
          <w:r>
            <w:rPr>
              <w:rFonts w:cs="Times New Roman"/>
              <w:lang w:val="en-US"/>
            </w:rPr>
            <w:fldChar w:fldCharType="begin"/>
          </w:r>
          <w:r w:rsidRPr="00422EEB">
            <w:rPr>
              <w:rFonts w:cs="Times New Roman"/>
              <w:lang w:val="en-US"/>
            </w:rPr>
            <w:instrText xml:space="preserve"> CITATION Placeholder107 \l 1040 </w:instrText>
          </w:r>
          <w:r>
            <w:rPr>
              <w:rFonts w:cs="Times New Roman"/>
              <w:lang w:val="en-US"/>
            </w:rPr>
            <w:fldChar w:fldCharType="separate"/>
          </w:r>
          <w:r w:rsidR="00855396" w:rsidRPr="00855396">
            <w:rPr>
              <w:rFonts w:cs="Times New Roman"/>
              <w:noProof/>
              <w:lang w:val="en-US"/>
            </w:rPr>
            <w:t>[101]</w:t>
          </w:r>
          <w:r>
            <w:rPr>
              <w:rFonts w:cs="Times New Roman"/>
              <w:lang w:val="en-US"/>
            </w:rPr>
            <w:fldChar w:fldCharType="end"/>
          </w:r>
        </w:sdtContent>
      </w:sdt>
      <w:r w:rsidRPr="00422EEB">
        <w:rPr>
          <w:rFonts w:cs="Times New Roman"/>
          <w:lang w:val="en-US"/>
        </w:rPr>
        <w:t xml:space="preserve">. To address this issue, PCMs are commonly used as effective heat storage materials in building construction. They enhance indoor thermal comfort and reduce overall energy demand. Solid–liquid PCMs are especially suitable for building structures, as they undergo minimal volume changes during phase transition </w:t>
      </w:r>
      <w:sdt>
        <w:sdtPr>
          <w:rPr>
            <w:rFonts w:cs="Times New Roman"/>
            <w:lang w:val="en-US"/>
          </w:rPr>
          <w:id w:val="-514612737"/>
          <w:citation/>
        </w:sdtPr>
        <w:sdtContent>
          <w:r>
            <w:rPr>
              <w:rFonts w:cs="Times New Roman"/>
              <w:lang w:val="en-US"/>
            </w:rPr>
            <w:fldChar w:fldCharType="begin"/>
          </w:r>
          <w:r w:rsidRPr="00422EEB">
            <w:rPr>
              <w:rFonts w:cs="Times New Roman"/>
              <w:lang w:val="en-US"/>
            </w:rPr>
            <w:instrText xml:space="preserve"> CITATION Placeholder108 \l 1040 </w:instrText>
          </w:r>
          <w:r>
            <w:rPr>
              <w:rFonts w:cs="Times New Roman"/>
              <w:lang w:val="en-US"/>
            </w:rPr>
            <w:fldChar w:fldCharType="separate"/>
          </w:r>
          <w:r w:rsidR="00855396" w:rsidRPr="00855396">
            <w:rPr>
              <w:rFonts w:cs="Times New Roman"/>
              <w:noProof/>
              <w:lang w:val="en-US"/>
            </w:rPr>
            <w:t>[102]</w:t>
          </w:r>
          <w:r>
            <w:rPr>
              <w:rFonts w:cs="Times New Roman"/>
              <w:lang w:val="en-US"/>
            </w:rPr>
            <w:fldChar w:fldCharType="end"/>
          </w:r>
        </w:sdtContent>
      </w:sdt>
      <w:r w:rsidRPr="00422EEB">
        <w:rPr>
          <w:rFonts w:cs="Times New Roman"/>
          <w:lang w:val="en-US"/>
        </w:rPr>
        <w:t xml:space="preserve">. By melting during the day and absorbing solar radiation, PCMs can delay indoor temperature fluctuations and reduce temperature peaks, improving thermal comfort and lowering cooling loads </w:t>
      </w:r>
      <w:sdt>
        <w:sdtPr>
          <w:rPr>
            <w:rFonts w:cs="Times New Roman"/>
            <w:lang w:val="en-US"/>
          </w:rPr>
          <w:id w:val="-1824275066"/>
          <w:citation/>
        </w:sdtPr>
        <w:sdtContent>
          <w:r>
            <w:rPr>
              <w:rFonts w:cs="Times New Roman"/>
              <w:lang w:val="en-US"/>
            </w:rPr>
            <w:fldChar w:fldCharType="begin"/>
          </w:r>
          <w:r w:rsidRPr="00422EEB">
            <w:rPr>
              <w:rFonts w:cs="Times New Roman"/>
              <w:lang w:val="en-US"/>
            </w:rPr>
            <w:instrText xml:space="preserve"> CITATION Placeholder109 \l 1040 </w:instrText>
          </w:r>
          <w:r>
            <w:rPr>
              <w:rFonts w:cs="Times New Roman"/>
              <w:lang w:val="en-US"/>
            </w:rPr>
            <w:fldChar w:fldCharType="separate"/>
          </w:r>
          <w:r w:rsidR="00855396" w:rsidRPr="00855396">
            <w:rPr>
              <w:rFonts w:cs="Times New Roman"/>
              <w:noProof/>
              <w:lang w:val="en-US"/>
            </w:rPr>
            <w:t>[103]</w:t>
          </w:r>
          <w:r>
            <w:rPr>
              <w:rFonts w:cs="Times New Roman"/>
              <w:lang w:val="en-US"/>
            </w:rPr>
            <w:fldChar w:fldCharType="end"/>
          </w:r>
        </w:sdtContent>
      </w:sdt>
      <w:r w:rsidRPr="00422EEB">
        <w:rPr>
          <w:rFonts w:cs="Times New Roman"/>
          <w:lang w:val="en-US"/>
        </w:rPr>
        <w:t xml:space="preserve">. At night, they release the stored thermal energy as they solidify, allowing efficient heat recycling between indoor and outdoor environments </w:t>
      </w:r>
      <w:sdt>
        <w:sdtPr>
          <w:rPr>
            <w:rFonts w:cs="Times New Roman"/>
            <w:lang w:val="en-US"/>
          </w:rPr>
          <w:id w:val="-724522383"/>
          <w:citation/>
        </w:sdtPr>
        <w:sdtContent>
          <w:r w:rsidR="00A915A4">
            <w:rPr>
              <w:rFonts w:cs="Times New Roman"/>
              <w:lang w:val="en-US"/>
            </w:rPr>
            <w:fldChar w:fldCharType="begin"/>
          </w:r>
          <w:r w:rsidR="00A915A4" w:rsidRPr="00A915A4">
            <w:rPr>
              <w:rFonts w:cs="Times New Roman"/>
              <w:lang w:val="en-US"/>
            </w:rPr>
            <w:instrText xml:space="preserve"> CITATION Placeholder110 \l 1040 </w:instrText>
          </w:r>
          <w:r w:rsidR="00A915A4">
            <w:rPr>
              <w:rFonts w:cs="Times New Roman"/>
              <w:lang w:val="en-US"/>
            </w:rPr>
            <w:fldChar w:fldCharType="separate"/>
          </w:r>
          <w:r w:rsidR="00855396" w:rsidRPr="00855396">
            <w:rPr>
              <w:rFonts w:cs="Times New Roman"/>
              <w:noProof/>
              <w:lang w:val="en-US"/>
            </w:rPr>
            <w:t>[104]</w:t>
          </w:r>
          <w:r w:rsidR="00A915A4">
            <w:rPr>
              <w:rFonts w:cs="Times New Roman"/>
              <w:lang w:val="en-US"/>
            </w:rPr>
            <w:fldChar w:fldCharType="end"/>
          </w:r>
        </w:sdtContent>
      </w:sdt>
      <w:r w:rsidRPr="00422EEB">
        <w:rPr>
          <w:rFonts w:cs="Times New Roman"/>
          <w:lang w:val="en-US"/>
        </w:rPr>
        <w:t xml:space="preserve">. When thermal mass is integrated into well-insulated structures, energy savings for residential heating and cooling can range from 5% to 30% </w:t>
      </w:r>
      <w:sdt>
        <w:sdtPr>
          <w:rPr>
            <w:rFonts w:cs="Times New Roman"/>
            <w:lang w:val="en-US"/>
          </w:rPr>
          <w:id w:val="-942613323"/>
          <w:citation/>
        </w:sdtPr>
        <w:sdtContent>
          <w:r w:rsidR="00A915A4">
            <w:rPr>
              <w:rFonts w:cs="Times New Roman"/>
              <w:lang w:val="en-US"/>
            </w:rPr>
            <w:fldChar w:fldCharType="begin"/>
          </w:r>
          <w:r w:rsidR="00A915A4" w:rsidRPr="00A915A4">
            <w:rPr>
              <w:rFonts w:cs="Times New Roman"/>
              <w:lang w:val="en-US"/>
            </w:rPr>
            <w:instrText xml:space="preserve"> CITATION Placeholder111 \l 1040 </w:instrText>
          </w:r>
          <w:r w:rsidR="00A915A4">
            <w:rPr>
              <w:rFonts w:cs="Times New Roman"/>
              <w:lang w:val="en-US"/>
            </w:rPr>
            <w:fldChar w:fldCharType="separate"/>
          </w:r>
          <w:r w:rsidR="00855396" w:rsidRPr="00855396">
            <w:rPr>
              <w:rFonts w:cs="Times New Roman"/>
              <w:noProof/>
              <w:lang w:val="en-US"/>
            </w:rPr>
            <w:t>[105]</w:t>
          </w:r>
          <w:r w:rsidR="00A915A4">
            <w:rPr>
              <w:rFonts w:cs="Times New Roman"/>
              <w:lang w:val="en-US"/>
            </w:rPr>
            <w:fldChar w:fldCharType="end"/>
          </w:r>
        </w:sdtContent>
      </w:sdt>
      <w:r w:rsidRPr="00422EEB">
        <w:rPr>
          <w:rFonts w:cs="Times New Roman"/>
          <w:lang w:val="en-US"/>
        </w:rPr>
        <w:t xml:space="preserve">. Abass et al. </w:t>
      </w:r>
      <w:sdt>
        <w:sdtPr>
          <w:rPr>
            <w:rFonts w:cs="Times New Roman"/>
            <w:lang w:val="en-US"/>
          </w:rPr>
          <w:id w:val="-1484928504"/>
          <w:citation/>
        </w:sdtPr>
        <w:sdtContent>
          <w:r w:rsidR="00A915A4">
            <w:rPr>
              <w:rFonts w:cs="Times New Roman"/>
              <w:lang w:val="en-US"/>
            </w:rPr>
            <w:fldChar w:fldCharType="begin"/>
          </w:r>
          <w:r w:rsidR="00A915A4" w:rsidRPr="008B629F">
            <w:rPr>
              <w:rFonts w:cs="Times New Roman"/>
              <w:lang w:val="en-US"/>
            </w:rPr>
            <w:instrText xml:space="preserve"> CITATION Placeholder112 \l 1040 </w:instrText>
          </w:r>
          <w:r w:rsidR="00A915A4">
            <w:rPr>
              <w:rFonts w:cs="Times New Roman"/>
              <w:lang w:val="en-US"/>
            </w:rPr>
            <w:fldChar w:fldCharType="separate"/>
          </w:r>
          <w:r w:rsidR="00855396" w:rsidRPr="00855396">
            <w:rPr>
              <w:rFonts w:cs="Times New Roman"/>
              <w:noProof/>
              <w:lang w:val="en-US"/>
            </w:rPr>
            <w:t>[106]</w:t>
          </w:r>
          <w:r w:rsidR="00A915A4">
            <w:rPr>
              <w:rFonts w:cs="Times New Roman"/>
              <w:lang w:val="en-US"/>
            </w:rPr>
            <w:fldChar w:fldCharType="end"/>
          </w:r>
        </w:sdtContent>
      </w:sdt>
      <w:r w:rsidRPr="00422EEB">
        <w:rPr>
          <w:rFonts w:cs="Times New Roman"/>
          <w:lang w:val="en-US"/>
        </w:rPr>
        <w:t xml:space="preserve">, in their review, provide a classification of the various applications of PCMs in buildings. Figure </w:t>
      </w:r>
      <w:r w:rsidR="00A915A4">
        <w:rPr>
          <w:rFonts w:cs="Times New Roman"/>
          <w:lang w:val="en-US"/>
        </w:rPr>
        <w:t xml:space="preserve">2.12 </w:t>
      </w:r>
      <w:r w:rsidRPr="00422EEB">
        <w:rPr>
          <w:rFonts w:cs="Times New Roman"/>
          <w:lang w:val="en-US"/>
        </w:rPr>
        <w:t>illustrates the main ways in which PCMs can be integrated into building components. Integration can occur at two levels: within building materials and within building envelope components. In the first case, PCMs are incorporated into elements such as bricks, cementitious concrete, mortars, and paints, enhancing the thermal capacity of the base materials. In the second case, PCMs are directly applied to envelope components, such as floors, walls, windows, and roofs, to regulate thermal fluctuations and improve indoor comfort. This distinction highlights the wide versatility of PCMs and the different implementation strategies aimed at enhancing the overall energy efficiency of buildings.</w:t>
      </w:r>
    </w:p>
    <w:p w14:paraId="21C247AC" w14:textId="77777777" w:rsidR="00422EEB" w:rsidRPr="00422EEB" w:rsidRDefault="00422EEB" w:rsidP="00422EEB">
      <w:pPr>
        <w:keepNext/>
        <w:jc w:val="center"/>
      </w:pPr>
      <w:r w:rsidRPr="00422EEB">
        <w:rPr>
          <w:rFonts w:cs="Times New Roman"/>
          <w:noProof/>
        </w:rPr>
        <w:drawing>
          <wp:inline distT="0" distB="0" distL="0" distR="0" wp14:anchorId="2B62D7EC" wp14:editId="0A023248">
            <wp:extent cx="5054600" cy="2412049"/>
            <wp:effectExtent l="0" t="0" r="0" b="7620"/>
            <wp:docPr id="1879840052" name="Immagine 1" descr="Immagine che contiene testo, schermata, Carattere,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9840052" name="Immagine 1" descr="Immagine che contiene testo, schermata, Carattere, linea&#10;&#10;Il contenuto generato dall'IA potrebbe non essere corretto."/>
                    <pic:cNvPicPr/>
                  </pic:nvPicPr>
                  <pic:blipFill>
                    <a:blip r:embed="rId119"/>
                    <a:stretch>
                      <a:fillRect/>
                    </a:stretch>
                  </pic:blipFill>
                  <pic:spPr>
                    <a:xfrm>
                      <a:off x="0" y="0"/>
                      <a:ext cx="5057077" cy="2413231"/>
                    </a:xfrm>
                    <a:prstGeom prst="rect">
                      <a:avLst/>
                    </a:prstGeom>
                  </pic:spPr>
                </pic:pic>
              </a:graphicData>
            </a:graphic>
          </wp:inline>
        </w:drawing>
      </w:r>
    </w:p>
    <w:p w14:paraId="35445166" w14:textId="51E92321" w:rsidR="00422EEB" w:rsidRPr="00422EEB" w:rsidRDefault="00422EEB" w:rsidP="00422EEB">
      <w:pPr>
        <w:pStyle w:val="Caption"/>
        <w:rPr>
          <w:rFonts w:cs="Times New Roman"/>
        </w:rPr>
      </w:pPr>
      <w:bookmarkStart w:id="117" w:name="_Toc214357739"/>
      <w:r w:rsidRPr="00422EEB">
        <w:rPr>
          <w:rFonts w:cs="Times New Roman"/>
        </w:rPr>
        <w:t xml:space="preserve">Figure </w:t>
      </w:r>
      <w:r w:rsidR="00F824A5">
        <w:rPr>
          <w:rFonts w:cs="Times New Roman"/>
        </w:rPr>
        <w:fldChar w:fldCharType="begin"/>
      </w:r>
      <w:r w:rsidR="00F824A5">
        <w:rPr>
          <w:rFonts w:cs="Times New Roman"/>
        </w:rPr>
        <w:instrText xml:space="preserve"> STYLEREF 1 \s </w:instrText>
      </w:r>
      <w:r w:rsidR="00F824A5">
        <w:rPr>
          <w:rFonts w:cs="Times New Roman"/>
        </w:rPr>
        <w:fldChar w:fldCharType="separate"/>
      </w:r>
      <w:r w:rsidR="000412CE">
        <w:rPr>
          <w:rFonts w:cs="Times New Roman"/>
          <w:noProof/>
        </w:rPr>
        <w:t>2</w:t>
      </w:r>
      <w:r w:rsidR="00F824A5">
        <w:rPr>
          <w:rFonts w:cs="Times New Roman"/>
        </w:rPr>
        <w:fldChar w:fldCharType="end"/>
      </w:r>
      <w:r w:rsidR="00F824A5">
        <w:rPr>
          <w:rFonts w:cs="Times New Roman"/>
        </w:rPr>
        <w:t>.</w:t>
      </w:r>
      <w:r w:rsidR="00F824A5">
        <w:rPr>
          <w:rFonts w:cs="Times New Roman"/>
        </w:rPr>
        <w:fldChar w:fldCharType="begin"/>
      </w:r>
      <w:r w:rsidR="00F824A5">
        <w:rPr>
          <w:rFonts w:cs="Times New Roman"/>
        </w:rPr>
        <w:instrText xml:space="preserve"> SEQ Figure \* ARABIC \s 1 </w:instrText>
      </w:r>
      <w:r w:rsidR="00F824A5">
        <w:rPr>
          <w:rFonts w:cs="Times New Roman"/>
        </w:rPr>
        <w:fldChar w:fldCharType="separate"/>
      </w:r>
      <w:r w:rsidR="000412CE">
        <w:rPr>
          <w:rFonts w:cs="Times New Roman"/>
          <w:noProof/>
        </w:rPr>
        <w:t>11</w:t>
      </w:r>
      <w:r w:rsidR="00F824A5">
        <w:rPr>
          <w:rFonts w:cs="Times New Roman"/>
        </w:rPr>
        <w:fldChar w:fldCharType="end"/>
      </w:r>
      <w:r w:rsidRPr="00422EEB">
        <w:rPr>
          <w:rFonts w:cs="Times New Roman"/>
        </w:rPr>
        <w:t>. Main ways in which PCMs can be integrated into building components</w:t>
      </w:r>
      <w:r w:rsidR="008F3712">
        <w:rPr>
          <w:rFonts w:cs="Times New Roman"/>
        </w:rPr>
        <w:t xml:space="preserve"> [106]</w:t>
      </w:r>
      <w:r w:rsidR="00A165BA">
        <w:rPr>
          <w:rFonts w:cs="Times New Roman"/>
        </w:rPr>
        <w:t>.</w:t>
      </w:r>
      <w:bookmarkEnd w:id="117"/>
    </w:p>
    <w:p w14:paraId="18F38D93" w14:textId="16323B41" w:rsidR="00422EEB" w:rsidRPr="00422EEB" w:rsidRDefault="00422EEB" w:rsidP="00A915A4">
      <w:pPr>
        <w:pStyle w:val="Heading3"/>
        <w:rPr>
          <w:lang w:val="en-US"/>
        </w:rPr>
      </w:pPr>
      <w:bookmarkStart w:id="118" w:name="_Toc213354079"/>
      <w:bookmarkStart w:id="119" w:name="_Toc214356297"/>
      <w:r w:rsidRPr="00422EEB">
        <w:rPr>
          <w:lang w:val="en-US"/>
        </w:rPr>
        <w:t>Application of PCMs in building materials</w:t>
      </w:r>
      <w:bookmarkEnd w:id="118"/>
      <w:bookmarkEnd w:id="119"/>
    </w:p>
    <w:p w14:paraId="528AF9DF" w14:textId="77777777" w:rsidR="00422EEB" w:rsidRPr="00422EEB" w:rsidRDefault="00422EEB" w:rsidP="00422EEB">
      <w:pPr>
        <w:rPr>
          <w:rFonts w:cs="Times New Roman"/>
          <w:lang w:val="en-US"/>
        </w:rPr>
      </w:pPr>
      <w:r w:rsidRPr="00422EEB">
        <w:rPr>
          <w:rFonts w:cs="Times New Roman"/>
          <w:lang w:val="en-US"/>
        </w:rPr>
        <w:t xml:space="preserve">Walls are a key component of a building’s structure, providing support, insulation, and spatial separation. In poorly insulated buildings, external walls can account for around one-third of the total heat loss. Their multilayered configuration also offers </w:t>
      </w:r>
      <w:r w:rsidRPr="00422EEB">
        <w:rPr>
          <w:rFonts w:cs="Times New Roman"/>
          <w:lang w:val="en-US"/>
        </w:rPr>
        <w:lastRenderedPageBreak/>
        <w:t>several opportunities for integrating PCMs, which can help enhance overall thermal performance.</w:t>
      </w:r>
    </w:p>
    <w:p w14:paraId="38A0C611" w14:textId="77777777" w:rsidR="00422EEB" w:rsidRPr="00422EEB" w:rsidRDefault="00422EEB" w:rsidP="00422EEB">
      <w:pPr>
        <w:rPr>
          <w:rFonts w:cs="Times New Roman"/>
          <w:lang w:val="en-US"/>
        </w:rPr>
      </w:pPr>
    </w:p>
    <w:p w14:paraId="0ADB3CCA" w14:textId="13425FCB" w:rsidR="00422EEB" w:rsidRPr="00422EEB" w:rsidRDefault="00422EEB" w:rsidP="00A915A4">
      <w:pPr>
        <w:pStyle w:val="Heading4"/>
      </w:pPr>
      <w:r w:rsidRPr="00422EEB">
        <w:t>PCM integrated bricks.</w:t>
      </w:r>
    </w:p>
    <w:tbl>
      <w:tblPr>
        <w:tblStyle w:val="TableGrid"/>
        <w:tblW w:w="9067" w:type="dxa"/>
        <w:tblLook w:val="04A0" w:firstRow="1" w:lastRow="0" w:firstColumn="1" w:lastColumn="0" w:noHBand="0" w:noVBand="1"/>
      </w:tblPr>
      <w:tblGrid>
        <w:gridCol w:w="2160"/>
        <w:gridCol w:w="2160"/>
        <w:gridCol w:w="2160"/>
        <w:gridCol w:w="2587"/>
      </w:tblGrid>
      <w:tr w:rsidR="00422EEB" w:rsidRPr="00A915A4" w14:paraId="6EFEBEB6" w14:textId="77777777" w:rsidTr="00A915A4">
        <w:tc>
          <w:tcPr>
            <w:tcW w:w="2160" w:type="dxa"/>
            <w:shd w:val="clear" w:color="auto" w:fill="8EA5B6"/>
            <w:vAlign w:val="center"/>
          </w:tcPr>
          <w:p w14:paraId="17B7D738" w14:textId="77777777" w:rsidR="00422EEB" w:rsidRPr="00A915A4" w:rsidRDefault="00422EEB" w:rsidP="00A915A4">
            <w:pPr>
              <w:jc w:val="center"/>
              <w:rPr>
                <w:rFonts w:cs="Times New Roman"/>
                <w:b/>
                <w:bCs/>
                <w:sz w:val="20"/>
                <w:szCs w:val="18"/>
              </w:rPr>
            </w:pPr>
            <w:r w:rsidRPr="00A915A4">
              <w:rPr>
                <w:rFonts w:cs="Times New Roman"/>
                <w:b/>
                <w:bCs/>
                <w:sz w:val="20"/>
                <w:szCs w:val="18"/>
              </w:rPr>
              <w:t>PCM matrix</w:t>
            </w:r>
          </w:p>
        </w:tc>
        <w:tc>
          <w:tcPr>
            <w:tcW w:w="2160" w:type="dxa"/>
            <w:shd w:val="clear" w:color="auto" w:fill="8EA5B6"/>
            <w:vAlign w:val="center"/>
          </w:tcPr>
          <w:p w14:paraId="02C83DEA" w14:textId="25A29D6C" w:rsidR="00422EEB" w:rsidRPr="00F43E9A" w:rsidRDefault="00422EEB" w:rsidP="00A915A4">
            <w:pPr>
              <w:jc w:val="center"/>
              <w:rPr>
                <w:rFonts w:cs="Times New Roman"/>
                <w:b/>
                <w:bCs/>
                <w:sz w:val="20"/>
                <w:szCs w:val="18"/>
              </w:rPr>
            </w:pPr>
            <w:r w:rsidRPr="00F43E9A">
              <w:rPr>
                <w:rFonts w:cs="Times New Roman"/>
                <w:b/>
                <w:bCs/>
                <w:sz w:val="20"/>
                <w:szCs w:val="18"/>
              </w:rPr>
              <w:t>PCM T</w:t>
            </w:r>
            <w:r w:rsidRPr="00F43E9A">
              <w:rPr>
                <w:rFonts w:cs="Times New Roman"/>
                <w:b/>
                <w:bCs/>
                <w:sz w:val="20"/>
                <w:szCs w:val="18"/>
                <w:vertAlign w:val="subscript"/>
              </w:rPr>
              <w:t>m</w:t>
            </w:r>
            <w:r w:rsidR="00584060" w:rsidRPr="00F43E9A">
              <w:rPr>
                <w:rFonts w:cs="Times New Roman"/>
                <w:b/>
                <w:bCs/>
                <w:sz w:val="20"/>
                <w:szCs w:val="18"/>
              </w:rPr>
              <w:t xml:space="preserve"> </w:t>
            </w:r>
            <w:r w:rsidRPr="00F43E9A">
              <w:rPr>
                <w:rFonts w:cs="Times New Roman"/>
                <w:b/>
                <w:bCs/>
                <w:sz w:val="20"/>
                <w:szCs w:val="18"/>
              </w:rPr>
              <w:t>[°C]</w:t>
            </w:r>
            <w:r w:rsidRPr="00F43E9A">
              <w:rPr>
                <w:rFonts w:cs="Times New Roman"/>
                <w:b/>
                <w:bCs/>
                <w:sz w:val="20"/>
                <w:szCs w:val="18"/>
              </w:rPr>
              <w:br/>
            </w:r>
            <w:r w:rsidRPr="00A915A4">
              <w:rPr>
                <w:rFonts w:cs="Times New Roman"/>
                <w:b/>
                <w:bCs/>
                <w:sz w:val="20"/>
                <w:szCs w:val="18"/>
              </w:rPr>
              <w:t>Δ</w:t>
            </w:r>
            <w:r w:rsidRPr="00F43E9A">
              <w:rPr>
                <w:rFonts w:cs="Times New Roman"/>
                <w:b/>
                <w:bCs/>
                <w:sz w:val="20"/>
                <w:szCs w:val="18"/>
              </w:rPr>
              <w:t>H [J/g]</w:t>
            </w:r>
          </w:p>
        </w:tc>
        <w:tc>
          <w:tcPr>
            <w:tcW w:w="2160" w:type="dxa"/>
            <w:shd w:val="clear" w:color="auto" w:fill="8EA5B6"/>
            <w:vAlign w:val="center"/>
          </w:tcPr>
          <w:p w14:paraId="56FBE0D2" w14:textId="77777777" w:rsidR="00422EEB" w:rsidRPr="00A915A4" w:rsidRDefault="00422EEB" w:rsidP="00A915A4">
            <w:pPr>
              <w:jc w:val="center"/>
              <w:rPr>
                <w:rFonts w:cs="Times New Roman"/>
                <w:b/>
                <w:bCs/>
                <w:sz w:val="20"/>
                <w:szCs w:val="18"/>
              </w:rPr>
            </w:pPr>
            <w:r w:rsidRPr="00A915A4">
              <w:rPr>
                <w:rFonts w:cs="Times New Roman"/>
                <w:b/>
                <w:bCs/>
                <w:sz w:val="20"/>
                <w:szCs w:val="18"/>
              </w:rPr>
              <w:t>Brick</w:t>
            </w:r>
          </w:p>
        </w:tc>
        <w:tc>
          <w:tcPr>
            <w:tcW w:w="2587" w:type="dxa"/>
            <w:shd w:val="clear" w:color="auto" w:fill="8EA5B6"/>
            <w:vAlign w:val="center"/>
          </w:tcPr>
          <w:p w14:paraId="17ECB594" w14:textId="77777777" w:rsidR="00422EEB" w:rsidRPr="00A915A4" w:rsidRDefault="00422EEB" w:rsidP="00A915A4">
            <w:pPr>
              <w:jc w:val="center"/>
              <w:rPr>
                <w:rFonts w:cs="Times New Roman"/>
                <w:b/>
                <w:bCs/>
                <w:sz w:val="20"/>
                <w:szCs w:val="18"/>
              </w:rPr>
            </w:pPr>
            <w:r w:rsidRPr="00A915A4">
              <w:rPr>
                <w:rFonts w:cs="Times New Roman"/>
                <w:b/>
                <w:bCs/>
                <w:sz w:val="20"/>
                <w:szCs w:val="18"/>
              </w:rPr>
              <w:t>Main Results</w:t>
            </w:r>
          </w:p>
        </w:tc>
      </w:tr>
      <w:tr w:rsidR="00422EEB" w:rsidRPr="00736B36" w14:paraId="20CB6113" w14:textId="77777777" w:rsidTr="00A915A4">
        <w:trPr>
          <w:trHeight w:val="1158"/>
        </w:trPr>
        <w:tc>
          <w:tcPr>
            <w:tcW w:w="2160" w:type="dxa"/>
            <w:vAlign w:val="center"/>
          </w:tcPr>
          <w:p w14:paraId="3DE7450D" w14:textId="77777777" w:rsidR="00422EEB" w:rsidRPr="00A915A4" w:rsidRDefault="00422EEB" w:rsidP="00A915A4">
            <w:pPr>
              <w:jc w:val="center"/>
              <w:rPr>
                <w:rFonts w:cs="Times New Roman"/>
                <w:sz w:val="20"/>
                <w:szCs w:val="18"/>
              </w:rPr>
            </w:pPr>
            <w:r w:rsidRPr="00A915A4">
              <w:rPr>
                <w:rFonts w:cs="Times New Roman"/>
                <w:sz w:val="20"/>
                <w:szCs w:val="18"/>
              </w:rPr>
              <w:t>Paraffin</w:t>
            </w:r>
          </w:p>
        </w:tc>
        <w:tc>
          <w:tcPr>
            <w:tcW w:w="2160" w:type="dxa"/>
            <w:vAlign w:val="center"/>
          </w:tcPr>
          <w:p w14:paraId="6C50E427" w14:textId="77777777" w:rsidR="00422EEB" w:rsidRPr="00A915A4" w:rsidRDefault="00422EEB" w:rsidP="00A915A4">
            <w:pPr>
              <w:jc w:val="center"/>
              <w:rPr>
                <w:rFonts w:cs="Times New Roman"/>
                <w:sz w:val="20"/>
                <w:szCs w:val="18"/>
              </w:rPr>
            </w:pPr>
            <w:r w:rsidRPr="00A915A4">
              <w:rPr>
                <w:rFonts w:cs="Times New Roman"/>
                <w:sz w:val="20"/>
                <w:szCs w:val="18"/>
              </w:rPr>
              <w:t xml:space="preserve">41.15 / </w:t>
            </w:r>
            <w:r w:rsidRPr="00A915A4">
              <w:rPr>
                <w:rFonts w:cs="Times New Roman"/>
                <w:sz w:val="20"/>
                <w:szCs w:val="18"/>
              </w:rPr>
              <w:br/>
              <w:t>179.87</w:t>
            </w:r>
          </w:p>
        </w:tc>
        <w:tc>
          <w:tcPr>
            <w:tcW w:w="2160" w:type="dxa"/>
            <w:vAlign w:val="center"/>
          </w:tcPr>
          <w:p w14:paraId="764DA39A" w14:textId="77777777" w:rsidR="00422EEB" w:rsidRPr="00A915A4" w:rsidRDefault="00422EEB" w:rsidP="00A915A4">
            <w:pPr>
              <w:rPr>
                <w:rFonts w:cs="Times New Roman"/>
                <w:sz w:val="20"/>
                <w:szCs w:val="18"/>
              </w:rPr>
            </w:pPr>
            <w:r w:rsidRPr="00A915A4">
              <w:rPr>
                <w:rFonts w:cs="Times New Roman"/>
                <w:noProof/>
                <w:sz w:val="20"/>
                <w:szCs w:val="18"/>
              </w:rPr>
              <w:drawing>
                <wp:inline distT="0" distB="0" distL="0" distR="0" wp14:anchorId="114FBAD1" wp14:editId="03AAF449">
                  <wp:extent cx="822960" cy="661035"/>
                  <wp:effectExtent l="0" t="0" r="0" b="5715"/>
                  <wp:docPr id="1032262617" name="Immagine 1" descr="Immagine che contiene mattone, materiale da costruzione, edifici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2262617" name="Immagine 1" descr="Immagine che contiene mattone, materiale da costruzione, edificio&#10;&#10;Il contenuto generato dall'IA potrebbe non essere corretto."/>
                          <pic:cNvPicPr/>
                        </pic:nvPicPr>
                        <pic:blipFill>
                          <a:blip r:embed="rId120">
                            <a:extLst>
                              <a:ext uri="{28A0092B-C50C-407E-A947-70E740481C1C}">
                                <a14:useLocalDpi xmlns:a14="http://schemas.microsoft.com/office/drawing/2010/main" val="0"/>
                              </a:ext>
                            </a:extLst>
                          </a:blip>
                          <a:stretch>
                            <a:fillRect/>
                          </a:stretch>
                        </pic:blipFill>
                        <pic:spPr>
                          <a:xfrm>
                            <a:off x="0" y="0"/>
                            <a:ext cx="822960" cy="661035"/>
                          </a:xfrm>
                          <a:prstGeom prst="rect">
                            <a:avLst/>
                          </a:prstGeom>
                        </pic:spPr>
                      </pic:pic>
                    </a:graphicData>
                  </a:graphic>
                </wp:inline>
              </w:drawing>
            </w:r>
          </w:p>
        </w:tc>
        <w:tc>
          <w:tcPr>
            <w:tcW w:w="2587" w:type="dxa"/>
            <w:vAlign w:val="center"/>
          </w:tcPr>
          <w:p w14:paraId="1B8A3978" w14:textId="77777777" w:rsidR="00422EEB" w:rsidRPr="00A915A4" w:rsidRDefault="00422EEB" w:rsidP="00A915A4">
            <w:pPr>
              <w:jc w:val="center"/>
              <w:rPr>
                <w:rFonts w:cs="Times New Roman"/>
                <w:sz w:val="20"/>
                <w:szCs w:val="18"/>
                <w:lang w:val="en-US"/>
              </w:rPr>
            </w:pPr>
            <w:r w:rsidRPr="00A915A4">
              <w:rPr>
                <w:rFonts w:cs="Times New Roman"/>
                <w:sz w:val="20"/>
                <w:szCs w:val="18"/>
                <w:lang w:val="en-US"/>
              </w:rPr>
              <w:t>Cooling load reduced by 26%, equivalent to saving about $2.76/day.</w:t>
            </w:r>
          </w:p>
        </w:tc>
      </w:tr>
      <w:tr w:rsidR="00422EEB" w:rsidRPr="00736B36" w14:paraId="5D665D69" w14:textId="77777777" w:rsidTr="00A915A4">
        <w:tc>
          <w:tcPr>
            <w:tcW w:w="2160" w:type="dxa"/>
            <w:vAlign w:val="center"/>
          </w:tcPr>
          <w:p w14:paraId="3557DD63" w14:textId="77777777" w:rsidR="00422EEB" w:rsidRPr="00A915A4" w:rsidRDefault="00422EEB" w:rsidP="00A915A4">
            <w:pPr>
              <w:jc w:val="center"/>
              <w:rPr>
                <w:rFonts w:cs="Times New Roman"/>
                <w:sz w:val="20"/>
                <w:szCs w:val="18"/>
              </w:rPr>
            </w:pPr>
            <w:r w:rsidRPr="00A915A4">
              <w:rPr>
                <w:rFonts w:cs="Times New Roman"/>
                <w:sz w:val="20"/>
                <w:szCs w:val="18"/>
              </w:rPr>
              <w:t>OD–CA</w:t>
            </w:r>
          </w:p>
        </w:tc>
        <w:tc>
          <w:tcPr>
            <w:tcW w:w="2160" w:type="dxa"/>
            <w:vAlign w:val="center"/>
          </w:tcPr>
          <w:p w14:paraId="06D4DD62" w14:textId="77777777" w:rsidR="00422EEB" w:rsidRPr="00A915A4" w:rsidRDefault="00422EEB" w:rsidP="00A915A4">
            <w:pPr>
              <w:jc w:val="center"/>
              <w:rPr>
                <w:rFonts w:cs="Times New Roman"/>
                <w:sz w:val="20"/>
                <w:szCs w:val="18"/>
              </w:rPr>
            </w:pPr>
            <w:r w:rsidRPr="00A915A4">
              <w:rPr>
                <w:rFonts w:cs="Times New Roman"/>
                <w:sz w:val="20"/>
                <w:szCs w:val="18"/>
              </w:rPr>
              <w:t>/</w:t>
            </w:r>
          </w:p>
        </w:tc>
        <w:tc>
          <w:tcPr>
            <w:tcW w:w="2160" w:type="dxa"/>
            <w:vAlign w:val="center"/>
          </w:tcPr>
          <w:p w14:paraId="2F3DB7D8" w14:textId="77777777" w:rsidR="00422EEB" w:rsidRPr="00A915A4" w:rsidRDefault="00422EEB" w:rsidP="00A915A4">
            <w:pPr>
              <w:jc w:val="center"/>
              <w:rPr>
                <w:rFonts w:cs="Times New Roman"/>
                <w:sz w:val="20"/>
                <w:szCs w:val="18"/>
              </w:rPr>
            </w:pPr>
            <w:r w:rsidRPr="00A915A4">
              <w:rPr>
                <w:rFonts w:cs="Times New Roman"/>
                <w:noProof/>
                <w:sz w:val="20"/>
                <w:szCs w:val="18"/>
              </w:rPr>
              <w:drawing>
                <wp:inline distT="0" distB="0" distL="0" distR="0" wp14:anchorId="3E69A914" wp14:editId="768845AB">
                  <wp:extent cx="670560" cy="773723"/>
                  <wp:effectExtent l="0" t="0" r="0" b="7620"/>
                  <wp:docPr id="1120635977" name="Immagine 1" descr="Immagine che contiene matton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0635977" name="Immagine 1" descr="Immagine che contiene mattone&#10;&#10;Il contenuto generato dall'IA potrebbe non essere corretto."/>
                          <pic:cNvPicPr/>
                        </pic:nvPicPr>
                        <pic:blipFill>
                          <a:blip r:embed="rId121"/>
                          <a:stretch>
                            <a:fillRect/>
                          </a:stretch>
                        </pic:blipFill>
                        <pic:spPr>
                          <a:xfrm>
                            <a:off x="0" y="0"/>
                            <a:ext cx="673301" cy="776886"/>
                          </a:xfrm>
                          <a:prstGeom prst="rect">
                            <a:avLst/>
                          </a:prstGeom>
                        </pic:spPr>
                      </pic:pic>
                    </a:graphicData>
                  </a:graphic>
                </wp:inline>
              </w:drawing>
            </w:r>
          </w:p>
        </w:tc>
        <w:tc>
          <w:tcPr>
            <w:tcW w:w="2587" w:type="dxa"/>
            <w:vAlign w:val="center"/>
          </w:tcPr>
          <w:p w14:paraId="6DC298A1" w14:textId="77777777" w:rsidR="00422EEB" w:rsidRPr="00A915A4" w:rsidRDefault="00422EEB" w:rsidP="00A915A4">
            <w:pPr>
              <w:jc w:val="center"/>
              <w:rPr>
                <w:rFonts w:cs="Times New Roman"/>
                <w:sz w:val="20"/>
                <w:szCs w:val="18"/>
                <w:lang w:val="en-US"/>
              </w:rPr>
            </w:pPr>
            <w:r w:rsidRPr="00A915A4">
              <w:rPr>
                <w:rFonts w:cs="Times New Roman"/>
                <w:sz w:val="20"/>
                <w:szCs w:val="18"/>
                <w:lang w:val="en-US"/>
              </w:rPr>
              <w:t>Peak temperature reduction of 9.97°C to 1.31°C was observed in the PCM brick compared to the normal brick.</w:t>
            </w:r>
          </w:p>
        </w:tc>
      </w:tr>
      <w:tr w:rsidR="00422EEB" w:rsidRPr="00736B36" w14:paraId="15FB1296" w14:textId="77777777" w:rsidTr="00A915A4">
        <w:tc>
          <w:tcPr>
            <w:tcW w:w="2160" w:type="dxa"/>
            <w:vAlign w:val="center"/>
          </w:tcPr>
          <w:p w14:paraId="3B1A67FA" w14:textId="77777777" w:rsidR="00422EEB" w:rsidRPr="00A915A4" w:rsidRDefault="00422EEB" w:rsidP="00A915A4">
            <w:pPr>
              <w:jc w:val="center"/>
              <w:rPr>
                <w:rFonts w:cs="Times New Roman"/>
                <w:sz w:val="20"/>
                <w:szCs w:val="18"/>
              </w:rPr>
            </w:pPr>
            <w:r w:rsidRPr="00A915A4">
              <w:rPr>
                <w:rFonts w:cs="Times New Roman"/>
                <w:sz w:val="20"/>
                <w:szCs w:val="18"/>
              </w:rPr>
              <w:t>RT22–RT30, CA</w:t>
            </w:r>
          </w:p>
        </w:tc>
        <w:tc>
          <w:tcPr>
            <w:tcW w:w="2160" w:type="dxa"/>
            <w:vAlign w:val="center"/>
          </w:tcPr>
          <w:p w14:paraId="7F13ABB2" w14:textId="77777777" w:rsidR="00422EEB" w:rsidRPr="00A915A4" w:rsidRDefault="00422EEB" w:rsidP="00A915A4">
            <w:pPr>
              <w:jc w:val="center"/>
              <w:rPr>
                <w:rFonts w:cs="Times New Roman"/>
                <w:sz w:val="20"/>
                <w:szCs w:val="18"/>
              </w:rPr>
            </w:pPr>
            <w:r w:rsidRPr="00A915A4">
              <w:rPr>
                <w:rFonts w:cs="Times New Roman"/>
                <w:sz w:val="20"/>
                <w:szCs w:val="18"/>
              </w:rPr>
              <w:t xml:space="preserve">22–32 / </w:t>
            </w:r>
            <w:r w:rsidRPr="00A915A4">
              <w:rPr>
                <w:rFonts w:cs="Times New Roman"/>
                <w:sz w:val="20"/>
                <w:szCs w:val="18"/>
              </w:rPr>
              <w:br/>
              <w:t>190–250 / 152–250</w:t>
            </w:r>
          </w:p>
        </w:tc>
        <w:tc>
          <w:tcPr>
            <w:tcW w:w="2160" w:type="dxa"/>
            <w:vAlign w:val="center"/>
          </w:tcPr>
          <w:p w14:paraId="30AECF9D" w14:textId="77777777" w:rsidR="00422EEB" w:rsidRPr="00A915A4" w:rsidRDefault="00422EEB" w:rsidP="00A915A4">
            <w:pPr>
              <w:jc w:val="center"/>
              <w:rPr>
                <w:rFonts w:cs="Times New Roman"/>
                <w:sz w:val="20"/>
                <w:szCs w:val="18"/>
              </w:rPr>
            </w:pPr>
            <w:r w:rsidRPr="00A915A4">
              <w:rPr>
                <w:rFonts w:cs="Times New Roman"/>
                <w:noProof/>
                <w:sz w:val="20"/>
                <w:szCs w:val="18"/>
              </w:rPr>
              <w:drawing>
                <wp:inline distT="0" distB="0" distL="0" distR="0" wp14:anchorId="64E5B66B" wp14:editId="5B94061B">
                  <wp:extent cx="739140" cy="712976"/>
                  <wp:effectExtent l="0" t="0" r="3810" b="0"/>
                  <wp:docPr id="294798688" name="Immagine 1" descr="Immagine che contiene edificio, materiale da costruzione, mattone, Blocco di legn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798688" name="Immagine 1" descr="Immagine che contiene edificio, materiale da costruzione, mattone, Blocco di legno&#10;&#10;Il contenuto generato dall'IA potrebbe non essere corretto."/>
                          <pic:cNvPicPr/>
                        </pic:nvPicPr>
                        <pic:blipFill>
                          <a:blip r:embed="rId122"/>
                          <a:stretch>
                            <a:fillRect/>
                          </a:stretch>
                        </pic:blipFill>
                        <pic:spPr>
                          <a:xfrm>
                            <a:off x="0" y="0"/>
                            <a:ext cx="746293" cy="719876"/>
                          </a:xfrm>
                          <a:prstGeom prst="rect">
                            <a:avLst/>
                          </a:prstGeom>
                        </pic:spPr>
                      </pic:pic>
                    </a:graphicData>
                  </a:graphic>
                </wp:inline>
              </w:drawing>
            </w:r>
          </w:p>
        </w:tc>
        <w:tc>
          <w:tcPr>
            <w:tcW w:w="2587" w:type="dxa"/>
            <w:vAlign w:val="center"/>
          </w:tcPr>
          <w:p w14:paraId="3D5F8EEE" w14:textId="77777777" w:rsidR="00422EEB" w:rsidRPr="00A915A4" w:rsidRDefault="00422EEB" w:rsidP="00A915A4">
            <w:pPr>
              <w:jc w:val="center"/>
              <w:rPr>
                <w:rFonts w:cs="Times New Roman"/>
                <w:sz w:val="20"/>
                <w:szCs w:val="18"/>
                <w:lang w:val="en-US"/>
              </w:rPr>
            </w:pPr>
            <w:r w:rsidRPr="00A915A4">
              <w:rPr>
                <w:rFonts w:cs="Times New Roman"/>
                <w:sz w:val="20"/>
                <w:szCs w:val="18"/>
                <w:lang w:val="en-US"/>
              </w:rPr>
              <w:t>PCM with melting temperature 26°C saved up to 56% (NE Mediterranean) and 50% (SW Mediterranean).</w:t>
            </w:r>
          </w:p>
        </w:tc>
      </w:tr>
      <w:tr w:rsidR="00422EEB" w:rsidRPr="00736B36" w14:paraId="6A54EEED" w14:textId="77777777" w:rsidTr="00A915A4">
        <w:tc>
          <w:tcPr>
            <w:tcW w:w="2160" w:type="dxa"/>
            <w:vAlign w:val="center"/>
          </w:tcPr>
          <w:p w14:paraId="5C04BAF7" w14:textId="77777777" w:rsidR="00422EEB" w:rsidRPr="00A915A4" w:rsidRDefault="00422EEB" w:rsidP="00A915A4">
            <w:pPr>
              <w:jc w:val="center"/>
              <w:rPr>
                <w:rFonts w:cs="Times New Roman"/>
                <w:sz w:val="20"/>
                <w:szCs w:val="18"/>
              </w:rPr>
            </w:pPr>
            <w:r w:rsidRPr="00A915A4">
              <w:rPr>
                <w:rFonts w:cs="Times New Roman"/>
                <w:sz w:val="20"/>
                <w:szCs w:val="18"/>
              </w:rPr>
              <w:t>CA, BC, RT–42</w:t>
            </w:r>
          </w:p>
        </w:tc>
        <w:tc>
          <w:tcPr>
            <w:tcW w:w="2160" w:type="dxa"/>
            <w:vAlign w:val="center"/>
          </w:tcPr>
          <w:p w14:paraId="3C857198" w14:textId="77777777" w:rsidR="00422EEB" w:rsidRPr="00A915A4" w:rsidRDefault="00422EEB" w:rsidP="00A915A4">
            <w:pPr>
              <w:jc w:val="center"/>
              <w:rPr>
                <w:rFonts w:cs="Times New Roman"/>
                <w:sz w:val="20"/>
                <w:szCs w:val="18"/>
              </w:rPr>
            </w:pPr>
            <w:r w:rsidRPr="00A915A4">
              <w:rPr>
                <w:rFonts w:cs="Times New Roman"/>
                <w:sz w:val="20"/>
                <w:szCs w:val="18"/>
              </w:rPr>
              <w:t xml:space="preserve">31/36/39 / </w:t>
            </w:r>
            <w:r w:rsidRPr="00A915A4">
              <w:rPr>
                <w:rFonts w:cs="Times New Roman"/>
                <w:sz w:val="20"/>
                <w:szCs w:val="18"/>
              </w:rPr>
              <w:br/>
              <w:t>152.7–141.6</w:t>
            </w:r>
          </w:p>
        </w:tc>
        <w:tc>
          <w:tcPr>
            <w:tcW w:w="2160" w:type="dxa"/>
            <w:vAlign w:val="center"/>
          </w:tcPr>
          <w:p w14:paraId="6663A238" w14:textId="77777777" w:rsidR="00422EEB" w:rsidRPr="00A915A4" w:rsidRDefault="00422EEB" w:rsidP="00A915A4">
            <w:pPr>
              <w:jc w:val="center"/>
              <w:rPr>
                <w:rFonts w:cs="Times New Roman"/>
                <w:sz w:val="20"/>
                <w:szCs w:val="18"/>
              </w:rPr>
            </w:pPr>
            <w:r w:rsidRPr="00A915A4">
              <w:rPr>
                <w:rFonts w:cs="Times New Roman"/>
                <w:noProof/>
                <w:sz w:val="20"/>
                <w:szCs w:val="18"/>
              </w:rPr>
              <w:drawing>
                <wp:inline distT="0" distB="0" distL="0" distR="0" wp14:anchorId="58BB0E7A" wp14:editId="1B2741E7">
                  <wp:extent cx="891540" cy="551906"/>
                  <wp:effectExtent l="0" t="0" r="3810" b="635"/>
                  <wp:docPr id="2113075748" name="Immagine 1" descr="Immagine che contiene edificio, cub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3075748" name="Immagine 1" descr="Immagine che contiene edificio, cubo&#10;&#10;Il contenuto generato dall'IA potrebbe non essere corretto."/>
                          <pic:cNvPicPr/>
                        </pic:nvPicPr>
                        <pic:blipFill>
                          <a:blip r:embed="rId123"/>
                          <a:stretch>
                            <a:fillRect/>
                          </a:stretch>
                        </pic:blipFill>
                        <pic:spPr>
                          <a:xfrm>
                            <a:off x="0" y="0"/>
                            <a:ext cx="898142" cy="555993"/>
                          </a:xfrm>
                          <a:prstGeom prst="rect">
                            <a:avLst/>
                          </a:prstGeom>
                        </pic:spPr>
                      </pic:pic>
                    </a:graphicData>
                  </a:graphic>
                </wp:inline>
              </w:drawing>
            </w:r>
          </w:p>
        </w:tc>
        <w:tc>
          <w:tcPr>
            <w:tcW w:w="2587" w:type="dxa"/>
            <w:vAlign w:val="center"/>
          </w:tcPr>
          <w:p w14:paraId="17531B8F" w14:textId="77777777" w:rsidR="00422EEB" w:rsidRPr="00A915A4" w:rsidRDefault="00422EEB" w:rsidP="00A915A4">
            <w:pPr>
              <w:jc w:val="center"/>
              <w:rPr>
                <w:rFonts w:cs="Times New Roman"/>
                <w:sz w:val="20"/>
                <w:szCs w:val="18"/>
                <w:lang w:val="en-US"/>
              </w:rPr>
            </w:pPr>
            <w:r w:rsidRPr="00A915A4">
              <w:rPr>
                <w:rFonts w:cs="Times New Roman"/>
                <w:sz w:val="20"/>
                <w:szCs w:val="18"/>
                <w:lang w:val="en-US"/>
              </w:rPr>
              <w:t>Reduced inner surface temperature by 6.5°C and heat flux by 73.7%.</w:t>
            </w:r>
          </w:p>
        </w:tc>
      </w:tr>
      <w:tr w:rsidR="00422EEB" w:rsidRPr="00736B36" w14:paraId="1DA75BCA" w14:textId="77777777" w:rsidTr="00A915A4">
        <w:tc>
          <w:tcPr>
            <w:tcW w:w="2160" w:type="dxa"/>
            <w:vAlign w:val="center"/>
          </w:tcPr>
          <w:p w14:paraId="575ED9DB" w14:textId="77777777" w:rsidR="00422EEB" w:rsidRPr="00A915A4" w:rsidRDefault="00422EEB" w:rsidP="00A915A4">
            <w:pPr>
              <w:jc w:val="center"/>
              <w:rPr>
                <w:rFonts w:cs="Times New Roman"/>
                <w:sz w:val="20"/>
                <w:szCs w:val="18"/>
              </w:rPr>
            </w:pPr>
            <w:r w:rsidRPr="00A915A4">
              <w:rPr>
                <w:rFonts w:cs="Times New Roman"/>
                <w:sz w:val="20"/>
                <w:szCs w:val="18"/>
              </w:rPr>
              <w:t>RT15, RT18, RT22</w:t>
            </w:r>
          </w:p>
        </w:tc>
        <w:tc>
          <w:tcPr>
            <w:tcW w:w="2160" w:type="dxa"/>
            <w:vAlign w:val="center"/>
          </w:tcPr>
          <w:p w14:paraId="6CD885A4" w14:textId="77777777" w:rsidR="00422EEB" w:rsidRPr="00A915A4" w:rsidRDefault="00422EEB" w:rsidP="00A915A4">
            <w:pPr>
              <w:jc w:val="center"/>
              <w:rPr>
                <w:rFonts w:cs="Times New Roman"/>
                <w:sz w:val="20"/>
                <w:szCs w:val="18"/>
              </w:rPr>
            </w:pPr>
            <w:r w:rsidRPr="00A915A4">
              <w:rPr>
                <w:rFonts w:cs="Times New Roman"/>
                <w:sz w:val="20"/>
                <w:szCs w:val="18"/>
              </w:rPr>
              <w:t xml:space="preserve">15/18 </w:t>
            </w:r>
            <w:r w:rsidRPr="00A915A4">
              <w:rPr>
                <w:rFonts w:cs="Times New Roman"/>
                <w:sz w:val="20"/>
                <w:szCs w:val="18"/>
              </w:rPr>
              <w:br/>
              <w:t>155/260 / 190</w:t>
            </w:r>
          </w:p>
        </w:tc>
        <w:tc>
          <w:tcPr>
            <w:tcW w:w="2160" w:type="dxa"/>
            <w:vAlign w:val="center"/>
          </w:tcPr>
          <w:p w14:paraId="498BD1AC" w14:textId="77777777" w:rsidR="00422EEB" w:rsidRPr="00A915A4" w:rsidRDefault="00422EEB" w:rsidP="00A915A4">
            <w:pPr>
              <w:jc w:val="center"/>
              <w:rPr>
                <w:rFonts w:cs="Times New Roman"/>
                <w:sz w:val="20"/>
                <w:szCs w:val="18"/>
              </w:rPr>
            </w:pPr>
            <w:r w:rsidRPr="00A915A4">
              <w:rPr>
                <w:rFonts w:cs="Times New Roman"/>
                <w:noProof/>
                <w:sz w:val="20"/>
                <w:szCs w:val="18"/>
              </w:rPr>
              <w:drawing>
                <wp:inline distT="0" distB="0" distL="0" distR="0" wp14:anchorId="4C17FDC1" wp14:editId="4F6EAFDA">
                  <wp:extent cx="579120" cy="692426"/>
                  <wp:effectExtent l="0" t="0" r="0" b="0"/>
                  <wp:docPr id="1940365705" name="Immagine 1" descr="Immagine che contiene statico, design&#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0365705" name="Immagine 1" descr="Immagine che contiene statico, design&#10;&#10;Il contenuto generato dall'IA potrebbe non essere corretto."/>
                          <pic:cNvPicPr/>
                        </pic:nvPicPr>
                        <pic:blipFill>
                          <a:blip r:embed="rId124"/>
                          <a:stretch>
                            <a:fillRect/>
                          </a:stretch>
                        </pic:blipFill>
                        <pic:spPr>
                          <a:xfrm>
                            <a:off x="0" y="0"/>
                            <a:ext cx="584398" cy="698737"/>
                          </a:xfrm>
                          <a:prstGeom prst="rect">
                            <a:avLst/>
                          </a:prstGeom>
                        </pic:spPr>
                      </pic:pic>
                    </a:graphicData>
                  </a:graphic>
                </wp:inline>
              </w:drawing>
            </w:r>
          </w:p>
        </w:tc>
        <w:tc>
          <w:tcPr>
            <w:tcW w:w="2587" w:type="dxa"/>
            <w:vAlign w:val="center"/>
          </w:tcPr>
          <w:p w14:paraId="13F79F4F" w14:textId="77777777" w:rsidR="00422EEB" w:rsidRPr="00A915A4" w:rsidRDefault="00422EEB" w:rsidP="00A915A4">
            <w:pPr>
              <w:jc w:val="center"/>
              <w:rPr>
                <w:rFonts w:cs="Times New Roman"/>
                <w:sz w:val="20"/>
                <w:szCs w:val="18"/>
                <w:lang w:val="en-US"/>
              </w:rPr>
            </w:pPr>
            <w:r w:rsidRPr="00A915A4">
              <w:rPr>
                <w:rFonts w:cs="Times New Roman"/>
                <w:sz w:val="20"/>
                <w:szCs w:val="18"/>
                <w:lang w:val="en-US"/>
              </w:rPr>
              <w:t>Reduced heat flux by 66.7%, delayed indoor heat wave by 5.5 h.</w:t>
            </w:r>
          </w:p>
        </w:tc>
      </w:tr>
      <w:tr w:rsidR="00422EEB" w:rsidRPr="00736B36" w14:paraId="35666A6C" w14:textId="77777777" w:rsidTr="00A915A4">
        <w:tc>
          <w:tcPr>
            <w:tcW w:w="2160" w:type="dxa"/>
            <w:vAlign w:val="center"/>
          </w:tcPr>
          <w:p w14:paraId="38790FCD" w14:textId="77777777" w:rsidR="00422EEB" w:rsidRPr="00A915A4" w:rsidRDefault="00422EEB" w:rsidP="00A915A4">
            <w:pPr>
              <w:jc w:val="center"/>
              <w:rPr>
                <w:rFonts w:cs="Times New Roman"/>
                <w:sz w:val="20"/>
                <w:szCs w:val="18"/>
              </w:rPr>
            </w:pPr>
            <w:r w:rsidRPr="00A915A4">
              <w:rPr>
                <w:rFonts w:cs="Times New Roman"/>
                <w:sz w:val="20"/>
                <w:szCs w:val="18"/>
              </w:rPr>
              <w:t>Paraffin, OD, CA, BC</w:t>
            </w:r>
          </w:p>
        </w:tc>
        <w:tc>
          <w:tcPr>
            <w:tcW w:w="2160" w:type="dxa"/>
            <w:vAlign w:val="center"/>
          </w:tcPr>
          <w:p w14:paraId="176006E3" w14:textId="77777777" w:rsidR="00422EEB" w:rsidRPr="00A915A4" w:rsidRDefault="00422EEB" w:rsidP="00A915A4">
            <w:pPr>
              <w:jc w:val="center"/>
              <w:rPr>
                <w:rFonts w:cs="Times New Roman"/>
                <w:sz w:val="20"/>
                <w:szCs w:val="18"/>
              </w:rPr>
            </w:pPr>
            <w:r w:rsidRPr="00A915A4">
              <w:rPr>
                <w:rFonts w:cs="Times New Roman"/>
                <w:sz w:val="20"/>
                <w:szCs w:val="18"/>
              </w:rPr>
              <w:t>24/27/32</w:t>
            </w:r>
            <w:r w:rsidRPr="00A915A4">
              <w:rPr>
                <w:rFonts w:cs="Times New Roman"/>
                <w:sz w:val="20"/>
                <w:szCs w:val="18"/>
              </w:rPr>
              <w:br/>
              <w:t>144/243.5/152–241</w:t>
            </w:r>
          </w:p>
        </w:tc>
        <w:tc>
          <w:tcPr>
            <w:tcW w:w="2160" w:type="dxa"/>
            <w:vAlign w:val="center"/>
          </w:tcPr>
          <w:p w14:paraId="59F4FD04" w14:textId="77777777" w:rsidR="00422EEB" w:rsidRPr="00A915A4" w:rsidRDefault="00422EEB" w:rsidP="00A915A4">
            <w:pPr>
              <w:jc w:val="center"/>
              <w:rPr>
                <w:rFonts w:cs="Times New Roman"/>
                <w:sz w:val="20"/>
                <w:szCs w:val="18"/>
              </w:rPr>
            </w:pPr>
            <w:r w:rsidRPr="00A915A4">
              <w:rPr>
                <w:rFonts w:cs="Times New Roman"/>
                <w:noProof/>
                <w:sz w:val="20"/>
                <w:szCs w:val="18"/>
              </w:rPr>
              <w:drawing>
                <wp:inline distT="0" distB="0" distL="0" distR="0" wp14:anchorId="645D16C2" wp14:editId="623F0523">
                  <wp:extent cx="495300" cy="851915"/>
                  <wp:effectExtent l="0" t="0" r="0" b="5715"/>
                  <wp:docPr id="1818751570" name="Immagine 1" descr="Immagine che contiene edificio, porta, Rettango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8751570" name="Immagine 1" descr="Immagine che contiene edificio, porta, Rettangolo&#10;&#10;Il contenuto generato dall'IA potrebbe non essere corretto."/>
                          <pic:cNvPicPr/>
                        </pic:nvPicPr>
                        <pic:blipFill>
                          <a:blip r:embed="rId125"/>
                          <a:stretch>
                            <a:fillRect/>
                          </a:stretch>
                        </pic:blipFill>
                        <pic:spPr>
                          <a:xfrm>
                            <a:off x="0" y="0"/>
                            <a:ext cx="500638" cy="861096"/>
                          </a:xfrm>
                          <a:prstGeom prst="rect">
                            <a:avLst/>
                          </a:prstGeom>
                        </pic:spPr>
                      </pic:pic>
                    </a:graphicData>
                  </a:graphic>
                </wp:inline>
              </w:drawing>
            </w:r>
          </w:p>
        </w:tc>
        <w:tc>
          <w:tcPr>
            <w:tcW w:w="2587" w:type="dxa"/>
            <w:vAlign w:val="center"/>
          </w:tcPr>
          <w:p w14:paraId="269B7864" w14:textId="77777777" w:rsidR="00422EEB" w:rsidRPr="00A915A4" w:rsidRDefault="00422EEB" w:rsidP="00A915A4">
            <w:pPr>
              <w:jc w:val="center"/>
              <w:rPr>
                <w:rFonts w:cs="Times New Roman"/>
                <w:sz w:val="20"/>
                <w:szCs w:val="18"/>
                <w:lang w:val="en-US"/>
              </w:rPr>
            </w:pPr>
            <w:r w:rsidRPr="00A915A4">
              <w:rPr>
                <w:rFonts w:cs="Times New Roman"/>
                <w:sz w:val="20"/>
                <w:szCs w:val="18"/>
                <w:lang w:val="en-US"/>
              </w:rPr>
              <w:t>PCM (T</w:t>
            </w:r>
            <w:r w:rsidRPr="00A915A4">
              <w:rPr>
                <w:rFonts w:cs="Times New Roman"/>
                <w:sz w:val="20"/>
                <w:szCs w:val="18"/>
                <w:vertAlign w:val="subscript"/>
                <w:lang w:val="en-US"/>
              </w:rPr>
              <w:t>m</w:t>
            </w:r>
            <w:r w:rsidRPr="00A915A4">
              <w:rPr>
                <w:rFonts w:cs="Times New Roman"/>
                <w:sz w:val="20"/>
                <w:szCs w:val="18"/>
                <w:lang w:val="en-US"/>
              </w:rPr>
              <w:t xml:space="preserve"> = 27°C) saved 15–40% energy in different climates.</w:t>
            </w:r>
          </w:p>
        </w:tc>
      </w:tr>
      <w:tr w:rsidR="00422EEB" w:rsidRPr="00736B36" w14:paraId="2E58757E" w14:textId="77777777" w:rsidTr="00A915A4">
        <w:tc>
          <w:tcPr>
            <w:tcW w:w="2160" w:type="dxa"/>
            <w:vAlign w:val="center"/>
          </w:tcPr>
          <w:p w14:paraId="350D7FC3" w14:textId="77777777" w:rsidR="00422EEB" w:rsidRPr="00A915A4" w:rsidRDefault="00422EEB" w:rsidP="00A915A4">
            <w:pPr>
              <w:jc w:val="center"/>
              <w:rPr>
                <w:rFonts w:cs="Times New Roman"/>
                <w:sz w:val="20"/>
                <w:szCs w:val="18"/>
              </w:rPr>
            </w:pPr>
            <w:r w:rsidRPr="00A915A4">
              <w:rPr>
                <w:rFonts w:cs="Times New Roman"/>
                <w:sz w:val="20"/>
                <w:szCs w:val="18"/>
              </w:rPr>
              <w:t>RT25HC</w:t>
            </w:r>
          </w:p>
        </w:tc>
        <w:tc>
          <w:tcPr>
            <w:tcW w:w="2160" w:type="dxa"/>
            <w:vAlign w:val="center"/>
          </w:tcPr>
          <w:p w14:paraId="61EB1D1A" w14:textId="77777777" w:rsidR="00422EEB" w:rsidRPr="00A915A4" w:rsidRDefault="00422EEB" w:rsidP="00A915A4">
            <w:pPr>
              <w:jc w:val="center"/>
              <w:rPr>
                <w:rFonts w:cs="Times New Roman"/>
                <w:sz w:val="20"/>
                <w:szCs w:val="18"/>
              </w:rPr>
            </w:pPr>
            <w:r w:rsidRPr="00A915A4">
              <w:rPr>
                <w:rFonts w:cs="Times New Roman"/>
                <w:sz w:val="20"/>
                <w:szCs w:val="18"/>
              </w:rPr>
              <w:t xml:space="preserve">22 </w:t>
            </w:r>
            <w:r w:rsidRPr="00A915A4">
              <w:rPr>
                <w:rFonts w:cs="Times New Roman"/>
                <w:sz w:val="20"/>
                <w:szCs w:val="18"/>
              </w:rPr>
              <w:br/>
              <w:t>230</w:t>
            </w:r>
          </w:p>
        </w:tc>
        <w:tc>
          <w:tcPr>
            <w:tcW w:w="2160" w:type="dxa"/>
            <w:vAlign w:val="center"/>
          </w:tcPr>
          <w:p w14:paraId="13C8504E" w14:textId="77777777" w:rsidR="00422EEB" w:rsidRPr="00A915A4" w:rsidRDefault="00422EEB" w:rsidP="00A915A4">
            <w:pPr>
              <w:jc w:val="center"/>
              <w:rPr>
                <w:rFonts w:cs="Times New Roman"/>
                <w:sz w:val="20"/>
                <w:szCs w:val="18"/>
              </w:rPr>
            </w:pPr>
            <w:r w:rsidRPr="00A915A4">
              <w:rPr>
                <w:rFonts w:cs="Times New Roman"/>
                <w:noProof/>
                <w:sz w:val="20"/>
                <w:szCs w:val="18"/>
              </w:rPr>
              <w:drawing>
                <wp:inline distT="0" distB="0" distL="0" distR="0" wp14:anchorId="26B508CD" wp14:editId="0A1F6855">
                  <wp:extent cx="1021080" cy="650240"/>
                  <wp:effectExtent l="0" t="0" r="7620" b="0"/>
                  <wp:docPr id="1684786053" name="Immagine 1" descr="Immagine che contiene schermata, design, statico, cartellin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4786053" name="Immagine 1" descr="Immagine che contiene schermata, design, statico, cartellina&#10;&#10;Il contenuto generato dall'IA potrebbe non essere corretto."/>
                          <pic:cNvPicPr/>
                        </pic:nvPicPr>
                        <pic:blipFill>
                          <a:blip r:embed="rId126"/>
                          <a:stretch>
                            <a:fillRect/>
                          </a:stretch>
                        </pic:blipFill>
                        <pic:spPr>
                          <a:xfrm>
                            <a:off x="0" y="0"/>
                            <a:ext cx="1033751" cy="658309"/>
                          </a:xfrm>
                          <a:prstGeom prst="rect">
                            <a:avLst/>
                          </a:prstGeom>
                        </pic:spPr>
                      </pic:pic>
                    </a:graphicData>
                  </a:graphic>
                </wp:inline>
              </w:drawing>
            </w:r>
          </w:p>
        </w:tc>
        <w:tc>
          <w:tcPr>
            <w:tcW w:w="2587" w:type="dxa"/>
            <w:vAlign w:val="center"/>
          </w:tcPr>
          <w:p w14:paraId="06BD7C5B" w14:textId="77777777" w:rsidR="00422EEB" w:rsidRPr="00A915A4" w:rsidRDefault="00422EEB" w:rsidP="00A915A4">
            <w:pPr>
              <w:jc w:val="center"/>
              <w:rPr>
                <w:rFonts w:cs="Times New Roman"/>
                <w:sz w:val="20"/>
                <w:szCs w:val="18"/>
                <w:lang w:val="en-US"/>
              </w:rPr>
            </w:pPr>
            <w:r w:rsidRPr="00A915A4">
              <w:rPr>
                <w:rFonts w:cs="Times New Roman"/>
                <w:sz w:val="20"/>
                <w:szCs w:val="18"/>
                <w:lang w:val="en-US"/>
              </w:rPr>
              <w:t>Reduced heat flux by 48.7%, CO₂ emission by 56.4%.</w:t>
            </w:r>
          </w:p>
        </w:tc>
      </w:tr>
      <w:tr w:rsidR="00422EEB" w:rsidRPr="00736B36" w14:paraId="7CB9E92A" w14:textId="77777777" w:rsidTr="00A915A4">
        <w:tc>
          <w:tcPr>
            <w:tcW w:w="2160" w:type="dxa"/>
            <w:vAlign w:val="center"/>
          </w:tcPr>
          <w:p w14:paraId="12A032BA" w14:textId="77777777" w:rsidR="00422EEB" w:rsidRPr="00A915A4" w:rsidRDefault="00422EEB" w:rsidP="00A915A4">
            <w:pPr>
              <w:jc w:val="center"/>
              <w:rPr>
                <w:rFonts w:cs="Times New Roman"/>
                <w:sz w:val="20"/>
                <w:szCs w:val="18"/>
              </w:rPr>
            </w:pPr>
            <w:r w:rsidRPr="00A915A4">
              <w:rPr>
                <w:rFonts w:cs="Times New Roman"/>
                <w:sz w:val="20"/>
                <w:szCs w:val="18"/>
              </w:rPr>
              <w:lastRenderedPageBreak/>
              <w:t>Ethylene copolymer 40% + paraffin 60%</w:t>
            </w:r>
          </w:p>
        </w:tc>
        <w:tc>
          <w:tcPr>
            <w:tcW w:w="2160" w:type="dxa"/>
            <w:vAlign w:val="center"/>
          </w:tcPr>
          <w:p w14:paraId="26C6B5C8" w14:textId="77777777" w:rsidR="00422EEB" w:rsidRPr="00A915A4" w:rsidRDefault="00422EEB" w:rsidP="00A915A4">
            <w:pPr>
              <w:jc w:val="center"/>
              <w:rPr>
                <w:rFonts w:cs="Times New Roman"/>
                <w:sz w:val="20"/>
                <w:szCs w:val="18"/>
              </w:rPr>
            </w:pPr>
            <w:r w:rsidRPr="00A915A4">
              <w:rPr>
                <w:rFonts w:cs="Times New Roman"/>
                <w:sz w:val="20"/>
                <w:szCs w:val="18"/>
              </w:rPr>
              <w:t>22.1-25 / —</w:t>
            </w:r>
          </w:p>
        </w:tc>
        <w:tc>
          <w:tcPr>
            <w:tcW w:w="2160" w:type="dxa"/>
            <w:vAlign w:val="center"/>
          </w:tcPr>
          <w:p w14:paraId="30387394" w14:textId="77777777" w:rsidR="00422EEB" w:rsidRPr="00A915A4" w:rsidRDefault="00422EEB" w:rsidP="00A915A4">
            <w:pPr>
              <w:jc w:val="center"/>
              <w:rPr>
                <w:rFonts w:cs="Times New Roman"/>
                <w:sz w:val="20"/>
                <w:szCs w:val="18"/>
              </w:rPr>
            </w:pPr>
            <w:r w:rsidRPr="00A915A4">
              <w:rPr>
                <w:rFonts w:cs="Times New Roman"/>
                <w:noProof/>
                <w:sz w:val="20"/>
                <w:szCs w:val="18"/>
              </w:rPr>
              <w:drawing>
                <wp:inline distT="0" distB="0" distL="0" distR="0" wp14:anchorId="71F23FC5" wp14:editId="75855FED">
                  <wp:extent cx="1165860" cy="704504"/>
                  <wp:effectExtent l="0" t="0" r="0" b="635"/>
                  <wp:docPr id="821068986" name="Immagine 1" descr="Immagine che contiene materiale da costruzione, mattone, arte, terren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068986" name="Immagine 1" descr="Immagine che contiene materiale da costruzione, mattone, arte, terreno&#10;&#10;Il contenuto generato dall'IA potrebbe non essere corretto."/>
                          <pic:cNvPicPr/>
                        </pic:nvPicPr>
                        <pic:blipFill>
                          <a:blip r:embed="rId127"/>
                          <a:stretch>
                            <a:fillRect/>
                          </a:stretch>
                        </pic:blipFill>
                        <pic:spPr>
                          <a:xfrm>
                            <a:off x="0" y="0"/>
                            <a:ext cx="1176333" cy="710833"/>
                          </a:xfrm>
                          <a:prstGeom prst="rect">
                            <a:avLst/>
                          </a:prstGeom>
                        </pic:spPr>
                      </pic:pic>
                    </a:graphicData>
                  </a:graphic>
                </wp:inline>
              </w:drawing>
            </w:r>
          </w:p>
        </w:tc>
        <w:tc>
          <w:tcPr>
            <w:tcW w:w="2587" w:type="dxa"/>
            <w:vAlign w:val="center"/>
          </w:tcPr>
          <w:p w14:paraId="00B6B7E8" w14:textId="77777777" w:rsidR="00422EEB" w:rsidRPr="00A915A4" w:rsidRDefault="00422EEB" w:rsidP="00A915A4">
            <w:pPr>
              <w:jc w:val="center"/>
              <w:rPr>
                <w:rFonts w:cs="Times New Roman"/>
                <w:sz w:val="20"/>
                <w:szCs w:val="18"/>
                <w:lang w:val="en-US"/>
              </w:rPr>
            </w:pPr>
            <w:r w:rsidRPr="00A915A4">
              <w:rPr>
                <w:rFonts w:cs="Times New Roman"/>
                <w:sz w:val="20"/>
                <w:szCs w:val="18"/>
                <w:lang w:val="en-US"/>
              </w:rPr>
              <w:t>Hydrated salts offered better thermal inertia than paraffin.</w:t>
            </w:r>
          </w:p>
        </w:tc>
      </w:tr>
      <w:tr w:rsidR="00422EEB" w:rsidRPr="00736B36" w14:paraId="71DD6E1A" w14:textId="77777777" w:rsidTr="00A915A4">
        <w:tc>
          <w:tcPr>
            <w:tcW w:w="2160" w:type="dxa"/>
            <w:vAlign w:val="center"/>
          </w:tcPr>
          <w:p w14:paraId="0332DEB5" w14:textId="77777777" w:rsidR="00422EEB" w:rsidRPr="00A915A4" w:rsidRDefault="00422EEB" w:rsidP="00A915A4">
            <w:pPr>
              <w:jc w:val="center"/>
              <w:rPr>
                <w:rFonts w:cs="Times New Roman"/>
                <w:sz w:val="20"/>
                <w:szCs w:val="18"/>
              </w:rPr>
            </w:pPr>
            <w:r w:rsidRPr="00A915A4">
              <w:rPr>
                <w:rFonts w:cs="Times New Roman"/>
                <w:sz w:val="20"/>
                <w:szCs w:val="18"/>
              </w:rPr>
              <w:t>Eicosane, OM35</w:t>
            </w:r>
          </w:p>
        </w:tc>
        <w:tc>
          <w:tcPr>
            <w:tcW w:w="2160" w:type="dxa"/>
            <w:vAlign w:val="center"/>
          </w:tcPr>
          <w:p w14:paraId="51967ABA" w14:textId="77777777" w:rsidR="00422EEB" w:rsidRPr="00A915A4" w:rsidRDefault="00422EEB" w:rsidP="00A915A4">
            <w:pPr>
              <w:jc w:val="center"/>
              <w:rPr>
                <w:rFonts w:cs="Times New Roman"/>
                <w:sz w:val="20"/>
                <w:szCs w:val="18"/>
              </w:rPr>
            </w:pPr>
            <w:r w:rsidRPr="00A915A4">
              <w:rPr>
                <w:rFonts w:cs="Times New Roman"/>
                <w:sz w:val="20"/>
                <w:szCs w:val="18"/>
              </w:rPr>
              <w:t xml:space="preserve">36–38 / </w:t>
            </w:r>
            <w:r w:rsidRPr="00A915A4">
              <w:rPr>
                <w:rFonts w:cs="Times New Roman"/>
                <w:sz w:val="20"/>
                <w:szCs w:val="18"/>
              </w:rPr>
              <w:br/>
              <w:t>247.3 / 160</w:t>
            </w:r>
          </w:p>
        </w:tc>
        <w:tc>
          <w:tcPr>
            <w:tcW w:w="2160" w:type="dxa"/>
            <w:vAlign w:val="center"/>
          </w:tcPr>
          <w:p w14:paraId="14EF1B86" w14:textId="77777777" w:rsidR="00422EEB" w:rsidRPr="00A915A4" w:rsidRDefault="00422EEB" w:rsidP="00A915A4">
            <w:pPr>
              <w:jc w:val="center"/>
              <w:rPr>
                <w:rFonts w:cs="Times New Roman"/>
                <w:sz w:val="20"/>
                <w:szCs w:val="18"/>
              </w:rPr>
            </w:pPr>
            <w:r w:rsidRPr="00A915A4">
              <w:rPr>
                <w:rFonts w:cs="Times New Roman"/>
                <w:noProof/>
                <w:sz w:val="20"/>
                <w:szCs w:val="18"/>
              </w:rPr>
              <w:drawing>
                <wp:inline distT="0" distB="0" distL="0" distR="0" wp14:anchorId="18BDEE94" wp14:editId="49765166">
                  <wp:extent cx="1165844" cy="1013460"/>
                  <wp:effectExtent l="0" t="0" r="0" b="0"/>
                  <wp:docPr id="869792108" name="Immagine 1" descr="Immagine che contiene scatola, contenitore, legn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9792108" name="Immagine 1" descr="Immagine che contiene scatola, contenitore, legno&#10;&#10;Il contenuto generato dall'IA potrebbe non essere corretto."/>
                          <pic:cNvPicPr/>
                        </pic:nvPicPr>
                        <pic:blipFill>
                          <a:blip r:embed="rId128"/>
                          <a:stretch>
                            <a:fillRect/>
                          </a:stretch>
                        </pic:blipFill>
                        <pic:spPr>
                          <a:xfrm>
                            <a:off x="0" y="0"/>
                            <a:ext cx="1194374" cy="1038261"/>
                          </a:xfrm>
                          <a:prstGeom prst="rect">
                            <a:avLst/>
                          </a:prstGeom>
                        </pic:spPr>
                      </pic:pic>
                    </a:graphicData>
                  </a:graphic>
                </wp:inline>
              </w:drawing>
            </w:r>
          </w:p>
        </w:tc>
        <w:tc>
          <w:tcPr>
            <w:tcW w:w="2587" w:type="dxa"/>
            <w:vAlign w:val="center"/>
          </w:tcPr>
          <w:p w14:paraId="33FFA804" w14:textId="77777777" w:rsidR="00422EEB" w:rsidRPr="00A915A4" w:rsidRDefault="00422EEB" w:rsidP="00A915A4">
            <w:pPr>
              <w:jc w:val="center"/>
              <w:rPr>
                <w:rFonts w:cs="Times New Roman"/>
                <w:sz w:val="20"/>
                <w:szCs w:val="18"/>
                <w:lang w:val="en-US"/>
              </w:rPr>
            </w:pPr>
            <w:r w:rsidRPr="00A915A4">
              <w:rPr>
                <w:rFonts w:cs="Times New Roman"/>
                <w:sz w:val="20"/>
                <w:szCs w:val="18"/>
                <w:lang w:val="en-US"/>
              </w:rPr>
              <w:t>Double-layer PCM reduced the temperature by 9.5°C, single-layer by 6°C.</w:t>
            </w:r>
          </w:p>
        </w:tc>
      </w:tr>
      <w:tr w:rsidR="00422EEB" w:rsidRPr="00736B36" w14:paraId="0636CE64" w14:textId="77777777" w:rsidTr="00A915A4">
        <w:tc>
          <w:tcPr>
            <w:tcW w:w="2160" w:type="dxa"/>
            <w:vAlign w:val="center"/>
          </w:tcPr>
          <w:p w14:paraId="56D5D4AE" w14:textId="77777777" w:rsidR="00422EEB" w:rsidRPr="00A915A4" w:rsidRDefault="00422EEB" w:rsidP="00A915A4">
            <w:pPr>
              <w:jc w:val="center"/>
              <w:rPr>
                <w:rFonts w:cs="Times New Roman"/>
                <w:sz w:val="20"/>
                <w:szCs w:val="18"/>
              </w:rPr>
            </w:pPr>
            <w:r w:rsidRPr="00A915A4">
              <w:rPr>
                <w:rFonts w:cs="Times New Roman"/>
                <w:sz w:val="20"/>
                <w:szCs w:val="18"/>
              </w:rPr>
              <w:t>—</w:t>
            </w:r>
          </w:p>
        </w:tc>
        <w:tc>
          <w:tcPr>
            <w:tcW w:w="2160" w:type="dxa"/>
            <w:vAlign w:val="center"/>
          </w:tcPr>
          <w:p w14:paraId="644CED27" w14:textId="77777777" w:rsidR="00422EEB" w:rsidRPr="00A915A4" w:rsidRDefault="00422EEB" w:rsidP="00A915A4">
            <w:pPr>
              <w:jc w:val="center"/>
              <w:rPr>
                <w:rFonts w:cs="Times New Roman"/>
                <w:sz w:val="20"/>
                <w:szCs w:val="18"/>
              </w:rPr>
            </w:pPr>
            <w:r w:rsidRPr="00A915A4">
              <w:rPr>
                <w:rFonts w:cs="Times New Roman"/>
                <w:sz w:val="20"/>
                <w:szCs w:val="18"/>
              </w:rPr>
              <w:t xml:space="preserve">18–23 / </w:t>
            </w:r>
            <w:r w:rsidRPr="00A915A4">
              <w:rPr>
                <w:rFonts w:cs="Times New Roman"/>
                <w:sz w:val="20"/>
                <w:szCs w:val="18"/>
              </w:rPr>
              <w:br/>
              <w:t>178.5</w:t>
            </w:r>
          </w:p>
        </w:tc>
        <w:tc>
          <w:tcPr>
            <w:tcW w:w="2160" w:type="dxa"/>
            <w:vAlign w:val="center"/>
          </w:tcPr>
          <w:p w14:paraId="7632D81E" w14:textId="77777777" w:rsidR="00422EEB" w:rsidRPr="00A915A4" w:rsidRDefault="00422EEB" w:rsidP="00A915A4">
            <w:pPr>
              <w:jc w:val="center"/>
              <w:rPr>
                <w:rFonts w:cs="Times New Roman"/>
                <w:sz w:val="20"/>
                <w:szCs w:val="18"/>
              </w:rPr>
            </w:pPr>
            <w:r w:rsidRPr="00A915A4">
              <w:rPr>
                <w:rFonts w:cs="Times New Roman"/>
                <w:noProof/>
                <w:sz w:val="20"/>
                <w:szCs w:val="18"/>
              </w:rPr>
              <w:drawing>
                <wp:inline distT="0" distB="0" distL="0" distR="0" wp14:anchorId="5B1D8148" wp14:editId="15F58F16">
                  <wp:extent cx="601482" cy="582386"/>
                  <wp:effectExtent l="0" t="0" r="8255" b="8255"/>
                  <wp:docPr id="1202003445" name="Immagine 1" descr="Immagine che contiene Rettangolo, contenitore, scatola, intern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2003445" name="Immagine 1" descr="Immagine che contiene Rettangolo, contenitore, scatola, interno&#10;&#10;Il contenuto generato dall'IA potrebbe non essere corretto."/>
                          <pic:cNvPicPr/>
                        </pic:nvPicPr>
                        <pic:blipFill>
                          <a:blip r:embed="rId129"/>
                          <a:stretch>
                            <a:fillRect/>
                          </a:stretch>
                        </pic:blipFill>
                        <pic:spPr>
                          <a:xfrm>
                            <a:off x="0" y="0"/>
                            <a:ext cx="610772" cy="591381"/>
                          </a:xfrm>
                          <a:prstGeom prst="rect">
                            <a:avLst/>
                          </a:prstGeom>
                        </pic:spPr>
                      </pic:pic>
                    </a:graphicData>
                  </a:graphic>
                </wp:inline>
              </w:drawing>
            </w:r>
          </w:p>
        </w:tc>
        <w:tc>
          <w:tcPr>
            <w:tcW w:w="2587" w:type="dxa"/>
            <w:vAlign w:val="center"/>
          </w:tcPr>
          <w:p w14:paraId="1799E6C5" w14:textId="77777777" w:rsidR="00422EEB" w:rsidRPr="00A915A4" w:rsidRDefault="00422EEB" w:rsidP="00A915A4">
            <w:pPr>
              <w:keepNext/>
              <w:jc w:val="center"/>
              <w:rPr>
                <w:rFonts w:cs="Times New Roman"/>
                <w:sz w:val="20"/>
                <w:szCs w:val="18"/>
                <w:lang w:val="en-US"/>
              </w:rPr>
            </w:pPr>
            <w:r w:rsidRPr="00A915A4">
              <w:rPr>
                <w:rFonts w:cs="Times New Roman"/>
                <w:sz w:val="20"/>
                <w:szCs w:val="18"/>
                <w:lang w:val="en-US"/>
              </w:rPr>
              <w:t>The PCM near the inner surface performed better.</w:t>
            </w:r>
          </w:p>
        </w:tc>
      </w:tr>
    </w:tbl>
    <w:p w14:paraId="7F9875FE" w14:textId="39CE2B84" w:rsidR="00422EEB" w:rsidRPr="00422EEB" w:rsidRDefault="00422EEB" w:rsidP="00422EEB">
      <w:pPr>
        <w:pStyle w:val="Caption"/>
        <w:rPr>
          <w:rFonts w:cs="Times New Roman"/>
        </w:rPr>
      </w:pPr>
      <w:bookmarkStart w:id="120" w:name="_Toc214362636"/>
      <w:r w:rsidRPr="00422EEB">
        <w:rPr>
          <w:rFonts w:cs="Times New Roman"/>
        </w:rPr>
        <w:t xml:space="preserve">Table </w:t>
      </w:r>
      <w:r w:rsidR="00F43E9A">
        <w:rPr>
          <w:rFonts w:cs="Times New Roman"/>
        </w:rPr>
        <w:fldChar w:fldCharType="begin"/>
      </w:r>
      <w:r w:rsidR="00F43E9A">
        <w:rPr>
          <w:rFonts w:cs="Times New Roman"/>
        </w:rPr>
        <w:instrText xml:space="preserve"> STYLEREF 1 \s </w:instrText>
      </w:r>
      <w:r w:rsidR="00F43E9A">
        <w:rPr>
          <w:rFonts w:cs="Times New Roman"/>
        </w:rPr>
        <w:fldChar w:fldCharType="separate"/>
      </w:r>
      <w:r w:rsidR="000412CE">
        <w:rPr>
          <w:rFonts w:cs="Times New Roman"/>
          <w:noProof/>
        </w:rPr>
        <w:t>2</w:t>
      </w:r>
      <w:r w:rsidR="00F43E9A">
        <w:rPr>
          <w:rFonts w:cs="Times New Roman"/>
        </w:rPr>
        <w:fldChar w:fldCharType="end"/>
      </w:r>
      <w:r w:rsidR="00F43E9A">
        <w:rPr>
          <w:rFonts w:cs="Times New Roman"/>
        </w:rPr>
        <w:t>.</w:t>
      </w:r>
      <w:r w:rsidR="00F43E9A">
        <w:rPr>
          <w:rFonts w:cs="Times New Roman"/>
        </w:rPr>
        <w:fldChar w:fldCharType="begin"/>
      </w:r>
      <w:r w:rsidR="00F43E9A">
        <w:rPr>
          <w:rFonts w:cs="Times New Roman"/>
        </w:rPr>
        <w:instrText xml:space="preserve"> SEQ Table \* ARABIC \s 1 </w:instrText>
      </w:r>
      <w:r w:rsidR="00F43E9A">
        <w:rPr>
          <w:rFonts w:cs="Times New Roman"/>
        </w:rPr>
        <w:fldChar w:fldCharType="separate"/>
      </w:r>
      <w:r w:rsidR="000412CE">
        <w:rPr>
          <w:rFonts w:cs="Times New Roman"/>
          <w:noProof/>
        </w:rPr>
        <w:t>8</w:t>
      </w:r>
      <w:r w:rsidR="00F43E9A">
        <w:rPr>
          <w:rFonts w:cs="Times New Roman"/>
        </w:rPr>
        <w:fldChar w:fldCharType="end"/>
      </w:r>
      <w:r w:rsidR="00DE026D">
        <w:rPr>
          <w:rFonts w:cs="Times New Roman"/>
        </w:rPr>
        <w:t>.</w:t>
      </w:r>
      <w:r w:rsidR="00A915A4">
        <w:rPr>
          <w:rFonts w:cs="Times New Roman"/>
        </w:rPr>
        <w:t xml:space="preserve"> </w:t>
      </w:r>
      <w:r w:rsidRPr="00422EEB">
        <w:rPr>
          <w:rFonts w:cs="Times New Roman"/>
        </w:rPr>
        <w:t>PCM-enhanced bricks: PCM type/configuration with reported gains: temperature drop around 5–13 °C, heat-flux reduction around 50–74%, energy savings around 15–40%.</w:t>
      </w:r>
      <w:bookmarkEnd w:id="120"/>
    </w:p>
    <w:p w14:paraId="16F37CCC" w14:textId="17876804" w:rsidR="00422EEB" w:rsidRPr="00422EEB" w:rsidRDefault="00422EEB" w:rsidP="00422EEB">
      <w:pPr>
        <w:rPr>
          <w:rFonts w:cs="Times New Roman"/>
          <w:lang w:val="en-US"/>
        </w:rPr>
      </w:pPr>
      <w:r w:rsidRPr="00422EEB">
        <w:rPr>
          <w:rFonts w:cs="Times New Roman"/>
          <w:lang w:val="en-US"/>
        </w:rPr>
        <w:t>Bricks are essential building materials because of their high compressive strength and long durability.</w:t>
      </w:r>
      <w:r w:rsidR="00A915A4">
        <w:rPr>
          <w:rFonts w:cs="Times New Roman"/>
          <w:lang w:val="en-US"/>
        </w:rPr>
        <w:t xml:space="preserve"> </w:t>
      </w:r>
      <w:r w:rsidRPr="00422EEB">
        <w:rPr>
          <w:rFonts w:cs="Times New Roman"/>
          <w:lang w:val="en-US"/>
        </w:rPr>
        <w:t xml:space="preserve">In addition to their mechanical properties, they also enhance the aesthetic appearance of buildings. Table </w:t>
      </w:r>
      <w:r w:rsidR="00A915A4">
        <w:rPr>
          <w:rFonts w:cs="Times New Roman"/>
          <w:lang w:val="en-US"/>
        </w:rPr>
        <w:t>2.8</w:t>
      </w:r>
      <w:r w:rsidRPr="00422EEB">
        <w:rPr>
          <w:rFonts w:cs="Times New Roman"/>
          <w:lang w:val="en-US"/>
        </w:rPr>
        <w:t xml:space="preserve">, taken from the review by Zhao et al. [99], summarizes the main studies on the integration of PCMs into building bricks. It presents different PCM matrices, their thermal properties, and experimental results, highlighting how the use of PCMs helps reduce heat flux, improve indoor comfort, and enhance the overall energy efficiency of buildings. The reviewed studies highlight the significant potential of PCMs when integrated into bricks and masonry walls to improve building energy efficiency and thermal comfort. Overall, research findings show that PCMs reduce heat flux, indoor temperatures, and temperature fluctuations, leading to a lower cooling demand and, in some cases, energy cost savings of up to 50–70%. Different studies have investigated various PCM types (organic, such as paraffin, eicosane, and OM35, and inorganic, such as hydrated salts) and construction configurations (hollow bricks, double layers, metal or aluminum capsules, and microencapsulation). The best results are generally achieved when PCMs are placed near the inner surface of the wall or distributed in multiple cavities, as this positioning allows more effective heat storage and release. Numerical and experimental works (by Mahadaoui </w:t>
      </w:r>
      <w:sdt>
        <w:sdtPr>
          <w:rPr>
            <w:rFonts w:cs="Times New Roman"/>
            <w:lang w:val="en-US"/>
          </w:rPr>
          <w:id w:val="-668176195"/>
          <w:citation/>
        </w:sdtPr>
        <w:sdtContent>
          <w:r w:rsidR="00A915A4">
            <w:rPr>
              <w:rFonts w:cs="Times New Roman"/>
              <w:lang w:val="en-US"/>
            </w:rPr>
            <w:fldChar w:fldCharType="begin"/>
          </w:r>
          <w:r w:rsidR="00A915A4" w:rsidRPr="00A915A4">
            <w:rPr>
              <w:rFonts w:cs="Times New Roman"/>
              <w:lang w:val="en-US"/>
            </w:rPr>
            <w:instrText xml:space="preserve"> CITATION Placeholder113 \l 1040 </w:instrText>
          </w:r>
          <w:r w:rsidR="00A915A4">
            <w:rPr>
              <w:rFonts w:cs="Times New Roman"/>
              <w:lang w:val="en-US"/>
            </w:rPr>
            <w:fldChar w:fldCharType="separate"/>
          </w:r>
          <w:r w:rsidR="00855396" w:rsidRPr="00855396">
            <w:rPr>
              <w:rFonts w:cs="Times New Roman"/>
              <w:noProof/>
              <w:lang w:val="en-US"/>
            </w:rPr>
            <w:t>[107]</w:t>
          </w:r>
          <w:r w:rsidR="00A915A4">
            <w:rPr>
              <w:rFonts w:cs="Times New Roman"/>
              <w:lang w:val="en-US"/>
            </w:rPr>
            <w:fldChar w:fldCharType="end"/>
          </w:r>
        </w:sdtContent>
      </w:sdt>
      <w:r w:rsidRPr="00422EEB">
        <w:rPr>
          <w:rFonts w:cs="Times New Roman"/>
          <w:lang w:val="en-US"/>
        </w:rPr>
        <w:t xml:space="preserve">, </w:t>
      </w:r>
      <w:r w:rsidR="00A915A4">
        <w:rPr>
          <w:rFonts w:cs="Times New Roman"/>
          <w:lang w:val="en-US"/>
        </w:rPr>
        <w:t>Zh</w:t>
      </w:r>
      <w:r w:rsidRPr="00422EEB">
        <w:rPr>
          <w:rFonts w:cs="Times New Roman"/>
          <w:lang w:val="en-US"/>
        </w:rPr>
        <w:t xml:space="preserve">ang </w:t>
      </w:r>
      <w:sdt>
        <w:sdtPr>
          <w:rPr>
            <w:rFonts w:cs="Times New Roman"/>
            <w:lang w:val="en-US"/>
          </w:rPr>
          <w:id w:val="-269559419"/>
          <w:citation/>
        </w:sdtPr>
        <w:sdtContent>
          <w:r w:rsidR="00A915A4">
            <w:rPr>
              <w:rFonts w:cs="Times New Roman"/>
              <w:lang w:val="en-US"/>
            </w:rPr>
            <w:fldChar w:fldCharType="begin"/>
          </w:r>
          <w:r w:rsidR="00A915A4" w:rsidRPr="00A915A4">
            <w:rPr>
              <w:rFonts w:cs="Times New Roman"/>
              <w:lang w:val="en-US"/>
            </w:rPr>
            <w:instrText xml:space="preserve"> CITATION Placeholder115 \l 1040 </w:instrText>
          </w:r>
          <w:r w:rsidR="00A915A4">
            <w:rPr>
              <w:rFonts w:cs="Times New Roman"/>
              <w:lang w:val="en-US"/>
            </w:rPr>
            <w:fldChar w:fldCharType="separate"/>
          </w:r>
          <w:r w:rsidR="00855396" w:rsidRPr="00855396">
            <w:rPr>
              <w:rFonts w:cs="Times New Roman"/>
              <w:noProof/>
              <w:lang w:val="en-US"/>
            </w:rPr>
            <w:t>[108]</w:t>
          </w:r>
          <w:r w:rsidR="00A915A4">
            <w:rPr>
              <w:rFonts w:cs="Times New Roman"/>
              <w:lang w:val="en-US"/>
            </w:rPr>
            <w:fldChar w:fldCharType="end"/>
          </w:r>
        </w:sdtContent>
      </w:sdt>
      <w:r w:rsidRPr="00422EEB">
        <w:rPr>
          <w:rFonts w:cs="Times New Roman"/>
          <w:lang w:val="en-US"/>
        </w:rPr>
        <w:t xml:space="preserve">, Zhang </w:t>
      </w:r>
      <w:r w:rsidR="00A915A4">
        <w:rPr>
          <w:rFonts w:cs="Times New Roman"/>
          <w:lang w:val="en-US"/>
        </w:rPr>
        <w:t>e</w:t>
      </w:r>
      <w:r w:rsidR="00584060">
        <w:rPr>
          <w:rFonts w:cs="Times New Roman"/>
          <w:lang w:val="en-US"/>
        </w:rPr>
        <w:t>t</w:t>
      </w:r>
      <w:r w:rsidR="00A915A4">
        <w:rPr>
          <w:rFonts w:cs="Times New Roman"/>
          <w:lang w:val="en-US"/>
        </w:rPr>
        <w:t xml:space="preserve"> al. </w:t>
      </w:r>
      <w:sdt>
        <w:sdtPr>
          <w:rPr>
            <w:rFonts w:cs="Times New Roman"/>
            <w:lang w:val="en-US"/>
          </w:rPr>
          <w:id w:val="431716690"/>
          <w:citation/>
        </w:sdtPr>
        <w:sdtContent>
          <w:r w:rsidR="00A915A4">
            <w:rPr>
              <w:rFonts w:cs="Times New Roman"/>
              <w:lang w:val="en-US"/>
            </w:rPr>
            <w:fldChar w:fldCharType="begin"/>
          </w:r>
          <w:r w:rsidR="00A915A4" w:rsidRPr="008B629F">
            <w:rPr>
              <w:rFonts w:cs="Times New Roman"/>
              <w:lang w:val="en-US"/>
            </w:rPr>
            <w:instrText xml:space="preserve"> CITATION Placeholder119 \l 1040 </w:instrText>
          </w:r>
          <w:r w:rsidR="00A915A4">
            <w:rPr>
              <w:rFonts w:cs="Times New Roman"/>
              <w:lang w:val="en-US"/>
            </w:rPr>
            <w:fldChar w:fldCharType="separate"/>
          </w:r>
          <w:r w:rsidR="00855396" w:rsidRPr="00855396">
            <w:rPr>
              <w:rFonts w:cs="Times New Roman"/>
              <w:noProof/>
              <w:lang w:val="en-US"/>
            </w:rPr>
            <w:t>[109]</w:t>
          </w:r>
          <w:r w:rsidR="00A915A4">
            <w:rPr>
              <w:rFonts w:cs="Times New Roman"/>
              <w:lang w:val="en-US"/>
            </w:rPr>
            <w:fldChar w:fldCharType="end"/>
          </w:r>
        </w:sdtContent>
      </w:sdt>
      <w:r w:rsidRPr="00422EEB">
        <w:rPr>
          <w:rFonts w:cs="Times New Roman"/>
          <w:lang w:val="en-US"/>
        </w:rPr>
        <w:t>, and Hamidi</w:t>
      </w:r>
      <w:r w:rsidR="00A915A4">
        <w:rPr>
          <w:rFonts w:cs="Times New Roman"/>
          <w:lang w:val="en-US"/>
        </w:rPr>
        <w:t xml:space="preserve"> </w:t>
      </w:r>
      <w:sdt>
        <w:sdtPr>
          <w:rPr>
            <w:rFonts w:cs="Times New Roman"/>
            <w:lang w:val="en-US"/>
          </w:rPr>
          <w:id w:val="1935395267"/>
          <w:citation/>
        </w:sdtPr>
        <w:sdtContent>
          <w:r w:rsidR="00A915A4">
            <w:rPr>
              <w:rFonts w:cs="Times New Roman"/>
              <w:lang w:val="en-US"/>
            </w:rPr>
            <w:fldChar w:fldCharType="begin"/>
          </w:r>
          <w:r w:rsidR="00A915A4" w:rsidRPr="00A915A4">
            <w:rPr>
              <w:rFonts w:cs="Times New Roman"/>
              <w:lang w:val="en-US"/>
            </w:rPr>
            <w:instrText xml:space="preserve"> CITATION Placeholder120 \l 1040 </w:instrText>
          </w:r>
          <w:r w:rsidR="00A915A4">
            <w:rPr>
              <w:rFonts w:cs="Times New Roman"/>
              <w:lang w:val="en-US"/>
            </w:rPr>
            <w:fldChar w:fldCharType="separate"/>
          </w:r>
          <w:r w:rsidR="00855396" w:rsidRPr="00855396">
            <w:rPr>
              <w:rFonts w:cs="Times New Roman"/>
              <w:noProof/>
              <w:lang w:val="en-US"/>
            </w:rPr>
            <w:t>[110]</w:t>
          </w:r>
          <w:r w:rsidR="00A915A4">
            <w:rPr>
              <w:rFonts w:cs="Times New Roman"/>
              <w:lang w:val="en-US"/>
            </w:rPr>
            <w:fldChar w:fldCharType="end"/>
          </w:r>
        </w:sdtContent>
      </w:sdt>
      <w:r w:rsidRPr="00422EEB">
        <w:rPr>
          <w:rFonts w:cs="Times New Roman"/>
          <w:lang w:val="en-US"/>
        </w:rPr>
        <w:t xml:space="preserve"> report heat flux reductions of up to 70–75%, indoor temperature decreases of 4–10 °C, and thermal delay times of up to 5 hours, significantly enhancing indoor comfort. Other studies (by Fraine</w:t>
      </w:r>
      <w:r w:rsidR="00A915A4">
        <w:rPr>
          <w:rFonts w:cs="Times New Roman"/>
          <w:lang w:val="en-US"/>
        </w:rPr>
        <w:t xml:space="preserve"> </w:t>
      </w:r>
      <w:sdt>
        <w:sdtPr>
          <w:rPr>
            <w:rFonts w:cs="Times New Roman"/>
            <w:lang w:val="en-US"/>
          </w:rPr>
          <w:id w:val="-1621832588"/>
          <w:citation/>
        </w:sdtPr>
        <w:sdtContent>
          <w:r w:rsidR="00A915A4">
            <w:rPr>
              <w:rFonts w:cs="Times New Roman"/>
              <w:lang w:val="en-US"/>
            </w:rPr>
            <w:fldChar w:fldCharType="begin"/>
          </w:r>
          <w:r w:rsidR="00A915A4" w:rsidRPr="00A915A4">
            <w:rPr>
              <w:rFonts w:cs="Times New Roman"/>
              <w:lang w:val="en-US"/>
            </w:rPr>
            <w:instrText xml:space="preserve"> CITATION Placeholder121 \l 1040 </w:instrText>
          </w:r>
          <w:r w:rsidR="00A915A4">
            <w:rPr>
              <w:rFonts w:cs="Times New Roman"/>
              <w:lang w:val="en-US"/>
            </w:rPr>
            <w:fldChar w:fldCharType="separate"/>
          </w:r>
          <w:r w:rsidR="00855396" w:rsidRPr="00855396">
            <w:rPr>
              <w:rFonts w:cs="Times New Roman"/>
              <w:noProof/>
              <w:lang w:val="en-US"/>
            </w:rPr>
            <w:t>[111]</w:t>
          </w:r>
          <w:r w:rsidR="00A915A4">
            <w:rPr>
              <w:rFonts w:cs="Times New Roman"/>
              <w:lang w:val="en-US"/>
            </w:rPr>
            <w:fldChar w:fldCharType="end"/>
          </w:r>
        </w:sdtContent>
      </w:sdt>
      <w:r w:rsidRPr="00422EEB">
        <w:rPr>
          <w:rFonts w:cs="Times New Roman"/>
          <w:lang w:val="en-US"/>
        </w:rPr>
        <w:t>, Silva</w:t>
      </w:r>
      <w:sdt>
        <w:sdtPr>
          <w:rPr>
            <w:rFonts w:cs="Times New Roman"/>
            <w:lang w:val="en-US"/>
          </w:rPr>
          <w:id w:val="392241864"/>
          <w:citation/>
        </w:sdtPr>
        <w:sdtContent>
          <w:r w:rsidR="00A915A4">
            <w:rPr>
              <w:rFonts w:cs="Times New Roman"/>
              <w:lang w:val="en-US"/>
            </w:rPr>
            <w:fldChar w:fldCharType="begin"/>
          </w:r>
          <w:r w:rsidR="00A915A4" w:rsidRPr="00A915A4">
            <w:rPr>
              <w:rFonts w:cs="Times New Roman"/>
              <w:lang w:val="en-US"/>
            </w:rPr>
            <w:instrText xml:space="preserve"> CITATION Placeholder122 \l 1040 </w:instrText>
          </w:r>
          <w:r w:rsidR="00A915A4">
            <w:rPr>
              <w:rFonts w:cs="Times New Roman"/>
              <w:lang w:val="en-US"/>
            </w:rPr>
            <w:fldChar w:fldCharType="separate"/>
          </w:r>
          <w:r w:rsidR="00855396">
            <w:rPr>
              <w:rFonts w:cs="Times New Roman"/>
              <w:noProof/>
              <w:lang w:val="en-US"/>
            </w:rPr>
            <w:t xml:space="preserve"> </w:t>
          </w:r>
          <w:r w:rsidR="00855396" w:rsidRPr="00855396">
            <w:rPr>
              <w:rFonts w:cs="Times New Roman"/>
              <w:noProof/>
              <w:lang w:val="en-US"/>
            </w:rPr>
            <w:t>[112]</w:t>
          </w:r>
          <w:r w:rsidR="00A915A4">
            <w:rPr>
              <w:rFonts w:cs="Times New Roman"/>
              <w:lang w:val="en-US"/>
            </w:rPr>
            <w:fldChar w:fldCharType="end"/>
          </w:r>
        </w:sdtContent>
      </w:sdt>
      <w:r w:rsidRPr="00422EEB">
        <w:rPr>
          <w:rFonts w:cs="Times New Roman"/>
          <w:lang w:val="en-US"/>
        </w:rPr>
        <w:t>, Heniegal</w:t>
      </w:r>
      <w:sdt>
        <w:sdtPr>
          <w:rPr>
            <w:rFonts w:cs="Times New Roman"/>
            <w:lang w:val="en-US"/>
          </w:rPr>
          <w:id w:val="-1496953900"/>
          <w:citation/>
        </w:sdtPr>
        <w:sdtContent>
          <w:r w:rsidR="00A915A4">
            <w:rPr>
              <w:rFonts w:cs="Times New Roman"/>
              <w:lang w:val="en-US"/>
            </w:rPr>
            <w:fldChar w:fldCharType="begin"/>
          </w:r>
          <w:r w:rsidR="00A915A4" w:rsidRPr="00A915A4">
            <w:rPr>
              <w:rFonts w:cs="Times New Roman"/>
              <w:lang w:val="en-US"/>
            </w:rPr>
            <w:instrText xml:space="preserve"> CITATION Placeholder123 \l 1040 </w:instrText>
          </w:r>
          <w:r w:rsidR="00A915A4">
            <w:rPr>
              <w:rFonts w:cs="Times New Roman"/>
              <w:lang w:val="en-US"/>
            </w:rPr>
            <w:fldChar w:fldCharType="separate"/>
          </w:r>
          <w:r w:rsidR="00855396">
            <w:rPr>
              <w:rFonts w:cs="Times New Roman"/>
              <w:noProof/>
              <w:lang w:val="en-US"/>
            </w:rPr>
            <w:t xml:space="preserve"> </w:t>
          </w:r>
          <w:r w:rsidR="00855396" w:rsidRPr="00855396">
            <w:rPr>
              <w:rFonts w:cs="Times New Roman"/>
              <w:noProof/>
              <w:lang w:val="en-US"/>
            </w:rPr>
            <w:t>[113]</w:t>
          </w:r>
          <w:r w:rsidR="00A915A4">
            <w:rPr>
              <w:rFonts w:cs="Times New Roman"/>
              <w:lang w:val="en-US"/>
            </w:rPr>
            <w:fldChar w:fldCharType="end"/>
          </w:r>
        </w:sdtContent>
      </w:sdt>
      <w:r w:rsidRPr="00422EEB">
        <w:rPr>
          <w:rFonts w:cs="Times New Roman"/>
          <w:lang w:val="en-US"/>
        </w:rPr>
        <w:t xml:space="preserve">) have shown that PCMs not only improve thermal performance but also help stabilize indoor humidity and reduce annual HVAC energy consumption by several hundred kilowatt-hours. However, researchers emphasize the need to balance thermal and mechanical properties, since PCM integration can weaken structural strength. The overall effectiveness and economic </w:t>
      </w:r>
      <w:r w:rsidRPr="00422EEB">
        <w:rPr>
          <w:rFonts w:cs="Times New Roman"/>
          <w:lang w:val="en-US"/>
        </w:rPr>
        <w:lastRenderedPageBreak/>
        <w:t>feasibility depend strongly on factors such as PCM thickness, amount, type, placement, and local climate conditions. Integrating PCMs into bricks offers a promising and adaptable solution for enhancing building energy performance, particularly in warm climates, though further optimization is needed to achieve a balance between thermal efficiency, durability, and economic sustainability.</w:t>
      </w:r>
    </w:p>
    <w:p w14:paraId="16076AC4" w14:textId="59AC670A" w:rsidR="00422EEB" w:rsidRPr="00422EEB" w:rsidRDefault="00422EEB" w:rsidP="00A915A4">
      <w:pPr>
        <w:pStyle w:val="Heading4"/>
        <w:rPr>
          <w:lang w:val="en-US"/>
        </w:rPr>
      </w:pPr>
      <w:r w:rsidRPr="00422EEB">
        <w:rPr>
          <w:lang w:val="en-US"/>
        </w:rPr>
        <w:t>PCM integrated cementitious concrete.</w:t>
      </w:r>
    </w:p>
    <w:p w14:paraId="35978DB6" w14:textId="218ED73B" w:rsidR="00422EEB" w:rsidRPr="00422EEB" w:rsidRDefault="00422EEB" w:rsidP="00422EEB">
      <w:pPr>
        <w:rPr>
          <w:rFonts w:cs="Times New Roman"/>
          <w:lang w:val="en-US"/>
        </w:rPr>
      </w:pPr>
      <w:r w:rsidRPr="00422EEB">
        <w:rPr>
          <w:rFonts w:cs="Times New Roman"/>
          <w:lang w:val="en-US"/>
        </w:rPr>
        <w:t xml:space="preserve">Concrete is a solid material composed of coarse and fine aggregates bound with cement, widely used in construction engineering for its strength and versatility. In recent years, several studies have explored the integration of PCMs into concrete, showing that their use in different positions within concrete blocks can significantly improve the thermal performance of structural elements, with varying results depending on the configuration and amount of PCM used. In particular, non-contact integration techniques between PCMs and concrete have gained increasing attention in sustainable construction research, as they enhance the material’s ability to store and release heat without compromising its mechanical properties. Nevertheless, traditional concrete still poses major environmental challenges, especially regarding the disposal of construction and demolition waste. In this context, combining recycled aggregates with PCMs to produce thermoregulating concrete blocks represents a promising direction for future building research, aligning with the goals of sustainability, energy efficiency, and material recycling.  Figure </w:t>
      </w:r>
      <w:r w:rsidR="00852EEC">
        <w:rPr>
          <w:rFonts w:cs="Times New Roman"/>
          <w:lang w:val="en-US"/>
        </w:rPr>
        <w:t>2.13</w:t>
      </w:r>
      <w:r w:rsidRPr="00422EEB">
        <w:rPr>
          <w:rFonts w:cs="Times New Roman"/>
          <w:lang w:val="en-US"/>
        </w:rPr>
        <w:t xml:space="preserve"> illustrates the experimental setup used by Wu et al. </w:t>
      </w:r>
      <w:sdt>
        <w:sdtPr>
          <w:rPr>
            <w:rFonts w:cs="Times New Roman"/>
            <w:lang w:val="en-US"/>
          </w:rPr>
          <w:id w:val="-1319187930"/>
          <w:citation/>
        </w:sdtPr>
        <w:sdtContent>
          <w:r w:rsidR="00852EEC">
            <w:rPr>
              <w:rFonts w:cs="Times New Roman"/>
              <w:lang w:val="en-US"/>
            </w:rPr>
            <w:fldChar w:fldCharType="begin"/>
          </w:r>
          <w:r w:rsidR="00852EEC" w:rsidRPr="00852EEC">
            <w:rPr>
              <w:rFonts w:cs="Times New Roman"/>
              <w:lang w:val="en-US"/>
            </w:rPr>
            <w:instrText xml:space="preserve"> CITATION Placeholder124 \l 1040 </w:instrText>
          </w:r>
          <w:r w:rsidR="00852EEC">
            <w:rPr>
              <w:rFonts w:cs="Times New Roman"/>
              <w:lang w:val="en-US"/>
            </w:rPr>
            <w:fldChar w:fldCharType="separate"/>
          </w:r>
          <w:r w:rsidR="00855396" w:rsidRPr="00855396">
            <w:rPr>
              <w:rFonts w:cs="Times New Roman"/>
              <w:noProof/>
              <w:lang w:val="en-US"/>
            </w:rPr>
            <w:t>[114]</w:t>
          </w:r>
          <w:r w:rsidR="00852EEC">
            <w:rPr>
              <w:rFonts w:cs="Times New Roman"/>
              <w:lang w:val="en-US"/>
            </w:rPr>
            <w:fldChar w:fldCharType="end"/>
          </w:r>
        </w:sdtContent>
      </w:sdt>
      <w:r w:rsidR="00852EEC">
        <w:rPr>
          <w:rFonts w:cs="Times New Roman"/>
          <w:lang w:val="en-US"/>
        </w:rPr>
        <w:t xml:space="preserve"> </w:t>
      </w:r>
      <w:r w:rsidRPr="00422EEB">
        <w:rPr>
          <w:rFonts w:cs="Times New Roman"/>
          <w:lang w:val="en-US"/>
        </w:rPr>
        <w:t>to investigate the influence of PCM placement on the thermal and hygric behavior of hemp–lime concrete walls and the related energy performance of the integrated building envelope. The experiment was conducted in a controlled climate chamber, where temperature and humidity conditions were carefully maintained to simulate real environmental variations. (a) included a connection between an outdoor environment and an indoor laboratory environment, separated by the test envelope. Several sensors were installed to record temperature, relative humidity, and heat flux data in real time. (b) shows the actual experimental configuration, consisting of an insulated structure housing the test wall equipped with PCM, and (c) presents the four configurations tested: one reference sample without PCM and three with PCM inserted in different positions (outer, middle, and inner layer). The results demonstrated that when PCM was placed in the middle layer, it effectively stabilized indoor temperature and humidity, reducing internal heat and moisture fluctuations. This configuration provided the best energy-saving performance, confirming the potential of PCM-integrated hemp–lime concrete in improving the thermal stability and efficiency of building envelopes.</w:t>
      </w:r>
    </w:p>
    <w:p w14:paraId="122454EA" w14:textId="77777777" w:rsidR="00422EEB" w:rsidRPr="00422EEB" w:rsidRDefault="00422EEB" w:rsidP="00422EEB">
      <w:pPr>
        <w:keepNext/>
        <w:jc w:val="center"/>
      </w:pPr>
      <w:r w:rsidRPr="00422EEB">
        <w:rPr>
          <w:noProof/>
          <w:lang w:val="nb-NO"/>
        </w:rPr>
        <w:lastRenderedPageBreak/>
        <w:drawing>
          <wp:inline distT="0" distB="0" distL="0" distR="0" wp14:anchorId="087EF000" wp14:editId="08C9DB89">
            <wp:extent cx="2985135" cy="2776220"/>
            <wp:effectExtent l="0" t="0" r="5715" b="5080"/>
            <wp:docPr id="1488639212" name="Immagine 1" descr="Immagine che contiene testo, computer, Schermo del computer, arred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8639212" name="Immagine 1" descr="Immagine che contiene testo, computer, Schermo del computer, arredo&#10;&#10;Il contenuto generato dall'IA potrebbe non essere corretto."/>
                    <pic:cNvPicPr/>
                  </pic:nvPicPr>
                  <pic:blipFill>
                    <a:blip r:embed="rId130">
                      <a:extLst>
                        <a:ext uri="{28A0092B-C50C-407E-A947-70E740481C1C}">
                          <a14:useLocalDpi xmlns:a14="http://schemas.microsoft.com/office/drawing/2010/main" val="0"/>
                        </a:ext>
                      </a:extLst>
                    </a:blip>
                    <a:stretch>
                      <a:fillRect/>
                    </a:stretch>
                  </pic:blipFill>
                  <pic:spPr>
                    <a:xfrm>
                      <a:off x="0" y="0"/>
                      <a:ext cx="2985135" cy="2776220"/>
                    </a:xfrm>
                    <a:prstGeom prst="rect">
                      <a:avLst/>
                    </a:prstGeom>
                  </pic:spPr>
                </pic:pic>
              </a:graphicData>
            </a:graphic>
          </wp:inline>
        </w:drawing>
      </w:r>
    </w:p>
    <w:p w14:paraId="16DA47AA" w14:textId="04D7CF3D" w:rsidR="00422EEB" w:rsidRPr="00422EEB" w:rsidRDefault="00422EEB" w:rsidP="00422EEB">
      <w:pPr>
        <w:pStyle w:val="Caption"/>
        <w:rPr>
          <w:rFonts w:cs="Times New Roman"/>
        </w:rPr>
      </w:pPr>
      <w:bookmarkStart w:id="121" w:name="_Toc214357740"/>
      <w:r w:rsidRPr="00422EEB">
        <w:rPr>
          <w:rFonts w:cs="Times New Roman"/>
        </w:rPr>
        <w:t xml:space="preserve">Figure </w:t>
      </w:r>
      <w:r w:rsidR="00F824A5">
        <w:rPr>
          <w:rFonts w:cs="Times New Roman"/>
        </w:rPr>
        <w:fldChar w:fldCharType="begin"/>
      </w:r>
      <w:r w:rsidR="00F824A5">
        <w:rPr>
          <w:rFonts w:cs="Times New Roman"/>
        </w:rPr>
        <w:instrText xml:space="preserve"> STYLEREF 1 \s </w:instrText>
      </w:r>
      <w:r w:rsidR="00F824A5">
        <w:rPr>
          <w:rFonts w:cs="Times New Roman"/>
        </w:rPr>
        <w:fldChar w:fldCharType="separate"/>
      </w:r>
      <w:r w:rsidR="000412CE">
        <w:rPr>
          <w:rFonts w:cs="Times New Roman"/>
          <w:noProof/>
        </w:rPr>
        <w:t>2</w:t>
      </w:r>
      <w:r w:rsidR="00F824A5">
        <w:rPr>
          <w:rFonts w:cs="Times New Roman"/>
        </w:rPr>
        <w:fldChar w:fldCharType="end"/>
      </w:r>
      <w:r w:rsidR="00F824A5">
        <w:rPr>
          <w:rFonts w:cs="Times New Roman"/>
        </w:rPr>
        <w:t>.</w:t>
      </w:r>
      <w:r w:rsidR="00F824A5">
        <w:rPr>
          <w:rFonts w:cs="Times New Roman"/>
        </w:rPr>
        <w:fldChar w:fldCharType="begin"/>
      </w:r>
      <w:r w:rsidR="00F824A5">
        <w:rPr>
          <w:rFonts w:cs="Times New Roman"/>
        </w:rPr>
        <w:instrText xml:space="preserve"> SEQ Figure \* ARABIC \s 1 </w:instrText>
      </w:r>
      <w:r w:rsidR="00F824A5">
        <w:rPr>
          <w:rFonts w:cs="Times New Roman"/>
        </w:rPr>
        <w:fldChar w:fldCharType="separate"/>
      </w:r>
      <w:r w:rsidR="000412CE">
        <w:rPr>
          <w:rFonts w:cs="Times New Roman"/>
          <w:noProof/>
        </w:rPr>
        <w:t>12</w:t>
      </w:r>
      <w:r w:rsidR="00F824A5">
        <w:rPr>
          <w:rFonts w:cs="Times New Roman"/>
        </w:rPr>
        <w:fldChar w:fldCharType="end"/>
      </w:r>
      <w:r w:rsidRPr="00422EEB">
        <w:rPr>
          <w:rFonts w:cs="Times New Roman"/>
        </w:rPr>
        <w:t>. (a) Diagram of the experimental set-up, (b) Actual experimental set-up, (</w:t>
      </w:r>
      <w:r w:rsidR="00584060">
        <w:rPr>
          <w:rFonts w:cs="Times New Roman"/>
        </w:rPr>
        <w:t>c</w:t>
      </w:r>
      <w:r w:rsidRPr="00422EEB">
        <w:rPr>
          <w:rFonts w:cs="Times New Roman"/>
        </w:rPr>
        <w:t>) Four envelope configurations</w:t>
      </w:r>
      <w:r w:rsidR="008F3712">
        <w:rPr>
          <w:rFonts w:cs="Times New Roman"/>
        </w:rPr>
        <w:t xml:space="preserve"> [114]</w:t>
      </w:r>
      <w:r w:rsidR="00A165BA">
        <w:rPr>
          <w:rFonts w:cs="Times New Roman"/>
        </w:rPr>
        <w:t>.</w:t>
      </w:r>
      <w:bookmarkEnd w:id="121"/>
    </w:p>
    <w:p w14:paraId="4EFBF024" w14:textId="16F19C80" w:rsidR="00422EEB" w:rsidRPr="00422EEB" w:rsidRDefault="00422EEB" w:rsidP="00422EEB">
      <w:pPr>
        <w:rPr>
          <w:rFonts w:cs="Times New Roman"/>
          <w:lang w:val="en-US"/>
        </w:rPr>
      </w:pPr>
      <w:r w:rsidRPr="00422EEB">
        <w:rPr>
          <w:rFonts w:cs="Times New Roman"/>
          <w:lang w:val="en-US"/>
        </w:rPr>
        <w:t xml:space="preserve">Several recent studies have investigated the integration of PCMs into concrete, aiming to enhance its thermal efficiency and sustainability. Eddhahak-Ouni et al. </w:t>
      </w:r>
      <w:sdt>
        <w:sdtPr>
          <w:rPr>
            <w:rFonts w:cs="Times New Roman"/>
            <w:lang w:val="en-US"/>
          </w:rPr>
          <w:id w:val="-404375897"/>
          <w:citation/>
        </w:sdtPr>
        <w:sdtContent>
          <w:r w:rsidR="00852EEC">
            <w:rPr>
              <w:rFonts w:cs="Times New Roman"/>
              <w:lang w:val="en-US"/>
            </w:rPr>
            <w:fldChar w:fldCharType="begin"/>
          </w:r>
          <w:r w:rsidR="00852EEC" w:rsidRPr="008B629F">
            <w:rPr>
              <w:rFonts w:cs="Times New Roman"/>
              <w:lang w:val="en-US"/>
            </w:rPr>
            <w:instrText xml:space="preserve"> CITATION Placeholder125 \l 1040 </w:instrText>
          </w:r>
          <w:r w:rsidR="00852EEC">
            <w:rPr>
              <w:rFonts w:cs="Times New Roman"/>
              <w:lang w:val="en-US"/>
            </w:rPr>
            <w:fldChar w:fldCharType="separate"/>
          </w:r>
          <w:r w:rsidR="00855396" w:rsidRPr="00855396">
            <w:rPr>
              <w:rFonts w:cs="Times New Roman"/>
              <w:noProof/>
              <w:lang w:val="en-US"/>
            </w:rPr>
            <w:t>[115]</w:t>
          </w:r>
          <w:r w:rsidR="00852EEC">
            <w:rPr>
              <w:rFonts w:cs="Times New Roman"/>
              <w:lang w:val="en-US"/>
            </w:rPr>
            <w:fldChar w:fldCharType="end"/>
          </w:r>
        </w:sdtContent>
      </w:sdt>
      <w:r w:rsidRPr="00422EEB">
        <w:rPr>
          <w:rFonts w:cs="Times New Roman"/>
          <w:lang w:val="en-US"/>
        </w:rPr>
        <w:t xml:space="preserve"> and Figueiredo et al. </w:t>
      </w:r>
      <w:sdt>
        <w:sdtPr>
          <w:rPr>
            <w:rFonts w:cs="Times New Roman"/>
            <w:lang w:val="en-US"/>
          </w:rPr>
          <w:id w:val="-741023338"/>
          <w:citation/>
        </w:sdtPr>
        <w:sdtContent>
          <w:r w:rsidR="00852EEC">
            <w:rPr>
              <w:rFonts w:cs="Times New Roman"/>
              <w:lang w:val="en-US"/>
            </w:rPr>
            <w:fldChar w:fldCharType="begin"/>
          </w:r>
          <w:r w:rsidR="00852EEC" w:rsidRPr="008B629F">
            <w:rPr>
              <w:rFonts w:cs="Times New Roman"/>
              <w:lang w:val="en-US"/>
            </w:rPr>
            <w:instrText xml:space="preserve"> CITATION Placeholder126 \l 1040 </w:instrText>
          </w:r>
          <w:r w:rsidR="00852EEC">
            <w:rPr>
              <w:rFonts w:cs="Times New Roman"/>
              <w:lang w:val="en-US"/>
            </w:rPr>
            <w:fldChar w:fldCharType="separate"/>
          </w:r>
          <w:r w:rsidR="00855396" w:rsidRPr="00855396">
            <w:rPr>
              <w:rFonts w:cs="Times New Roman"/>
              <w:noProof/>
              <w:lang w:val="en-US"/>
            </w:rPr>
            <w:t>[116]</w:t>
          </w:r>
          <w:r w:rsidR="00852EEC">
            <w:rPr>
              <w:rFonts w:cs="Times New Roman"/>
              <w:lang w:val="en-US"/>
            </w:rPr>
            <w:fldChar w:fldCharType="end"/>
          </w:r>
        </w:sdtContent>
      </w:sdt>
      <w:r w:rsidR="00852EEC">
        <w:rPr>
          <w:rFonts w:cs="Times New Roman"/>
          <w:lang w:val="en-US"/>
        </w:rPr>
        <w:t xml:space="preserve"> </w:t>
      </w:r>
      <w:r w:rsidRPr="00422EEB">
        <w:rPr>
          <w:rFonts w:cs="Times New Roman"/>
          <w:lang w:val="en-US"/>
        </w:rPr>
        <w:t>found that adding microencapsulated PCMs increases the heat storage capacity of concrete but decreases its mechanical strength, with compressive strength losses of up to 66%. However, careful control of the water-to-cement ratio and mixing procedures can mitigate these effects, while the thermal behavior tends to stabilize over time. To further improve performance and reduce costs, Shen et al.</w:t>
      </w:r>
      <w:r w:rsidR="00852EEC">
        <w:rPr>
          <w:rFonts w:cs="Times New Roman"/>
          <w:lang w:val="en-US"/>
        </w:rPr>
        <w:t xml:space="preserve"> </w:t>
      </w:r>
      <w:sdt>
        <w:sdtPr>
          <w:rPr>
            <w:rFonts w:cs="Times New Roman"/>
            <w:lang w:val="en-US"/>
          </w:rPr>
          <w:id w:val="-672878332"/>
          <w:citation/>
        </w:sdtPr>
        <w:sdtContent>
          <w:r w:rsidR="00852EEC">
            <w:rPr>
              <w:rFonts w:cs="Times New Roman"/>
              <w:lang w:val="en-US"/>
            </w:rPr>
            <w:fldChar w:fldCharType="begin"/>
          </w:r>
          <w:r w:rsidR="00852EEC" w:rsidRPr="008B629F">
            <w:rPr>
              <w:rFonts w:cs="Times New Roman"/>
              <w:lang w:val="en-US"/>
            </w:rPr>
            <w:instrText xml:space="preserve"> CITATION Placeholder127 \l 1040 </w:instrText>
          </w:r>
          <w:r w:rsidR="00852EEC">
            <w:rPr>
              <w:rFonts w:cs="Times New Roman"/>
              <w:lang w:val="en-US"/>
            </w:rPr>
            <w:fldChar w:fldCharType="separate"/>
          </w:r>
          <w:r w:rsidR="00855396" w:rsidRPr="00855396">
            <w:rPr>
              <w:rFonts w:cs="Times New Roman"/>
              <w:noProof/>
              <w:lang w:val="en-US"/>
            </w:rPr>
            <w:t>[117]</w:t>
          </w:r>
          <w:r w:rsidR="00852EEC">
            <w:rPr>
              <w:rFonts w:cs="Times New Roman"/>
              <w:lang w:val="en-US"/>
            </w:rPr>
            <w:fldChar w:fldCharType="end"/>
          </w:r>
        </w:sdtContent>
      </w:sdt>
      <w:r w:rsidRPr="00422EEB">
        <w:rPr>
          <w:rFonts w:cs="Times New Roman"/>
          <w:lang w:val="en-US"/>
        </w:rPr>
        <w:t xml:space="preserve"> developed concrete blocks with increasing PCM contents, achieving up to a 41% rise in heat capacity but a decrease in thermal conductivity and strength. Similarly, Christen et al.</w:t>
      </w:r>
      <w:r w:rsidR="00852EEC">
        <w:rPr>
          <w:rFonts w:cs="Times New Roman"/>
          <w:lang w:val="en-US"/>
        </w:rPr>
        <w:t xml:space="preserve"> </w:t>
      </w:r>
      <w:sdt>
        <w:sdtPr>
          <w:rPr>
            <w:rFonts w:cs="Times New Roman"/>
            <w:lang w:val="en-US"/>
          </w:rPr>
          <w:id w:val="-1483916608"/>
          <w:citation/>
        </w:sdtPr>
        <w:sdtContent>
          <w:r w:rsidR="00852EEC">
            <w:rPr>
              <w:rFonts w:cs="Times New Roman"/>
              <w:lang w:val="en-US"/>
            </w:rPr>
            <w:fldChar w:fldCharType="begin"/>
          </w:r>
          <w:r w:rsidR="00852EEC" w:rsidRPr="008B629F">
            <w:rPr>
              <w:rFonts w:cs="Times New Roman"/>
              <w:lang w:val="en-US"/>
            </w:rPr>
            <w:instrText xml:space="preserve"> CITATION Placeholder128 \l 1040 </w:instrText>
          </w:r>
          <w:r w:rsidR="00852EEC">
            <w:rPr>
              <w:rFonts w:cs="Times New Roman"/>
              <w:lang w:val="en-US"/>
            </w:rPr>
            <w:fldChar w:fldCharType="separate"/>
          </w:r>
          <w:r w:rsidR="00855396" w:rsidRPr="00855396">
            <w:rPr>
              <w:rFonts w:cs="Times New Roman"/>
              <w:noProof/>
              <w:lang w:val="en-US"/>
            </w:rPr>
            <w:t>[118]</w:t>
          </w:r>
          <w:r w:rsidR="00852EEC">
            <w:rPr>
              <w:rFonts w:cs="Times New Roman"/>
              <w:lang w:val="en-US"/>
            </w:rPr>
            <w:fldChar w:fldCharType="end"/>
          </w:r>
        </w:sdtContent>
      </w:sdt>
      <w:r w:rsidR="00852EEC">
        <w:rPr>
          <w:rFonts w:cs="Times New Roman"/>
          <w:lang w:val="en-US"/>
        </w:rPr>
        <w:t xml:space="preserve"> </w:t>
      </w:r>
      <w:r w:rsidRPr="00422EEB">
        <w:rPr>
          <w:rFonts w:cs="Times New Roman"/>
          <w:lang w:val="en-US"/>
        </w:rPr>
        <w:t xml:space="preserve">observed slight mechanical degradation in textile-reinforced concrete (TRC) containing PCM, yet a significant thermal improvement was recorded (−4 °C and +37% energy savings). Innovative approaches by Halder et al. </w:t>
      </w:r>
      <w:sdt>
        <w:sdtPr>
          <w:rPr>
            <w:rFonts w:cs="Times New Roman"/>
            <w:lang w:val="en-US"/>
          </w:rPr>
          <w:id w:val="289861455"/>
          <w:citation/>
        </w:sdtPr>
        <w:sdtContent>
          <w:r w:rsidR="00852EEC">
            <w:rPr>
              <w:rFonts w:cs="Times New Roman"/>
              <w:lang w:val="en-US"/>
            </w:rPr>
            <w:fldChar w:fldCharType="begin"/>
          </w:r>
          <w:r w:rsidR="00852EEC" w:rsidRPr="008B629F">
            <w:rPr>
              <w:rFonts w:cs="Times New Roman"/>
              <w:lang w:val="en-US"/>
            </w:rPr>
            <w:instrText xml:space="preserve"> CITATION Placeholder129 \l 1040 </w:instrText>
          </w:r>
          <w:r w:rsidR="00852EEC">
            <w:rPr>
              <w:rFonts w:cs="Times New Roman"/>
              <w:lang w:val="en-US"/>
            </w:rPr>
            <w:fldChar w:fldCharType="separate"/>
          </w:r>
          <w:r w:rsidR="00855396" w:rsidRPr="00855396">
            <w:rPr>
              <w:rFonts w:cs="Times New Roman"/>
              <w:noProof/>
              <w:lang w:val="en-US"/>
            </w:rPr>
            <w:t>[119]</w:t>
          </w:r>
          <w:r w:rsidR="00852EEC">
            <w:rPr>
              <w:rFonts w:cs="Times New Roman"/>
              <w:lang w:val="en-US"/>
            </w:rPr>
            <w:fldChar w:fldCharType="end"/>
          </w:r>
        </w:sdtContent>
      </w:sdt>
      <w:r w:rsidRPr="00422EEB">
        <w:rPr>
          <w:rFonts w:cs="Times New Roman"/>
          <w:lang w:val="en-US"/>
        </w:rPr>
        <w:t xml:space="preserve"> and Zhao et al. </w:t>
      </w:r>
      <w:sdt>
        <w:sdtPr>
          <w:rPr>
            <w:rFonts w:cs="Times New Roman"/>
            <w:lang w:val="en-US"/>
          </w:rPr>
          <w:id w:val="-2146962051"/>
          <w:citation/>
        </w:sdtPr>
        <w:sdtContent>
          <w:r w:rsidR="00852EEC">
            <w:rPr>
              <w:rFonts w:cs="Times New Roman"/>
              <w:lang w:val="en-US"/>
            </w:rPr>
            <w:fldChar w:fldCharType="begin"/>
          </w:r>
          <w:r w:rsidR="00852EEC" w:rsidRPr="008B629F">
            <w:rPr>
              <w:rFonts w:cs="Times New Roman"/>
              <w:lang w:val="en-US"/>
            </w:rPr>
            <w:instrText xml:space="preserve"> CITATION Placeholder130 \l 1040 </w:instrText>
          </w:r>
          <w:r w:rsidR="00852EEC">
            <w:rPr>
              <w:rFonts w:cs="Times New Roman"/>
              <w:lang w:val="en-US"/>
            </w:rPr>
            <w:fldChar w:fldCharType="separate"/>
          </w:r>
          <w:r w:rsidR="00855396" w:rsidRPr="00855396">
            <w:rPr>
              <w:rFonts w:cs="Times New Roman"/>
              <w:noProof/>
              <w:lang w:val="en-US"/>
            </w:rPr>
            <w:t>[120]</w:t>
          </w:r>
          <w:r w:rsidR="00852EEC">
            <w:rPr>
              <w:rFonts w:cs="Times New Roman"/>
              <w:lang w:val="en-US"/>
            </w:rPr>
            <w:fldChar w:fldCharType="end"/>
          </w:r>
        </w:sdtContent>
      </w:sdt>
      <w:r w:rsidRPr="00422EEB">
        <w:rPr>
          <w:rFonts w:cs="Times New Roman"/>
          <w:lang w:val="en-US"/>
        </w:rPr>
        <w:t xml:space="preserve"> introduced advanced microcapsules, using dopamine coatings and styrene-divinylbenzene shells, respectively, which improved thermal stability and allowed up to 68% more heat retention compared to conventional materials. Specific applications include thermal control in pavements: Farnam et al. </w:t>
      </w:r>
      <w:sdt>
        <w:sdtPr>
          <w:rPr>
            <w:rFonts w:cs="Times New Roman"/>
            <w:lang w:val="en-US"/>
          </w:rPr>
          <w:id w:val="2036621082"/>
          <w:citation/>
        </w:sdtPr>
        <w:sdtContent>
          <w:r w:rsidR="00852EEC">
            <w:rPr>
              <w:rFonts w:cs="Times New Roman"/>
              <w:lang w:val="en-US"/>
            </w:rPr>
            <w:fldChar w:fldCharType="begin"/>
          </w:r>
          <w:r w:rsidR="00852EEC" w:rsidRPr="008B629F">
            <w:rPr>
              <w:rFonts w:cs="Times New Roman"/>
              <w:lang w:val="en-US"/>
            </w:rPr>
            <w:instrText xml:space="preserve"> CITATION Placeholder131 \l 1040 </w:instrText>
          </w:r>
          <w:r w:rsidR="00852EEC">
            <w:rPr>
              <w:rFonts w:cs="Times New Roman"/>
              <w:lang w:val="en-US"/>
            </w:rPr>
            <w:fldChar w:fldCharType="separate"/>
          </w:r>
          <w:r w:rsidR="00855396" w:rsidRPr="00855396">
            <w:rPr>
              <w:rFonts w:cs="Times New Roman"/>
              <w:noProof/>
              <w:lang w:val="en-US"/>
            </w:rPr>
            <w:t>[121]</w:t>
          </w:r>
          <w:r w:rsidR="00852EEC">
            <w:rPr>
              <w:rFonts w:cs="Times New Roman"/>
              <w:lang w:val="en-US"/>
            </w:rPr>
            <w:fldChar w:fldCharType="end"/>
          </w:r>
        </w:sdtContent>
      </w:sdt>
      <w:r w:rsidRPr="00422EEB">
        <w:rPr>
          <w:rFonts w:cs="Times New Roman"/>
          <w:lang w:val="en-US"/>
        </w:rPr>
        <w:t xml:space="preserve"> used PCMs in concrete floors for snow and ice melting, while Refaa et al. </w:t>
      </w:r>
      <w:sdt>
        <w:sdtPr>
          <w:rPr>
            <w:rFonts w:cs="Times New Roman"/>
            <w:lang w:val="en-US"/>
          </w:rPr>
          <w:id w:val="102851003"/>
          <w:citation/>
        </w:sdtPr>
        <w:sdtContent>
          <w:r w:rsidR="00852EEC">
            <w:rPr>
              <w:rFonts w:cs="Times New Roman"/>
              <w:lang w:val="en-US"/>
            </w:rPr>
            <w:fldChar w:fldCharType="begin"/>
          </w:r>
          <w:r w:rsidR="00852EEC" w:rsidRPr="008B629F">
            <w:rPr>
              <w:rFonts w:cs="Times New Roman"/>
              <w:lang w:val="en-US"/>
            </w:rPr>
            <w:instrText xml:space="preserve"> CITATION Placeholder132 \l 1040 </w:instrText>
          </w:r>
          <w:r w:rsidR="00852EEC">
            <w:rPr>
              <w:rFonts w:cs="Times New Roman"/>
              <w:lang w:val="en-US"/>
            </w:rPr>
            <w:fldChar w:fldCharType="separate"/>
          </w:r>
          <w:r w:rsidR="00855396" w:rsidRPr="00855396">
            <w:rPr>
              <w:rFonts w:cs="Times New Roman"/>
              <w:noProof/>
              <w:lang w:val="en-US"/>
            </w:rPr>
            <w:t>[122]</w:t>
          </w:r>
          <w:r w:rsidR="00852EEC">
            <w:rPr>
              <w:rFonts w:cs="Times New Roman"/>
              <w:lang w:val="en-US"/>
            </w:rPr>
            <w:fldChar w:fldCharType="end"/>
          </w:r>
        </w:sdtContent>
      </w:sdt>
      <w:r w:rsidRPr="00422EEB">
        <w:rPr>
          <w:rFonts w:cs="Times New Roman"/>
          <w:lang w:val="en-US"/>
        </w:rPr>
        <w:t xml:space="preserve"> incorporated them into asphalt mixtures, lowering surface temperatures and deformation risks while helping to mitigate the urban heat island effect. Overall, PCMs have proven effective in enhancing thermal inertia and reducing energy demand in cement-based materials, though further optimization is needed to maintain sufficient mechanical performance.</w:t>
      </w:r>
    </w:p>
    <w:p w14:paraId="32387570" w14:textId="7791458C" w:rsidR="00422EEB" w:rsidRPr="00422EEB" w:rsidRDefault="00422EEB" w:rsidP="00852EEC">
      <w:pPr>
        <w:pStyle w:val="Heading4"/>
        <w:rPr>
          <w:lang w:val="en-US"/>
        </w:rPr>
      </w:pPr>
      <w:r w:rsidRPr="00422EEB">
        <w:rPr>
          <w:lang w:val="en-US"/>
        </w:rPr>
        <w:t xml:space="preserve">PCM </w:t>
      </w:r>
      <w:r w:rsidRPr="00852EEC">
        <w:t>integrated</w:t>
      </w:r>
      <w:r w:rsidRPr="00422EEB">
        <w:rPr>
          <w:lang w:val="en-US"/>
        </w:rPr>
        <w:t xml:space="preserve"> mortar.</w:t>
      </w:r>
    </w:p>
    <w:p w14:paraId="404A1EE0" w14:textId="242B7E5D" w:rsidR="00422EEB" w:rsidRPr="00422EEB" w:rsidRDefault="00422EEB" w:rsidP="00422EEB">
      <w:pPr>
        <w:rPr>
          <w:rFonts w:cs="Times New Roman"/>
          <w:lang w:val="en-US"/>
        </w:rPr>
      </w:pPr>
      <w:r w:rsidRPr="00422EEB">
        <w:rPr>
          <w:rFonts w:cs="Times New Roman"/>
          <w:lang w:val="en-US"/>
        </w:rPr>
        <w:t xml:space="preserve">By customizing building materials such as mortars through the integration of thermal energy storage materials, it is possible to improve the energy performance of building </w:t>
      </w:r>
      <w:r w:rsidRPr="00422EEB">
        <w:rPr>
          <w:rFonts w:cs="Times New Roman"/>
          <w:lang w:val="en-US"/>
        </w:rPr>
        <w:lastRenderedPageBreak/>
        <w:t xml:space="preserve">envelopes and achieve better regulation of indoor temperatures. Cement mortar plays two primary roles in construction projects: first, it serves as an adhesive for masonry materials in foundations and wall construction; second, it is used for both interior and exterior plastering applications. Research on the integration of PCMs into cement mortars shows strong potential for improving thermal performance in buildings. Studies by </w:t>
      </w:r>
      <w:r w:rsidR="00D04880">
        <w:rPr>
          <w:rFonts w:cs="Times New Roman"/>
          <w:lang w:val="en-US"/>
        </w:rPr>
        <w:t>Zhang et al.</w:t>
      </w:r>
      <w:r w:rsidRPr="00422EEB">
        <w:rPr>
          <w:rFonts w:cs="Times New Roman"/>
          <w:lang w:val="en-US"/>
        </w:rPr>
        <w:t xml:space="preserve"> </w:t>
      </w:r>
      <w:sdt>
        <w:sdtPr>
          <w:rPr>
            <w:rFonts w:cs="Times New Roman"/>
            <w:lang w:val="en-US"/>
          </w:rPr>
          <w:id w:val="1983347748"/>
          <w:citation/>
        </w:sdtPr>
        <w:sdtContent>
          <w:r w:rsidR="00852EEC">
            <w:rPr>
              <w:rFonts w:cs="Times New Roman"/>
              <w:lang w:val="en-US"/>
            </w:rPr>
            <w:fldChar w:fldCharType="begin"/>
          </w:r>
          <w:r w:rsidR="00852EEC" w:rsidRPr="008B629F">
            <w:rPr>
              <w:rFonts w:cs="Times New Roman"/>
              <w:lang w:val="en-US"/>
            </w:rPr>
            <w:instrText xml:space="preserve"> CITATION Placeholder133 \l 1040 </w:instrText>
          </w:r>
          <w:r w:rsidR="00852EEC">
            <w:rPr>
              <w:rFonts w:cs="Times New Roman"/>
              <w:lang w:val="en-US"/>
            </w:rPr>
            <w:fldChar w:fldCharType="separate"/>
          </w:r>
          <w:r w:rsidR="00855396" w:rsidRPr="00855396">
            <w:rPr>
              <w:rFonts w:cs="Times New Roman"/>
              <w:noProof/>
              <w:lang w:val="en-US"/>
            </w:rPr>
            <w:t>[123]</w:t>
          </w:r>
          <w:r w:rsidR="00852EEC">
            <w:rPr>
              <w:rFonts w:cs="Times New Roman"/>
              <w:lang w:val="en-US"/>
            </w:rPr>
            <w:fldChar w:fldCharType="end"/>
          </w:r>
        </w:sdtContent>
      </w:sdt>
      <w:r w:rsidR="00D04880">
        <w:rPr>
          <w:rFonts w:cs="Times New Roman"/>
          <w:lang w:val="en-US"/>
        </w:rPr>
        <w:t xml:space="preserve"> </w:t>
      </w:r>
      <w:r w:rsidRPr="00422EEB">
        <w:rPr>
          <w:rFonts w:cs="Times New Roman"/>
          <w:lang w:val="en-US"/>
        </w:rPr>
        <w:t xml:space="preserve">demonstrated that adding PCMs enhances temperature regulation and reduces thermal fluctuations, although optimal thickness and PCM content must be carefully selected. Other works, such as those by Kontoleon et al. </w:t>
      </w:r>
      <w:sdt>
        <w:sdtPr>
          <w:rPr>
            <w:rFonts w:cs="Times New Roman"/>
            <w:lang w:val="en-US"/>
          </w:rPr>
          <w:id w:val="814524566"/>
          <w:citation/>
        </w:sdtPr>
        <w:sdtContent>
          <w:r w:rsidR="00852EEC">
            <w:rPr>
              <w:rFonts w:cs="Times New Roman"/>
              <w:lang w:val="en-US"/>
            </w:rPr>
            <w:fldChar w:fldCharType="begin"/>
          </w:r>
          <w:r w:rsidR="00852EEC" w:rsidRPr="008B629F">
            <w:rPr>
              <w:rFonts w:cs="Times New Roman"/>
              <w:lang w:val="en-US"/>
            </w:rPr>
            <w:instrText xml:space="preserve"> CITATION Placeholder136 \l 1040 </w:instrText>
          </w:r>
          <w:r w:rsidR="00852EEC">
            <w:rPr>
              <w:rFonts w:cs="Times New Roman"/>
              <w:lang w:val="en-US"/>
            </w:rPr>
            <w:fldChar w:fldCharType="separate"/>
          </w:r>
          <w:r w:rsidR="00855396" w:rsidRPr="00855396">
            <w:rPr>
              <w:rFonts w:cs="Times New Roman"/>
              <w:noProof/>
              <w:lang w:val="en-US"/>
            </w:rPr>
            <w:t>[124]</w:t>
          </w:r>
          <w:r w:rsidR="00852EEC">
            <w:rPr>
              <w:rFonts w:cs="Times New Roman"/>
              <w:lang w:val="en-US"/>
            </w:rPr>
            <w:fldChar w:fldCharType="end"/>
          </w:r>
        </w:sdtContent>
      </w:sdt>
      <w:r w:rsidRPr="00422EEB">
        <w:rPr>
          <w:rFonts w:cs="Times New Roman"/>
          <w:lang w:val="en-US"/>
        </w:rPr>
        <w:t xml:space="preserve">, Zhang et al. </w:t>
      </w:r>
      <w:sdt>
        <w:sdtPr>
          <w:rPr>
            <w:rFonts w:cs="Times New Roman"/>
            <w:lang w:val="en-US"/>
          </w:rPr>
          <w:id w:val="-809636893"/>
          <w:citation/>
        </w:sdtPr>
        <w:sdtContent>
          <w:r w:rsidR="00852EEC">
            <w:rPr>
              <w:rFonts w:cs="Times New Roman"/>
              <w:lang w:val="en-US"/>
            </w:rPr>
            <w:fldChar w:fldCharType="begin"/>
          </w:r>
          <w:r w:rsidR="00852EEC" w:rsidRPr="008B629F">
            <w:rPr>
              <w:rFonts w:cs="Times New Roman"/>
              <w:lang w:val="en-US"/>
            </w:rPr>
            <w:instrText xml:space="preserve"> CITATION Placeholder138 \l 1040 </w:instrText>
          </w:r>
          <w:r w:rsidR="00852EEC">
            <w:rPr>
              <w:rFonts w:cs="Times New Roman"/>
              <w:lang w:val="en-US"/>
            </w:rPr>
            <w:fldChar w:fldCharType="separate"/>
          </w:r>
          <w:r w:rsidR="00855396" w:rsidRPr="00855396">
            <w:rPr>
              <w:rFonts w:cs="Times New Roman"/>
              <w:noProof/>
              <w:lang w:val="en-US"/>
            </w:rPr>
            <w:t>[125]</w:t>
          </w:r>
          <w:r w:rsidR="00852EEC">
            <w:rPr>
              <w:rFonts w:cs="Times New Roman"/>
              <w:lang w:val="en-US"/>
            </w:rPr>
            <w:fldChar w:fldCharType="end"/>
          </w:r>
        </w:sdtContent>
      </w:sdt>
      <w:r w:rsidRPr="00422EEB">
        <w:rPr>
          <w:rFonts w:cs="Times New Roman"/>
          <w:lang w:val="en-US"/>
        </w:rPr>
        <w:t xml:space="preserve">, found that increasing PCM content lowers thermal conductivity and improves insulation, but also causes a notable reduction in mechanical strength. To counter this, Frahat et al. </w:t>
      </w:r>
      <w:sdt>
        <w:sdtPr>
          <w:rPr>
            <w:rFonts w:cs="Times New Roman"/>
            <w:lang w:val="en-US"/>
          </w:rPr>
          <w:id w:val="873038318"/>
          <w:citation/>
        </w:sdtPr>
        <w:sdtContent>
          <w:r w:rsidR="00852EEC">
            <w:rPr>
              <w:rFonts w:cs="Times New Roman"/>
              <w:lang w:val="en-US"/>
            </w:rPr>
            <w:fldChar w:fldCharType="begin"/>
          </w:r>
          <w:r w:rsidR="00852EEC" w:rsidRPr="008B629F">
            <w:rPr>
              <w:rFonts w:cs="Times New Roman"/>
              <w:lang w:val="en-US"/>
            </w:rPr>
            <w:instrText xml:space="preserve"> CITATION Placeholder139 \l 1040 </w:instrText>
          </w:r>
          <w:r w:rsidR="00852EEC">
            <w:rPr>
              <w:rFonts w:cs="Times New Roman"/>
              <w:lang w:val="en-US"/>
            </w:rPr>
            <w:fldChar w:fldCharType="separate"/>
          </w:r>
          <w:r w:rsidR="00855396" w:rsidRPr="00855396">
            <w:rPr>
              <w:rFonts w:cs="Times New Roman"/>
              <w:noProof/>
              <w:lang w:val="en-US"/>
            </w:rPr>
            <w:t>[126]</w:t>
          </w:r>
          <w:r w:rsidR="00852EEC">
            <w:rPr>
              <w:rFonts w:cs="Times New Roman"/>
              <w:lang w:val="en-US"/>
            </w:rPr>
            <w:fldChar w:fldCharType="end"/>
          </w:r>
        </w:sdtContent>
      </w:sdt>
      <w:r w:rsidRPr="00422EEB">
        <w:rPr>
          <w:rFonts w:cs="Times New Roman"/>
          <w:lang w:val="en-US"/>
        </w:rPr>
        <w:t xml:space="preserve"> proposed replacing natural sand with ceramic materials, achieving higher tensile and flexural strength. Finally, Li et al. </w:t>
      </w:r>
      <w:sdt>
        <w:sdtPr>
          <w:rPr>
            <w:rFonts w:cs="Times New Roman"/>
            <w:lang w:val="en-US"/>
          </w:rPr>
          <w:id w:val="-101266635"/>
          <w:citation/>
        </w:sdtPr>
        <w:sdtContent>
          <w:r w:rsidR="00852EEC">
            <w:rPr>
              <w:rFonts w:cs="Times New Roman"/>
              <w:lang w:val="en-US"/>
            </w:rPr>
            <w:fldChar w:fldCharType="begin"/>
          </w:r>
          <w:r w:rsidR="00852EEC" w:rsidRPr="008B629F">
            <w:rPr>
              <w:rFonts w:cs="Times New Roman"/>
              <w:lang w:val="en-US"/>
            </w:rPr>
            <w:instrText xml:space="preserve"> CITATION Placeholder140 \l 1040 </w:instrText>
          </w:r>
          <w:r w:rsidR="00852EEC">
            <w:rPr>
              <w:rFonts w:cs="Times New Roman"/>
              <w:lang w:val="en-US"/>
            </w:rPr>
            <w:fldChar w:fldCharType="separate"/>
          </w:r>
          <w:r w:rsidR="00855396" w:rsidRPr="00855396">
            <w:rPr>
              <w:rFonts w:cs="Times New Roman"/>
              <w:noProof/>
              <w:lang w:val="en-US"/>
            </w:rPr>
            <w:t>[127]</w:t>
          </w:r>
          <w:r w:rsidR="00852EEC">
            <w:rPr>
              <w:rFonts w:cs="Times New Roman"/>
              <w:lang w:val="en-US"/>
            </w:rPr>
            <w:fldChar w:fldCharType="end"/>
          </w:r>
        </w:sdtContent>
      </w:sdt>
      <w:r w:rsidRPr="00422EEB">
        <w:rPr>
          <w:rFonts w:cs="Times New Roman"/>
          <w:lang w:val="en-US"/>
        </w:rPr>
        <w:t xml:space="preserve"> applied microencapsulated PCMs in radiant floor mortars, identifying optimal mixtures that enhance energy efficiency. PCMs have proven effective in improving thermal inertia and indoor comfort, though their integration must be carefully optimized to prevent mechanical performance loss.</w:t>
      </w:r>
    </w:p>
    <w:p w14:paraId="768F3FD4" w14:textId="0A82A4EE" w:rsidR="00422EEB" w:rsidRPr="00422EEB" w:rsidRDefault="00422EEB" w:rsidP="00852EEC">
      <w:pPr>
        <w:pStyle w:val="Heading3"/>
        <w:rPr>
          <w:lang w:val="en-US"/>
        </w:rPr>
      </w:pPr>
      <w:bookmarkStart w:id="122" w:name="_Toc214356298"/>
      <w:r w:rsidRPr="00422EEB">
        <w:rPr>
          <w:lang w:val="en-US"/>
        </w:rPr>
        <w:t>Application of PCMs in building envelopes</w:t>
      </w:r>
      <w:bookmarkEnd w:id="122"/>
    </w:p>
    <w:p w14:paraId="70909AA7" w14:textId="77777777" w:rsidR="00422EEB" w:rsidRPr="00422EEB" w:rsidRDefault="00422EEB" w:rsidP="00422EEB">
      <w:pPr>
        <w:rPr>
          <w:rFonts w:cs="Times New Roman"/>
          <w:color w:val="000000" w:themeColor="text1"/>
          <w:lang w:val="en-US"/>
        </w:rPr>
      </w:pPr>
      <w:r w:rsidRPr="00422EEB">
        <w:rPr>
          <w:rFonts w:cs="Times New Roman"/>
          <w:color w:val="000000" w:themeColor="text1"/>
          <w:lang w:val="en-US"/>
        </w:rPr>
        <w:t>This section focuses on the application of PCMs within different components of the building envelope. In particular, it examines their integration into ceilings, roofs, floors, and windows, highlighting how PCM implementation in each element can contribute to enhancing thermal comfort, regulating indoor temperatures, and improving overall building energy efficiency.</w:t>
      </w:r>
    </w:p>
    <w:p w14:paraId="7689F592" w14:textId="0F409A5B" w:rsidR="00422EEB" w:rsidRPr="00422EEB" w:rsidRDefault="00422EEB" w:rsidP="00852EEC">
      <w:pPr>
        <w:pStyle w:val="Heading4"/>
        <w:rPr>
          <w:lang w:val="en-US"/>
        </w:rPr>
      </w:pPr>
      <w:r w:rsidRPr="00422EEB">
        <w:rPr>
          <w:lang w:val="en-US"/>
        </w:rPr>
        <w:t>PCM in ceiling integration.</w:t>
      </w:r>
    </w:p>
    <w:p w14:paraId="259EDA73" w14:textId="1ACEDDAC" w:rsidR="00422EEB" w:rsidRPr="00422EEB" w:rsidRDefault="00422EEB" w:rsidP="00422EEB">
      <w:pPr>
        <w:rPr>
          <w:rFonts w:cs="Times New Roman"/>
          <w:lang w:val="en-US"/>
        </w:rPr>
      </w:pPr>
      <w:r w:rsidRPr="00422EEB">
        <w:rPr>
          <w:rFonts w:cs="Times New Roman"/>
          <w:lang w:val="en-US"/>
        </w:rPr>
        <w:t xml:space="preserve">The integration of PCMs into ceilings has proven to be an effective strategy to improve thermal comfort and reduce building energy demand. Macro-encapsulated PCMs installed directly in ceilings enable efficient passive cooling, lowering indoor temperatures by up to 1.8 °C during summer periods </w:t>
      </w:r>
      <w:sdt>
        <w:sdtPr>
          <w:rPr>
            <w:rFonts w:cs="Times New Roman"/>
            <w:lang w:val="en-US"/>
          </w:rPr>
          <w:id w:val="-793820336"/>
          <w:citation/>
        </w:sdtPr>
        <w:sdtContent>
          <w:r w:rsidR="00852EEC">
            <w:rPr>
              <w:rFonts w:cs="Times New Roman"/>
              <w:lang w:val="en-US"/>
            </w:rPr>
            <w:fldChar w:fldCharType="begin"/>
          </w:r>
          <w:r w:rsidR="00852EEC" w:rsidRPr="00852EEC">
            <w:rPr>
              <w:rFonts w:cs="Times New Roman"/>
              <w:lang w:val="en-US"/>
            </w:rPr>
            <w:instrText xml:space="preserve"> CITATION Placeholder141 \l 1040 </w:instrText>
          </w:r>
          <w:r w:rsidR="00852EEC">
            <w:rPr>
              <w:rFonts w:cs="Times New Roman"/>
              <w:lang w:val="en-US"/>
            </w:rPr>
            <w:fldChar w:fldCharType="separate"/>
          </w:r>
          <w:r w:rsidR="00855396" w:rsidRPr="00855396">
            <w:rPr>
              <w:rFonts w:cs="Times New Roman"/>
              <w:noProof/>
              <w:lang w:val="en-US"/>
            </w:rPr>
            <w:t>[128]</w:t>
          </w:r>
          <w:r w:rsidR="00852EEC">
            <w:rPr>
              <w:rFonts w:cs="Times New Roman"/>
              <w:lang w:val="en-US"/>
            </w:rPr>
            <w:fldChar w:fldCharType="end"/>
          </w:r>
        </w:sdtContent>
      </w:sdt>
      <w:r w:rsidRPr="00422EEB">
        <w:rPr>
          <w:rFonts w:cs="Times New Roman"/>
          <w:lang w:val="en-US"/>
        </w:rPr>
        <w:t xml:space="preserve">. Their performance strongly depends on capsule geometry: numerical and experimental studies have shown that dendritic structures can double the cooling capacity compared to spherical ones </w:t>
      </w:r>
      <w:sdt>
        <w:sdtPr>
          <w:rPr>
            <w:rFonts w:cs="Times New Roman"/>
            <w:lang w:val="en-US"/>
          </w:rPr>
          <w:id w:val="1948815142"/>
          <w:citation/>
        </w:sdtPr>
        <w:sdtContent>
          <w:r w:rsidR="00852EEC">
            <w:rPr>
              <w:rFonts w:cs="Times New Roman"/>
              <w:lang w:val="en-US"/>
            </w:rPr>
            <w:fldChar w:fldCharType="begin"/>
          </w:r>
          <w:r w:rsidR="00852EEC" w:rsidRPr="00852EEC">
            <w:rPr>
              <w:rFonts w:cs="Times New Roman"/>
              <w:lang w:val="en-US"/>
            </w:rPr>
            <w:instrText xml:space="preserve"> CITATION Placeholder142 \l 1040 </w:instrText>
          </w:r>
          <w:r w:rsidR="00852EEC">
            <w:rPr>
              <w:rFonts w:cs="Times New Roman"/>
              <w:lang w:val="en-US"/>
            </w:rPr>
            <w:fldChar w:fldCharType="separate"/>
          </w:r>
          <w:r w:rsidR="00855396" w:rsidRPr="00855396">
            <w:rPr>
              <w:rFonts w:cs="Times New Roman"/>
              <w:noProof/>
              <w:lang w:val="en-US"/>
            </w:rPr>
            <w:t>[129]</w:t>
          </w:r>
          <w:r w:rsidR="00852EEC">
            <w:rPr>
              <w:rFonts w:cs="Times New Roman"/>
              <w:lang w:val="en-US"/>
            </w:rPr>
            <w:fldChar w:fldCharType="end"/>
          </w:r>
        </w:sdtContent>
      </w:sdt>
      <w:r w:rsidRPr="00422EEB">
        <w:rPr>
          <w:rFonts w:cs="Times New Roman"/>
          <w:lang w:val="en-US"/>
        </w:rPr>
        <w:t xml:space="preserve">. Coupling PCMs with ventilation or hydronic cooling systems further enhances thermal efficiency, reducing peak loads and achieving energy savings of up to 17 % in temperate climates </w:t>
      </w:r>
      <w:sdt>
        <w:sdtPr>
          <w:rPr>
            <w:rFonts w:cs="Times New Roman"/>
            <w:lang w:val="en-US"/>
          </w:rPr>
          <w:id w:val="1517270519"/>
          <w:citation/>
        </w:sdtPr>
        <w:sdtContent>
          <w:r w:rsidR="00852EEC">
            <w:rPr>
              <w:rFonts w:cs="Times New Roman"/>
              <w:lang w:val="en-US"/>
            </w:rPr>
            <w:fldChar w:fldCharType="begin"/>
          </w:r>
          <w:r w:rsidR="00852EEC" w:rsidRPr="00852EEC">
            <w:rPr>
              <w:rFonts w:cs="Times New Roman"/>
              <w:lang w:val="en-US"/>
            </w:rPr>
            <w:instrText xml:space="preserve"> CITATION Placeholder143 \l 1040 </w:instrText>
          </w:r>
          <w:r w:rsidR="00852EEC">
            <w:rPr>
              <w:rFonts w:cs="Times New Roman"/>
              <w:lang w:val="en-US"/>
            </w:rPr>
            <w:fldChar w:fldCharType="separate"/>
          </w:r>
          <w:r w:rsidR="00855396" w:rsidRPr="00855396">
            <w:rPr>
              <w:rFonts w:cs="Times New Roman"/>
              <w:noProof/>
              <w:lang w:val="en-US"/>
            </w:rPr>
            <w:t>[130]</w:t>
          </w:r>
          <w:r w:rsidR="00852EEC">
            <w:rPr>
              <w:rFonts w:cs="Times New Roman"/>
              <w:lang w:val="en-US"/>
            </w:rPr>
            <w:fldChar w:fldCharType="end"/>
          </w:r>
        </w:sdtContent>
      </w:sdt>
      <w:r w:rsidRPr="00422EEB">
        <w:rPr>
          <w:rFonts w:cs="Times New Roman"/>
          <w:lang w:val="en-US"/>
        </w:rPr>
        <w:t xml:space="preserve">. In radiant ceilings, PCMs provide a more uniform temperature distribution and help reduce noise levels. Other studies have explored hybrid solutions, such as panels in direct contact with hydronic pipes or combined with nanofluids, improving solidification and heat storage capacity </w:t>
      </w:r>
      <w:sdt>
        <w:sdtPr>
          <w:rPr>
            <w:rFonts w:cs="Times New Roman"/>
            <w:lang w:val="en-US"/>
          </w:rPr>
          <w:id w:val="-177357733"/>
          <w:citation/>
        </w:sdtPr>
        <w:sdtContent>
          <w:r w:rsidR="00852EEC">
            <w:rPr>
              <w:rFonts w:cs="Times New Roman"/>
              <w:lang w:val="en-US"/>
            </w:rPr>
            <w:fldChar w:fldCharType="begin"/>
          </w:r>
          <w:r w:rsidR="00852EEC" w:rsidRPr="00852EEC">
            <w:rPr>
              <w:rFonts w:cs="Times New Roman"/>
              <w:lang w:val="en-US"/>
            </w:rPr>
            <w:instrText xml:space="preserve"> CITATION Placeholder146 \l 1040 </w:instrText>
          </w:r>
          <w:r w:rsidR="00852EEC">
            <w:rPr>
              <w:rFonts w:cs="Times New Roman"/>
              <w:lang w:val="en-US"/>
            </w:rPr>
            <w:fldChar w:fldCharType="separate"/>
          </w:r>
          <w:r w:rsidR="00855396" w:rsidRPr="00855396">
            <w:rPr>
              <w:rFonts w:cs="Times New Roman"/>
              <w:noProof/>
              <w:lang w:val="en-US"/>
            </w:rPr>
            <w:t>[131]</w:t>
          </w:r>
          <w:r w:rsidR="00852EEC">
            <w:rPr>
              <w:rFonts w:cs="Times New Roman"/>
              <w:lang w:val="en-US"/>
            </w:rPr>
            <w:fldChar w:fldCharType="end"/>
          </w:r>
        </w:sdtContent>
      </w:sdt>
      <w:r w:rsidRPr="00422EEB">
        <w:rPr>
          <w:rFonts w:cs="Times New Roman"/>
          <w:lang w:val="en-US"/>
        </w:rPr>
        <w:t xml:space="preserve">. Finally, the development of thermoelectric panels integrated with PCMs represents a promising innovation: these systems maintain surface temperatures of 16–17 °C for over three hours, ensuring stable cooling and effective thermal load management </w:t>
      </w:r>
      <w:sdt>
        <w:sdtPr>
          <w:rPr>
            <w:rFonts w:cs="Times New Roman"/>
            <w:lang w:val="en-US"/>
          </w:rPr>
          <w:id w:val="-1189684769"/>
          <w:citation/>
        </w:sdtPr>
        <w:sdtContent>
          <w:r w:rsidR="00852EEC">
            <w:rPr>
              <w:rFonts w:cs="Times New Roman"/>
              <w:lang w:val="en-US"/>
            </w:rPr>
            <w:fldChar w:fldCharType="begin"/>
          </w:r>
          <w:r w:rsidR="00852EEC" w:rsidRPr="00852EEC">
            <w:rPr>
              <w:rFonts w:cs="Times New Roman"/>
              <w:lang w:val="en-US"/>
            </w:rPr>
            <w:instrText xml:space="preserve"> CITATION Placeholder147 \l 1040 </w:instrText>
          </w:r>
          <w:r w:rsidR="00852EEC">
            <w:rPr>
              <w:rFonts w:cs="Times New Roman"/>
              <w:lang w:val="en-US"/>
            </w:rPr>
            <w:fldChar w:fldCharType="separate"/>
          </w:r>
          <w:r w:rsidR="00855396" w:rsidRPr="00855396">
            <w:rPr>
              <w:rFonts w:cs="Times New Roman"/>
              <w:noProof/>
              <w:lang w:val="en-US"/>
            </w:rPr>
            <w:t>[132]</w:t>
          </w:r>
          <w:r w:rsidR="00852EEC">
            <w:rPr>
              <w:rFonts w:cs="Times New Roman"/>
              <w:lang w:val="en-US"/>
            </w:rPr>
            <w:fldChar w:fldCharType="end"/>
          </w:r>
        </w:sdtContent>
      </w:sdt>
      <w:r w:rsidRPr="00422EEB">
        <w:rPr>
          <w:rFonts w:cs="Times New Roman"/>
          <w:lang w:val="en-US"/>
        </w:rPr>
        <w:t xml:space="preserve">. Figure </w:t>
      </w:r>
      <w:r w:rsidR="00852EEC">
        <w:rPr>
          <w:rFonts w:cs="Times New Roman"/>
          <w:lang w:val="en-US"/>
        </w:rPr>
        <w:lastRenderedPageBreak/>
        <w:t>2.14</w:t>
      </w:r>
      <w:r w:rsidRPr="00422EEB">
        <w:rPr>
          <w:rFonts w:cs="Times New Roman"/>
          <w:lang w:val="en-US"/>
        </w:rPr>
        <w:t xml:space="preserve"> shows a wall-integrated PCM–air heat exchanger: (a) discharge mode with airflow controlled by dampers; (b) layered module schematic with effective exchange length.</w:t>
      </w:r>
    </w:p>
    <w:p w14:paraId="5A2F43B8" w14:textId="77777777" w:rsidR="00422EEB" w:rsidRPr="00422EEB" w:rsidRDefault="00422EEB" w:rsidP="00422EEB">
      <w:pPr>
        <w:keepNext/>
      </w:pPr>
      <w:r w:rsidRPr="00422EEB">
        <w:rPr>
          <w:rFonts w:cs="Times New Roman"/>
          <w:noProof/>
          <w:lang w:val="nb-NO"/>
        </w:rPr>
        <w:drawing>
          <wp:inline distT="0" distB="0" distL="0" distR="0" wp14:anchorId="42F7DEB3" wp14:editId="3A276141">
            <wp:extent cx="6120130" cy="2106295"/>
            <wp:effectExtent l="0" t="0" r="0" b="8255"/>
            <wp:docPr id="1269420642" name="Picture 1" descr="A diagram of a mattres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9420642" name="Picture 1" descr="A diagram of a mattress&#10;&#10;AI-generated content may be incorrect."/>
                    <pic:cNvPicPr/>
                  </pic:nvPicPr>
                  <pic:blipFill>
                    <a:blip r:embed="rId131"/>
                    <a:stretch>
                      <a:fillRect/>
                    </a:stretch>
                  </pic:blipFill>
                  <pic:spPr>
                    <a:xfrm>
                      <a:off x="0" y="0"/>
                      <a:ext cx="6120130" cy="2106295"/>
                    </a:xfrm>
                    <a:prstGeom prst="rect">
                      <a:avLst/>
                    </a:prstGeom>
                  </pic:spPr>
                </pic:pic>
              </a:graphicData>
            </a:graphic>
          </wp:inline>
        </w:drawing>
      </w:r>
    </w:p>
    <w:p w14:paraId="6245D0CB" w14:textId="42469D06" w:rsidR="00422EEB" w:rsidRPr="00422EEB" w:rsidRDefault="00422EEB" w:rsidP="00422EEB">
      <w:pPr>
        <w:pStyle w:val="Caption"/>
        <w:jc w:val="both"/>
        <w:rPr>
          <w:rFonts w:cs="Times New Roman"/>
        </w:rPr>
      </w:pPr>
      <w:bookmarkStart w:id="123" w:name="_Toc214357741"/>
      <w:r w:rsidRPr="00422EEB">
        <w:rPr>
          <w:rFonts w:cs="Times New Roman"/>
        </w:rPr>
        <w:t xml:space="preserve">Figure </w:t>
      </w:r>
      <w:r w:rsidR="00F824A5">
        <w:rPr>
          <w:rFonts w:cs="Times New Roman"/>
        </w:rPr>
        <w:fldChar w:fldCharType="begin"/>
      </w:r>
      <w:r w:rsidR="00F824A5">
        <w:rPr>
          <w:rFonts w:cs="Times New Roman"/>
        </w:rPr>
        <w:instrText xml:space="preserve"> STYLEREF 1 \s </w:instrText>
      </w:r>
      <w:r w:rsidR="00F824A5">
        <w:rPr>
          <w:rFonts w:cs="Times New Roman"/>
        </w:rPr>
        <w:fldChar w:fldCharType="separate"/>
      </w:r>
      <w:r w:rsidR="000412CE">
        <w:rPr>
          <w:rFonts w:cs="Times New Roman"/>
          <w:noProof/>
        </w:rPr>
        <w:t>2</w:t>
      </w:r>
      <w:r w:rsidR="00F824A5">
        <w:rPr>
          <w:rFonts w:cs="Times New Roman"/>
        </w:rPr>
        <w:fldChar w:fldCharType="end"/>
      </w:r>
      <w:r w:rsidR="00F824A5">
        <w:rPr>
          <w:rFonts w:cs="Times New Roman"/>
        </w:rPr>
        <w:t>.</w:t>
      </w:r>
      <w:r w:rsidR="00F824A5">
        <w:rPr>
          <w:rFonts w:cs="Times New Roman"/>
        </w:rPr>
        <w:fldChar w:fldCharType="begin"/>
      </w:r>
      <w:r w:rsidR="00F824A5">
        <w:rPr>
          <w:rFonts w:cs="Times New Roman"/>
        </w:rPr>
        <w:instrText xml:space="preserve"> SEQ Figure \* ARABIC \s 1 </w:instrText>
      </w:r>
      <w:r w:rsidR="00F824A5">
        <w:rPr>
          <w:rFonts w:cs="Times New Roman"/>
        </w:rPr>
        <w:fldChar w:fldCharType="separate"/>
      </w:r>
      <w:r w:rsidR="000412CE">
        <w:rPr>
          <w:rFonts w:cs="Times New Roman"/>
          <w:noProof/>
        </w:rPr>
        <w:t>13</w:t>
      </w:r>
      <w:r w:rsidR="00F824A5">
        <w:rPr>
          <w:rFonts w:cs="Times New Roman"/>
        </w:rPr>
        <w:fldChar w:fldCharType="end"/>
      </w:r>
      <w:r w:rsidRPr="00422EEB">
        <w:rPr>
          <w:rFonts w:cs="Times New Roman"/>
        </w:rPr>
        <w:t>. (a) PCM-air heat exchanger discharging mode, (b) Schematic of PCM-air heat exchanger</w:t>
      </w:r>
      <w:r w:rsidR="008F3712">
        <w:rPr>
          <w:rFonts w:cs="Times New Roman"/>
        </w:rPr>
        <w:t xml:space="preserve"> [99]</w:t>
      </w:r>
      <w:r w:rsidR="00A165BA">
        <w:rPr>
          <w:rFonts w:cs="Times New Roman"/>
        </w:rPr>
        <w:t>.</w:t>
      </w:r>
      <w:bookmarkEnd w:id="123"/>
    </w:p>
    <w:p w14:paraId="4CC6C724" w14:textId="6CBD8892" w:rsidR="00422EEB" w:rsidRPr="00422EEB" w:rsidRDefault="00422EEB" w:rsidP="00852EEC">
      <w:pPr>
        <w:pStyle w:val="Heading4"/>
        <w:rPr>
          <w:lang w:val="en-US"/>
        </w:rPr>
      </w:pPr>
      <w:r w:rsidRPr="00422EEB">
        <w:rPr>
          <w:lang w:val="en-US"/>
        </w:rPr>
        <w:t>PCM in roof integration.</w:t>
      </w:r>
    </w:p>
    <w:p w14:paraId="00D29982" w14:textId="20E473D0" w:rsidR="00422EEB" w:rsidRPr="00422EEB" w:rsidRDefault="00422EEB" w:rsidP="00422EEB">
      <w:pPr>
        <w:rPr>
          <w:rFonts w:cs="Times New Roman"/>
          <w:lang w:val="en-US"/>
        </w:rPr>
      </w:pPr>
      <w:r w:rsidRPr="00422EEB">
        <w:rPr>
          <w:rFonts w:cs="Times New Roman"/>
          <w:lang w:val="en-US"/>
        </w:rPr>
        <w:t xml:space="preserve">The integration of PCMs into roof systems is an effective strategy to improve the thermal performance of buildings by reducing the cooling load caused by solar radiation. Figure </w:t>
      </w:r>
      <w:r w:rsidR="00852EEC">
        <w:rPr>
          <w:rFonts w:cs="Times New Roman"/>
          <w:lang w:val="en-US"/>
        </w:rPr>
        <w:t>2.1</w:t>
      </w:r>
      <w:r w:rsidRPr="00422EEB">
        <w:rPr>
          <w:rFonts w:cs="Times New Roman"/>
          <w:lang w:val="en-US"/>
        </w:rPr>
        <w:t xml:space="preserve">5 depicts a roof assembly with an embedded PCM layer, highlighting how its placement/thickness modulates heat flows under solar load to cut summer heat gains and improve thermal performance. Although this topic has received limited attention so far, several studies have demonstrated promising results. Research by Pasupathy and Velraj </w:t>
      </w:r>
      <w:sdt>
        <w:sdtPr>
          <w:rPr>
            <w:rFonts w:cs="Times New Roman"/>
            <w:lang w:val="en-US"/>
          </w:rPr>
          <w:id w:val="329266525"/>
          <w:citation/>
        </w:sdtPr>
        <w:sdtContent>
          <w:r w:rsidR="00852EEC">
            <w:rPr>
              <w:rFonts w:cs="Times New Roman"/>
              <w:lang w:val="en-US"/>
            </w:rPr>
            <w:fldChar w:fldCharType="begin"/>
          </w:r>
          <w:r w:rsidR="00852EEC" w:rsidRPr="00852EEC">
            <w:rPr>
              <w:rFonts w:cs="Times New Roman"/>
              <w:lang w:val="en-US"/>
            </w:rPr>
            <w:instrText xml:space="preserve"> CITATION Placeholder148 \l 1040 </w:instrText>
          </w:r>
          <w:r w:rsidR="00852EEC">
            <w:rPr>
              <w:rFonts w:cs="Times New Roman"/>
              <w:lang w:val="en-US"/>
            </w:rPr>
            <w:fldChar w:fldCharType="separate"/>
          </w:r>
          <w:r w:rsidR="00855396" w:rsidRPr="00855396">
            <w:rPr>
              <w:rFonts w:cs="Times New Roman"/>
              <w:noProof/>
              <w:lang w:val="en-US"/>
            </w:rPr>
            <w:t>[133]</w:t>
          </w:r>
          <w:r w:rsidR="00852EEC">
            <w:rPr>
              <w:rFonts w:cs="Times New Roman"/>
              <w:lang w:val="en-US"/>
            </w:rPr>
            <w:fldChar w:fldCharType="end"/>
          </w:r>
        </w:sdtContent>
      </w:sdt>
      <w:r w:rsidRPr="00422EEB">
        <w:rPr>
          <w:rFonts w:cs="Times New Roman"/>
          <w:lang w:val="en-US"/>
        </w:rPr>
        <w:t xml:space="preserve"> and Elawady et al. </w:t>
      </w:r>
      <w:sdt>
        <w:sdtPr>
          <w:rPr>
            <w:rFonts w:cs="Times New Roman"/>
            <w:lang w:val="en-US"/>
          </w:rPr>
          <w:id w:val="2112392191"/>
          <w:citation/>
        </w:sdtPr>
        <w:sdtContent>
          <w:r w:rsidR="00852EEC">
            <w:rPr>
              <w:rFonts w:cs="Times New Roman"/>
              <w:lang w:val="en-US"/>
            </w:rPr>
            <w:fldChar w:fldCharType="begin"/>
          </w:r>
          <w:r w:rsidR="00852EEC" w:rsidRPr="008B629F">
            <w:rPr>
              <w:rFonts w:cs="Times New Roman"/>
              <w:lang w:val="en-US"/>
            </w:rPr>
            <w:instrText xml:space="preserve"> CITATION Placeholder149 \l 1040 </w:instrText>
          </w:r>
          <w:r w:rsidR="00852EEC">
            <w:rPr>
              <w:rFonts w:cs="Times New Roman"/>
              <w:lang w:val="en-US"/>
            </w:rPr>
            <w:fldChar w:fldCharType="separate"/>
          </w:r>
          <w:r w:rsidR="00855396" w:rsidRPr="00855396">
            <w:rPr>
              <w:rFonts w:cs="Times New Roman"/>
              <w:noProof/>
              <w:lang w:val="en-US"/>
            </w:rPr>
            <w:t>[134]</w:t>
          </w:r>
          <w:r w:rsidR="00852EEC">
            <w:rPr>
              <w:rFonts w:cs="Times New Roman"/>
              <w:lang w:val="en-US"/>
            </w:rPr>
            <w:fldChar w:fldCharType="end"/>
          </w:r>
        </w:sdtContent>
      </w:sdt>
      <w:r w:rsidR="008F3712">
        <w:rPr>
          <w:rFonts w:cs="Times New Roman"/>
          <w:lang w:val="en-US"/>
        </w:rPr>
        <w:t xml:space="preserve"> </w:t>
      </w:r>
      <w:r w:rsidRPr="00422EEB">
        <w:rPr>
          <w:rFonts w:cs="Times New Roman"/>
          <w:lang w:val="en-US"/>
        </w:rPr>
        <w:t xml:space="preserve">highlighted that the arrangement and thickness of the PCM layers have a strong influence on performance: in the first case, a double-layer system with different melting temperatures improved heat storage efficiency, while in the second, a roof with a 40 mm PCM layer reduced summer heat gains by 40%. Similarly, Kośny et al. </w:t>
      </w:r>
      <w:sdt>
        <w:sdtPr>
          <w:rPr>
            <w:rFonts w:cs="Times New Roman"/>
            <w:lang w:val="en-US"/>
          </w:rPr>
          <w:id w:val="1811364533"/>
          <w:citation/>
        </w:sdtPr>
        <w:sdtContent>
          <w:r w:rsidR="00852EEC">
            <w:rPr>
              <w:rFonts w:cs="Times New Roman"/>
              <w:lang w:val="en-US"/>
            </w:rPr>
            <w:fldChar w:fldCharType="begin"/>
          </w:r>
          <w:r w:rsidR="00852EEC" w:rsidRPr="008B629F">
            <w:rPr>
              <w:rFonts w:cs="Times New Roman"/>
              <w:lang w:val="en-US"/>
            </w:rPr>
            <w:instrText xml:space="preserve"> CITATION Placeholder150 \l 1040 </w:instrText>
          </w:r>
          <w:r w:rsidR="00852EEC">
            <w:rPr>
              <w:rFonts w:cs="Times New Roman"/>
              <w:lang w:val="en-US"/>
            </w:rPr>
            <w:fldChar w:fldCharType="separate"/>
          </w:r>
          <w:r w:rsidR="00855396" w:rsidRPr="00855396">
            <w:rPr>
              <w:rFonts w:cs="Times New Roman"/>
              <w:noProof/>
              <w:lang w:val="en-US"/>
            </w:rPr>
            <w:t>[135]</w:t>
          </w:r>
          <w:r w:rsidR="00852EEC">
            <w:rPr>
              <w:rFonts w:cs="Times New Roman"/>
              <w:lang w:val="en-US"/>
            </w:rPr>
            <w:fldChar w:fldCharType="end"/>
          </w:r>
        </w:sdtContent>
      </w:sdt>
      <w:r w:rsidRPr="00422EEB">
        <w:rPr>
          <w:rFonts w:cs="Times New Roman"/>
          <w:lang w:val="en-US"/>
        </w:rPr>
        <w:t xml:space="preserve"> achieved a 30–55% reduction in heating and cooling loads through a ventilated PV roof incorporating PCM. Other studies have focused on material optimization and configuration. Elarga et al. </w:t>
      </w:r>
      <w:sdt>
        <w:sdtPr>
          <w:rPr>
            <w:rFonts w:cs="Times New Roman"/>
            <w:lang w:val="en-US"/>
          </w:rPr>
          <w:id w:val="-1129696053"/>
          <w:citation/>
        </w:sdtPr>
        <w:sdtContent>
          <w:r w:rsidR="00852EEC">
            <w:rPr>
              <w:rFonts w:cs="Times New Roman"/>
              <w:lang w:val="en-US"/>
            </w:rPr>
            <w:fldChar w:fldCharType="begin"/>
          </w:r>
          <w:r w:rsidR="00852EEC" w:rsidRPr="008B629F">
            <w:rPr>
              <w:rFonts w:cs="Times New Roman"/>
              <w:lang w:val="en-US"/>
            </w:rPr>
            <w:instrText xml:space="preserve"> CITATION Placeholder151 \l 1040 </w:instrText>
          </w:r>
          <w:r w:rsidR="00852EEC">
            <w:rPr>
              <w:rFonts w:cs="Times New Roman"/>
              <w:lang w:val="en-US"/>
            </w:rPr>
            <w:fldChar w:fldCharType="separate"/>
          </w:r>
          <w:r w:rsidR="00855396" w:rsidRPr="00855396">
            <w:rPr>
              <w:rFonts w:cs="Times New Roman"/>
              <w:noProof/>
              <w:lang w:val="en-US"/>
            </w:rPr>
            <w:t>[136]</w:t>
          </w:r>
          <w:r w:rsidR="00852EEC">
            <w:rPr>
              <w:rFonts w:cs="Times New Roman"/>
              <w:lang w:val="en-US"/>
            </w:rPr>
            <w:fldChar w:fldCharType="end"/>
          </w:r>
        </w:sdtContent>
      </w:sdt>
      <w:r w:rsidRPr="00422EEB">
        <w:rPr>
          <w:rFonts w:cs="Times New Roman"/>
          <w:lang w:val="en-US"/>
        </w:rPr>
        <w:t xml:space="preserve"> and Meng et al. </w:t>
      </w:r>
      <w:sdt>
        <w:sdtPr>
          <w:rPr>
            <w:rFonts w:cs="Times New Roman"/>
            <w:lang w:val="en-US"/>
          </w:rPr>
          <w:id w:val="-1623534264"/>
          <w:citation/>
        </w:sdtPr>
        <w:sdtContent>
          <w:r w:rsidR="00852EEC">
            <w:rPr>
              <w:rFonts w:cs="Times New Roman"/>
              <w:lang w:val="en-US"/>
            </w:rPr>
            <w:fldChar w:fldCharType="begin"/>
          </w:r>
          <w:r w:rsidR="00852EEC" w:rsidRPr="008B629F">
            <w:rPr>
              <w:rFonts w:cs="Times New Roman"/>
              <w:lang w:val="en-US"/>
            </w:rPr>
            <w:instrText xml:space="preserve"> CITATION Placeholder152 \l 1040 </w:instrText>
          </w:r>
          <w:r w:rsidR="00852EEC">
            <w:rPr>
              <w:rFonts w:cs="Times New Roman"/>
              <w:lang w:val="en-US"/>
            </w:rPr>
            <w:fldChar w:fldCharType="separate"/>
          </w:r>
          <w:r w:rsidR="00855396" w:rsidRPr="00855396">
            <w:rPr>
              <w:rFonts w:cs="Times New Roman"/>
              <w:noProof/>
              <w:lang w:val="en-US"/>
            </w:rPr>
            <w:t>[137]</w:t>
          </w:r>
          <w:r w:rsidR="00852EEC">
            <w:rPr>
              <w:rFonts w:cs="Times New Roman"/>
              <w:lang w:val="en-US"/>
            </w:rPr>
            <w:fldChar w:fldCharType="end"/>
          </w:r>
        </w:sdtContent>
      </w:sdt>
      <w:r w:rsidRPr="00422EEB">
        <w:rPr>
          <w:rFonts w:cs="Times New Roman"/>
          <w:lang w:val="en-US"/>
        </w:rPr>
        <w:t xml:space="preserve"> found that performance depends on the type and position of the PCM within the roof assembly, while Zhang et al. </w:t>
      </w:r>
      <w:sdt>
        <w:sdtPr>
          <w:rPr>
            <w:rFonts w:cs="Times New Roman"/>
            <w:lang w:val="en-US"/>
          </w:rPr>
          <w:id w:val="2100284998"/>
          <w:citation/>
        </w:sdtPr>
        <w:sdtContent>
          <w:r w:rsidR="00852EEC">
            <w:rPr>
              <w:rFonts w:cs="Times New Roman"/>
              <w:lang w:val="en-US"/>
            </w:rPr>
            <w:fldChar w:fldCharType="begin"/>
          </w:r>
          <w:r w:rsidR="00852EEC" w:rsidRPr="008B629F">
            <w:rPr>
              <w:rFonts w:cs="Times New Roman"/>
              <w:lang w:val="en-US"/>
            </w:rPr>
            <w:instrText xml:space="preserve"> CITATION Placeholder153 \l 1040 </w:instrText>
          </w:r>
          <w:r w:rsidR="00852EEC">
            <w:rPr>
              <w:rFonts w:cs="Times New Roman"/>
              <w:lang w:val="en-US"/>
            </w:rPr>
            <w:fldChar w:fldCharType="separate"/>
          </w:r>
          <w:r w:rsidR="00855396" w:rsidRPr="00855396">
            <w:rPr>
              <w:rFonts w:cs="Times New Roman"/>
              <w:noProof/>
              <w:lang w:val="en-US"/>
            </w:rPr>
            <w:t>[138]</w:t>
          </w:r>
          <w:r w:rsidR="00852EEC">
            <w:rPr>
              <w:rFonts w:cs="Times New Roman"/>
              <w:lang w:val="en-US"/>
            </w:rPr>
            <w:fldChar w:fldCharType="end"/>
          </w:r>
        </w:sdtContent>
      </w:sdt>
      <w:r w:rsidRPr="00422EEB">
        <w:rPr>
          <w:rFonts w:cs="Times New Roman"/>
          <w:lang w:val="en-US"/>
        </w:rPr>
        <w:t xml:space="preserve"> developed an innovative reversible multi-layer roof with two PCMs and low-e glass, achieving energy savings of up to 33.74% in winter and 14.08% in summer in cold Chinese climates. From a structural perspective, Abass and Muthulingam </w:t>
      </w:r>
      <w:sdt>
        <w:sdtPr>
          <w:rPr>
            <w:rFonts w:cs="Times New Roman"/>
            <w:lang w:val="en-US"/>
          </w:rPr>
          <w:id w:val="496851737"/>
          <w:citation/>
        </w:sdtPr>
        <w:sdtContent>
          <w:r w:rsidR="00852EEC">
            <w:rPr>
              <w:rFonts w:cs="Times New Roman"/>
              <w:lang w:val="en-US"/>
            </w:rPr>
            <w:fldChar w:fldCharType="begin"/>
          </w:r>
          <w:r w:rsidR="00852EEC" w:rsidRPr="00852EEC">
            <w:rPr>
              <w:rFonts w:cs="Times New Roman"/>
              <w:lang w:val="en-US"/>
            </w:rPr>
            <w:instrText xml:space="preserve"> CITATION Placeholder154 \l 1040 </w:instrText>
          </w:r>
          <w:r w:rsidR="00852EEC">
            <w:rPr>
              <w:rFonts w:cs="Times New Roman"/>
              <w:lang w:val="en-US"/>
            </w:rPr>
            <w:fldChar w:fldCharType="separate"/>
          </w:r>
          <w:r w:rsidR="00855396" w:rsidRPr="00855396">
            <w:rPr>
              <w:rFonts w:cs="Times New Roman"/>
              <w:noProof/>
              <w:lang w:val="en-US"/>
            </w:rPr>
            <w:t>[139]</w:t>
          </w:r>
          <w:r w:rsidR="00852EEC">
            <w:rPr>
              <w:rFonts w:cs="Times New Roman"/>
              <w:lang w:val="en-US"/>
            </w:rPr>
            <w:fldChar w:fldCharType="end"/>
          </w:r>
        </w:sdtContent>
      </w:sdt>
      <w:r w:rsidR="00852EEC">
        <w:rPr>
          <w:rFonts w:cs="Times New Roman"/>
          <w:lang w:val="en-US"/>
        </w:rPr>
        <w:t xml:space="preserve"> </w:t>
      </w:r>
      <w:r w:rsidRPr="00422EEB">
        <w:rPr>
          <w:rFonts w:cs="Times New Roman"/>
          <w:lang w:val="en-US"/>
        </w:rPr>
        <w:t xml:space="preserve">proposed a biaxial voided roof slab incorporating PCM, which reduced indoor temperature by up to 7.2 °C and heat flux by 60%, with a payback period of less than six years. Likewise, Tokuç et al. </w:t>
      </w:r>
      <w:sdt>
        <w:sdtPr>
          <w:rPr>
            <w:rFonts w:cs="Times New Roman"/>
            <w:lang w:val="en-US"/>
          </w:rPr>
          <w:id w:val="-1608654625"/>
          <w:citation/>
        </w:sdtPr>
        <w:sdtContent>
          <w:r w:rsidR="00852EEC">
            <w:rPr>
              <w:rFonts w:cs="Times New Roman"/>
              <w:lang w:val="en-US"/>
            </w:rPr>
            <w:fldChar w:fldCharType="begin"/>
          </w:r>
          <w:r w:rsidR="00852EEC" w:rsidRPr="008B629F">
            <w:rPr>
              <w:rFonts w:cs="Times New Roman"/>
              <w:lang w:val="en-US"/>
            </w:rPr>
            <w:instrText xml:space="preserve"> CITATION Placeholder155 \l 1040 </w:instrText>
          </w:r>
          <w:r w:rsidR="00852EEC">
            <w:rPr>
              <w:rFonts w:cs="Times New Roman"/>
              <w:lang w:val="en-US"/>
            </w:rPr>
            <w:fldChar w:fldCharType="separate"/>
          </w:r>
          <w:r w:rsidR="00855396" w:rsidRPr="00855396">
            <w:rPr>
              <w:rFonts w:cs="Times New Roman"/>
              <w:noProof/>
              <w:lang w:val="en-US"/>
            </w:rPr>
            <w:t>[140]</w:t>
          </w:r>
          <w:r w:rsidR="00852EEC">
            <w:rPr>
              <w:rFonts w:cs="Times New Roman"/>
              <w:lang w:val="en-US"/>
            </w:rPr>
            <w:fldChar w:fldCharType="end"/>
          </w:r>
        </w:sdtContent>
      </w:sdt>
      <w:r w:rsidR="00852EEC">
        <w:rPr>
          <w:rFonts w:cs="Times New Roman"/>
          <w:lang w:val="en-US"/>
        </w:rPr>
        <w:t xml:space="preserve"> </w:t>
      </w:r>
      <w:r w:rsidRPr="00422EEB">
        <w:rPr>
          <w:rFonts w:cs="Times New Roman"/>
          <w:lang w:val="en-US"/>
        </w:rPr>
        <w:t>identified, through CFD and experimental analysis, an optimal PCM thickness of 2 cm for flat roofs in Istanbul, which reduced heat flux by up to 9.6%.</w:t>
      </w:r>
    </w:p>
    <w:p w14:paraId="2A57B325" w14:textId="77777777" w:rsidR="00422EEB" w:rsidRPr="00422EEB" w:rsidRDefault="00422EEB" w:rsidP="00422EEB">
      <w:pPr>
        <w:keepNext/>
        <w:jc w:val="center"/>
      </w:pPr>
      <w:r w:rsidRPr="00422EEB">
        <w:rPr>
          <w:rFonts w:cs="Times New Roman"/>
          <w:noProof/>
          <w:lang w:val="nb-NO"/>
        </w:rPr>
        <w:lastRenderedPageBreak/>
        <w:drawing>
          <wp:inline distT="0" distB="0" distL="0" distR="0" wp14:anchorId="13CAC77E" wp14:editId="050E28CC">
            <wp:extent cx="4010585" cy="3581900"/>
            <wp:effectExtent l="0" t="0" r="9525" b="0"/>
            <wp:docPr id="2051310543" name="Immagine 1" descr="Diagram of a diagram of a solar thermal insula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1310543" name="Immagine 1" descr="Diagram of a diagram of a solar thermal insulation&#10;&#10;AI-generated content may be incorrect."/>
                    <pic:cNvPicPr/>
                  </pic:nvPicPr>
                  <pic:blipFill>
                    <a:blip r:embed="rId132"/>
                    <a:stretch>
                      <a:fillRect/>
                    </a:stretch>
                  </pic:blipFill>
                  <pic:spPr>
                    <a:xfrm>
                      <a:off x="0" y="0"/>
                      <a:ext cx="4010585" cy="3581900"/>
                    </a:xfrm>
                    <a:prstGeom prst="rect">
                      <a:avLst/>
                    </a:prstGeom>
                  </pic:spPr>
                </pic:pic>
              </a:graphicData>
            </a:graphic>
          </wp:inline>
        </w:drawing>
      </w:r>
    </w:p>
    <w:p w14:paraId="01805EA6" w14:textId="5FB6B0B2" w:rsidR="00422EEB" w:rsidRPr="00422EEB" w:rsidRDefault="00422EEB" w:rsidP="00422EEB">
      <w:pPr>
        <w:pStyle w:val="Caption"/>
        <w:rPr>
          <w:rFonts w:cs="Times New Roman"/>
        </w:rPr>
      </w:pPr>
      <w:bookmarkStart w:id="124" w:name="_Toc214357742"/>
      <w:r w:rsidRPr="00422EEB">
        <w:rPr>
          <w:rFonts w:cs="Times New Roman"/>
        </w:rPr>
        <w:t xml:space="preserve">Figure </w:t>
      </w:r>
      <w:r w:rsidR="00F824A5">
        <w:rPr>
          <w:rFonts w:cs="Times New Roman"/>
        </w:rPr>
        <w:fldChar w:fldCharType="begin"/>
      </w:r>
      <w:r w:rsidR="00F824A5">
        <w:rPr>
          <w:rFonts w:cs="Times New Roman"/>
        </w:rPr>
        <w:instrText xml:space="preserve"> STYLEREF 1 \s </w:instrText>
      </w:r>
      <w:r w:rsidR="00F824A5">
        <w:rPr>
          <w:rFonts w:cs="Times New Roman"/>
        </w:rPr>
        <w:fldChar w:fldCharType="separate"/>
      </w:r>
      <w:r w:rsidR="000412CE">
        <w:rPr>
          <w:rFonts w:cs="Times New Roman"/>
          <w:noProof/>
        </w:rPr>
        <w:t>2</w:t>
      </w:r>
      <w:r w:rsidR="00F824A5">
        <w:rPr>
          <w:rFonts w:cs="Times New Roman"/>
        </w:rPr>
        <w:fldChar w:fldCharType="end"/>
      </w:r>
      <w:r w:rsidR="00F824A5">
        <w:rPr>
          <w:rFonts w:cs="Times New Roman"/>
        </w:rPr>
        <w:t>.</w:t>
      </w:r>
      <w:r w:rsidR="00F824A5">
        <w:rPr>
          <w:rFonts w:cs="Times New Roman"/>
        </w:rPr>
        <w:fldChar w:fldCharType="begin"/>
      </w:r>
      <w:r w:rsidR="00F824A5">
        <w:rPr>
          <w:rFonts w:cs="Times New Roman"/>
        </w:rPr>
        <w:instrText xml:space="preserve"> SEQ Figure \* ARABIC \s 1 </w:instrText>
      </w:r>
      <w:r w:rsidR="00F824A5">
        <w:rPr>
          <w:rFonts w:cs="Times New Roman"/>
        </w:rPr>
        <w:fldChar w:fldCharType="separate"/>
      </w:r>
      <w:r w:rsidR="000412CE">
        <w:rPr>
          <w:rFonts w:cs="Times New Roman"/>
          <w:noProof/>
        </w:rPr>
        <w:t>14</w:t>
      </w:r>
      <w:r w:rsidR="00F824A5">
        <w:rPr>
          <w:rFonts w:cs="Times New Roman"/>
        </w:rPr>
        <w:fldChar w:fldCharType="end"/>
      </w:r>
      <w:r w:rsidRPr="00422EEB">
        <w:rPr>
          <w:rFonts w:cs="Times New Roman"/>
        </w:rPr>
        <w:t>. PCM-integrated roof schematic showing layer stack and dominant heat-transfer modes under solar irradiation</w:t>
      </w:r>
      <w:r w:rsidRPr="00422EEB">
        <w:t>.</w:t>
      </w:r>
      <w:r w:rsidR="00D619A3">
        <w:t xml:space="preserve"> [106]</w:t>
      </w:r>
      <w:r w:rsidR="00A165BA">
        <w:t>.</w:t>
      </w:r>
      <w:bookmarkEnd w:id="124"/>
    </w:p>
    <w:p w14:paraId="34BBBADE" w14:textId="5E87B8C6" w:rsidR="00422EEB" w:rsidRPr="00422EEB" w:rsidRDefault="00422EEB" w:rsidP="00852EEC">
      <w:pPr>
        <w:pStyle w:val="Heading4"/>
        <w:rPr>
          <w:lang w:val="en-US"/>
        </w:rPr>
      </w:pPr>
      <w:r w:rsidRPr="00422EEB">
        <w:rPr>
          <w:lang w:val="en-US"/>
        </w:rPr>
        <w:t>PCM in floor integration.</w:t>
      </w:r>
    </w:p>
    <w:p w14:paraId="20FCAD75" w14:textId="15455BA9" w:rsidR="00422EEB" w:rsidRPr="00422EEB" w:rsidRDefault="00422EEB" w:rsidP="00422EEB">
      <w:pPr>
        <w:rPr>
          <w:rFonts w:cs="Times New Roman"/>
          <w:lang w:val="en-US"/>
        </w:rPr>
      </w:pPr>
      <w:r w:rsidRPr="00422EEB">
        <w:rPr>
          <w:rFonts w:cs="Times New Roman"/>
          <w:lang w:val="en-US"/>
        </w:rPr>
        <w:t xml:space="preserve">The integration of PCMs into radiant floor systems improves energy efficiency and thermal comfort in lightweight buildings. Karim et al. </w:t>
      </w:r>
      <w:sdt>
        <w:sdtPr>
          <w:rPr>
            <w:rFonts w:cs="Times New Roman"/>
            <w:lang w:val="en-US"/>
          </w:rPr>
          <w:id w:val="1555034488"/>
          <w:citation/>
        </w:sdtPr>
        <w:sdtContent>
          <w:r w:rsidR="00852EEC">
            <w:rPr>
              <w:rFonts w:cs="Times New Roman"/>
              <w:lang w:val="en-US"/>
            </w:rPr>
            <w:fldChar w:fldCharType="begin"/>
          </w:r>
          <w:r w:rsidR="00852EEC" w:rsidRPr="008B629F">
            <w:rPr>
              <w:rFonts w:cs="Times New Roman"/>
              <w:lang w:val="en-US"/>
            </w:rPr>
            <w:instrText xml:space="preserve"> CITATION Placeholder156 \l 1040 </w:instrText>
          </w:r>
          <w:r w:rsidR="00852EEC">
            <w:rPr>
              <w:rFonts w:cs="Times New Roman"/>
              <w:lang w:val="en-US"/>
            </w:rPr>
            <w:fldChar w:fldCharType="separate"/>
          </w:r>
          <w:r w:rsidR="00855396" w:rsidRPr="00855396">
            <w:rPr>
              <w:rFonts w:cs="Times New Roman"/>
              <w:noProof/>
              <w:lang w:val="en-US"/>
            </w:rPr>
            <w:t>[141]</w:t>
          </w:r>
          <w:r w:rsidR="00852EEC">
            <w:rPr>
              <w:rFonts w:cs="Times New Roman"/>
              <w:lang w:val="en-US"/>
            </w:rPr>
            <w:fldChar w:fldCharType="end"/>
          </w:r>
        </w:sdtContent>
      </w:sdt>
      <w:r w:rsidRPr="00422EEB">
        <w:rPr>
          <w:rFonts w:cs="Times New Roman"/>
          <w:lang w:val="en-US"/>
        </w:rPr>
        <w:t xml:space="preserve"> showed that a hollow concrete panel with PCM can shift the peak load by 7.3 hours, enhancing heat storage and distribution. Guo et al. </w:t>
      </w:r>
      <w:sdt>
        <w:sdtPr>
          <w:rPr>
            <w:rFonts w:cs="Times New Roman"/>
            <w:lang w:val="en-US"/>
          </w:rPr>
          <w:id w:val="-430042127"/>
          <w:citation/>
        </w:sdtPr>
        <w:sdtContent>
          <w:r w:rsidR="00852EEC">
            <w:rPr>
              <w:rFonts w:cs="Times New Roman"/>
              <w:lang w:val="en-US"/>
            </w:rPr>
            <w:fldChar w:fldCharType="begin"/>
          </w:r>
          <w:r w:rsidR="00852EEC" w:rsidRPr="008B629F">
            <w:rPr>
              <w:rFonts w:cs="Times New Roman"/>
              <w:lang w:val="en-US"/>
            </w:rPr>
            <w:instrText xml:space="preserve"> CITATION Placeholder157 \l 1040 </w:instrText>
          </w:r>
          <w:r w:rsidR="00852EEC">
            <w:rPr>
              <w:rFonts w:cs="Times New Roman"/>
              <w:lang w:val="en-US"/>
            </w:rPr>
            <w:fldChar w:fldCharType="separate"/>
          </w:r>
          <w:r w:rsidR="00855396" w:rsidRPr="00855396">
            <w:rPr>
              <w:rFonts w:cs="Times New Roman"/>
              <w:noProof/>
              <w:lang w:val="en-US"/>
            </w:rPr>
            <w:t>[142]</w:t>
          </w:r>
          <w:r w:rsidR="00852EEC">
            <w:rPr>
              <w:rFonts w:cs="Times New Roman"/>
              <w:lang w:val="en-US"/>
            </w:rPr>
            <w:fldChar w:fldCharType="end"/>
          </w:r>
        </w:sdtContent>
      </w:sdt>
      <w:r w:rsidR="00852EEC">
        <w:rPr>
          <w:rFonts w:cs="Times New Roman"/>
          <w:lang w:val="en-US"/>
        </w:rPr>
        <w:t xml:space="preserve"> </w:t>
      </w:r>
      <w:r w:rsidRPr="00422EEB">
        <w:rPr>
          <w:rFonts w:cs="Times New Roman"/>
          <w:lang w:val="en-US"/>
        </w:rPr>
        <w:t xml:space="preserve">and Sun et al. </w:t>
      </w:r>
      <w:sdt>
        <w:sdtPr>
          <w:rPr>
            <w:rFonts w:cs="Times New Roman"/>
            <w:lang w:val="en-US"/>
          </w:rPr>
          <w:id w:val="2081715269"/>
          <w:citation/>
        </w:sdtPr>
        <w:sdtContent>
          <w:r w:rsidR="00852EEC">
            <w:rPr>
              <w:rFonts w:cs="Times New Roman"/>
              <w:lang w:val="en-US"/>
            </w:rPr>
            <w:fldChar w:fldCharType="begin"/>
          </w:r>
          <w:r w:rsidR="00852EEC" w:rsidRPr="008B629F">
            <w:rPr>
              <w:rFonts w:cs="Times New Roman"/>
              <w:lang w:val="en-US"/>
            </w:rPr>
            <w:instrText xml:space="preserve"> CITATION Placeholder158 \l 1040 </w:instrText>
          </w:r>
          <w:r w:rsidR="00852EEC">
            <w:rPr>
              <w:rFonts w:cs="Times New Roman"/>
              <w:lang w:val="en-US"/>
            </w:rPr>
            <w:fldChar w:fldCharType="separate"/>
          </w:r>
          <w:r w:rsidR="00855396" w:rsidRPr="00855396">
            <w:rPr>
              <w:rFonts w:cs="Times New Roman"/>
              <w:noProof/>
              <w:lang w:val="en-US"/>
            </w:rPr>
            <w:t>[143]</w:t>
          </w:r>
          <w:r w:rsidR="00852EEC">
            <w:rPr>
              <w:rFonts w:cs="Times New Roman"/>
              <w:lang w:val="en-US"/>
            </w:rPr>
            <w:fldChar w:fldCharType="end"/>
          </w:r>
        </w:sdtContent>
      </w:sdt>
      <w:r w:rsidRPr="00422EEB">
        <w:rPr>
          <w:rFonts w:cs="Times New Roman"/>
          <w:lang w:val="en-US"/>
        </w:rPr>
        <w:t xml:space="preserve"> found that ventilated or double-layer radiant systems with PCM increase efficiency by up to 7% and extend the duration of thermal comfort</w:t>
      </w:r>
      <w:bookmarkStart w:id="125" w:name="_Hlk213691322"/>
      <w:r w:rsidRPr="00422EEB">
        <w:rPr>
          <w:rFonts w:cs="Times New Roman"/>
          <w:lang w:val="en-US"/>
        </w:rPr>
        <w:t xml:space="preserve">. Kitagawa et al. </w:t>
      </w:r>
      <w:sdt>
        <w:sdtPr>
          <w:rPr>
            <w:rFonts w:cs="Times New Roman"/>
            <w:lang w:val="en-US"/>
          </w:rPr>
          <w:id w:val="-1081668257"/>
          <w:citation/>
        </w:sdtPr>
        <w:sdtContent>
          <w:r w:rsidR="00852EEC">
            <w:rPr>
              <w:rFonts w:cs="Times New Roman"/>
              <w:lang w:val="en-US"/>
            </w:rPr>
            <w:fldChar w:fldCharType="begin"/>
          </w:r>
          <w:r w:rsidR="00852EEC" w:rsidRPr="008B629F">
            <w:rPr>
              <w:rFonts w:cs="Times New Roman"/>
              <w:lang w:val="en-US"/>
            </w:rPr>
            <w:instrText xml:space="preserve"> CITATION Placeholder159 \l 1040 </w:instrText>
          </w:r>
          <w:r w:rsidR="00852EEC">
            <w:rPr>
              <w:rFonts w:cs="Times New Roman"/>
              <w:lang w:val="en-US"/>
            </w:rPr>
            <w:fldChar w:fldCharType="separate"/>
          </w:r>
          <w:r w:rsidR="00855396" w:rsidRPr="00855396">
            <w:rPr>
              <w:rFonts w:cs="Times New Roman"/>
              <w:noProof/>
              <w:lang w:val="en-US"/>
            </w:rPr>
            <w:t>[144]</w:t>
          </w:r>
          <w:r w:rsidR="00852EEC">
            <w:rPr>
              <w:rFonts w:cs="Times New Roman"/>
              <w:lang w:val="en-US"/>
            </w:rPr>
            <w:fldChar w:fldCharType="end"/>
          </w:r>
        </w:sdtContent>
      </w:sdt>
      <w:r w:rsidRPr="00422EEB">
        <w:rPr>
          <w:rFonts w:cs="Times New Roman"/>
          <w:lang w:val="en-US"/>
        </w:rPr>
        <w:t xml:space="preserve"> combined PCM with night ventilation, reducing floor temperature by up to 1.5 °C in hot and humid climates. </w:t>
      </w:r>
      <w:bookmarkEnd w:id="125"/>
      <w:r w:rsidRPr="00422EEB">
        <w:rPr>
          <w:rFonts w:cs="Times New Roman"/>
          <w:lang w:val="en-US"/>
        </w:rPr>
        <w:t xml:space="preserve">Other studies have developed new composite PCMs for flooring: Wang et al. </w:t>
      </w:r>
      <w:sdt>
        <w:sdtPr>
          <w:rPr>
            <w:rFonts w:cs="Times New Roman"/>
            <w:lang w:val="en-US"/>
          </w:rPr>
          <w:id w:val="1772733207"/>
          <w:citation/>
        </w:sdtPr>
        <w:sdtContent>
          <w:r w:rsidR="00852EEC">
            <w:rPr>
              <w:rFonts w:cs="Times New Roman"/>
              <w:lang w:val="en-US"/>
            </w:rPr>
            <w:fldChar w:fldCharType="begin"/>
          </w:r>
          <w:r w:rsidR="00852EEC" w:rsidRPr="008B629F">
            <w:rPr>
              <w:rFonts w:cs="Times New Roman"/>
              <w:lang w:val="en-US"/>
            </w:rPr>
            <w:instrText xml:space="preserve"> CITATION Placeholder160 \l 1040 </w:instrText>
          </w:r>
          <w:r w:rsidR="00852EEC">
            <w:rPr>
              <w:rFonts w:cs="Times New Roman"/>
              <w:lang w:val="en-US"/>
            </w:rPr>
            <w:fldChar w:fldCharType="separate"/>
          </w:r>
          <w:r w:rsidR="00855396" w:rsidRPr="00855396">
            <w:rPr>
              <w:rFonts w:cs="Times New Roman"/>
              <w:noProof/>
              <w:lang w:val="en-US"/>
            </w:rPr>
            <w:t>[145]</w:t>
          </w:r>
          <w:r w:rsidR="00852EEC">
            <w:rPr>
              <w:rFonts w:cs="Times New Roman"/>
              <w:lang w:val="en-US"/>
            </w:rPr>
            <w:fldChar w:fldCharType="end"/>
          </w:r>
        </w:sdtContent>
      </w:sdt>
      <w:r w:rsidR="00852EEC">
        <w:rPr>
          <w:rFonts w:cs="Times New Roman"/>
          <w:lang w:val="en-US"/>
        </w:rPr>
        <w:t xml:space="preserve"> </w:t>
      </w:r>
      <w:r w:rsidRPr="00422EEB">
        <w:rPr>
          <w:rFonts w:cs="Times New Roman"/>
          <w:lang w:val="en-US"/>
        </w:rPr>
        <w:t xml:space="preserve">and Xu et al. </w:t>
      </w:r>
      <w:sdt>
        <w:sdtPr>
          <w:rPr>
            <w:rFonts w:cs="Times New Roman"/>
            <w:lang w:val="en-US"/>
          </w:rPr>
          <w:id w:val="-554314979"/>
          <w:citation/>
        </w:sdtPr>
        <w:sdtContent>
          <w:r w:rsidR="00852EEC">
            <w:rPr>
              <w:rFonts w:cs="Times New Roman"/>
              <w:lang w:val="en-US"/>
            </w:rPr>
            <w:fldChar w:fldCharType="begin"/>
          </w:r>
          <w:r w:rsidR="00852EEC" w:rsidRPr="008B629F">
            <w:rPr>
              <w:rFonts w:cs="Times New Roman"/>
              <w:lang w:val="en-US"/>
            </w:rPr>
            <w:instrText xml:space="preserve"> CITATION Placeholder161 \l 1040 </w:instrText>
          </w:r>
          <w:r w:rsidR="00852EEC">
            <w:rPr>
              <w:rFonts w:cs="Times New Roman"/>
              <w:lang w:val="en-US"/>
            </w:rPr>
            <w:fldChar w:fldCharType="separate"/>
          </w:r>
          <w:r w:rsidR="00855396" w:rsidRPr="00855396">
            <w:rPr>
              <w:rFonts w:cs="Times New Roman"/>
              <w:noProof/>
              <w:lang w:val="en-US"/>
            </w:rPr>
            <w:t>[146]</w:t>
          </w:r>
          <w:r w:rsidR="00852EEC">
            <w:rPr>
              <w:rFonts w:cs="Times New Roman"/>
              <w:lang w:val="en-US"/>
            </w:rPr>
            <w:fldChar w:fldCharType="end"/>
          </w:r>
        </w:sdtContent>
      </w:sdt>
      <w:r w:rsidRPr="00422EEB">
        <w:rPr>
          <w:rFonts w:cs="Times New Roman"/>
          <w:lang w:val="en-US"/>
        </w:rPr>
        <w:t xml:space="preserve"> produced stable, high-capacity PCMs, while Faraj et al. </w:t>
      </w:r>
      <w:sdt>
        <w:sdtPr>
          <w:rPr>
            <w:rFonts w:cs="Times New Roman"/>
            <w:lang w:val="en-US"/>
          </w:rPr>
          <w:id w:val="-1525941267"/>
          <w:citation/>
        </w:sdtPr>
        <w:sdtContent>
          <w:r w:rsidR="00852EEC">
            <w:rPr>
              <w:rFonts w:cs="Times New Roman"/>
              <w:lang w:val="en-US"/>
            </w:rPr>
            <w:fldChar w:fldCharType="begin"/>
          </w:r>
          <w:r w:rsidR="00852EEC" w:rsidRPr="008B629F">
            <w:rPr>
              <w:rFonts w:cs="Times New Roman"/>
              <w:lang w:val="en-US"/>
            </w:rPr>
            <w:instrText xml:space="preserve"> CITATION Placeholder162 \l 1040 </w:instrText>
          </w:r>
          <w:r w:rsidR="00852EEC">
            <w:rPr>
              <w:rFonts w:cs="Times New Roman"/>
              <w:lang w:val="en-US"/>
            </w:rPr>
            <w:fldChar w:fldCharType="separate"/>
          </w:r>
          <w:r w:rsidR="00855396" w:rsidRPr="00855396">
            <w:rPr>
              <w:rFonts w:cs="Times New Roman"/>
              <w:noProof/>
              <w:lang w:val="en-US"/>
            </w:rPr>
            <w:t>[147]</w:t>
          </w:r>
          <w:r w:rsidR="00852EEC">
            <w:rPr>
              <w:rFonts w:cs="Times New Roman"/>
              <w:lang w:val="en-US"/>
            </w:rPr>
            <w:fldChar w:fldCharType="end"/>
          </w:r>
        </w:sdtContent>
      </w:sdt>
      <w:r w:rsidR="00BA0228">
        <w:rPr>
          <w:rFonts w:cs="Times New Roman"/>
          <w:lang w:val="en-US"/>
        </w:rPr>
        <w:t>,</w:t>
      </w:r>
      <w:r w:rsidRPr="00422EEB">
        <w:rPr>
          <w:rFonts w:cs="Times New Roman"/>
          <w:lang w:val="en-US"/>
        </w:rPr>
        <w:t xml:space="preserve"> Jin et al. </w:t>
      </w:r>
      <w:sdt>
        <w:sdtPr>
          <w:rPr>
            <w:rFonts w:cs="Times New Roman"/>
            <w:lang w:val="en-US"/>
          </w:rPr>
          <w:id w:val="1834024666"/>
          <w:citation/>
        </w:sdtPr>
        <w:sdtContent>
          <w:r w:rsidR="00852EEC">
            <w:rPr>
              <w:rFonts w:cs="Times New Roman"/>
              <w:lang w:val="en-US"/>
            </w:rPr>
            <w:fldChar w:fldCharType="begin"/>
          </w:r>
          <w:r w:rsidR="00852EEC" w:rsidRPr="00BA0228">
            <w:rPr>
              <w:rFonts w:cs="Times New Roman"/>
              <w:lang w:val="en-US"/>
            </w:rPr>
            <w:instrText xml:space="preserve"> CITATION Placeholder163 \l 1040 </w:instrText>
          </w:r>
          <w:r w:rsidR="00852EEC">
            <w:rPr>
              <w:rFonts w:cs="Times New Roman"/>
              <w:lang w:val="en-US"/>
            </w:rPr>
            <w:fldChar w:fldCharType="separate"/>
          </w:r>
          <w:r w:rsidR="00855396" w:rsidRPr="00855396">
            <w:rPr>
              <w:rFonts w:cs="Times New Roman"/>
              <w:noProof/>
              <w:lang w:val="en-US"/>
            </w:rPr>
            <w:t>[148]</w:t>
          </w:r>
          <w:r w:rsidR="00852EEC">
            <w:rPr>
              <w:rFonts w:cs="Times New Roman"/>
              <w:lang w:val="en-US"/>
            </w:rPr>
            <w:fldChar w:fldCharType="end"/>
          </w:r>
        </w:sdtContent>
      </w:sdt>
      <w:r w:rsidR="00855396">
        <w:rPr>
          <w:rFonts w:cs="Times New Roman"/>
          <w:lang w:val="en-US"/>
        </w:rPr>
        <w:t xml:space="preserve"> </w:t>
      </w:r>
      <w:r w:rsidRPr="00422EEB">
        <w:rPr>
          <w:rFonts w:cs="Times New Roman"/>
          <w:lang w:val="en-US"/>
        </w:rPr>
        <w:t>confirmed improved comfort and operating cost reductions of up to 73%.</w:t>
      </w:r>
    </w:p>
    <w:p w14:paraId="18971DD3" w14:textId="08C6902A" w:rsidR="00422EEB" w:rsidRPr="00422EEB" w:rsidRDefault="00422EEB" w:rsidP="00BA0228">
      <w:pPr>
        <w:pStyle w:val="Heading4"/>
        <w:rPr>
          <w:lang w:val="en-US"/>
        </w:rPr>
      </w:pPr>
      <w:r w:rsidRPr="00422EEB">
        <w:rPr>
          <w:lang w:val="en-US"/>
        </w:rPr>
        <w:t>PCM in window integration..</w:t>
      </w:r>
      <w:r w:rsidRPr="00422EEB">
        <w:rPr>
          <w:lang w:val="en-US"/>
        </w:rPr>
        <w:tab/>
      </w:r>
    </w:p>
    <w:p w14:paraId="785FE398" w14:textId="3B6ADD94" w:rsidR="00422EEB" w:rsidRPr="00422EEB" w:rsidRDefault="00422EEB" w:rsidP="00422EEB">
      <w:pPr>
        <w:rPr>
          <w:rFonts w:cs="Times New Roman"/>
          <w:lang w:val="en-US"/>
        </w:rPr>
      </w:pPr>
      <w:r w:rsidRPr="00422EEB">
        <w:rPr>
          <w:rFonts w:cs="Times New Roman"/>
          <w:lang w:val="en-US"/>
        </w:rPr>
        <w:t xml:space="preserve">The figure below is found in Abass's review [106] and illustrates various configurations of PCM-enhanced windows, developed to improve the energy efficiency and thermal comfort of buildings. In (a), an experimental prototype installed in a real building is shown, used to test the performance of PCM under operational conditions. Images (b), (c), (d), and (e) depict schematic representations of different PCM integration methods within glazing systems: between glass panes, as an inner or reflective layer, or combined with high-efficiency optical surfaces to regulate heat </w:t>
      </w:r>
      <w:r w:rsidRPr="00422EEB">
        <w:rPr>
          <w:rFonts w:cs="Times New Roman"/>
          <w:lang w:val="en-US"/>
        </w:rPr>
        <w:lastRenderedPageBreak/>
        <w:t xml:space="preserve">transfer and solar radiation. Finally, (f) presents a more complex multilayer window model equipped with three separate chambers (PCM, water, and air) and a data acquisition system for thermal monitoring </w:t>
      </w:r>
      <w:sdt>
        <w:sdtPr>
          <w:rPr>
            <w:rFonts w:cs="Times New Roman"/>
            <w:lang w:val="en-US"/>
          </w:rPr>
          <w:id w:val="128218721"/>
          <w:citation/>
        </w:sdtPr>
        <w:sdtContent>
          <w:r w:rsidR="00BA0228">
            <w:rPr>
              <w:rFonts w:cs="Times New Roman"/>
              <w:lang w:val="en-US"/>
            </w:rPr>
            <w:fldChar w:fldCharType="begin"/>
          </w:r>
          <w:r w:rsidR="00BA0228" w:rsidRPr="00BA0228">
            <w:rPr>
              <w:rFonts w:cs="Times New Roman"/>
              <w:lang w:val="en-US"/>
            </w:rPr>
            <w:instrText xml:space="preserve"> CITATION Placeholder166 \l 1040 </w:instrText>
          </w:r>
          <w:r w:rsidR="00BA0228">
            <w:rPr>
              <w:rFonts w:cs="Times New Roman"/>
              <w:lang w:val="en-US"/>
            </w:rPr>
            <w:fldChar w:fldCharType="separate"/>
          </w:r>
          <w:r w:rsidR="00855396" w:rsidRPr="00855396">
            <w:rPr>
              <w:rFonts w:cs="Times New Roman"/>
              <w:noProof/>
              <w:lang w:val="en-US"/>
            </w:rPr>
            <w:t>[149]</w:t>
          </w:r>
          <w:r w:rsidR="00BA0228">
            <w:rPr>
              <w:rFonts w:cs="Times New Roman"/>
              <w:lang w:val="en-US"/>
            </w:rPr>
            <w:fldChar w:fldCharType="end"/>
          </w:r>
        </w:sdtContent>
      </w:sdt>
      <w:r w:rsidRPr="00422EEB">
        <w:rPr>
          <w:rFonts w:cs="Times New Roman"/>
          <w:lang w:val="en-US"/>
        </w:rPr>
        <w:t xml:space="preserve">. Heat transfer through windows accounts for up to 80% of total heat losses in buildings, leading many studies to explore the integration of PCMs to reduce solar heat gain and improve energy efficiency. Silva et al. </w:t>
      </w:r>
      <w:sdt>
        <w:sdtPr>
          <w:rPr>
            <w:rFonts w:cs="Times New Roman"/>
            <w:lang w:val="en-US"/>
          </w:rPr>
          <w:id w:val="-1577116350"/>
          <w:citation/>
        </w:sdtPr>
        <w:sdtContent>
          <w:r w:rsidR="00BA0228">
            <w:rPr>
              <w:rFonts w:cs="Times New Roman"/>
              <w:lang w:val="en-US"/>
            </w:rPr>
            <w:fldChar w:fldCharType="begin"/>
          </w:r>
          <w:r w:rsidR="00BA0228" w:rsidRPr="008B629F">
            <w:rPr>
              <w:rFonts w:cs="Times New Roman"/>
              <w:lang w:val="en-US"/>
            </w:rPr>
            <w:instrText xml:space="preserve"> CITATION Placeholder167 \l 1040 </w:instrText>
          </w:r>
          <w:r w:rsidR="00BA0228">
            <w:rPr>
              <w:rFonts w:cs="Times New Roman"/>
              <w:lang w:val="en-US"/>
            </w:rPr>
            <w:fldChar w:fldCharType="separate"/>
          </w:r>
          <w:r w:rsidR="00855396" w:rsidRPr="00855396">
            <w:rPr>
              <w:rFonts w:cs="Times New Roman"/>
              <w:noProof/>
              <w:lang w:val="en-US"/>
            </w:rPr>
            <w:t>[150]</w:t>
          </w:r>
          <w:r w:rsidR="00BA0228">
            <w:rPr>
              <w:rFonts w:cs="Times New Roman"/>
              <w:lang w:val="en-US"/>
            </w:rPr>
            <w:fldChar w:fldCharType="end"/>
          </w:r>
        </w:sdtContent>
      </w:sdt>
      <w:r w:rsidRPr="00422EEB">
        <w:rPr>
          <w:rFonts w:cs="Times New Roman"/>
          <w:lang w:val="en-US"/>
        </w:rPr>
        <w:t xml:space="preserve"> showed that window shutters or frames filled with PCM can significantly lower indoor temperatures (by up to 16.6 °C) and reduce heat flux, thanks to the PCM’s ability to absorb excess heat during the hottest hours of the day. Figure </w:t>
      </w:r>
      <w:r w:rsidR="00BA0228">
        <w:rPr>
          <w:rFonts w:cs="Times New Roman"/>
          <w:lang w:val="en-US"/>
        </w:rPr>
        <w:t>2.1</w:t>
      </w:r>
      <w:r w:rsidRPr="00422EEB">
        <w:rPr>
          <w:rFonts w:cs="Times New Roman"/>
          <w:lang w:val="en-US"/>
        </w:rPr>
        <w:t>6 shows some literature evidence on PCM-integrated glazing/shading: (a) PCM shutter cuts indoor peak heat flux and lowers max room temperature; (b) glazed energy-storage windows provide multi-hour temperature damping; (c) nano-enhanced paraffin PCM improves thermal/optical performance; (d) PCM curtain reduces solar heat gain; (e) Al₂O₃ nanoparticles lower inner-glass temperatures; (f) double-glazing with PCM yields measurable energy savings, with PCM glazing outperforming water glazing on mean temperature.</w:t>
      </w:r>
    </w:p>
    <w:p w14:paraId="11AB240D" w14:textId="77777777" w:rsidR="00422EEB" w:rsidRPr="00422EEB" w:rsidRDefault="00422EEB" w:rsidP="00422EEB">
      <w:pPr>
        <w:rPr>
          <w:rFonts w:cs="Times New Roman"/>
          <w:lang w:val="en-US"/>
        </w:rPr>
      </w:pPr>
    </w:p>
    <w:p w14:paraId="6D92B480" w14:textId="77777777" w:rsidR="00422EEB" w:rsidRPr="00422EEB" w:rsidRDefault="00422EEB" w:rsidP="00422EEB">
      <w:pPr>
        <w:keepNext/>
        <w:jc w:val="center"/>
      </w:pPr>
      <w:r w:rsidRPr="00422EEB">
        <w:rPr>
          <w:noProof/>
          <w:lang w:val="nb-NO"/>
        </w:rPr>
        <w:drawing>
          <wp:inline distT="0" distB="0" distL="0" distR="0" wp14:anchorId="5FE570DE" wp14:editId="0027CECB">
            <wp:extent cx="4400550" cy="4445000"/>
            <wp:effectExtent l="0" t="0" r="0" b="0"/>
            <wp:docPr id="1028318356" name="Immagine 1" descr="Immagine che contiene testo, schermata, diagramma, Pian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318356" name="Immagine 1" descr="Immagine che contiene testo, schermata, diagramma, Piano&#10;&#10;Il contenuto generato dall'IA potrebbe non essere corretto."/>
                    <pic:cNvPicPr/>
                  </pic:nvPicPr>
                  <pic:blipFill rotWithShape="1">
                    <a:blip r:embed="rId133"/>
                    <a:srcRect b="4762"/>
                    <a:stretch>
                      <a:fillRect/>
                    </a:stretch>
                  </pic:blipFill>
                  <pic:spPr bwMode="auto">
                    <a:xfrm>
                      <a:off x="0" y="0"/>
                      <a:ext cx="4401164" cy="4445620"/>
                    </a:xfrm>
                    <a:prstGeom prst="rect">
                      <a:avLst/>
                    </a:prstGeom>
                    <a:ln>
                      <a:noFill/>
                    </a:ln>
                    <a:extLst>
                      <a:ext uri="{53640926-AAD7-44D8-BBD7-CCE9431645EC}">
                        <a14:shadowObscured xmlns:a14="http://schemas.microsoft.com/office/drawing/2010/main"/>
                      </a:ext>
                    </a:extLst>
                  </pic:spPr>
                </pic:pic>
              </a:graphicData>
            </a:graphic>
          </wp:inline>
        </w:drawing>
      </w:r>
    </w:p>
    <w:p w14:paraId="30239207" w14:textId="27FD3A5F" w:rsidR="00422EEB" w:rsidRPr="00577FA0" w:rsidRDefault="00422EEB" w:rsidP="00422EEB">
      <w:pPr>
        <w:pStyle w:val="Caption"/>
        <w:rPr>
          <w:rFonts w:cs="Times New Roman"/>
        </w:rPr>
      </w:pPr>
      <w:bookmarkStart w:id="126" w:name="_Toc214357743"/>
      <w:r w:rsidRPr="00DF5EA2">
        <w:rPr>
          <w:rFonts w:cs="Times New Roman"/>
        </w:rPr>
        <w:t xml:space="preserve">Figure </w:t>
      </w:r>
      <w:r w:rsidR="00F824A5">
        <w:rPr>
          <w:rFonts w:cs="Times New Roman"/>
        </w:rPr>
        <w:fldChar w:fldCharType="begin"/>
      </w:r>
      <w:r w:rsidR="00F824A5">
        <w:rPr>
          <w:rFonts w:cs="Times New Roman"/>
        </w:rPr>
        <w:instrText xml:space="preserve"> STYLEREF 1 \s </w:instrText>
      </w:r>
      <w:r w:rsidR="00F824A5">
        <w:rPr>
          <w:rFonts w:cs="Times New Roman"/>
        </w:rPr>
        <w:fldChar w:fldCharType="separate"/>
      </w:r>
      <w:r w:rsidR="000412CE">
        <w:rPr>
          <w:rFonts w:cs="Times New Roman"/>
          <w:noProof/>
        </w:rPr>
        <w:t>2</w:t>
      </w:r>
      <w:r w:rsidR="00F824A5">
        <w:rPr>
          <w:rFonts w:cs="Times New Roman"/>
        </w:rPr>
        <w:fldChar w:fldCharType="end"/>
      </w:r>
      <w:r w:rsidR="00F824A5">
        <w:rPr>
          <w:rFonts w:cs="Times New Roman"/>
        </w:rPr>
        <w:t>.</w:t>
      </w:r>
      <w:r w:rsidR="00F824A5">
        <w:rPr>
          <w:rFonts w:cs="Times New Roman"/>
        </w:rPr>
        <w:fldChar w:fldCharType="begin"/>
      </w:r>
      <w:r w:rsidR="00F824A5">
        <w:rPr>
          <w:rFonts w:cs="Times New Roman"/>
        </w:rPr>
        <w:instrText xml:space="preserve"> SEQ Figure \* ARABIC \s 1 </w:instrText>
      </w:r>
      <w:r w:rsidR="00F824A5">
        <w:rPr>
          <w:rFonts w:cs="Times New Roman"/>
        </w:rPr>
        <w:fldChar w:fldCharType="separate"/>
      </w:r>
      <w:r w:rsidR="000412CE">
        <w:rPr>
          <w:rFonts w:cs="Times New Roman"/>
          <w:noProof/>
        </w:rPr>
        <w:t>15</w:t>
      </w:r>
      <w:r w:rsidR="00F824A5">
        <w:rPr>
          <w:rFonts w:cs="Times New Roman"/>
        </w:rPr>
        <w:fldChar w:fldCharType="end"/>
      </w:r>
      <w:r w:rsidRPr="00DF5EA2">
        <w:rPr>
          <w:rFonts w:cs="Times New Roman"/>
        </w:rPr>
        <w:t xml:space="preserve">. </w:t>
      </w:r>
      <w:r w:rsidRPr="00577FA0">
        <w:rPr>
          <w:rFonts w:cs="Times New Roman"/>
        </w:rPr>
        <w:t>(a)</w:t>
      </w:r>
      <w:r w:rsidR="00577FA0" w:rsidRPr="00577FA0">
        <w:rPr>
          <w:rFonts w:cs="Times New Roman"/>
        </w:rPr>
        <w:t xml:space="preserve"> </w:t>
      </w:r>
      <w:r w:rsidR="00577FA0" w:rsidRPr="00422EEB">
        <w:rPr>
          <w:rFonts w:cs="Times New Roman"/>
        </w:rPr>
        <w:t>PCM shutter cuts indoor</w:t>
      </w:r>
      <w:r w:rsidRPr="00577FA0">
        <w:rPr>
          <w:rFonts w:cs="Times New Roman"/>
        </w:rPr>
        <w:t xml:space="preserve"> (b)</w:t>
      </w:r>
      <w:r w:rsidR="00577FA0" w:rsidRPr="00577FA0">
        <w:t xml:space="preserve"> </w:t>
      </w:r>
      <w:r w:rsidR="00577FA0" w:rsidRPr="00577FA0">
        <w:rPr>
          <w:rFonts w:cs="Times New Roman"/>
        </w:rPr>
        <w:t>glazed energy-storage windows</w:t>
      </w:r>
      <w:r w:rsidRPr="00577FA0">
        <w:rPr>
          <w:rFonts w:cs="Times New Roman"/>
        </w:rPr>
        <w:t xml:space="preserve"> (c)</w:t>
      </w:r>
      <w:r w:rsidR="00577FA0">
        <w:rPr>
          <w:rFonts w:cs="Times New Roman"/>
        </w:rPr>
        <w:t xml:space="preserve"> </w:t>
      </w:r>
      <w:r w:rsidR="00577FA0" w:rsidRPr="00422EEB">
        <w:rPr>
          <w:rFonts w:cs="Times New Roman"/>
        </w:rPr>
        <w:t>nano-enhanced paraffin PCM</w:t>
      </w:r>
      <w:r w:rsidRPr="00577FA0">
        <w:rPr>
          <w:rFonts w:cs="Times New Roman"/>
        </w:rPr>
        <w:t xml:space="preserve"> (d)</w:t>
      </w:r>
      <w:r w:rsidR="00577FA0">
        <w:rPr>
          <w:rFonts w:cs="Times New Roman"/>
        </w:rPr>
        <w:t xml:space="preserve"> </w:t>
      </w:r>
      <w:r w:rsidR="00577FA0" w:rsidRPr="00422EEB">
        <w:rPr>
          <w:rFonts w:cs="Times New Roman"/>
        </w:rPr>
        <w:t>PCM curtain</w:t>
      </w:r>
      <w:r w:rsidRPr="00577FA0">
        <w:rPr>
          <w:rFonts w:cs="Times New Roman"/>
        </w:rPr>
        <w:t xml:space="preserve"> (e)</w:t>
      </w:r>
      <w:r w:rsidR="00577FA0" w:rsidRPr="00577FA0">
        <w:rPr>
          <w:rFonts w:cs="Times New Roman"/>
        </w:rPr>
        <w:t xml:space="preserve"> </w:t>
      </w:r>
      <w:r w:rsidR="00577FA0" w:rsidRPr="00422EEB">
        <w:rPr>
          <w:rFonts w:cs="Times New Roman"/>
        </w:rPr>
        <w:t>Al₂O₃ nanoparticles</w:t>
      </w:r>
      <w:r w:rsidRPr="00577FA0">
        <w:rPr>
          <w:rFonts w:cs="Times New Roman"/>
        </w:rPr>
        <w:t xml:space="preserve"> (f)</w:t>
      </w:r>
      <w:r w:rsidR="00577FA0" w:rsidRPr="00577FA0">
        <w:rPr>
          <w:rFonts w:cs="Times New Roman"/>
        </w:rPr>
        <w:t xml:space="preserve"> </w:t>
      </w:r>
      <w:r w:rsidR="00577FA0" w:rsidRPr="00422EEB">
        <w:rPr>
          <w:rFonts w:cs="Times New Roman"/>
        </w:rPr>
        <w:t>double-glazing with PCM</w:t>
      </w:r>
      <w:r w:rsidR="00D619A3">
        <w:rPr>
          <w:rFonts w:cs="Times New Roman"/>
        </w:rPr>
        <w:t xml:space="preserve"> [106]</w:t>
      </w:r>
      <w:r w:rsidR="00A165BA">
        <w:rPr>
          <w:rFonts w:cs="Times New Roman"/>
        </w:rPr>
        <w:t>.</w:t>
      </w:r>
      <w:bookmarkEnd w:id="126"/>
    </w:p>
    <w:p w14:paraId="5FA5F660" w14:textId="77777777" w:rsidR="00422EEB" w:rsidRPr="00577FA0" w:rsidRDefault="00422EEB" w:rsidP="00422EEB">
      <w:pPr>
        <w:jc w:val="center"/>
        <w:rPr>
          <w:rFonts w:cs="Times New Roman"/>
          <w:lang w:val="en-US"/>
        </w:rPr>
      </w:pPr>
    </w:p>
    <w:p w14:paraId="7CE9A6ED" w14:textId="522314CF" w:rsidR="00422EEB" w:rsidRPr="00422EEB" w:rsidRDefault="00422EEB" w:rsidP="00422EEB">
      <w:pPr>
        <w:rPr>
          <w:rFonts w:cs="Times New Roman"/>
          <w:lang w:val="en-US"/>
        </w:rPr>
      </w:pPr>
      <w:r w:rsidRPr="00F43E9A">
        <w:rPr>
          <w:rFonts w:cs="Times New Roman"/>
          <w:lang w:val="en-US"/>
        </w:rPr>
        <w:t xml:space="preserve">Li et al. </w:t>
      </w:r>
      <w:sdt>
        <w:sdtPr>
          <w:rPr>
            <w:rFonts w:cs="Times New Roman"/>
            <w:lang w:val="en-US"/>
          </w:rPr>
          <w:id w:val="1032225016"/>
          <w:citation/>
        </w:sdtPr>
        <w:sdtContent>
          <w:r w:rsidR="00BA0228">
            <w:rPr>
              <w:rFonts w:cs="Times New Roman"/>
              <w:lang w:val="en-US"/>
            </w:rPr>
            <w:fldChar w:fldCharType="begin"/>
          </w:r>
          <w:r w:rsidR="00BA0228" w:rsidRPr="00F43E9A">
            <w:rPr>
              <w:rFonts w:cs="Times New Roman"/>
              <w:lang w:val="en-US"/>
            </w:rPr>
            <w:instrText xml:space="preserve"> CITATION Placeholder168 \l 1040 </w:instrText>
          </w:r>
          <w:r w:rsidR="00BA0228">
            <w:rPr>
              <w:rFonts w:cs="Times New Roman"/>
              <w:lang w:val="en-US"/>
            </w:rPr>
            <w:fldChar w:fldCharType="separate"/>
          </w:r>
          <w:r w:rsidR="00855396" w:rsidRPr="00F43E9A">
            <w:rPr>
              <w:rFonts w:cs="Times New Roman"/>
              <w:noProof/>
              <w:lang w:val="en-US"/>
            </w:rPr>
            <w:t>[151]</w:t>
          </w:r>
          <w:r w:rsidR="00BA0228">
            <w:rPr>
              <w:rFonts w:cs="Times New Roman"/>
              <w:lang w:val="en-US"/>
            </w:rPr>
            <w:fldChar w:fldCharType="end"/>
          </w:r>
        </w:sdtContent>
      </w:sdt>
      <w:r w:rsidRPr="00F43E9A">
        <w:rPr>
          <w:rFonts w:cs="Times New Roman"/>
          <w:lang w:val="en-US"/>
        </w:rPr>
        <w:t xml:space="preserve"> and Goia et al.</w:t>
      </w:r>
      <w:r w:rsidR="00BA0228" w:rsidRPr="00F43E9A">
        <w:rPr>
          <w:rFonts w:cs="Times New Roman"/>
          <w:lang w:val="en-US"/>
        </w:rPr>
        <w:t xml:space="preserve"> </w:t>
      </w:r>
      <w:sdt>
        <w:sdtPr>
          <w:rPr>
            <w:rFonts w:cs="Times New Roman"/>
            <w:lang w:val="en-US"/>
          </w:rPr>
          <w:id w:val="-947933173"/>
          <w:citation/>
        </w:sdtPr>
        <w:sdtContent>
          <w:r w:rsidR="00BA0228">
            <w:rPr>
              <w:rFonts w:cs="Times New Roman"/>
              <w:lang w:val="en-US"/>
            </w:rPr>
            <w:fldChar w:fldCharType="begin"/>
          </w:r>
          <w:r w:rsidR="00BA0228" w:rsidRPr="00F43E9A">
            <w:rPr>
              <w:rFonts w:cs="Times New Roman"/>
              <w:lang w:val="en-US"/>
            </w:rPr>
            <w:instrText xml:space="preserve"> CITATION Placeholder169 \l 1040 </w:instrText>
          </w:r>
          <w:r w:rsidR="00BA0228">
            <w:rPr>
              <w:rFonts w:cs="Times New Roman"/>
              <w:lang w:val="en-US"/>
            </w:rPr>
            <w:fldChar w:fldCharType="separate"/>
          </w:r>
          <w:r w:rsidR="00855396" w:rsidRPr="00855396">
            <w:rPr>
              <w:rFonts w:cs="Times New Roman"/>
              <w:noProof/>
              <w:lang w:val="en-US"/>
            </w:rPr>
            <w:t>[152]</w:t>
          </w:r>
          <w:r w:rsidR="00BA0228">
            <w:rPr>
              <w:rFonts w:cs="Times New Roman"/>
              <w:lang w:val="en-US"/>
            </w:rPr>
            <w:fldChar w:fldCharType="end"/>
          </w:r>
        </w:sdtContent>
      </w:sdt>
      <w:r w:rsidR="00BA0228">
        <w:rPr>
          <w:rFonts w:cs="Times New Roman"/>
          <w:lang w:val="en-US"/>
        </w:rPr>
        <w:t xml:space="preserve"> </w:t>
      </w:r>
      <w:r w:rsidRPr="00422EEB">
        <w:rPr>
          <w:rFonts w:cs="Times New Roman"/>
          <w:lang w:val="en-US"/>
        </w:rPr>
        <w:t xml:space="preserve">found that double or triple glazing systems with PCM help moderate surface temperature fluctuations by up to 5.5 °C, enhancing indoor comfort, while Wang and Zhao </w:t>
      </w:r>
      <w:sdt>
        <w:sdtPr>
          <w:rPr>
            <w:rFonts w:cs="Times New Roman"/>
            <w:lang w:val="en-US"/>
          </w:rPr>
          <w:id w:val="-890045288"/>
          <w:citation/>
        </w:sdtPr>
        <w:sdtContent>
          <w:r w:rsidR="00BA0228">
            <w:rPr>
              <w:rFonts w:cs="Times New Roman"/>
              <w:lang w:val="en-US"/>
            </w:rPr>
            <w:fldChar w:fldCharType="begin"/>
          </w:r>
          <w:r w:rsidR="00BA0228" w:rsidRPr="00BA0228">
            <w:rPr>
              <w:rFonts w:cs="Times New Roman"/>
              <w:lang w:val="en-US"/>
            </w:rPr>
            <w:instrText xml:space="preserve"> CITATION Placeholder170 \l 1040 </w:instrText>
          </w:r>
          <w:r w:rsidR="00BA0228">
            <w:rPr>
              <w:rFonts w:cs="Times New Roman"/>
              <w:lang w:val="en-US"/>
            </w:rPr>
            <w:fldChar w:fldCharType="separate"/>
          </w:r>
          <w:r w:rsidR="00855396" w:rsidRPr="00855396">
            <w:rPr>
              <w:rFonts w:cs="Times New Roman"/>
              <w:noProof/>
              <w:lang w:val="en-US"/>
            </w:rPr>
            <w:t>[153]</w:t>
          </w:r>
          <w:r w:rsidR="00BA0228">
            <w:rPr>
              <w:rFonts w:cs="Times New Roman"/>
              <w:lang w:val="en-US"/>
            </w:rPr>
            <w:fldChar w:fldCharType="end"/>
          </w:r>
        </w:sdtContent>
      </w:sdt>
      <w:r w:rsidR="00BA0228">
        <w:rPr>
          <w:rFonts w:cs="Times New Roman"/>
          <w:lang w:val="en-US"/>
        </w:rPr>
        <w:t xml:space="preserve"> </w:t>
      </w:r>
      <w:r w:rsidRPr="00422EEB">
        <w:rPr>
          <w:rFonts w:cs="Times New Roman"/>
          <w:lang w:val="en-US"/>
        </w:rPr>
        <w:t xml:space="preserve">and Yang et al. </w:t>
      </w:r>
      <w:sdt>
        <w:sdtPr>
          <w:rPr>
            <w:rFonts w:cs="Times New Roman"/>
            <w:lang w:val="en-US"/>
          </w:rPr>
          <w:id w:val="1526991718"/>
          <w:citation/>
        </w:sdtPr>
        <w:sdtContent>
          <w:r w:rsidR="00BA0228">
            <w:rPr>
              <w:rFonts w:cs="Times New Roman"/>
              <w:lang w:val="en-US"/>
            </w:rPr>
            <w:fldChar w:fldCharType="begin"/>
          </w:r>
          <w:r w:rsidR="00BA0228" w:rsidRPr="00BA0228">
            <w:rPr>
              <w:rFonts w:cs="Times New Roman"/>
              <w:lang w:val="en-US"/>
            </w:rPr>
            <w:instrText xml:space="preserve"> CITATION Placeholder171 \l 1040 </w:instrText>
          </w:r>
          <w:r w:rsidR="00BA0228">
            <w:rPr>
              <w:rFonts w:cs="Times New Roman"/>
              <w:lang w:val="en-US"/>
            </w:rPr>
            <w:fldChar w:fldCharType="separate"/>
          </w:r>
          <w:r w:rsidR="00855396" w:rsidRPr="00855396">
            <w:rPr>
              <w:rFonts w:cs="Times New Roman"/>
              <w:noProof/>
              <w:lang w:val="en-US"/>
            </w:rPr>
            <w:t>[154]</w:t>
          </w:r>
          <w:r w:rsidR="00BA0228">
            <w:rPr>
              <w:rFonts w:cs="Times New Roman"/>
              <w:lang w:val="en-US"/>
            </w:rPr>
            <w:fldChar w:fldCharType="end"/>
          </w:r>
        </w:sdtContent>
      </w:sdt>
      <w:r w:rsidR="00BA0228">
        <w:rPr>
          <w:rFonts w:cs="Times New Roman"/>
          <w:lang w:val="en-US"/>
        </w:rPr>
        <w:t xml:space="preserve"> </w:t>
      </w:r>
      <w:r w:rsidRPr="00422EEB">
        <w:rPr>
          <w:rFonts w:cs="Times New Roman"/>
          <w:lang w:val="en-US"/>
        </w:rPr>
        <w:t xml:space="preserve">developed PCM curtains and hybrid PCM systems that reduced solar heat gain by up to 31% and achieved energy savings exceeding 1400 kJ/day. More advanced studies by King et al. </w:t>
      </w:r>
      <w:sdt>
        <w:sdtPr>
          <w:rPr>
            <w:rFonts w:cs="Times New Roman"/>
            <w:lang w:val="en-US"/>
          </w:rPr>
          <w:id w:val="-1218818369"/>
          <w:citation/>
        </w:sdtPr>
        <w:sdtContent>
          <w:r w:rsidR="00BA0228">
            <w:rPr>
              <w:rFonts w:cs="Times New Roman"/>
              <w:lang w:val="en-US"/>
            </w:rPr>
            <w:fldChar w:fldCharType="begin"/>
          </w:r>
          <w:r w:rsidR="00BA0228" w:rsidRPr="008B629F">
            <w:rPr>
              <w:rFonts w:cs="Times New Roman"/>
              <w:lang w:val="en-US"/>
            </w:rPr>
            <w:instrText xml:space="preserve"> CITATION Placeholder172 \l 1040 </w:instrText>
          </w:r>
          <w:r w:rsidR="00BA0228">
            <w:rPr>
              <w:rFonts w:cs="Times New Roman"/>
              <w:lang w:val="en-US"/>
            </w:rPr>
            <w:fldChar w:fldCharType="separate"/>
          </w:r>
          <w:r w:rsidR="00855396" w:rsidRPr="00855396">
            <w:rPr>
              <w:rFonts w:cs="Times New Roman"/>
              <w:noProof/>
              <w:lang w:val="en-US"/>
            </w:rPr>
            <w:t>[155]</w:t>
          </w:r>
          <w:r w:rsidR="00BA0228">
            <w:rPr>
              <w:rFonts w:cs="Times New Roman"/>
              <w:lang w:val="en-US"/>
            </w:rPr>
            <w:fldChar w:fldCharType="end"/>
          </w:r>
        </w:sdtContent>
      </w:sdt>
      <w:r w:rsidRPr="00422EEB">
        <w:rPr>
          <w:rFonts w:cs="Times New Roman"/>
          <w:lang w:val="en-US"/>
        </w:rPr>
        <w:t xml:space="preserve"> and Duraković et al. </w:t>
      </w:r>
      <w:sdt>
        <w:sdtPr>
          <w:rPr>
            <w:rFonts w:cs="Times New Roman"/>
            <w:lang w:val="en-US"/>
          </w:rPr>
          <w:id w:val="1463162000"/>
          <w:citation/>
        </w:sdtPr>
        <w:sdtContent>
          <w:r w:rsidR="00BA0228">
            <w:rPr>
              <w:rFonts w:cs="Times New Roman"/>
              <w:lang w:val="en-US"/>
            </w:rPr>
            <w:fldChar w:fldCharType="begin"/>
          </w:r>
          <w:r w:rsidR="00BA0228" w:rsidRPr="008B629F">
            <w:rPr>
              <w:rFonts w:cs="Times New Roman"/>
              <w:lang w:val="en-US"/>
            </w:rPr>
            <w:instrText xml:space="preserve"> CITATION Placeholder173 \l 1040 </w:instrText>
          </w:r>
          <w:r w:rsidR="00BA0228">
            <w:rPr>
              <w:rFonts w:cs="Times New Roman"/>
              <w:lang w:val="en-US"/>
            </w:rPr>
            <w:fldChar w:fldCharType="separate"/>
          </w:r>
          <w:r w:rsidR="00855396" w:rsidRPr="00855396">
            <w:rPr>
              <w:rFonts w:cs="Times New Roman"/>
              <w:noProof/>
              <w:lang w:val="en-US"/>
            </w:rPr>
            <w:t>[156]</w:t>
          </w:r>
          <w:r w:rsidR="00BA0228">
            <w:rPr>
              <w:rFonts w:cs="Times New Roman"/>
              <w:lang w:val="en-US"/>
            </w:rPr>
            <w:fldChar w:fldCharType="end"/>
          </w:r>
        </w:sdtContent>
      </w:sdt>
      <w:r w:rsidRPr="00422EEB">
        <w:rPr>
          <w:rFonts w:cs="Times New Roman"/>
          <w:lang w:val="en-US"/>
        </w:rPr>
        <w:t xml:space="preserve"> demonstrated that windows incorporating PCM with nanoparticles or PCM-filled glazing systems provide better thermal damping, reduce indoor temperature peaks by up to 9 °C, and lower energy consumption by about 4% compared to conventional systems.</w:t>
      </w:r>
    </w:p>
    <w:p w14:paraId="2AB5BB13" w14:textId="6F4CF09D" w:rsidR="00422EEB" w:rsidRPr="00422EEB" w:rsidRDefault="00422EEB" w:rsidP="00BA0228">
      <w:pPr>
        <w:pStyle w:val="Heading3"/>
        <w:rPr>
          <w:lang w:val="en-US"/>
        </w:rPr>
      </w:pPr>
      <w:bookmarkStart w:id="127" w:name="_Toc213354080"/>
      <w:bookmarkStart w:id="128" w:name="_Toc214356299"/>
      <w:r w:rsidRPr="00422EEB">
        <w:rPr>
          <w:lang w:val="en-US"/>
        </w:rPr>
        <w:t>Energy saving, economic, and environmental analysis impact</w:t>
      </w:r>
      <w:bookmarkEnd w:id="127"/>
      <w:bookmarkEnd w:id="128"/>
    </w:p>
    <w:p w14:paraId="18D68DD0" w14:textId="77777777" w:rsidR="00422EEB" w:rsidRPr="00422EEB" w:rsidRDefault="00422EEB" w:rsidP="00422EEB">
      <w:pPr>
        <w:rPr>
          <w:rFonts w:cs="Times New Roman"/>
          <w:lang w:val="en-US"/>
        </w:rPr>
      </w:pPr>
      <w:r w:rsidRPr="00422EEB">
        <w:rPr>
          <w:rFonts w:cs="Times New Roman"/>
          <w:lang w:val="en-US"/>
        </w:rPr>
        <w:t>Zhao et al. [99], in their review, analyzed the energy, environmental, and economic impacts resulting from the application of PCMs in buildings.</w:t>
      </w:r>
    </w:p>
    <w:p w14:paraId="7A0B2A18" w14:textId="72B68CE4" w:rsidR="00422EEB" w:rsidRPr="00422EEB" w:rsidRDefault="00422EEB" w:rsidP="00BA0228">
      <w:pPr>
        <w:pStyle w:val="Heading4"/>
        <w:rPr>
          <w:lang w:val="en-US"/>
        </w:rPr>
      </w:pPr>
      <w:r w:rsidRPr="00422EEB">
        <w:rPr>
          <w:lang w:val="en-US"/>
        </w:rPr>
        <w:t>Energy impact</w:t>
      </w:r>
    </w:p>
    <w:p w14:paraId="195ACA24" w14:textId="6EDF5DB3" w:rsidR="00422EEB" w:rsidRPr="00422EEB" w:rsidRDefault="00422EEB" w:rsidP="00422EEB">
      <w:pPr>
        <w:rPr>
          <w:rFonts w:cs="Times New Roman"/>
          <w:lang w:val="en-US"/>
        </w:rPr>
      </w:pPr>
      <w:r w:rsidRPr="00422EEB">
        <w:rPr>
          <w:rFonts w:cs="Times New Roman"/>
          <w:lang w:val="en-US"/>
        </w:rPr>
        <w:t xml:space="preserve">Regional climate conditions, the selection and placement of PCMs, as well as building orientation and window openings, all significantly influence energy consumption. The energy savings achieved by integrating PCMs into building envelopes are mainly due to reduced demand for artificial cooling and enhanced use of natural heat regulation. The effectiveness of PCM-based systems depends on parameters such as thermal resistance, latent heat, thermal conductivity, enthalpy, and material thickness. Current research mainly follows two approaches: identifying optimal PCM types and thicknesses for specific climate zones, and developing materials effective across different environmental conditions. However, both rely on simulation models that may not fully capture real-world influences. </w:t>
      </w:r>
      <w:r w:rsidR="00A90E2C" w:rsidRPr="00A90E2C">
        <w:rPr>
          <w:rFonts w:cs="Times New Roman"/>
          <w:lang w:val="en-US"/>
        </w:rPr>
        <w:t xml:space="preserve">Gallardo and Berardi </w:t>
      </w:r>
      <w:sdt>
        <w:sdtPr>
          <w:rPr>
            <w:rFonts w:cs="Times New Roman"/>
            <w:lang w:val="en-US"/>
          </w:rPr>
          <w:id w:val="1765957601"/>
          <w:citation/>
        </w:sdtPr>
        <w:sdtContent>
          <w:r w:rsidR="00BA0228">
            <w:rPr>
              <w:rFonts w:cs="Times New Roman"/>
              <w:lang w:val="en-US"/>
            </w:rPr>
            <w:fldChar w:fldCharType="begin"/>
          </w:r>
          <w:r w:rsidR="00BA0228" w:rsidRPr="00BA0228">
            <w:rPr>
              <w:rFonts w:cs="Times New Roman"/>
              <w:lang w:val="en-US"/>
            </w:rPr>
            <w:instrText xml:space="preserve"> CITATION Placeholder174 \l 1040 </w:instrText>
          </w:r>
          <w:r w:rsidR="00BA0228">
            <w:rPr>
              <w:rFonts w:cs="Times New Roman"/>
              <w:lang w:val="en-US"/>
            </w:rPr>
            <w:fldChar w:fldCharType="separate"/>
          </w:r>
          <w:r w:rsidR="00855396" w:rsidRPr="00855396">
            <w:rPr>
              <w:rFonts w:cs="Times New Roman"/>
              <w:noProof/>
              <w:lang w:val="en-US"/>
            </w:rPr>
            <w:t>[157]</w:t>
          </w:r>
          <w:r w:rsidR="00BA0228">
            <w:rPr>
              <w:rFonts w:cs="Times New Roman"/>
              <w:lang w:val="en-US"/>
            </w:rPr>
            <w:fldChar w:fldCharType="end"/>
          </w:r>
        </w:sdtContent>
      </w:sdt>
      <w:r w:rsidR="00A90E2C">
        <w:rPr>
          <w:rFonts w:cs="Times New Roman"/>
          <w:lang w:val="en-US"/>
        </w:rPr>
        <w:t xml:space="preserve"> </w:t>
      </w:r>
      <w:r w:rsidR="00A90E2C" w:rsidRPr="00A90E2C">
        <w:rPr>
          <w:rFonts w:cs="Times New Roman"/>
          <w:lang w:val="en-US"/>
        </w:rPr>
        <w:t>developed a radiant ceiling panel with macroscopically encapsulated organic PCM that, in a hot–humid climate, outperformed a conventional all-air system with 22% annual energy savings, and a subsequent year</w:t>
      </w:r>
      <w:r w:rsidR="00AF35FC">
        <w:rPr>
          <w:rFonts w:cs="Times New Roman"/>
          <w:lang w:val="en-US"/>
        </w:rPr>
        <w:t>-</w:t>
      </w:r>
      <w:r w:rsidR="00A90E2C" w:rsidRPr="00A90E2C">
        <w:rPr>
          <w:rFonts w:cs="Times New Roman"/>
          <w:lang w:val="en-US"/>
        </w:rPr>
        <w:t>long whole-building simulation for Honolulu (USA) indicated 34% annual savings versus the all-air baseline.</w:t>
      </w:r>
      <w:r w:rsidR="00A90E2C">
        <w:rPr>
          <w:rFonts w:cs="Times New Roman"/>
          <w:lang w:val="en-US"/>
        </w:rPr>
        <w:t xml:space="preserve"> </w:t>
      </w:r>
      <w:r w:rsidRPr="00422EEB">
        <w:rPr>
          <w:rFonts w:cs="Times New Roman"/>
          <w:lang w:val="en-US"/>
        </w:rPr>
        <w:t>Experimental testing, though more accurate, remains costly and time-consuming, highlighting the need to improve simulation models to better assess the true energy-saving potential of PCM-based systems.</w:t>
      </w:r>
    </w:p>
    <w:p w14:paraId="4B097E73" w14:textId="02ECD66B" w:rsidR="00422EEB" w:rsidRPr="00422EEB" w:rsidRDefault="00422EEB" w:rsidP="00BA0228">
      <w:pPr>
        <w:pStyle w:val="Heading4"/>
        <w:rPr>
          <w:lang w:val="en-US"/>
        </w:rPr>
      </w:pPr>
      <w:r w:rsidRPr="00422EEB">
        <w:rPr>
          <w:lang w:val="en-US"/>
        </w:rPr>
        <w:t>Environmental impact</w:t>
      </w:r>
    </w:p>
    <w:p w14:paraId="4644E488" w14:textId="76B8438F" w:rsidR="00422EEB" w:rsidRPr="00422EEB" w:rsidRDefault="00422EEB" w:rsidP="00422EEB">
      <w:pPr>
        <w:rPr>
          <w:rFonts w:cs="Times New Roman"/>
          <w:lang w:val="en-US"/>
        </w:rPr>
      </w:pPr>
      <w:r w:rsidRPr="00422EEB">
        <w:rPr>
          <w:rFonts w:cs="Times New Roman"/>
          <w:lang w:val="en-US"/>
        </w:rPr>
        <w:t>The integration of PCMs into buildings represents an effective strategy for reducing CO₂ emissions, as it decreases the energy demand associated with heating and cooling. To quantify the contribution of PCMs, Arumugam and Shaik</w:t>
      </w:r>
      <w:sdt>
        <w:sdtPr>
          <w:rPr>
            <w:rFonts w:cs="Times New Roman"/>
            <w:lang w:val="en-US"/>
          </w:rPr>
          <w:id w:val="162055066"/>
          <w:citation/>
        </w:sdtPr>
        <w:sdtContent>
          <w:r w:rsidR="00BA0228">
            <w:rPr>
              <w:rFonts w:cs="Times New Roman"/>
              <w:lang w:val="en-US"/>
            </w:rPr>
            <w:fldChar w:fldCharType="begin"/>
          </w:r>
          <w:r w:rsidR="00BA0228" w:rsidRPr="00BA0228">
            <w:rPr>
              <w:rFonts w:cs="Times New Roman"/>
              <w:lang w:val="en-US"/>
            </w:rPr>
            <w:instrText xml:space="preserve"> CITATION Placeholder175 \l 1040 </w:instrText>
          </w:r>
          <w:r w:rsidR="00BA0228">
            <w:rPr>
              <w:rFonts w:cs="Times New Roman"/>
              <w:lang w:val="en-US"/>
            </w:rPr>
            <w:fldChar w:fldCharType="separate"/>
          </w:r>
          <w:r w:rsidR="00855396">
            <w:rPr>
              <w:rFonts w:cs="Times New Roman"/>
              <w:noProof/>
              <w:lang w:val="en-US"/>
            </w:rPr>
            <w:t xml:space="preserve"> </w:t>
          </w:r>
          <w:r w:rsidR="00855396" w:rsidRPr="00855396">
            <w:rPr>
              <w:rFonts w:cs="Times New Roman"/>
              <w:noProof/>
              <w:lang w:val="en-US"/>
            </w:rPr>
            <w:t>[158]</w:t>
          </w:r>
          <w:r w:rsidR="00BA0228">
            <w:rPr>
              <w:rFonts w:cs="Times New Roman"/>
              <w:lang w:val="en-US"/>
            </w:rPr>
            <w:fldChar w:fldCharType="end"/>
          </w:r>
        </w:sdtContent>
      </w:sdt>
      <w:r w:rsidRPr="00422EEB">
        <w:rPr>
          <w:rFonts w:cs="Times New Roman"/>
          <w:lang w:val="en-US"/>
        </w:rPr>
        <w:t xml:space="preserve"> proposed a model based on cooling degree hours (CDH) and heating degree hours (HDH) in Eq. (24) and Eq. (25):</w:t>
      </w:r>
    </w:p>
    <w:p w14:paraId="5C001EAE" w14:textId="77777777" w:rsidR="00422EEB" w:rsidRPr="00422EEB" w:rsidRDefault="00422EEB" w:rsidP="00422EEB">
      <w:pPr>
        <w:rPr>
          <w:rFonts w:eastAsiaTheme="minorEastAsia" w:cs="Times New Roman"/>
          <w:i/>
          <w:lang w:val="en-US"/>
        </w:rPr>
      </w:pPr>
      <m:oMathPara>
        <m:oMathParaPr>
          <m:jc m:val="right"/>
        </m:oMathParaPr>
        <m:oMath>
          <m:r>
            <w:rPr>
              <w:rFonts w:ascii="Cambria Math" w:hAnsi="Cambria Math" w:cs="Times New Roman"/>
            </w:rPr>
            <w:lastRenderedPageBreak/>
            <m:t>CDH</m:t>
          </m:r>
          <m:r>
            <w:rPr>
              <w:rFonts w:ascii="Cambria Math" w:hAnsi="Cambria Math" w:cs="Times New Roman"/>
              <w:lang w:val="en-US"/>
            </w:rPr>
            <m:t>=</m:t>
          </m:r>
          <m:sSub>
            <m:sSubPr>
              <m:ctrlPr>
                <w:rPr>
                  <w:rFonts w:ascii="Cambria Math" w:hAnsi="Cambria Math" w:cs="Times New Roman"/>
                </w:rPr>
              </m:ctrlPr>
            </m:sSubPr>
            <m:e>
              <m:r>
                <w:rPr>
                  <w:rFonts w:ascii="Cambria Math" w:hAnsi="Cambria Math" w:cs="Times New Roman"/>
                </w:rPr>
                <m:t>N</m:t>
              </m:r>
            </m:e>
            <m:sub>
              <m:r>
                <w:rPr>
                  <w:rFonts w:ascii="Cambria Math" w:hAnsi="Cambria Math" w:cs="Times New Roman"/>
                </w:rPr>
                <m:t>CH</m:t>
              </m:r>
            </m:sub>
          </m:sSub>
          <m:d>
            <m:dPr>
              <m:ctrlPr>
                <w:rPr>
                  <w:rFonts w:ascii="Cambria Math" w:hAnsi="Cambria Math" w:cs="Times New Roman"/>
                  <w:i/>
                </w:rPr>
              </m:ctrlPr>
            </m:dPr>
            <m:e>
              <m:sSub>
                <m:sSubPr>
                  <m:ctrlPr>
                    <w:rPr>
                      <w:rFonts w:ascii="Cambria Math" w:hAnsi="Cambria Math" w:cs="Times New Roman"/>
                    </w:rPr>
                  </m:ctrlPr>
                </m:sSubPr>
                <m:e>
                  <m:r>
                    <w:rPr>
                      <w:rFonts w:ascii="Cambria Math" w:hAnsi="Cambria Math" w:cs="Times New Roman"/>
                    </w:rPr>
                    <m:t>T</m:t>
                  </m:r>
                </m:e>
                <m:sub>
                  <m:r>
                    <w:rPr>
                      <w:rFonts w:ascii="Cambria Math" w:hAnsi="Cambria Math" w:cs="Times New Roman"/>
                    </w:rPr>
                    <m:t>m</m:t>
                  </m:r>
                </m:sub>
              </m:sSub>
              <m:r>
                <w:rPr>
                  <w:rFonts w:ascii="Cambria Math" w:hAnsi="Cambria Math" w:cs="Times New Roman"/>
                  <w:lang w:val="en-US"/>
                </w:rPr>
                <m:t>-</m:t>
              </m:r>
              <m:sSub>
                <m:sSubPr>
                  <m:ctrlPr>
                    <w:rPr>
                      <w:rFonts w:ascii="Cambria Math" w:hAnsi="Cambria Math" w:cs="Times New Roman"/>
                    </w:rPr>
                  </m:ctrlPr>
                </m:sSubPr>
                <m:e>
                  <m:r>
                    <w:rPr>
                      <w:rFonts w:ascii="Cambria Math" w:hAnsi="Cambria Math" w:cs="Times New Roman"/>
                    </w:rPr>
                    <m:t>T</m:t>
                  </m:r>
                </m:e>
                <m:sub>
                  <m:r>
                    <w:rPr>
                      <w:rFonts w:ascii="Cambria Math" w:hAnsi="Cambria Math" w:cs="Times New Roman"/>
                    </w:rPr>
                    <m:t>b</m:t>
                  </m:r>
                </m:sub>
              </m:sSub>
            </m:e>
          </m:d>
          <m:r>
            <w:rPr>
              <w:rFonts w:ascii="Cambria Math" w:eastAsiaTheme="minorEastAsia" w:hAnsi="Cambria Math" w:cs="Times New Roman"/>
              <w:lang w:val="en-US"/>
            </w:rPr>
            <m:t xml:space="preserve">                                                                   (24)</m:t>
          </m:r>
          <m:r>
            <m:rPr>
              <m:sty m:val="p"/>
            </m:rPr>
            <w:rPr>
              <w:rFonts w:ascii="Cambria Math" w:hAnsi="Cambria Math" w:cs="Times New Roman"/>
              <w:lang w:val="en-US"/>
            </w:rPr>
            <w:br/>
          </m:r>
        </m:oMath>
        <m:oMath>
          <m:r>
            <w:rPr>
              <w:rFonts w:ascii="Cambria Math" w:eastAsiaTheme="minorEastAsia" w:hAnsi="Cambria Math" w:cs="Times New Roman"/>
            </w:rPr>
            <m:t>HDH</m:t>
          </m:r>
          <m:r>
            <w:rPr>
              <w:rFonts w:ascii="Cambria Math" w:eastAsiaTheme="minorEastAsia" w:hAnsi="Cambria Math" w:cs="Times New Roman"/>
              <w:lang w:val="en-US"/>
            </w:rPr>
            <m:t>=</m:t>
          </m:r>
          <m:sSub>
            <m:sSubPr>
              <m:ctrlPr>
                <w:rPr>
                  <w:rFonts w:ascii="Cambria Math" w:eastAsiaTheme="minorEastAsia" w:hAnsi="Cambria Math" w:cs="Times New Roman"/>
                  <w:i/>
                </w:rPr>
              </m:ctrlPr>
            </m:sSubPr>
            <m:e>
              <m:r>
                <w:rPr>
                  <w:rFonts w:ascii="Cambria Math" w:eastAsiaTheme="minorEastAsia" w:hAnsi="Cambria Math" w:cs="Times New Roman"/>
                </w:rPr>
                <m:t>N</m:t>
              </m:r>
            </m:e>
            <m:sub>
              <m:r>
                <w:rPr>
                  <w:rFonts w:ascii="Cambria Math" w:eastAsiaTheme="minorEastAsia" w:hAnsi="Cambria Math" w:cs="Times New Roman"/>
                </w:rPr>
                <m:t>HH</m:t>
              </m:r>
            </m:sub>
          </m:sSub>
          <m:d>
            <m:dPr>
              <m:ctrlPr>
                <w:rPr>
                  <w:rFonts w:ascii="Cambria Math" w:eastAsiaTheme="minorEastAsia" w:hAnsi="Cambria Math" w:cs="Times New Roman"/>
                  <w:i/>
                  <w:lang w:val="en-US"/>
                </w:rPr>
              </m:ctrlPr>
            </m:dPr>
            <m:e>
              <m:sSub>
                <m:sSubPr>
                  <m:ctrlPr>
                    <w:rPr>
                      <w:rFonts w:ascii="Cambria Math" w:eastAsiaTheme="minorEastAsia" w:hAnsi="Cambria Math" w:cs="Times New Roman"/>
                      <w:i/>
                    </w:rPr>
                  </m:ctrlPr>
                </m:sSubPr>
                <m:e>
                  <m:r>
                    <w:rPr>
                      <w:rFonts w:ascii="Cambria Math" w:eastAsiaTheme="minorEastAsia" w:hAnsi="Cambria Math" w:cs="Times New Roman"/>
                    </w:rPr>
                    <m:t>T</m:t>
                  </m:r>
                </m:e>
                <m:sub>
                  <m:r>
                    <w:rPr>
                      <w:rFonts w:ascii="Cambria Math" w:eastAsiaTheme="minorEastAsia" w:hAnsi="Cambria Math" w:cs="Times New Roman"/>
                    </w:rPr>
                    <m:t>b</m:t>
                  </m:r>
                </m:sub>
              </m:sSub>
              <m:r>
                <w:rPr>
                  <w:rFonts w:ascii="Cambria Math" w:eastAsiaTheme="minorEastAsia" w:hAnsi="Cambria Math" w:cs="Times New Roman"/>
                  <w:lang w:val="en-US"/>
                </w:rPr>
                <m:t>-</m:t>
              </m:r>
              <m:sSub>
                <m:sSubPr>
                  <m:ctrlPr>
                    <w:rPr>
                      <w:rFonts w:ascii="Cambria Math" w:eastAsiaTheme="minorEastAsia" w:hAnsi="Cambria Math" w:cs="Times New Roman"/>
                      <w:i/>
                    </w:rPr>
                  </m:ctrlPr>
                </m:sSubPr>
                <m:e>
                  <m:r>
                    <w:rPr>
                      <w:rFonts w:ascii="Cambria Math" w:eastAsiaTheme="minorEastAsia" w:hAnsi="Cambria Math" w:cs="Times New Roman"/>
                    </w:rPr>
                    <m:t>T</m:t>
                  </m:r>
                </m:e>
                <m:sub>
                  <m:r>
                    <w:rPr>
                      <w:rFonts w:ascii="Cambria Math" w:eastAsiaTheme="minorEastAsia" w:hAnsi="Cambria Math" w:cs="Times New Roman"/>
                    </w:rPr>
                    <m:t>m</m:t>
                  </m:r>
                </m:sub>
              </m:sSub>
            </m:e>
          </m:d>
          <m:r>
            <w:rPr>
              <w:rFonts w:ascii="Cambria Math" w:eastAsiaTheme="minorEastAsia" w:hAnsi="Cambria Math" w:cs="Times New Roman"/>
              <w:lang w:val="en-US"/>
            </w:rPr>
            <m:t xml:space="preserve">                                                                  (25)</m:t>
          </m:r>
        </m:oMath>
      </m:oMathPara>
    </w:p>
    <w:p w14:paraId="0BA5DAEC" w14:textId="77777777" w:rsidR="00422EEB" w:rsidRPr="00422EEB" w:rsidRDefault="00422EEB" w:rsidP="00422EEB">
      <w:pPr>
        <w:rPr>
          <w:rFonts w:cs="Times New Roman"/>
          <w:iCs/>
          <w:lang w:val="en-US"/>
        </w:rPr>
      </w:pPr>
      <w:r w:rsidRPr="00422EEB">
        <w:rPr>
          <w:rFonts w:cs="Times New Roman"/>
          <w:iCs/>
          <w:lang w:val="en-US"/>
        </w:rPr>
        <w:t xml:space="preserve">where </w:t>
      </w:r>
      <m:oMath>
        <m:sSub>
          <m:sSubPr>
            <m:ctrlPr>
              <w:rPr>
                <w:rFonts w:ascii="Cambria Math" w:hAnsi="Cambria Math" w:cs="Times New Roman"/>
                <w:iCs/>
              </w:rPr>
            </m:ctrlPr>
          </m:sSubPr>
          <m:e>
            <m:r>
              <m:rPr>
                <m:sty m:val="p"/>
              </m:rPr>
              <w:rPr>
                <w:rFonts w:ascii="Cambria Math" w:hAnsi="Cambria Math" w:cs="Times New Roman"/>
                <w:lang w:val="en-US"/>
              </w:rPr>
              <m:t>N</m:t>
            </m:r>
          </m:e>
          <m:sub>
            <m:r>
              <m:rPr>
                <m:sty m:val="p"/>
              </m:rPr>
              <w:rPr>
                <w:rFonts w:ascii="Cambria Math" w:hAnsi="Cambria Math" w:cs="Times New Roman"/>
                <w:lang w:val="en-US"/>
              </w:rPr>
              <m:t>CH</m:t>
            </m:r>
          </m:sub>
        </m:sSub>
        <m:r>
          <w:rPr>
            <w:rFonts w:ascii="Cambria Math" w:hAnsi="Cambria Math" w:cs="Times New Roman"/>
            <w:lang w:val="en-US"/>
          </w:rPr>
          <m:t xml:space="preserve"> </m:t>
        </m:r>
      </m:oMath>
      <w:r w:rsidRPr="00422EEB">
        <w:rPr>
          <w:rFonts w:cs="Times New Roman"/>
          <w:iCs/>
          <w:lang w:val="en-US"/>
        </w:rPr>
        <w:t xml:space="preserve">and </w:t>
      </w:r>
      <m:oMath>
        <m:sSub>
          <m:sSubPr>
            <m:ctrlPr>
              <w:rPr>
                <w:rFonts w:ascii="Cambria Math" w:hAnsi="Cambria Math" w:cs="Times New Roman"/>
                <w:iCs/>
              </w:rPr>
            </m:ctrlPr>
          </m:sSubPr>
          <m:e>
            <m:r>
              <m:rPr>
                <m:sty m:val="p"/>
              </m:rPr>
              <w:rPr>
                <w:rFonts w:ascii="Cambria Math" w:hAnsi="Cambria Math" w:cs="Times New Roman"/>
                <w:lang w:val="en-US"/>
              </w:rPr>
              <m:t>N</m:t>
            </m:r>
          </m:e>
          <m:sub>
            <m:r>
              <m:rPr>
                <m:sty m:val="p"/>
              </m:rPr>
              <w:rPr>
                <w:rFonts w:ascii="Cambria Math" w:hAnsi="Cambria Math" w:cs="Times New Roman"/>
                <w:lang w:val="en-US"/>
              </w:rPr>
              <m:t>HH</m:t>
            </m:r>
          </m:sub>
        </m:sSub>
        <m:r>
          <w:rPr>
            <w:rFonts w:ascii="Cambria Math" w:hAnsi="Cambria Math" w:cs="Times New Roman"/>
            <w:lang w:val="en-US"/>
          </w:rPr>
          <m:t xml:space="preserve"> </m:t>
        </m:r>
      </m:oMath>
      <w:r w:rsidRPr="00422EEB">
        <w:rPr>
          <w:rFonts w:cs="Times New Roman"/>
          <w:iCs/>
          <w:lang w:val="en-US"/>
        </w:rPr>
        <w:t xml:space="preserve">represent the number of cooling and heating days, </w:t>
      </w:r>
      <m:oMath>
        <m:sSub>
          <m:sSubPr>
            <m:ctrlPr>
              <w:rPr>
                <w:rFonts w:ascii="Cambria Math" w:hAnsi="Cambria Math" w:cs="Times New Roman"/>
                <w:iCs/>
              </w:rPr>
            </m:ctrlPr>
          </m:sSubPr>
          <m:e>
            <m:r>
              <m:rPr>
                <m:sty m:val="p"/>
              </m:rPr>
              <w:rPr>
                <w:rFonts w:ascii="Cambria Math" w:hAnsi="Cambria Math" w:cs="Times New Roman"/>
                <w:lang w:val="en-US"/>
              </w:rPr>
              <m:t>T</m:t>
            </m:r>
          </m:e>
          <m:sub>
            <m:r>
              <m:rPr>
                <m:sty m:val="p"/>
              </m:rPr>
              <w:rPr>
                <w:rFonts w:ascii="Cambria Math" w:hAnsi="Cambria Math" w:cs="Times New Roman"/>
                <w:lang w:val="en-US"/>
              </w:rPr>
              <m:t>b</m:t>
            </m:r>
          </m:sub>
        </m:sSub>
      </m:oMath>
      <w:r w:rsidRPr="00422EEB">
        <w:rPr>
          <w:rFonts w:cs="Times New Roman"/>
          <w:iCs/>
          <w:lang w:val="en-US"/>
        </w:rPr>
        <w:t xml:space="preserve">is the base temperature, and </w:t>
      </w:r>
      <m:oMath>
        <m:sSub>
          <m:sSubPr>
            <m:ctrlPr>
              <w:rPr>
                <w:rFonts w:ascii="Cambria Math" w:hAnsi="Cambria Math" w:cs="Times New Roman"/>
                <w:iCs/>
              </w:rPr>
            </m:ctrlPr>
          </m:sSubPr>
          <m:e>
            <m:r>
              <m:rPr>
                <m:sty m:val="p"/>
              </m:rPr>
              <w:rPr>
                <w:rFonts w:ascii="Cambria Math" w:hAnsi="Cambria Math" w:cs="Times New Roman"/>
                <w:lang w:val="en-US"/>
              </w:rPr>
              <m:t>T</m:t>
            </m:r>
          </m:e>
          <m:sub>
            <m:r>
              <m:rPr>
                <m:sty m:val="p"/>
              </m:rPr>
              <w:rPr>
                <w:rFonts w:ascii="Cambria Math" w:hAnsi="Cambria Math" w:cs="Times New Roman"/>
                <w:lang w:val="en-US"/>
              </w:rPr>
              <m:t>m</m:t>
            </m:r>
          </m:sub>
        </m:sSub>
      </m:oMath>
      <w:r w:rsidRPr="00422EEB">
        <w:rPr>
          <w:rFonts w:cs="Times New Roman"/>
          <w:iCs/>
          <w:lang w:val="en-US"/>
        </w:rPr>
        <w:t>is the mean daily temperature. The reduced cooling and heating loads resulting from the use of PCMs can be calculated as follows in Eq. (26) and Eq. (27):</w:t>
      </w:r>
    </w:p>
    <w:p w14:paraId="74CC3DD0" w14:textId="77777777" w:rsidR="00422EEB" w:rsidRPr="00422EEB" w:rsidRDefault="00000000" w:rsidP="00422EEB">
      <w:pPr>
        <w:rPr>
          <w:rFonts w:cs="Times New Roman"/>
          <w:iCs/>
          <w:lang w:val="en-US"/>
        </w:rPr>
      </w:pPr>
      <m:oMathPara>
        <m:oMathParaPr>
          <m:jc m:val="right"/>
        </m:oMathParaPr>
        <m:oMath>
          <m:sSub>
            <m:sSubPr>
              <m:ctrlPr>
                <w:rPr>
                  <w:rFonts w:ascii="Cambria Math" w:hAnsi="Cambria Math" w:cs="Times New Roman"/>
                  <w:i/>
                </w:rPr>
              </m:ctrlPr>
            </m:sSubPr>
            <m:e>
              <m:r>
                <w:rPr>
                  <w:rFonts w:ascii="Cambria Math" w:hAnsi="Cambria Math" w:cs="Times New Roman"/>
                </w:rPr>
                <m:t>Q</m:t>
              </m:r>
            </m:e>
            <m:sub>
              <m:r>
                <w:rPr>
                  <w:rFonts w:ascii="Cambria Math" w:hAnsi="Cambria Math" w:cs="Times New Roman"/>
                </w:rPr>
                <m:t>RC</m:t>
              </m:r>
            </m:sub>
          </m:sSub>
          <m:r>
            <w:rPr>
              <w:rFonts w:ascii="Cambria Math" w:hAnsi="Cambria Math" w:cs="Times New Roman"/>
              <w:lang w:val="en-US"/>
            </w:rPr>
            <m:t>=</m:t>
          </m:r>
          <m:sSub>
            <m:sSubPr>
              <m:ctrlPr>
                <w:rPr>
                  <w:rFonts w:ascii="Cambria Math" w:hAnsi="Cambria Math" w:cs="Times New Roman"/>
                  <w:i/>
                </w:rPr>
              </m:ctrlPr>
            </m:sSubPr>
            <m:e>
              <m:r>
                <w:rPr>
                  <w:rFonts w:ascii="Cambria Math" w:hAnsi="Cambria Math" w:cs="Times New Roman"/>
                </w:rPr>
                <m:t>u</m:t>
              </m:r>
            </m:e>
            <m:sub>
              <m:r>
                <w:rPr>
                  <w:rFonts w:ascii="Cambria Math" w:hAnsi="Cambria Math" w:cs="Times New Roman"/>
                </w:rPr>
                <m:t>con</m:t>
              </m:r>
            </m:sub>
          </m:sSub>
          <m:r>
            <w:rPr>
              <w:rFonts w:ascii="Cambria Math" w:hAnsi="Cambria Math" w:cs="Times New Roman"/>
              <w:lang w:val="en-US"/>
            </w:rPr>
            <m:t>​</m:t>
          </m:r>
          <m:r>
            <w:rPr>
              <w:rFonts w:ascii="Cambria Math" w:hAnsi="Cambria Math" w:cs="Times New Roman"/>
            </w:rPr>
            <m:t>A</m:t>
          </m:r>
          <m:r>
            <w:rPr>
              <w:rFonts w:ascii="Cambria Math" w:hAnsi="Cambria Math" w:cs="Times New Roman"/>
              <w:lang w:val="en-US"/>
            </w:rPr>
            <m:t>⋅</m:t>
          </m:r>
          <m:r>
            <w:rPr>
              <w:rFonts w:ascii="Cambria Math" w:hAnsi="Cambria Math" w:cs="Times New Roman"/>
            </w:rPr>
            <m:t>CDH</m:t>
          </m:r>
          <m:r>
            <w:rPr>
              <w:rFonts w:ascii="Cambria Math" w:hAnsi="Cambria Math" w:cs="Times New Roman"/>
              <w:lang w:val="en-US"/>
            </w:rPr>
            <m:t>-</m:t>
          </m:r>
          <m:d>
            <m:dPr>
              <m:ctrlPr>
                <w:rPr>
                  <w:rFonts w:ascii="Cambria Math" w:hAnsi="Cambria Math" w:cs="Times New Roman"/>
                  <w:i/>
                </w:rPr>
              </m:ctrlPr>
            </m:dPr>
            <m:e>
              <m:f>
                <m:fPr>
                  <m:ctrlPr>
                    <w:rPr>
                      <w:rFonts w:ascii="Cambria Math" w:hAnsi="Cambria Math" w:cs="Times New Roman"/>
                      <w:i/>
                      <w:iCs/>
                    </w:rPr>
                  </m:ctrlPr>
                </m:fPr>
                <m:num>
                  <m:sSub>
                    <m:sSubPr>
                      <m:ctrlPr>
                        <w:rPr>
                          <w:rFonts w:ascii="Cambria Math" w:hAnsi="Cambria Math" w:cs="Times New Roman"/>
                          <w:i/>
                        </w:rPr>
                      </m:ctrlPr>
                    </m:sSubPr>
                    <m:e>
                      <m:r>
                        <w:rPr>
                          <w:rFonts w:ascii="Cambria Math" w:hAnsi="Cambria Math" w:cs="Times New Roman"/>
                        </w:rPr>
                        <m:t>u</m:t>
                      </m:r>
                      <m:ctrlPr>
                        <w:rPr>
                          <w:rFonts w:ascii="Cambria Math" w:hAnsi="Cambria Math" w:cs="Times New Roman"/>
                          <w:i/>
                          <w:iCs/>
                        </w:rPr>
                      </m:ctrlPr>
                    </m:e>
                    <m:sub>
                      <m:r>
                        <w:rPr>
                          <w:rFonts w:ascii="Cambria Math" w:hAnsi="Cambria Math" w:cs="Times New Roman"/>
                        </w:rPr>
                        <m:t>pcm</m:t>
                      </m:r>
                    </m:sub>
                  </m:sSub>
                  <m:r>
                    <w:rPr>
                      <w:rFonts w:ascii="Cambria Math" w:hAnsi="Cambria Math" w:cs="Times New Roman"/>
                      <w:lang w:val="en-US"/>
                    </w:rPr>
                    <m:t xml:space="preserve"> </m:t>
                  </m:r>
                  <m:r>
                    <w:rPr>
                      <w:rFonts w:ascii="Cambria Math" w:hAnsi="Cambria Math" w:cs="Times New Roman"/>
                    </w:rPr>
                    <m:t>A</m:t>
                  </m:r>
                  <m:r>
                    <w:rPr>
                      <w:rFonts w:ascii="Cambria Math" w:hAnsi="Cambria Math" w:cs="Times New Roman"/>
                      <w:lang w:val="en-US"/>
                    </w:rPr>
                    <m:t>⋅</m:t>
                  </m:r>
                  <m:r>
                    <w:rPr>
                      <w:rFonts w:ascii="Cambria Math" w:hAnsi="Cambria Math" w:cs="Times New Roman"/>
                    </w:rPr>
                    <m:t>CDH</m:t>
                  </m:r>
                  <m:r>
                    <w:rPr>
                      <w:rFonts w:ascii="Cambria Math" w:hAnsi="Cambria Math" w:cs="Times New Roman"/>
                      <w:lang w:val="en-US"/>
                    </w:rPr>
                    <m:t>-</m:t>
                  </m:r>
                  <m:r>
                    <w:rPr>
                      <w:rFonts w:ascii="Cambria Math" w:hAnsi="Cambria Math" w:cs="Times New Roman"/>
                    </w:rPr>
                    <m:t>m</m:t>
                  </m:r>
                  <m:r>
                    <w:rPr>
                      <w:rFonts w:ascii="Cambria Math" w:hAnsi="Cambria Math" w:cs="Times New Roman"/>
                      <w:lang w:val="en-US"/>
                    </w:rPr>
                    <m:t>⋅</m:t>
                  </m:r>
                  <m:sSub>
                    <m:sSubPr>
                      <m:ctrlPr>
                        <w:rPr>
                          <w:rFonts w:ascii="Cambria Math" w:hAnsi="Cambria Math" w:cs="Times New Roman"/>
                          <w:i/>
                        </w:rPr>
                      </m:ctrlPr>
                    </m:sSubPr>
                    <m:e>
                      <m:r>
                        <w:rPr>
                          <w:rFonts w:ascii="Cambria Math" w:hAnsi="Cambria Math" w:cs="Times New Roman"/>
                          <w:lang w:val="en-US"/>
                        </w:rPr>
                        <m:t>h</m:t>
                      </m:r>
                    </m:e>
                    <m:sub>
                      <m:r>
                        <w:rPr>
                          <w:rFonts w:ascii="Cambria Math" w:hAnsi="Cambria Math" w:cs="Times New Roman"/>
                        </w:rPr>
                        <m:t>fg</m:t>
                      </m:r>
                    </m:sub>
                  </m:sSub>
                  <m:r>
                    <w:rPr>
                      <w:rFonts w:ascii="Cambria Math" w:hAnsi="Cambria Math" w:cs="Times New Roman"/>
                      <w:lang w:val="en-US"/>
                    </w:rPr>
                    <m:t>​⋅0.278⋅</m:t>
                  </m:r>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c</m:t>
                      </m:r>
                    </m:sub>
                  </m:sSub>
                  <m:r>
                    <w:rPr>
                      <w:rFonts w:ascii="Cambria Math" w:hAnsi="Cambria Math" w:cs="Times New Roman"/>
                      <w:lang w:val="en-US"/>
                    </w:rPr>
                    <m:t>​​</m:t>
                  </m:r>
                  <m:ctrlPr>
                    <w:rPr>
                      <w:rFonts w:ascii="Cambria Math" w:hAnsi="Cambria Math" w:cs="Times New Roman"/>
                      <w:i/>
                    </w:rPr>
                  </m:ctrlPr>
                </m:num>
                <m:den>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c</m:t>
                      </m:r>
                    </m:sub>
                  </m:sSub>
                </m:den>
              </m:f>
            </m:e>
          </m:d>
          <m:r>
            <m:rPr>
              <m:sty m:val="p"/>
            </m:rPr>
            <w:rPr>
              <w:rFonts w:ascii="Cambria Math" w:hAnsi="Cambria Math" w:cs="Times New Roman"/>
              <w:lang w:val="en-US"/>
            </w:rPr>
            <m:t xml:space="preserve">                       (26)</m:t>
          </m:r>
          <m:r>
            <m:rPr>
              <m:sty m:val="p"/>
            </m:rPr>
            <w:rPr>
              <w:rFonts w:ascii="Cambria Math" w:hAnsi="Cambria Math" w:cs="Times New Roman"/>
              <w:lang w:val="en-US"/>
            </w:rPr>
            <w:br/>
          </m:r>
        </m:oMath>
        <m:oMath>
          <m:sSub>
            <m:sSubPr>
              <m:ctrlPr>
                <w:rPr>
                  <w:rFonts w:ascii="Cambria Math" w:hAnsi="Cambria Math" w:cs="Times New Roman"/>
                  <w:i/>
                </w:rPr>
              </m:ctrlPr>
            </m:sSubPr>
            <m:e>
              <m:r>
                <w:rPr>
                  <w:rFonts w:ascii="Cambria Math" w:hAnsi="Cambria Math" w:cs="Times New Roman"/>
                </w:rPr>
                <m:t>Q</m:t>
              </m:r>
            </m:e>
            <m:sub>
              <m:r>
                <w:rPr>
                  <w:rFonts w:ascii="Cambria Math" w:hAnsi="Cambria Math" w:cs="Times New Roman"/>
                </w:rPr>
                <m:t>RH</m:t>
              </m:r>
            </m:sub>
          </m:sSub>
          <m:r>
            <w:rPr>
              <w:rFonts w:ascii="Cambria Math" w:hAnsi="Cambria Math" w:cs="Times New Roman"/>
              <w:lang w:val="en-US"/>
            </w:rPr>
            <m:t>=</m:t>
          </m:r>
          <m:sSub>
            <m:sSubPr>
              <m:ctrlPr>
                <w:rPr>
                  <w:rFonts w:ascii="Cambria Math" w:hAnsi="Cambria Math" w:cs="Times New Roman"/>
                  <w:i/>
                </w:rPr>
              </m:ctrlPr>
            </m:sSubPr>
            <m:e>
              <m:r>
                <w:rPr>
                  <w:rFonts w:ascii="Cambria Math" w:hAnsi="Cambria Math" w:cs="Times New Roman"/>
                </w:rPr>
                <m:t>u</m:t>
              </m:r>
            </m:e>
            <m:sub>
              <m:r>
                <w:rPr>
                  <w:rFonts w:ascii="Cambria Math" w:hAnsi="Cambria Math" w:cs="Times New Roman"/>
                </w:rPr>
                <m:t>con</m:t>
              </m:r>
            </m:sub>
          </m:sSub>
          <m:r>
            <w:rPr>
              <w:rFonts w:ascii="Cambria Math" w:hAnsi="Cambria Math" w:cs="Times New Roman"/>
            </w:rPr>
            <m:t>A</m:t>
          </m:r>
          <m:r>
            <w:rPr>
              <w:rFonts w:ascii="Cambria Math" w:hAnsi="Cambria Math" w:cs="Times New Roman"/>
              <w:lang w:val="en-US"/>
            </w:rPr>
            <m:t>⋅</m:t>
          </m:r>
          <m:r>
            <w:rPr>
              <w:rFonts w:ascii="Cambria Math" w:hAnsi="Cambria Math" w:cs="Times New Roman"/>
            </w:rPr>
            <m:t>HDH</m:t>
          </m:r>
          <m:r>
            <w:rPr>
              <w:rFonts w:ascii="Cambria Math" w:hAnsi="Cambria Math" w:cs="Times New Roman"/>
              <w:lang w:val="en-US"/>
            </w:rPr>
            <m:t>-</m:t>
          </m:r>
          <m:d>
            <m:dPr>
              <m:ctrlPr>
                <w:rPr>
                  <w:rFonts w:ascii="Cambria Math" w:hAnsi="Cambria Math" w:cs="Times New Roman"/>
                  <w:i/>
                </w:rPr>
              </m:ctrlPr>
            </m:dPr>
            <m:e>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u</m:t>
                      </m:r>
                    </m:e>
                    <m:sub>
                      <m:r>
                        <w:rPr>
                          <w:rFonts w:ascii="Cambria Math" w:hAnsi="Cambria Math" w:cs="Times New Roman"/>
                        </w:rPr>
                        <m:t>pcm</m:t>
                      </m:r>
                    </m:sub>
                  </m:sSub>
                  <m:r>
                    <w:rPr>
                      <w:rFonts w:ascii="Cambria Math" w:hAnsi="Cambria Math" w:cs="Times New Roman"/>
                    </w:rPr>
                    <m:t>A</m:t>
                  </m:r>
                  <m:r>
                    <w:rPr>
                      <w:rFonts w:ascii="Cambria Math" w:hAnsi="Cambria Math" w:cs="Times New Roman"/>
                      <w:lang w:val="en-US"/>
                    </w:rPr>
                    <m:t>⋅</m:t>
                  </m:r>
                  <m:r>
                    <w:rPr>
                      <w:rFonts w:ascii="Cambria Math" w:hAnsi="Cambria Math" w:cs="Times New Roman"/>
                    </w:rPr>
                    <m:t>HDH</m:t>
                  </m:r>
                  <m:r>
                    <w:rPr>
                      <w:rFonts w:ascii="Cambria Math" w:hAnsi="Cambria Math" w:cs="Times New Roman"/>
                      <w:lang w:val="en-US"/>
                    </w:rPr>
                    <m:t>-</m:t>
                  </m:r>
                  <m:r>
                    <w:rPr>
                      <w:rFonts w:ascii="Cambria Math" w:hAnsi="Cambria Math" w:cs="Times New Roman"/>
                    </w:rPr>
                    <m:t>m</m:t>
                  </m:r>
                  <m:r>
                    <w:rPr>
                      <w:rFonts w:ascii="Cambria Math" w:hAnsi="Cambria Math" w:cs="Times New Roman"/>
                      <w:lang w:val="en-US"/>
                    </w:rPr>
                    <m:t>⋅</m:t>
                  </m:r>
                  <m:sSub>
                    <m:sSubPr>
                      <m:ctrlPr>
                        <w:rPr>
                          <w:rFonts w:ascii="Cambria Math" w:hAnsi="Cambria Math" w:cs="Times New Roman"/>
                          <w:i/>
                        </w:rPr>
                      </m:ctrlPr>
                    </m:sSubPr>
                    <m:e>
                      <m:r>
                        <w:rPr>
                          <w:rFonts w:ascii="Cambria Math" w:hAnsi="Cambria Math" w:cs="Times New Roman"/>
                          <w:lang w:val="en-US"/>
                        </w:rPr>
                        <m:t>h</m:t>
                      </m:r>
                    </m:e>
                    <m:sub>
                      <m:r>
                        <w:rPr>
                          <w:rFonts w:ascii="Cambria Math" w:hAnsi="Cambria Math" w:cs="Times New Roman"/>
                        </w:rPr>
                        <m:t>fg</m:t>
                      </m:r>
                    </m:sub>
                  </m:sSub>
                  <m:r>
                    <w:rPr>
                      <w:rFonts w:ascii="Cambria Math" w:hAnsi="Cambria Math" w:cs="Times New Roman"/>
                      <w:lang w:val="en-US"/>
                    </w:rPr>
                    <m:t>⋅0.278⋅</m:t>
                  </m:r>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c</m:t>
                      </m:r>
                    </m:sub>
                  </m:sSub>
                </m:num>
                <m:den>
                  <m:sSub>
                    <m:sSubPr>
                      <m:ctrlPr>
                        <w:rPr>
                          <w:rFonts w:ascii="Cambria Math" w:hAnsi="Cambria Math" w:cs="Times New Roman"/>
                          <w:i/>
                        </w:rPr>
                      </m:ctrlPr>
                    </m:sSubPr>
                    <m:e>
                      <m:r>
                        <w:rPr>
                          <w:rFonts w:ascii="Cambria Math" w:hAnsi="Cambria Math" w:cs="Times New Roman"/>
                        </w:rPr>
                        <m:t>η</m:t>
                      </m:r>
                    </m:e>
                    <m:sub>
                      <m:r>
                        <w:rPr>
                          <w:rFonts w:ascii="Cambria Math" w:hAnsi="Cambria Math" w:cs="Times New Roman"/>
                        </w:rPr>
                        <m:t>c</m:t>
                      </m:r>
                    </m:sub>
                  </m:sSub>
                </m:den>
              </m:f>
            </m:e>
          </m:d>
          <m:r>
            <m:rPr>
              <m:sty m:val="p"/>
            </m:rPr>
            <w:rPr>
              <w:rFonts w:ascii="Cambria Math" w:hAnsi="Cambria Math" w:cs="Times New Roman"/>
              <w:lang w:val="en-US"/>
            </w:rPr>
            <m:t xml:space="preserve">                       (27)</m:t>
          </m:r>
          <m:r>
            <m:rPr>
              <m:sty m:val="p"/>
            </m:rPr>
            <w:rPr>
              <w:rFonts w:ascii="Cambria Math" w:hAnsi="Cambria Math" w:cs="Times New Roman"/>
              <w:lang w:val="en-US"/>
            </w:rPr>
            <w:br/>
          </m:r>
        </m:oMath>
      </m:oMathPara>
      <w:r w:rsidR="00422EEB" w:rsidRPr="00422EEB">
        <w:rPr>
          <w:rFonts w:cs="Times New Roman"/>
          <w:iCs/>
          <w:lang w:val="en-US"/>
        </w:rPr>
        <w:t xml:space="preserve">where </w:t>
      </w:r>
      <m:oMath>
        <m:sSub>
          <m:sSubPr>
            <m:ctrlPr>
              <w:rPr>
                <w:rFonts w:ascii="Cambria Math" w:hAnsi="Cambria Math" w:cs="Times New Roman"/>
                <w:iCs/>
              </w:rPr>
            </m:ctrlPr>
          </m:sSubPr>
          <m:e>
            <m:r>
              <m:rPr>
                <m:sty m:val="p"/>
              </m:rPr>
              <w:rPr>
                <w:rFonts w:ascii="Cambria Math" w:hAnsi="Cambria Math" w:cs="Times New Roman"/>
                <w:lang w:val="en-US"/>
              </w:rPr>
              <m:t>u</m:t>
            </m:r>
          </m:e>
          <m:sub>
            <m:r>
              <m:rPr>
                <m:sty m:val="p"/>
              </m:rPr>
              <w:rPr>
                <w:rFonts w:ascii="Cambria Math" w:hAnsi="Cambria Math" w:cs="Times New Roman"/>
                <w:lang w:val="en-US"/>
              </w:rPr>
              <m:t>con</m:t>
            </m:r>
          </m:sub>
        </m:sSub>
      </m:oMath>
      <w:r w:rsidR="00422EEB" w:rsidRPr="00422EEB">
        <w:rPr>
          <w:rFonts w:cs="Times New Roman"/>
          <w:iCs/>
          <w:lang w:val="en-US"/>
        </w:rPr>
        <w:t xml:space="preserve">and </w:t>
      </w:r>
      <m:oMath>
        <m:sSub>
          <m:sSubPr>
            <m:ctrlPr>
              <w:rPr>
                <w:rFonts w:ascii="Cambria Math" w:hAnsi="Cambria Math" w:cs="Times New Roman"/>
                <w:iCs/>
              </w:rPr>
            </m:ctrlPr>
          </m:sSubPr>
          <m:e>
            <m:r>
              <m:rPr>
                <m:sty m:val="p"/>
              </m:rPr>
              <w:rPr>
                <w:rFonts w:ascii="Cambria Math" w:hAnsi="Cambria Math" w:cs="Times New Roman"/>
                <w:lang w:val="en-US"/>
              </w:rPr>
              <m:t>u</m:t>
            </m:r>
          </m:e>
          <m:sub>
            <m:r>
              <m:rPr>
                <m:sty m:val="p"/>
              </m:rPr>
              <w:rPr>
                <w:rFonts w:ascii="Cambria Math" w:hAnsi="Cambria Math" w:cs="Times New Roman"/>
                <w:lang w:val="en-US"/>
              </w:rPr>
              <m:t>pcm</m:t>
            </m:r>
          </m:sub>
        </m:sSub>
      </m:oMath>
      <w:r w:rsidR="00422EEB" w:rsidRPr="00422EEB">
        <w:rPr>
          <w:rFonts w:cs="Times New Roman"/>
          <w:iCs/>
          <w:lang w:val="en-US"/>
        </w:rPr>
        <w:t xml:space="preserve">are the cyclic thermal transmittances of the conventional and PCM-integrated envelopes, </w:t>
      </w:r>
      <m:oMath>
        <m:r>
          <m:rPr>
            <m:sty m:val="p"/>
          </m:rPr>
          <w:rPr>
            <w:rFonts w:ascii="Cambria Math" w:hAnsi="Cambria Math" w:cs="Times New Roman"/>
            <w:lang w:val="en-US"/>
          </w:rPr>
          <m:t>A</m:t>
        </m:r>
      </m:oMath>
      <w:r w:rsidR="00422EEB" w:rsidRPr="00422EEB">
        <w:rPr>
          <w:rFonts w:cs="Times New Roman"/>
          <w:iCs/>
          <w:lang w:val="en-US"/>
        </w:rPr>
        <w:t xml:space="preserve">is the heat flux through the external surface, </w:t>
      </w:r>
      <m:oMath>
        <m:sSub>
          <m:sSubPr>
            <m:ctrlPr>
              <w:rPr>
                <w:rFonts w:ascii="Cambria Math" w:hAnsi="Cambria Math" w:cs="Times New Roman"/>
                <w:iCs/>
              </w:rPr>
            </m:ctrlPr>
          </m:sSubPr>
          <m:e>
            <m:r>
              <m:rPr>
                <m:sty m:val="p"/>
              </m:rPr>
              <w:rPr>
                <w:rFonts w:ascii="Cambria Math" w:hAnsi="Cambria Math" w:cs="Times New Roman"/>
                <w:lang w:val="en-US"/>
              </w:rPr>
              <m:t>h</m:t>
            </m:r>
          </m:e>
          <m:sub>
            <m:r>
              <m:rPr>
                <m:sty m:val="p"/>
              </m:rPr>
              <w:rPr>
                <w:rFonts w:ascii="Cambria Math" w:hAnsi="Cambria Math" w:cs="Times New Roman"/>
                <w:lang w:val="en-US"/>
              </w:rPr>
              <m:t>fg</m:t>
            </m:r>
          </m:sub>
        </m:sSub>
      </m:oMath>
      <w:r w:rsidR="00422EEB" w:rsidRPr="00422EEB">
        <w:rPr>
          <w:rFonts w:cs="Times New Roman"/>
          <w:iCs/>
          <w:lang w:val="en-US"/>
        </w:rPr>
        <w:t xml:space="preserve">is the latent heat of the PCM, and </w:t>
      </w:r>
      <m:oMath>
        <m:sSub>
          <m:sSubPr>
            <m:ctrlPr>
              <w:rPr>
                <w:rFonts w:ascii="Cambria Math" w:hAnsi="Cambria Math" w:cs="Times New Roman"/>
                <w:iCs/>
              </w:rPr>
            </m:ctrlPr>
          </m:sSubPr>
          <m:e>
            <m:r>
              <m:rPr>
                <m:sty m:val="p"/>
              </m:rPr>
              <w:rPr>
                <w:rFonts w:ascii="Cambria Math" w:hAnsi="Cambria Math" w:cs="Times New Roman"/>
                <w:lang w:val="en-US"/>
              </w:rPr>
              <m:t>n</m:t>
            </m:r>
          </m:e>
          <m:sub>
            <m:r>
              <m:rPr>
                <m:sty m:val="p"/>
              </m:rPr>
              <w:rPr>
                <w:rFonts w:ascii="Cambria Math" w:hAnsi="Cambria Math" w:cs="Times New Roman"/>
                <w:lang w:val="en-US"/>
              </w:rPr>
              <m:t>c</m:t>
            </m:r>
          </m:sub>
        </m:sSub>
      </m:oMath>
      <w:r w:rsidR="00422EEB" w:rsidRPr="00422EEB">
        <w:rPr>
          <w:rFonts w:cs="Times New Roman"/>
          <w:iCs/>
          <w:lang w:val="en-US"/>
        </w:rPr>
        <w:t>is the number of PCM cycles during summer and winter. The energy savings achieved are then converted into CO₂ emission reduction, estimated in Eq. (28)  as follows:</w:t>
      </w:r>
    </w:p>
    <w:p w14:paraId="5A6C4999" w14:textId="77777777" w:rsidR="00422EEB" w:rsidRPr="00422EEB" w:rsidRDefault="00000000" w:rsidP="00422EEB">
      <w:pPr>
        <w:rPr>
          <w:rFonts w:cs="Times New Roman"/>
          <w:iCs/>
          <w:lang w:val="en-US"/>
        </w:rPr>
      </w:pPr>
      <m:oMathPara>
        <m:oMathParaPr>
          <m:jc m:val="right"/>
        </m:oMathParaPr>
        <m:oMath>
          <m:sSub>
            <m:sSubPr>
              <m:ctrlPr>
                <w:rPr>
                  <w:rFonts w:ascii="Cambria Math" w:hAnsi="Cambria Math" w:cs="Times New Roman"/>
                  <w:iCs/>
                </w:rPr>
              </m:ctrlPr>
            </m:sSubPr>
            <m:e>
              <m:r>
                <m:rPr>
                  <m:sty m:val="p"/>
                </m:rPr>
                <w:rPr>
                  <w:rFonts w:ascii="Cambria Math" w:hAnsi="Cambria Math" w:cs="Times New Roman"/>
                  <w:lang w:val="en-US"/>
                </w:rPr>
                <m:t>m</m:t>
              </m:r>
            </m:e>
            <m:sub>
              <m:r>
                <m:rPr>
                  <m:sty m:val="p"/>
                </m:rPr>
                <w:rPr>
                  <w:rFonts w:ascii="Cambria Math" w:hAnsi="Cambria Math" w:cs="Times New Roman"/>
                  <w:lang w:val="en-US"/>
                </w:rPr>
                <m:t>r</m:t>
              </m:r>
            </m:sub>
          </m:sSub>
          <m:r>
            <m:rPr>
              <m:sty m:val="p"/>
            </m:rPr>
            <w:rPr>
              <w:rFonts w:ascii="Cambria Math" w:hAnsi="Cambria Math" w:cs="Times New Roman"/>
              <w:lang w:val="en-US"/>
            </w:rPr>
            <m:t>=</m:t>
          </m:r>
          <m:sSup>
            <m:sSupPr>
              <m:ctrlPr>
                <w:rPr>
                  <w:rFonts w:ascii="Cambria Math" w:hAnsi="Cambria Math" w:cs="Times New Roman"/>
                  <w:iCs/>
                </w:rPr>
              </m:ctrlPr>
            </m:sSupPr>
            <m:e>
              <m:r>
                <m:rPr>
                  <m:sty m:val="p"/>
                </m:rPr>
                <w:rPr>
                  <w:rFonts w:ascii="Cambria Math" w:hAnsi="Cambria Math" w:cs="Times New Roman"/>
                  <w:lang w:val="en-US"/>
                </w:rPr>
                <m:t>10</m:t>
              </m:r>
            </m:e>
            <m:sup>
              <m:r>
                <m:rPr>
                  <m:sty m:val="p"/>
                </m:rPr>
                <w:rPr>
                  <w:rFonts w:ascii="Cambria Math" w:hAnsi="Cambria Math" w:cs="Times New Roman"/>
                  <w:lang w:val="en-US"/>
                </w:rPr>
                <m:t>-3</m:t>
              </m:r>
            </m:sup>
          </m:sSup>
          <m:d>
            <m:dPr>
              <m:ctrlPr>
                <w:rPr>
                  <w:rFonts w:ascii="Cambria Math" w:hAnsi="Cambria Math" w:cs="Times New Roman"/>
                  <w:iCs/>
                </w:rPr>
              </m:ctrlPr>
            </m:dPr>
            <m:e>
              <m:sSub>
                <m:sSubPr>
                  <m:ctrlPr>
                    <w:rPr>
                      <w:rFonts w:ascii="Cambria Math" w:hAnsi="Cambria Math" w:cs="Times New Roman"/>
                      <w:iCs/>
                    </w:rPr>
                  </m:ctrlPr>
                </m:sSubPr>
                <m:e>
                  <m:r>
                    <m:rPr>
                      <m:sty m:val="p"/>
                    </m:rPr>
                    <w:rPr>
                      <w:rFonts w:ascii="Cambria Math" w:hAnsi="Cambria Math" w:cs="Times New Roman"/>
                    </w:rPr>
                    <m:t>η</m:t>
                  </m:r>
                </m:e>
                <m:sub>
                  <m:r>
                    <m:rPr>
                      <m:sty m:val="p"/>
                    </m:rPr>
                    <w:rPr>
                      <w:rFonts w:ascii="Cambria Math" w:hAnsi="Cambria Math" w:cs="Times New Roman"/>
                      <w:lang w:val="en-US"/>
                    </w:rPr>
                    <m:t>1</m:t>
                  </m:r>
                </m:sub>
              </m:sSub>
              <m:f>
                <m:fPr>
                  <m:ctrlPr>
                    <w:rPr>
                      <w:rFonts w:ascii="Cambria Math" w:hAnsi="Cambria Math" w:cs="Times New Roman"/>
                      <w:iCs/>
                    </w:rPr>
                  </m:ctrlPr>
                </m:fPr>
                <m:num>
                  <m:sSub>
                    <m:sSubPr>
                      <m:ctrlPr>
                        <w:rPr>
                          <w:rFonts w:ascii="Cambria Math" w:hAnsi="Cambria Math" w:cs="Times New Roman"/>
                          <w:iCs/>
                        </w:rPr>
                      </m:ctrlPr>
                    </m:sSubPr>
                    <m:e>
                      <m:r>
                        <m:rPr>
                          <m:sty m:val="p"/>
                        </m:rPr>
                        <w:rPr>
                          <w:rFonts w:ascii="Cambria Math" w:hAnsi="Cambria Math" w:cs="Times New Roman"/>
                          <w:lang w:val="en-US"/>
                        </w:rPr>
                        <m:t>Q</m:t>
                      </m:r>
                    </m:e>
                    <m:sub>
                      <m:r>
                        <m:rPr>
                          <m:sty m:val="p"/>
                        </m:rPr>
                        <w:rPr>
                          <w:rFonts w:ascii="Cambria Math" w:hAnsi="Cambria Math" w:cs="Times New Roman"/>
                          <w:lang w:val="en-US"/>
                        </w:rPr>
                        <m:t>RC</m:t>
                      </m:r>
                    </m:sub>
                  </m:sSub>
                </m:num>
                <m:den>
                  <m:r>
                    <m:rPr>
                      <m:sty m:val="p"/>
                    </m:rPr>
                    <w:rPr>
                      <w:rFonts w:ascii="Cambria Math" w:hAnsi="Cambria Math" w:cs="Times New Roman"/>
                      <w:lang w:val="en-US"/>
                    </w:rPr>
                    <m:t>COP</m:t>
                  </m:r>
                </m:den>
              </m:f>
              <m:r>
                <m:rPr>
                  <m:sty m:val="p"/>
                </m:rPr>
                <w:rPr>
                  <w:rFonts w:ascii="Cambria Math" w:hAnsi="Cambria Math" w:cs="Times New Roman"/>
                  <w:lang w:val="en-US"/>
                </w:rPr>
                <m:t>+</m:t>
              </m:r>
              <m:sSub>
                <m:sSubPr>
                  <m:ctrlPr>
                    <w:rPr>
                      <w:rFonts w:ascii="Cambria Math" w:hAnsi="Cambria Math" w:cs="Times New Roman"/>
                      <w:iCs/>
                    </w:rPr>
                  </m:ctrlPr>
                </m:sSubPr>
                <m:e>
                  <m:r>
                    <m:rPr>
                      <m:sty m:val="p"/>
                    </m:rPr>
                    <w:rPr>
                      <w:rFonts w:ascii="Cambria Math" w:hAnsi="Cambria Math" w:cs="Times New Roman"/>
                    </w:rPr>
                    <m:t>η</m:t>
                  </m:r>
                </m:e>
                <m:sub>
                  <m:r>
                    <m:rPr>
                      <m:sty m:val="p"/>
                    </m:rPr>
                    <w:rPr>
                      <w:rFonts w:ascii="Cambria Math" w:hAnsi="Cambria Math" w:cs="Times New Roman"/>
                      <w:lang w:val="en-US"/>
                    </w:rPr>
                    <m:t>2</m:t>
                  </m:r>
                </m:sub>
              </m:sSub>
              <m:f>
                <m:fPr>
                  <m:ctrlPr>
                    <w:rPr>
                      <w:rFonts w:ascii="Cambria Math" w:hAnsi="Cambria Math" w:cs="Times New Roman"/>
                      <w:iCs/>
                    </w:rPr>
                  </m:ctrlPr>
                </m:fPr>
                <m:num>
                  <m:sSub>
                    <m:sSubPr>
                      <m:ctrlPr>
                        <w:rPr>
                          <w:rFonts w:ascii="Cambria Math" w:hAnsi="Cambria Math" w:cs="Times New Roman"/>
                          <w:iCs/>
                        </w:rPr>
                      </m:ctrlPr>
                    </m:sSubPr>
                    <m:e>
                      <m:r>
                        <m:rPr>
                          <m:sty m:val="p"/>
                        </m:rPr>
                        <w:rPr>
                          <w:rFonts w:ascii="Cambria Math" w:hAnsi="Cambria Math" w:cs="Times New Roman"/>
                          <w:lang w:val="en-US"/>
                        </w:rPr>
                        <m:t>Q</m:t>
                      </m:r>
                    </m:e>
                    <m:sub>
                      <m:r>
                        <m:rPr>
                          <m:sty m:val="p"/>
                        </m:rPr>
                        <w:rPr>
                          <w:rFonts w:ascii="Cambria Math" w:hAnsi="Cambria Math" w:cs="Times New Roman"/>
                          <w:lang w:val="en-US"/>
                        </w:rPr>
                        <m:t>RH</m:t>
                      </m:r>
                    </m:sub>
                  </m:sSub>
                </m:num>
                <m:den>
                  <m:r>
                    <m:rPr>
                      <m:sty m:val="p"/>
                    </m:rPr>
                    <w:rPr>
                      <w:rFonts w:ascii="Cambria Math" w:hAnsi="Cambria Math" w:cs="Times New Roman"/>
                    </w:rPr>
                    <m:t>η</m:t>
                  </m:r>
                </m:den>
              </m:f>
            </m:e>
          </m:d>
          <m:r>
            <m:rPr>
              <m:sty m:val="p"/>
            </m:rPr>
            <w:rPr>
              <w:rFonts w:ascii="Cambria Math" w:hAnsi="Cambria Math" w:cs="Times New Roman"/>
              <w:lang w:val="en-US"/>
            </w:rPr>
            <m:t xml:space="preserve">                                                             (28)</m:t>
          </m:r>
          <m:r>
            <m:rPr>
              <m:sty m:val="p"/>
            </m:rPr>
            <w:rPr>
              <w:rFonts w:ascii="Cambria Math" w:hAnsi="Cambria Math" w:cs="Times New Roman"/>
              <w:lang w:val="en-US"/>
            </w:rPr>
            <w:br/>
          </m:r>
        </m:oMath>
      </m:oMathPara>
      <w:r w:rsidR="00422EEB" w:rsidRPr="00422EEB">
        <w:rPr>
          <w:rFonts w:cs="Times New Roman"/>
          <w:iCs/>
          <w:lang w:val="en-US"/>
        </w:rPr>
        <w:t xml:space="preserve">where </w:t>
      </w:r>
      <m:oMath>
        <m:sSub>
          <m:sSubPr>
            <m:ctrlPr>
              <w:rPr>
                <w:rFonts w:ascii="Cambria Math" w:hAnsi="Cambria Math" w:cs="Times New Roman"/>
                <w:iCs/>
              </w:rPr>
            </m:ctrlPr>
          </m:sSubPr>
          <m:e>
            <m:r>
              <m:rPr>
                <m:sty m:val="p"/>
              </m:rPr>
              <w:rPr>
                <w:rFonts w:ascii="Cambria Math" w:hAnsi="Cambria Math" w:cs="Times New Roman"/>
                <w:lang w:val="en-US"/>
              </w:rPr>
              <m:t>m</m:t>
            </m:r>
          </m:e>
          <m:sub>
            <m:r>
              <m:rPr>
                <m:sty m:val="p"/>
              </m:rPr>
              <w:rPr>
                <w:rFonts w:ascii="Cambria Math" w:hAnsi="Cambria Math" w:cs="Times New Roman"/>
                <w:lang w:val="en-US"/>
              </w:rPr>
              <m:t>r</m:t>
            </m:r>
          </m:sub>
        </m:sSub>
        <m:r>
          <w:rPr>
            <w:rFonts w:ascii="Cambria Math" w:hAnsi="Cambria Math" w:cs="Times New Roman"/>
            <w:lang w:val="en-US"/>
          </w:rPr>
          <m:t xml:space="preserve"> </m:t>
        </m:r>
      </m:oMath>
      <w:r w:rsidR="00422EEB" w:rsidRPr="00422EEB">
        <w:rPr>
          <w:rFonts w:cs="Times New Roman"/>
          <w:iCs/>
          <w:lang w:val="en-US"/>
        </w:rPr>
        <w:t xml:space="preserve">represents the annual CO₂ reduction due to PCM integration in the building, </w:t>
      </w:r>
      <m:oMath>
        <m:r>
          <m:rPr>
            <m:sty m:val="p"/>
          </m:rPr>
          <w:rPr>
            <w:rFonts w:ascii="Cambria Math" w:hAnsi="Cambria Math" w:cs="Times New Roman"/>
            <w:lang w:val="en-US"/>
          </w:rPr>
          <m:t xml:space="preserve">COP </m:t>
        </m:r>
      </m:oMath>
      <w:r w:rsidR="00422EEB" w:rsidRPr="00422EEB">
        <w:rPr>
          <w:rFonts w:cs="Times New Roman"/>
          <w:iCs/>
          <w:lang w:val="en-US"/>
        </w:rPr>
        <w:t xml:space="preserve">is the coefficient of performance of the air conditioning system, and </w:t>
      </w:r>
      <m:oMath>
        <m:r>
          <m:rPr>
            <m:sty m:val="p"/>
          </m:rPr>
          <w:rPr>
            <w:rFonts w:ascii="Cambria Math" w:hAnsi="Cambria Math" w:cs="Times New Roman"/>
          </w:rPr>
          <m:t>η</m:t>
        </m:r>
      </m:oMath>
      <w:r w:rsidR="00422EEB" w:rsidRPr="00422EEB">
        <w:rPr>
          <w:rFonts w:eastAsiaTheme="minorEastAsia" w:cs="Times New Roman"/>
          <w:iCs/>
          <w:lang w:val="en-US"/>
        </w:rPr>
        <w:t xml:space="preserve"> </w:t>
      </w:r>
      <w:r w:rsidR="00422EEB" w:rsidRPr="00422EEB">
        <w:rPr>
          <w:rFonts w:cs="Times New Roman"/>
          <w:iCs/>
          <w:lang w:val="en-US"/>
        </w:rPr>
        <w:t>is the efficiency of the power plant. Two main factors affect the reduction of CO₂ emissions: the amount of energy saved and the type of fuel used for energy generation. Integrating PCMs into buildings is considered a sustainable strategy, particularly in regions where electricity production relies heavily on coal and oil. Studies have shown that PCM integration can lower emissions by up to 203 kg CO₂e/kWh. According to the International Energy Agency (IEA) report (2021), building operations are responsible for 27% of global CO₂ emissions in the energy sector. Moreover, a significant portion of emissions in the construction sector arises from cement manufacturing, which releases 0.6–1.0 kg of CO₂ per kilogram of cement produced. Although the production of PCM materials also generates greenhouse gas emissions, life cycle assessments have shown that the energy invested in producing PCM can be recovered in less than two years. Overall, literature data indicate that the optimized use of PCMs in buildings can lead to annual CO₂ emission reductions of up to 42,004 kg CO₂e.</w:t>
      </w:r>
    </w:p>
    <w:p w14:paraId="0750684C" w14:textId="57EBE585" w:rsidR="00422EEB" w:rsidRPr="00422EEB" w:rsidRDefault="00422EEB" w:rsidP="00BA0228">
      <w:pPr>
        <w:pStyle w:val="Heading4"/>
        <w:rPr>
          <w:lang w:val="en-US"/>
        </w:rPr>
      </w:pPr>
      <w:r w:rsidRPr="00422EEB">
        <w:rPr>
          <w:lang w:val="en-US"/>
        </w:rPr>
        <w:t>Economic impact</w:t>
      </w:r>
    </w:p>
    <w:p w14:paraId="3B3228FF" w14:textId="6E080845" w:rsidR="00422EEB" w:rsidRPr="00422EEB" w:rsidRDefault="00422EEB" w:rsidP="00422EEB">
      <w:pPr>
        <w:rPr>
          <w:rFonts w:cs="Times New Roman"/>
          <w:iCs/>
          <w:lang w:val="en-US"/>
        </w:rPr>
      </w:pPr>
      <w:r w:rsidRPr="00422EEB">
        <w:rPr>
          <w:rFonts w:cs="Times New Roman"/>
          <w:iCs/>
          <w:lang w:val="en-US"/>
        </w:rPr>
        <w:t xml:space="preserve">Cost analysis should include all four stages of the building life cycle — planning, design, construction, and operation — as well as the phases of demolition and recycling. Since the phase change temperature and thickness of PCMs vary depending on the climate, production costs also differ. Therefore, both manufacturing costs (during construction) and energy savings (during operation) should be considered </w:t>
      </w:r>
      <w:r w:rsidRPr="00422EEB">
        <w:rPr>
          <w:rFonts w:cs="Times New Roman"/>
          <w:iCs/>
          <w:lang w:val="en-US"/>
        </w:rPr>
        <w:lastRenderedPageBreak/>
        <w:t>together to assess the true economic feasibility. The use of high-energy-density PCMs can be particularly advantageous in technological systems such as radiant heating or cooling, offering environmental and economic payback times of less than two years. However, the use of PCMs in building envelopes can be less cost-effective, as the addition of PCM materials and their encapsulation significantly increases environmental impact, especially in the case of organic PCMs derived from fossil fuels, such as paraffin. At present, it is therefore essential to develop low-cost PCMs with long lifespan, thermal stability, and safe use, to enable building applications that provide both economic and environmental benefits.</w:t>
      </w:r>
    </w:p>
    <w:p w14:paraId="0E5BA524" w14:textId="5A939FC1" w:rsidR="00422EEB" w:rsidRPr="00422EEB" w:rsidRDefault="00422EEB" w:rsidP="00BA0228">
      <w:pPr>
        <w:pStyle w:val="Heading3"/>
        <w:rPr>
          <w:lang w:val="en-US"/>
        </w:rPr>
      </w:pPr>
      <w:bookmarkStart w:id="129" w:name="_Toc213354081"/>
      <w:bookmarkStart w:id="130" w:name="_Toc214356300"/>
      <w:r w:rsidRPr="00422EEB">
        <w:rPr>
          <w:lang w:val="en-US"/>
        </w:rPr>
        <w:t>Future research direction</w:t>
      </w:r>
      <w:bookmarkEnd w:id="129"/>
      <w:r w:rsidR="00CF7E04">
        <w:rPr>
          <w:lang w:val="en-US"/>
        </w:rPr>
        <w:t>s</w:t>
      </w:r>
      <w:bookmarkEnd w:id="130"/>
    </w:p>
    <w:p w14:paraId="6CDB1C22" w14:textId="77777777" w:rsidR="00422EEB" w:rsidRDefault="00422EEB" w:rsidP="00422EEB">
      <w:pPr>
        <w:rPr>
          <w:lang w:val="en-US"/>
        </w:rPr>
      </w:pPr>
      <w:r w:rsidRPr="00422EEB">
        <w:rPr>
          <w:rFonts w:cs="Times New Roman"/>
          <w:lang w:val="en-US"/>
        </w:rPr>
        <w:t>Research on the application of PCMs in buildings has produced promising results, though several challenges remain. The main limitations concern their low thermal conductivity and limited thermal cycling stability; to address these, researchers are experimenting with high-conductivity nanomaterials, though these entail high costs and distribution issues. Therefore, developing stable and cost-effective production processes is essential. A multidisciplinary approach involving materials science, chemistry, and engineering is crucial to design intelligent and adaptive PCMs capable of changing their properties at specific temperatures, ensuring long-term performance and effective integration with building structures. Regarding encapsulation, macroscopic methods are simple but prone to leakage, while microencapsulation offers better sealing but is expensive. New approaches propose using natural porous media and vacuum impregnation to produce modular, replaceable, and low-maintenance PCM units, though improvements are still needed in impregnation efficiency, mechanical stability, and durability through thermal cycles. The effectiveness of PCMs also depends on climatic conditions: in regions with large temperature variations, multilayer or composite PCMs are preferable, whereas in areas with small diurnal ranges, combining PCMs with ventilation or cooling systems can optimize performance. Finally, the use of machine learning offers an innovative path to automatically optimize PCM selection and configuration based on local climate conditions. However, the debate on their environmental benefits remains open: although high-density PCMs can achieve payback periods under two years, materials such as fossil-based paraffin require a thorough life-cycle assessment (LCA) to determine their true impact on energy consumption and emissions</w:t>
      </w:r>
      <w:r w:rsidRPr="00422EEB">
        <w:rPr>
          <w:lang w:val="en-US"/>
        </w:rPr>
        <w:t>.</w:t>
      </w:r>
    </w:p>
    <w:p w14:paraId="550D378B" w14:textId="2A7B3515" w:rsidR="008B629F" w:rsidRDefault="008B629F">
      <w:pPr>
        <w:spacing w:before="0" w:after="160" w:line="259" w:lineRule="auto"/>
        <w:jc w:val="left"/>
        <w:rPr>
          <w:lang w:val="en-US"/>
        </w:rPr>
      </w:pPr>
      <w:r>
        <w:rPr>
          <w:lang w:val="en-US"/>
        </w:rPr>
        <w:br w:type="page"/>
      </w:r>
    </w:p>
    <w:p w14:paraId="669AC137" w14:textId="42534E9B" w:rsidR="008B629F" w:rsidRPr="008B629F" w:rsidRDefault="008B629F" w:rsidP="008B629F">
      <w:pPr>
        <w:pStyle w:val="Heading2"/>
        <w:rPr>
          <w:lang w:val="en-US"/>
        </w:rPr>
      </w:pPr>
      <w:bookmarkStart w:id="131" w:name="_Toc213354082"/>
      <w:bookmarkStart w:id="132" w:name="_Toc214356301"/>
      <w:r w:rsidRPr="008B629F">
        <w:rPr>
          <w:lang w:val="en-US"/>
        </w:rPr>
        <w:lastRenderedPageBreak/>
        <w:t>PCMs in cold chain application</w:t>
      </w:r>
      <w:bookmarkEnd w:id="131"/>
      <w:bookmarkEnd w:id="132"/>
    </w:p>
    <w:p w14:paraId="59F35423" w14:textId="77777777" w:rsidR="008B629F" w:rsidRPr="008B629F" w:rsidRDefault="008B629F" w:rsidP="008B629F">
      <w:pPr>
        <w:rPr>
          <w:rFonts w:cs="Times New Roman"/>
          <w:lang w:val="en-US"/>
        </w:rPr>
      </w:pPr>
      <w:r w:rsidRPr="008B629F">
        <w:rPr>
          <w:rFonts w:cs="Times New Roman"/>
          <w:lang w:val="en-US"/>
        </w:rPr>
        <w:t>To investigate the state of the art on PCM applications in the cold chain, a systematic search was conducted on Scopus. The first query is</w:t>
      </w:r>
    </w:p>
    <w:p w14:paraId="66EFB7E7" w14:textId="77777777" w:rsidR="008B629F" w:rsidRPr="008B629F" w:rsidRDefault="008B629F" w:rsidP="008B629F">
      <w:pPr>
        <w:jc w:val="center"/>
        <w:rPr>
          <w:rFonts w:cs="Times New Roman"/>
          <w:b/>
          <w:bCs/>
          <w:i/>
          <w:iCs/>
          <w:lang w:val="en-US"/>
        </w:rPr>
      </w:pPr>
      <w:r w:rsidRPr="008B629F">
        <w:rPr>
          <w:rFonts w:cs="Times New Roman"/>
          <w:b/>
          <w:bCs/>
          <w:i/>
          <w:iCs/>
          <w:lang w:val="en-US"/>
        </w:rPr>
        <w:t>(“phase change materials” OR PCM) AND (“cold chain” OR refrigeration OR “cold storage” OR cooling OR “temperature control”)</w:t>
      </w:r>
    </w:p>
    <w:p w14:paraId="156EF60F" w14:textId="77777777" w:rsidR="008B629F" w:rsidRPr="008B629F" w:rsidRDefault="008B629F" w:rsidP="008B629F">
      <w:pPr>
        <w:rPr>
          <w:rFonts w:cs="Times New Roman"/>
          <w:lang w:val="en-US"/>
        </w:rPr>
      </w:pPr>
      <w:r w:rsidRPr="008B629F">
        <w:rPr>
          <w:rFonts w:cs="Times New Roman"/>
          <w:lang w:val="en-US"/>
        </w:rPr>
        <w:t>That returned 12,227 results. To capture the health-care use case, especially vaccine logistics, an extended query is produced:</w:t>
      </w:r>
    </w:p>
    <w:p w14:paraId="5CE24875" w14:textId="77777777" w:rsidR="008B629F" w:rsidRPr="008B629F" w:rsidRDefault="008B629F" w:rsidP="008B629F">
      <w:pPr>
        <w:jc w:val="center"/>
        <w:rPr>
          <w:rFonts w:cs="Times New Roman"/>
          <w:b/>
          <w:bCs/>
          <w:i/>
          <w:iCs/>
          <w:lang w:val="en-US"/>
        </w:rPr>
      </w:pPr>
      <w:r w:rsidRPr="008B629F">
        <w:rPr>
          <w:rFonts w:cs="Times New Roman"/>
          <w:b/>
          <w:bCs/>
          <w:i/>
          <w:iCs/>
          <w:lang w:val="en-US"/>
        </w:rPr>
        <w:t>(“phase change materials” OR PCM) AND (“cold chain” OR refrigeration OR “cold storage” OR cooling OR “temperature control” OR “vaccine”)</w:t>
      </w:r>
    </w:p>
    <w:p w14:paraId="70029461" w14:textId="636A76F6" w:rsidR="008B629F" w:rsidRPr="008B629F" w:rsidRDefault="008B629F" w:rsidP="008B629F">
      <w:pPr>
        <w:rPr>
          <w:rFonts w:cs="Times New Roman"/>
          <w:lang w:val="en-US"/>
        </w:rPr>
      </w:pPr>
      <w:r w:rsidRPr="008B629F">
        <w:rPr>
          <w:rFonts w:cs="Times New Roman"/>
          <w:lang w:val="en-US"/>
        </w:rPr>
        <w:t>yielded 12,310 results. Results were filtered by relevance and source quality (indexed journals; citation-based screening where appropriate), focusing on rigorous experimental work with clear impact on refrigerated transport, hubs, and storage.</w:t>
      </w:r>
    </w:p>
    <w:p w14:paraId="0F4FE527" w14:textId="77777777" w:rsidR="008B629F" w:rsidRDefault="008B629F" w:rsidP="008B629F">
      <w:pPr>
        <w:keepNext/>
      </w:pPr>
      <w:r w:rsidRPr="008B629F">
        <w:rPr>
          <w:noProof/>
        </w:rPr>
        <mc:AlternateContent>
          <mc:Choice Requires="wps">
            <w:drawing>
              <wp:anchor distT="45720" distB="45720" distL="114300" distR="114300" simplePos="0" relativeHeight="251728896" behindDoc="0" locked="0" layoutInCell="1" allowOverlap="1" wp14:anchorId="3DCC0AC1" wp14:editId="018D0F76">
                <wp:simplePos x="0" y="0"/>
                <wp:positionH relativeFrom="column">
                  <wp:posOffset>2868997</wp:posOffset>
                </wp:positionH>
                <wp:positionV relativeFrom="paragraph">
                  <wp:posOffset>31616</wp:posOffset>
                </wp:positionV>
                <wp:extent cx="381000" cy="457200"/>
                <wp:effectExtent l="0" t="0" r="0" b="0"/>
                <wp:wrapNone/>
                <wp:docPr id="11786566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457200"/>
                        </a:xfrm>
                        <a:prstGeom prst="rect">
                          <a:avLst/>
                        </a:prstGeom>
                        <a:noFill/>
                        <a:ln w="9525">
                          <a:noFill/>
                          <a:miter lim="800000"/>
                          <a:headEnd/>
                          <a:tailEnd/>
                        </a:ln>
                      </wps:spPr>
                      <wps:txbx>
                        <w:txbxContent>
                          <w:p w14:paraId="003DFE38" w14:textId="77777777" w:rsidR="008B629F" w:rsidRPr="00187FE9" w:rsidRDefault="008B629F" w:rsidP="008B629F">
                            <w:pPr>
                              <w:rPr>
                                <w:lang w:val="en-US"/>
                              </w:rPr>
                            </w:pPr>
                            <w: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DCC0AC1" id="_x0000_s1048" type="#_x0000_t202" style="position:absolute;left:0;text-align:left;margin-left:225.9pt;margin-top:2.5pt;width:30pt;height:36pt;z-index:2517288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" filled="f" stroked="f">
                <v:textbox>
                  <w:txbxContent>
                    <w:p w14:paraId="003DFE38" w14:textId="77777777" w:rsidR="008B629F" w:rsidRPr="00187FE9" w:rsidRDefault="008B629F" w:rsidP="008B629F">
                      <w:pPr>
                        <w:rPr>
                          <w:lang w:val="en-US"/>
                        </w:rPr>
                      </w:pPr>
                      <w:r>
                        <w:t>b)</w:t>
                      </w:r>
                    </w:p>
                  </w:txbxContent>
                </v:textbox>
              </v:shape>
            </w:pict>
          </mc:Fallback>
        </mc:AlternateContent>
      </w:r>
      <w:r w:rsidRPr="008B629F">
        <w:rPr>
          <w:noProof/>
        </w:rPr>
        <mc:AlternateContent>
          <mc:Choice Requires="wps">
            <w:drawing>
              <wp:anchor distT="45720" distB="45720" distL="114300" distR="114300" simplePos="0" relativeHeight="251727872" behindDoc="0" locked="0" layoutInCell="1" allowOverlap="1" wp14:anchorId="4A011B05" wp14:editId="6E52E023">
                <wp:simplePos x="0" y="0"/>
                <wp:positionH relativeFrom="margin">
                  <wp:align>left</wp:align>
                </wp:positionH>
                <wp:positionV relativeFrom="paragraph">
                  <wp:posOffset>134620</wp:posOffset>
                </wp:positionV>
                <wp:extent cx="381000" cy="417095"/>
                <wp:effectExtent l="0" t="0" r="0" b="2540"/>
                <wp:wrapNone/>
                <wp:docPr id="10712236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417095"/>
                        </a:xfrm>
                        <a:prstGeom prst="rect">
                          <a:avLst/>
                        </a:prstGeom>
                        <a:noFill/>
                        <a:ln w="9525">
                          <a:noFill/>
                          <a:miter lim="800000"/>
                          <a:headEnd/>
                          <a:tailEnd/>
                        </a:ln>
                      </wps:spPr>
                      <wps:txbx>
                        <w:txbxContent>
                          <w:p w14:paraId="09EDD8EA" w14:textId="77777777" w:rsidR="008B629F" w:rsidRPr="00187FE9" w:rsidRDefault="008B629F" w:rsidP="008B629F">
                            <w:pPr>
                              <w:rPr>
                                <w:lang w:val="en-US"/>
                              </w:rPr>
                            </w:pPr>
                            <w: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A011B05" id="_x0000_s1049" type="#_x0000_t202" style="position:absolute;left:0;text-align:left;margin-left:0;margin-top:10.6pt;width:30pt;height:32.85pt;z-index:25172787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" filled="f" stroked="f">
                <v:textbox>
                  <w:txbxContent>
                    <w:p w14:paraId="09EDD8EA" w14:textId="77777777" w:rsidR="008B629F" w:rsidRPr="00187FE9" w:rsidRDefault="008B629F" w:rsidP="008B629F">
                      <w:pPr>
                        <w:rPr>
                          <w:lang w:val="en-US"/>
                        </w:rPr>
                      </w:pPr>
                      <w:r>
                        <w:t>a)</w:t>
                      </w:r>
                    </w:p>
                  </w:txbxContent>
                </v:textbox>
                <w10:wrap anchorx="margin"/>
              </v:shape>
            </w:pict>
          </mc:Fallback>
        </mc:AlternateContent>
      </w:r>
      <w:r w:rsidRPr="008B629F">
        <w:rPr>
          <w:rFonts w:cs="Times New Roman"/>
          <w:noProof/>
          <w:lang w:val="en-US"/>
        </w:rPr>
        <w:drawing>
          <wp:inline distT="0" distB="0" distL="0" distR="0" wp14:anchorId="06C1ADE0" wp14:editId="0C70C5A5">
            <wp:extent cx="5719010" cy="1787265"/>
            <wp:effectExtent l="0" t="0" r="0" b="3810"/>
            <wp:docPr id="1366587246" name="Picture 1" descr="A graph and a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6587246" name="Picture 1" descr="A graph and a chart&#10;&#10;AI-generated content may be incorrect."/>
                    <pic:cNvPicPr/>
                  </pic:nvPicPr>
                  <pic:blipFill>
                    <a:blip r:embed="rId134"/>
                    <a:stretch>
                      <a:fillRect/>
                    </a:stretch>
                  </pic:blipFill>
                  <pic:spPr>
                    <a:xfrm>
                      <a:off x="0" y="0"/>
                      <a:ext cx="5815010" cy="1817266"/>
                    </a:xfrm>
                    <a:prstGeom prst="rect">
                      <a:avLst/>
                    </a:prstGeom>
                  </pic:spPr>
                </pic:pic>
              </a:graphicData>
            </a:graphic>
          </wp:inline>
        </w:drawing>
      </w:r>
    </w:p>
    <w:p w14:paraId="50799151" w14:textId="7681F13C" w:rsidR="008B629F" w:rsidRPr="008B629F" w:rsidRDefault="008B629F" w:rsidP="008B629F">
      <w:pPr>
        <w:pStyle w:val="Caption"/>
        <w:jc w:val="both"/>
      </w:pPr>
      <w:bookmarkStart w:id="133" w:name="_Toc214357744"/>
      <w:r>
        <w:t xml:space="preserve">Figure </w:t>
      </w:r>
      <w:r w:rsidR="00F824A5">
        <w:fldChar w:fldCharType="begin"/>
      </w:r>
      <w:r w:rsidR="00F824A5">
        <w:instrText xml:space="preserve"> STYLEREF 1 \s </w:instrText>
      </w:r>
      <w:r w:rsidR="00F824A5">
        <w:fldChar w:fldCharType="separate"/>
      </w:r>
      <w:r w:rsidR="000412CE">
        <w:rPr>
          <w:noProof/>
        </w:rPr>
        <w:t>2</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16</w:t>
      </w:r>
      <w:r w:rsidR="00F824A5">
        <w:fldChar w:fldCharType="end"/>
      </w:r>
      <w:r w:rsidR="00DE026D">
        <w:t>.</w:t>
      </w:r>
      <w:r>
        <w:t xml:space="preserve"> </w:t>
      </w:r>
      <w:r w:rsidRPr="00630540">
        <w:t>Scopus trends for PCM in cold-chain applications: (a) publications trend with a sharp rise in 2020–2024; (b) country contributions led by China and India</w:t>
      </w:r>
      <w:r w:rsidR="00A165BA">
        <w:t>.</w:t>
      </w:r>
      <w:bookmarkEnd w:id="133"/>
    </w:p>
    <w:p w14:paraId="62C8AA7D" w14:textId="677C1E75" w:rsidR="008B629F" w:rsidRPr="008B629F" w:rsidRDefault="008B629F" w:rsidP="008B629F">
      <w:pPr>
        <w:rPr>
          <w:rFonts w:cs="Times New Roman"/>
          <w:lang w:val="en-US"/>
        </w:rPr>
      </w:pPr>
      <w:r w:rsidRPr="008B629F">
        <w:rPr>
          <w:rFonts w:cs="Times New Roman"/>
          <w:noProof/>
          <w:lang w:val="en-US"/>
        </w:rPr>
        <w:drawing>
          <wp:anchor distT="0" distB="0" distL="114300" distR="114300" simplePos="0" relativeHeight="251724800" behindDoc="0" locked="0" layoutInCell="1" allowOverlap="1" wp14:anchorId="71B86692" wp14:editId="2124089B">
            <wp:simplePos x="0" y="0"/>
            <wp:positionH relativeFrom="margin">
              <wp:posOffset>3208020</wp:posOffset>
            </wp:positionH>
            <wp:positionV relativeFrom="paragraph">
              <wp:posOffset>601980</wp:posOffset>
            </wp:positionV>
            <wp:extent cx="2549525" cy="1583690"/>
            <wp:effectExtent l="0" t="0" r="3175" b="0"/>
            <wp:wrapSquare wrapText="bothSides"/>
            <wp:docPr id="74693404" name="Picture 1" descr="A graph of growth in the yea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693404" name="Picture 1" descr="A graph of growth in the year&#10;&#10;AI-generated content may be incorrect."/>
                    <pic:cNvPicPr/>
                  </pic:nvPicPr>
                  <pic:blipFill>
                    <a:blip r:embed="rId135" cstate="print">
                      <a:extLst>
                        <a:ext uri="{28A0092B-C50C-407E-A947-70E740481C1C}">
                          <a14:useLocalDpi xmlns:a14="http://schemas.microsoft.com/office/drawing/2010/main" val="0"/>
                        </a:ext>
                      </a:extLst>
                    </a:blip>
                    <a:stretch>
                      <a:fillRect/>
                    </a:stretch>
                  </pic:blipFill>
                  <pic:spPr>
                    <a:xfrm>
                      <a:off x="0" y="0"/>
                      <a:ext cx="2549525" cy="1583690"/>
                    </a:xfrm>
                    <a:prstGeom prst="rect">
                      <a:avLst/>
                    </a:prstGeom>
                  </pic:spPr>
                </pic:pic>
              </a:graphicData>
            </a:graphic>
            <wp14:sizeRelH relativeFrom="margin">
              <wp14:pctWidth>0</wp14:pctWidth>
            </wp14:sizeRelH>
            <wp14:sizeRelV relativeFrom="margin">
              <wp14:pctHeight>0</wp14:pctHeight>
            </wp14:sizeRelV>
          </wp:anchor>
        </w:drawing>
      </w:r>
      <w:r w:rsidRPr="008B629F">
        <w:rPr>
          <w:noProof/>
        </w:rPr>
        <mc:AlternateContent>
          <mc:Choice Requires="wps">
            <w:drawing>
              <wp:anchor distT="0" distB="0" distL="114300" distR="114300" simplePos="0" relativeHeight="251729920" behindDoc="0" locked="0" layoutInCell="1" allowOverlap="1" wp14:anchorId="38F4ADD0" wp14:editId="5618FF1F">
                <wp:simplePos x="0" y="0"/>
                <wp:positionH relativeFrom="margin">
                  <wp:align>right</wp:align>
                </wp:positionH>
                <wp:positionV relativeFrom="paragraph">
                  <wp:posOffset>2246630</wp:posOffset>
                </wp:positionV>
                <wp:extent cx="2549525" cy="906780"/>
                <wp:effectExtent l="0" t="0" r="3175" b="7620"/>
                <wp:wrapSquare wrapText="bothSides"/>
                <wp:docPr id="863665069" name="Text Box 1"/>
                <wp:cNvGraphicFramePr/>
                <a:graphic xmlns:a="http://schemas.openxmlformats.org/drawingml/2006/main">
                  <a:graphicData uri="http://schemas.microsoft.com/office/word/2010/wordprocessingShape">
                    <wps:wsp>
                      <wps:cNvSpPr txBox="1"/>
                      <wps:spPr>
                        <a:xfrm>
                          <a:off x="0" y="0"/>
                          <a:ext cx="2549525" cy="906780"/>
                        </a:xfrm>
                        <a:prstGeom prst="rect">
                          <a:avLst/>
                        </a:prstGeom>
                        <a:solidFill>
                          <a:prstClr val="white"/>
                        </a:solidFill>
                        <a:ln>
                          <a:noFill/>
                        </a:ln>
                      </wps:spPr>
                      <wps:txbx>
                        <w:txbxContent>
                          <w:p w14:paraId="20889E8C" w14:textId="1C5CF5C6" w:rsidR="008B629F" w:rsidRPr="003A247B" w:rsidRDefault="008B629F" w:rsidP="008B629F">
                            <w:pPr>
                              <w:pStyle w:val="Caption"/>
                              <w:rPr>
                                <w:rFonts w:ascii="Times New Roman" w:hAnsi="Times New Roman" w:cs="Times New Roman"/>
                                <w:noProof/>
                                <w:szCs w:val="22"/>
                              </w:rPr>
                            </w:pPr>
                            <w:bookmarkStart w:id="134" w:name="_Toc214357745"/>
                            <w:r w:rsidRPr="003A247B">
                              <w:rPr>
                                <w:rFonts w:ascii="Times New Roman" w:hAnsi="Times New Roman" w:cs="Times New Roman"/>
                              </w:rPr>
                              <w:t xml:space="preserve">Figure </w:t>
                            </w:r>
                            <w:r w:rsidR="00F824A5">
                              <w:rPr>
                                <w:rFonts w:ascii="Times New Roman" w:hAnsi="Times New Roman" w:cs="Times New Roman"/>
                              </w:rPr>
                              <w:fldChar w:fldCharType="begin"/>
                            </w:r>
                            <w:r w:rsidR="00F824A5">
                              <w:rPr>
                                <w:rFonts w:ascii="Times New Roman" w:hAnsi="Times New Roman" w:cs="Times New Roman"/>
                              </w:rPr>
                              <w:instrText xml:space="preserve"> STYLEREF 1 \s </w:instrText>
                            </w:r>
                            <w:r w:rsidR="00F824A5">
                              <w:rPr>
                                <w:rFonts w:ascii="Times New Roman" w:hAnsi="Times New Roman" w:cs="Times New Roman"/>
                              </w:rPr>
                              <w:fldChar w:fldCharType="separate"/>
                            </w:r>
                            <w:r w:rsidR="000412CE">
                              <w:rPr>
                                <w:rFonts w:ascii="Times New Roman" w:hAnsi="Times New Roman" w:cs="Times New Roman"/>
                                <w:noProof/>
                              </w:rPr>
                              <w:t>2</w:t>
                            </w:r>
                            <w:r w:rsidR="00F824A5">
                              <w:rPr>
                                <w:rFonts w:ascii="Times New Roman" w:hAnsi="Times New Roman" w:cs="Times New Roman"/>
                              </w:rPr>
                              <w:fldChar w:fldCharType="end"/>
                            </w:r>
                            <w:r w:rsidR="00F824A5">
                              <w:rPr>
                                <w:rFonts w:ascii="Times New Roman" w:hAnsi="Times New Roman" w:cs="Times New Roman"/>
                              </w:rPr>
                              <w:t>.</w:t>
                            </w:r>
                            <w:r w:rsidR="00F824A5">
                              <w:rPr>
                                <w:rFonts w:ascii="Times New Roman" w:hAnsi="Times New Roman" w:cs="Times New Roman"/>
                              </w:rPr>
                              <w:fldChar w:fldCharType="begin"/>
                            </w:r>
                            <w:r w:rsidR="00F824A5">
                              <w:rPr>
                                <w:rFonts w:ascii="Times New Roman" w:hAnsi="Times New Roman" w:cs="Times New Roman"/>
                              </w:rPr>
                              <w:instrText xml:space="preserve"> SEQ Figure \* ARABIC \s 1 </w:instrText>
                            </w:r>
                            <w:r w:rsidR="00F824A5">
                              <w:rPr>
                                <w:rFonts w:ascii="Times New Roman" w:hAnsi="Times New Roman" w:cs="Times New Roman"/>
                              </w:rPr>
                              <w:fldChar w:fldCharType="separate"/>
                            </w:r>
                            <w:r w:rsidR="000412CE">
                              <w:rPr>
                                <w:rFonts w:ascii="Times New Roman" w:hAnsi="Times New Roman" w:cs="Times New Roman"/>
                                <w:noProof/>
                              </w:rPr>
                              <w:t>17</w:t>
                            </w:r>
                            <w:r w:rsidR="00F824A5">
                              <w:rPr>
                                <w:rFonts w:ascii="Times New Roman" w:hAnsi="Times New Roman" w:cs="Times New Roman"/>
                              </w:rPr>
                              <w:fldChar w:fldCharType="end"/>
                            </w:r>
                            <w:r w:rsidRPr="003A247B">
                              <w:rPr>
                                <w:rFonts w:ascii="Times New Roman" w:hAnsi="Times New Roman" w:cs="Times New Roman"/>
                              </w:rPr>
                              <w:t>. Publications by source for PCM in the cold chain: Journal of Energy Storage, Applied Thermal Engineering and Applied Energy, Energy and Buildings</w:t>
                            </w:r>
                            <w:r w:rsidR="00A165BA">
                              <w:rPr>
                                <w:rFonts w:ascii="Times New Roman" w:hAnsi="Times New Roman" w:cs="Times New Roman"/>
                              </w:rPr>
                              <w:t>.</w:t>
                            </w:r>
                            <w:bookmarkEnd w:id="13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F4ADD0" id="_x0000_s1050" type="#_x0000_t202" style="position:absolute;left:0;text-align:left;margin-left:149.55pt;margin-top:176.9pt;width:200.75pt;height:71.4pt;z-index:25172992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" stroked="f">
                <v:textbox inset="0,0,0,0">
                  <w:txbxContent>
                    <w:p w14:paraId="20889E8C" w14:textId="1C5CF5C6" w:rsidR="008B629F" w:rsidRPr="003A247B" w:rsidRDefault="008B629F" w:rsidP="008B629F">
                      <w:pPr>
                        <w:pStyle w:val="Caption"/>
                        <w:rPr>
                          <w:rFonts w:ascii="Times New Roman" w:hAnsi="Times New Roman" w:cs="Times New Roman"/>
                          <w:noProof/>
                          <w:szCs w:val="22"/>
                        </w:rPr>
                      </w:pPr>
                      <w:bookmarkStart w:id="135" w:name="_Toc214357745"/>
                      <w:r w:rsidRPr="003A247B">
                        <w:rPr>
                          <w:rFonts w:ascii="Times New Roman" w:hAnsi="Times New Roman" w:cs="Times New Roman"/>
                        </w:rPr>
                        <w:t xml:space="preserve">Figure </w:t>
                      </w:r>
                      <w:r w:rsidR="00F824A5">
                        <w:rPr>
                          <w:rFonts w:ascii="Times New Roman" w:hAnsi="Times New Roman" w:cs="Times New Roman"/>
                        </w:rPr>
                        <w:fldChar w:fldCharType="begin"/>
                      </w:r>
                      <w:r w:rsidR="00F824A5">
                        <w:rPr>
                          <w:rFonts w:ascii="Times New Roman" w:hAnsi="Times New Roman" w:cs="Times New Roman"/>
                        </w:rPr>
                        <w:instrText xml:space="preserve"> STYLEREF 1 \s </w:instrText>
                      </w:r>
                      <w:r w:rsidR="00F824A5">
                        <w:rPr>
                          <w:rFonts w:ascii="Times New Roman" w:hAnsi="Times New Roman" w:cs="Times New Roman"/>
                        </w:rPr>
                        <w:fldChar w:fldCharType="separate"/>
                      </w:r>
                      <w:r w:rsidR="000412CE">
                        <w:rPr>
                          <w:rFonts w:ascii="Times New Roman" w:hAnsi="Times New Roman" w:cs="Times New Roman"/>
                          <w:noProof/>
                        </w:rPr>
                        <w:t>2</w:t>
                      </w:r>
                      <w:r w:rsidR="00F824A5">
                        <w:rPr>
                          <w:rFonts w:ascii="Times New Roman" w:hAnsi="Times New Roman" w:cs="Times New Roman"/>
                        </w:rPr>
                        <w:fldChar w:fldCharType="end"/>
                      </w:r>
                      <w:r w:rsidR="00F824A5">
                        <w:rPr>
                          <w:rFonts w:ascii="Times New Roman" w:hAnsi="Times New Roman" w:cs="Times New Roman"/>
                        </w:rPr>
                        <w:t>.</w:t>
                      </w:r>
                      <w:r w:rsidR="00F824A5">
                        <w:rPr>
                          <w:rFonts w:ascii="Times New Roman" w:hAnsi="Times New Roman" w:cs="Times New Roman"/>
                        </w:rPr>
                        <w:fldChar w:fldCharType="begin"/>
                      </w:r>
                      <w:r w:rsidR="00F824A5">
                        <w:rPr>
                          <w:rFonts w:ascii="Times New Roman" w:hAnsi="Times New Roman" w:cs="Times New Roman"/>
                        </w:rPr>
                        <w:instrText xml:space="preserve"> SEQ Figure \* ARABIC \s 1 </w:instrText>
                      </w:r>
                      <w:r w:rsidR="00F824A5">
                        <w:rPr>
                          <w:rFonts w:ascii="Times New Roman" w:hAnsi="Times New Roman" w:cs="Times New Roman"/>
                        </w:rPr>
                        <w:fldChar w:fldCharType="separate"/>
                      </w:r>
                      <w:r w:rsidR="000412CE">
                        <w:rPr>
                          <w:rFonts w:ascii="Times New Roman" w:hAnsi="Times New Roman" w:cs="Times New Roman"/>
                          <w:noProof/>
                        </w:rPr>
                        <w:t>17</w:t>
                      </w:r>
                      <w:r w:rsidR="00F824A5">
                        <w:rPr>
                          <w:rFonts w:ascii="Times New Roman" w:hAnsi="Times New Roman" w:cs="Times New Roman"/>
                        </w:rPr>
                        <w:fldChar w:fldCharType="end"/>
                      </w:r>
                      <w:r w:rsidRPr="003A247B">
                        <w:rPr>
                          <w:rFonts w:ascii="Times New Roman" w:hAnsi="Times New Roman" w:cs="Times New Roman"/>
                        </w:rPr>
                        <w:t>. Publications by source for PCM in the cold chain: Journal of Energy Storage, Applied Thermal Engineering and Applied Energy, Energy and Buildings</w:t>
                      </w:r>
                      <w:r w:rsidR="00A165BA">
                        <w:rPr>
                          <w:rFonts w:ascii="Times New Roman" w:hAnsi="Times New Roman" w:cs="Times New Roman"/>
                        </w:rPr>
                        <w:t>.</w:t>
                      </w:r>
                      <w:bookmarkEnd w:id="135"/>
                    </w:p>
                  </w:txbxContent>
                </v:textbox>
                <w10:wrap type="square" anchorx="margin"/>
              </v:shape>
            </w:pict>
          </mc:Fallback>
        </mc:AlternateContent>
      </w:r>
      <w:r w:rsidRPr="008B629F">
        <w:rPr>
          <w:rFonts w:cs="Times New Roman"/>
          <w:lang w:val="en-US"/>
        </w:rPr>
        <w:t xml:space="preserve">Figure </w:t>
      </w:r>
      <w:r>
        <w:rPr>
          <w:rFonts w:cs="Times New Roman"/>
          <w:lang w:val="en-US"/>
        </w:rPr>
        <w:t>2.1</w:t>
      </w:r>
      <w:r w:rsidRPr="008B629F">
        <w:rPr>
          <w:rFonts w:cs="Times New Roman"/>
          <w:lang w:val="en-US"/>
        </w:rPr>
        <w:t>7a shows the trend of pub</w:t>
      </w:r>
      <w:r w:rsidR="001C51D5">
        <w:rPr>
          <w:rFonts w:cs="Times New Roman"/>
          <w:lang w:val="en-US"/>
        </w:rPr>
        <w:t>lications</w:t>
      </w:r>
      <w:r w:rsidRPr="008B629F">
        <w:rPr>
          <w:rFonts w:cs="Times New Roman"/>
          <w:lang w:val="en-US"/>
        </w:rPr>
        <w:t xml:space="preserve"> by year produced by Scopus. After a long</w:t>
      </w:r>
      <w:r w:rsidR="001C51D5">
        <w:rPr>
          <w:rFonts w:cs="Times New Roman"/>
          <w:lang w:val="en-US"/>
        </w:rPr>
        <w:t>,</w:t>
      </w:r>
      <w:r w:rsidRPr="008B629F">
        <w:rPr>
          <w:rFonts w:cs="Times New Roman"/>
          <w:lang w:val="en-US"/>
        </w:rPr>
        <w:t xml:space="preserve"> low-activity phase, publications rise sharply from the 2010s and surge in 2020–2024. This acceleration aligns with the maturation of PCM as thermal energy storage for passive cooling, the expansion of e-grocery and biologics logistics, and the COVID-19 vaccine campaigns. Figure </w:t>
      </w:r>
      <w:r>
        <w:rPr>
          <w:rFonts w:cs="Times New Roman"/>
          <w:lang w:val="en-US"/>
        </w:rPr>
        <w:t>2.1</w:t>
      </w:r>
      <w:r w:rsidRPr="008B629F">
        <w:rPr>
          <w:rFonts w:cs="Times New Roman"/>
          <w:lang w:val="en-US"/>
        </w:rPr>
        <w:t>7b shows the number of pub</w:t>
      </w:r>
      <w:r w:rsidR="001C51D5">
        <w:rPr>
          <w:rFonts w:cs="Times New Roman"/>
          <w:lang w:val="en-US"/>
        </w:rPr>
        <w:t>lications</w:t>
      </w:r>
      <w:r w:rsidRPr="008B629F">
        <w:rPr>
          <w:rFonts w:cs="Times New Roman"/>
          <w:lang w:val="en-US"/>
        </w:rPr>
        <w:t xml:space="preserve"> by country produced by Scopus. Leadership by China and India, followed by the United States, mirrors large logistics markets, hotter climates demanding robust temperature control, and strong manufacturing capacity for PCM packs and containers. Contributions from the UK, France, Italy, Turkey, Iran, Saudi Arabia, and </w:t>
      </w:r>
      <w:r w:rsidRPr="008B629F">
        <w:rPr>
          <w:rFonts w:cs="Times New Roman"/>
          <w:lang w:val="en-US"/>
        </w:rPr>
        <w:lastRenderedPageBreak/>
        <w:t xml:space="preserve">Germany reflect national programs on food safety, pharmaceuticals, and decarbonization of refrigerated warehouses. Figure </w:t>
      </w:r>
      <w:r w:rsidR="004C4E06">
        <w:rPr>
          <w:rFonts w:cs="Times New Roman"/>
          <w:lang w:val="en-US"/>
        </w:rPr>
        <w:t xml:space="preserve">2.18 </w:t>
      </w:r>
      <w:r w:rsidRPr="008B629F">
        <w:rPr>
          <w:rFonts w:cs="Times New Roman"/>
          <w:lang w:val="en-US"/>
        </w:rPr>
        <w:t xml:space="preserve">shows the trend of documents per year by source. The prominence of the Journal of Energy Storage underscores the framing of PCMs as storage solutions for load shifting and peak reduction; growth in Applied Thermal Engineering, Applied Energy, and Energy signals engineering maturity (transient modeling, evaporator coupling, regeneration cycles). The presence of Energy and Buildings points to PCM integration in </w:t>
      </w:r>
      <w:r w:rsidR="00CA44F7">
        <w:rPr>
          <w:rFonts w:cs="Times New Roman"/>
          <w:lang w:val="en-US"/>
        </w:rPr>
        <w:t xml:space="preserve">the </w:t>
      </w:r>
      <w:r w:rsidRPr="008B629F">
        <w:rPr>
          <w:rFonts w:cs="Times New Roman"/>
          <w:lang w:val="en-US"/>
        </w:rPr>
        <w:t xml:space="preserve">cold chain. Table </w:t>
      </w:r>
      <w:r>
        <w:rPr>
          <w:rFonts w:cs="Times New Roman"/>
          <w:lang w:val="en-US"/>
        </w:rPr>
        <w:t>2.9</w:t>
      </w:r>
      <w:r w:rsidRPr="008B629F">
        <w:rPr>
          <w:rFonts w:cs="Times New Roman"/>
          <w:lang w:val="en-US"/>
        </w:rPr>
        <w:t xml:space="preserve"> presents a selection of the most relevant contributions on the use of PCMs in the cold chain. For each article, the title, authors, source, year of publication, citation count, and the key findings distilled from the abstracts are reported.</w:t>
      </w:r>
    </w:p>
    <w:tbl>
      <w:tblPr>
        <w:tblStyle w:val="TableGrid"/>
        <w:tblW w:w="9067" w:type="dxa"/>
        <w:tblLook w:val="04A0" w:firstRow="1" w:lastRow="0" w:firstColumn="1" w:lastColumn="0" w:noHBand="0" w:noVBand="1"/>
      </w:tblPr>
      <w:tblGrid>
        <w:gridCol w:w="1759"/>
        <w:gridCol w:w="1656"/>
        <w:gridCol w:w="1736"/>
        <w:gridCol w:w="750"/>
        <w:gridCol w:w="1092"/>
        <w:gridCol w:w="2074"/>
      </w:tblGrid>
      <w:tr w:rsidR="008B629F" w:rsidRPr="008B629F" w14:paraId="14A1EAA9" w14:textId="77777777" w:rsidTr="008B629F">
        <w:tc>
          <w:tcPr>
            <w:tcW w:w="1804" w:type="dxa"/>
            <w:shd w:val="clear" w:color="auto" w:fill="8EA5B6"/>
            <w:vAlign w:val="center"/>
          </w:tcPr>
          <w:p w14:paraId="474163FD" w14:textId="77777777" w:rsidR="008B629F" w:rsidRPr="008B629F" w:rsidRDefault="008B629F" w:rsidP="008B629F">
            <w:pPr>
              <w:jc w:val="center"/>
              <w:rPr>
                <w:rFonts w:cs="Times New Roman"/>
                <w:b/>
                <w:bCs/>
                <w:sz w:val="18"/>
                <w:szCs w:val="18"/>
              </w:rPr>
            </w:pPr>
            <w:r w:rsidRPr="008B629F">
              <w:rPr>
                <w:rFonts w:cs="Times New Roman"/>
                <w:b/>
                <w:bCs/>
                <w:sz w:val="18"/>
                <w:szCs w:val="18"/>
              </w:rPr>
              <w:t>Title</w:t>
            </w:r>
          </w:p>
        </w:tc>
        <w:tc>
          <w:tcPr>
            <w:tcW w:w="1687" w:type="dxa"/>
            <w:shd w:val="clear" w:color="auto" w:fill="8EA5B6"/>
            <w:vAlign w:val="center"/>
          </w:tcPr>
          <w:p w14:paraId="32A5ADF0" w14:textId="77777777" w:rsidR="008B629F" w:rsidRPr="008B629F" w:rsidRDefault="008B629F" w:rsidP="008B629F">
            <w:pPr>
              <w:jc w:val="center"/>
              <w:rPr>
                <w:rFonts w:cs="Times New Roman"/>
                <w:b/>
                <w:bCs/>
                <w:sz w:val="18"/>
                <w:szCs w:val="18"/>
              </w:rPr>
            </w:pPr>
            <w:r w:rsidRPr="008B629F">
              <w:rPr>
                <w:rFonts w:cs="Times New Roman"/>
                <w:b/>
                <w:bCs/>
                <w:sz w:val="18"/>
                <w:szCs w:val="18"/>
              </w:rPr>
              <w:t>Authors</w:t>
            </w:r>
          </w:p>
        </w:tc>
        <w:tc>
          <w:tcPr>
            <w:tcW w:w="1777" w:type="dxa"/>
            <w:shd w:val="clear" w:color="auto" w:fill="8EA5B6"/>
            <w:vAlign w:val="center"/>
          </w:tcPr>
          <w:p w14:paraId="190E9F8A" w14:textId="77777777" w:rsidR="008B629F" w:rsidRPr="008B629F" w:rsidRDefault="008B629F" w:rsidP="008B629F">
            <w:pPr>
              <w:jc w:val="center"/>
              <w:rPr>
                <w:rFonts w:cs="Times New Roman"/>
                <w:b/>
                <w:bCs/>
                <w:sz w:val="18"/>
                <w:szCs w:val="18"/>
              </w:rPr>
            </w:pPr>
            <w:r w:rsidRPr="008B629F">
              <w:rPr>
                <w:rFonts w:cs="Times New Roman"/>
                <w:b/>
                <w:bCs/>
                <w:sz w:val="18"/>
                <w:szCs w:val="18"/>
              </w:rPr>
              <w:t>Source</w:t>
            </w:r>
          </w:p>
        </w:tc>
        <w:tc>
          <w:tcPr>
            <w:tcW w:w="784" w:type="dxa"/>
            <w:shd w:val="clear" w:color="auto" w:fill="8EA5B6"/>
            <w:vAlign w:val="center"/>
          </w:tcPr>
          <w:p w14:paraId="610B3252" w14:textId="77777777" w:rsidR="008B629F" w:rsidRPr="008B629F" w:rsidRDefault="008B629F" w:rsidP="008B629F">
            <w:pPr>
              <w:jc w:val="center"/>
              <w:rPr>
                <w:rFonts w:cs="Times New Roman"/>
                <w:b/>
                <w:bCs/>
                <w:sz w:val="18"/>
                <w:szCs w:val="18"/>
              </w:rPr>
            </w:pPr>
            <w:r w:rsidRPr="008B629F">
              <w:rPr>
                <w:rFonts w:cs="Times New Roman"/>
                <w:b/>
                <w:bCs/>
                <w:sz w:val="18"/>
                <w:szCs w:val="18"/>
              </w:rPr>
              <w:t>Year</w:t>
            </w:r>
          </w:p>
        </w:tc>
        <w:tc>
          <w:tcPr>
            <w:tcW w:w="1118" w:type="dxa"/>
            <w:shd w:val="clear" w:color="auto" w:fill="8EA5B6"/>
            <w:vAlign w:val="center"/>
          </w:tcPr>
          <w:p w14:paraId="05964EAE" w14:textId="77777777" w:rsidR="008B629F" w:rsidRPr="008B629F" w:rsidRDefault="008B629F" w:rsidP="008B629F">
            <w:pPr>
              <w:jc w:val="center"/>
              <w:rPr>
                <w:rFonts w:cs="Times New Roman"/>
                <w:b/>
                <w:bCs/>
                <w:sz w:val="18"/>
                <w:szCs w:val="18"/>
              </w:rPr>
            </w:pPr>
            <w:r w:rsidRPr="008B629F">
              <w:rPr>
                <w:rFonts w:cs="Times New Roman"/>
                <w:b/>
                <w:bCs/>
                <w:sz w:val="18"/>
                <w:szCs w:val="18"/>
              </w:rPr>
              <w:t>Citations</w:t>
            </w:r>
          </w:p>
        </w:tc>
        <w:tc>
          <w:tcPr>
            <w:tcW w:w="1897" w:type="dxa"/>
            <w:shd w:val="clear" w:color="auto" w:fill="8EA5B6"/>
            <w:vAlign w:val="center"/>
          </w:tcPr>
          <w:p w14:paraId="482027C1" w14:textId="5DB57688" w:rsidR="008B629F" w:rsidRPr="008B629F" w:rsidRDefault="008B629F" w:rsidP="00CA44F7">
            <w:pPr>
              <w:jc w:val="center"/>
              <w:rPr>
                <w:rFonts w:cs="Times New Roman"/>
                <w:b/>
                <w:bCs/>
                <w:sz w:val="18"/>
                <w:szCs w:val="18"/>
              </w:rPr>
            </w:pPr>
            <w:r w:rsidRPr="008B629F">
              <w:rPr>
                <w:rFonts w:cs="Times New Roman"/>
                <w:b/>
                <w:bCs/>
                <w:sz w:val="18"/>
                <w:szCs w:val="18"/>
              </w:rPr>
              <w:t>Abstract summary</w:t>
            </w:r>
          </w:p>
        </w:tc>
      </w:tr>
      <w:tr w:rsidR="008B629F" w:rsidRPr="00736B36" w14:paraId="3A169ACB" w14:textId="77777777" w:rsidTr="008B629F">
        <w:tc>
          <w:tcPr>
            <w:tcW w:w="1804" w:type="dxa"/>
            <w:vAlign w:val="center"/>
          </w:tcPr>
          <w:p w14:paraId="72D021A2" w14:textId="47F15F83" w:rsidR="008B629F" w:rsidRPr="008B629F" w:rsidRDefault="008B629F" w:rsidP="008B629F">
            <w:pPr>
              <w:jc w:val="center"/>
              <w:rPr>
                <w:rFonts w:cs="Times New Roman"/>
                <w:b/>
                <w:bCs/>
                <w:sz w:val="18"/>
                <w:szCs w:val="18"/>
                <w:lang w:val="en-US"/>
              </w:rPr>
            </w:pPr>
            <w:r w:rsidRPr="008B629F">
              <w:rPr>
                <w:rFonts w:cs="Times New Roman"/>
                <w:sz w:val="18"/>
                <w:szCs w:val="18"/>
                <w:lang w:val="en-US"/>
              </w:rPr>
              <w:t>Influencing factors of cooling performance of portable cold storage box for vaccine supply chain: An experimental study</w:t>
            </w:r>
          </w:p>
        </w:tc>
        <w:tc>
          <w:tcPr>
            <w:tcW w:w="1687" w:type="dxa"/>
            <w:vAlign w:val="center"/>
          </w:tcPr>
          <w:p w14:paraId="35A73F56" w14:textId="6F20F68D" w:rsidR="008B629F" w:rsidRPr="008B629F" w:rsidRDefault="008B629F" w:rsidP="008B629F">
            <w:pPr>
              <w:jc w:val="center"/>
              <w:rPr>
                <w:rFonts w:cs="Times New Roman"/>
                <w:sz w:val="18"/>
                <w:szCs w:val="18"/>
              </w:rPr>
            </w:pPr>
            <w:r w:rsidRPr="008B629F">
              <w:rPr>
                <w:rFonts w:cs="Times New Roman"/>
                <w:sz w:val="18"/>
                <w:szCs w:val="18"/>
                <w:lang w:val="en-US"/>
              </w:rPr>
              <w:t xml:space="preserve">Gan, Q., Zhang, Y., Zhang, Z., ... </w:t>
            </w:r>
            <w:r w:rsidRPr="008B629F">
              <w:rPr>
                <w:rFonts w:cs="Times New Roman"/>
                <w:sz w:val="18"/>
                <w:szCs w:val="18"/>
              </w:rPr>
              <w:t>Zhao, J., Wang, X.</w:t>
            </w:r>
          </w:p>
        </w:tc>
        <w:tc>
          <w:tcPr>
            <w:tcW w:w="1777" w:type="dxa"/>
            <w:vAlign w:val="center"/>
          </w:tcPr>
          <w:p w14:paraId="6C3586E7" w14:textId="77777777" w:rsidR="008B629F" w:rsidRPr="008B629F" w:rsidRDefault="008B629F" w:rsidP="008B629F">
            <w:pPr>
              <w:jc w:val="center"/>
              <w:rPr>
                <w:rFonts w:cs="Times New Roman"/>
                <w:sz w:val="18"/>
                <w:szCs w:val="18"/>
              </w:rPr>
            </w:pPr>
            <w:r w:rsidRPr="008B629F">
              <w:rPr>
                <w:rFonts w:cs="Times New Roman"/>
                <w:sz w:val="18"/>
                <w:szCs w:val="18"/>
              </w:rPr>
              <w:t>Journal of Energy Storage,72, 108212</w:t>
            </w:r>
          </w:p>
        </w:tc>
        <w:tc>
          <w:tcPr>
            <w:tcW w:w="784" w:type="dxa"/>
            <w:vAlign w:val="center"/>
          </w:tcPr>
          <w:p w14:paraId="5C8542C1" w14:textId="77777777" w:rsidR="008B629F" w:rsidRPr="008B629F" w:rsidRDefault="008B629F" w:rsidP="008B629F">
            <w:pPr>
              <w:jc w:val="center"/>
              <w:rPr>
                <w:rFonts w:cs="Times New Roman"/>
                <w:sz w:val="18"/>
                <w:szCs w:val="18"/>
              </w:rPr>
            </w:pPr>
            <w:r w:rsidRPr="008B629F">
              <w:rPr>
                <w:rFonts w:cs="Times New Roman"/>
                <w:sz w:val="18"/>
                <w:szCs w:val="18"/>
              </w:rPr>
              <w:t>2023</w:t>
            </w:r>
          </w:p>
        </w:tc>
        <w:tc>
          <w:tcPr>
            <w:tcW w:w="1118" w:type="dxa"/>
            <w:vAlign w:val="center"/>
          </w:tcPr>
          <w:p w14:paraId="7F5EC33F" w14:textId="77777777" w:rsidR="008B629F" w:rsidRPr="008B629F" w:rsidRDefault="008B629F" w:rsidP="008B629F">
            <w:pPr>
              <w:jc w:val="center"/>
              <w:rPr>
                <w:rFonts w:cs="Times New Roman"/>
                <w:sz w:val="18"/>
                <w:szCs w:val="18"/>
              </w:rPr>
            </w:pPr>
            <w:r w:rsidRPr="008B629F">
              <w:rPr>
                <w:rFonts w:cs="Times New Roman"/>
                <w:sz w:val="18"/>
                <w:szCs w:val="18"/>
              </w:rPr>
              <w:t>8</w:t>
            </w:r>
          </w:p>
        </w:tc>
        <w:tc>
          <w:tcPr>
            <w:tcW w:w="1897" w:type="dxa"/>
            <w:vAlign w:val="center"/>
          </w:tcPr>
          <w:p w14:paraId="71753F9F" w14:textId="77777777" w:rsidR="008B629F" w:rsidRPr="008B629F" w:rsidRDefault="008B629F" w:rsidP="00CA44F7">
            <w:pPr>
              <w:rPr>
                <w:rFonts w:cs="Times New Roman"/>
                <w:sz w:val="18"/>
                <w:szCs w:val="18"/>
                <w:lang w:val="en-US"/>
              </w:rPr>
            </w:pPr>
            <w:r w:rsidRPr="008B629F">
              <w:rPr>
                <w:rFonts w:cs="Times New Roman"/>
                <w:sz w:val="18"/>
                <w:szCs w:val="18"/>
                <w:lang w:val="en-US"/>
              </w:rPr>
              <w:t>PCM on all six walls and a cubic box performs best; ambient temperature influences cooling much more than vaccine load.</w:t>
            </w:r>
          </w:p>
        </w:tc>
      </w:tr>
      <w:tr w:rsidR="008B629F" w:rsidRPr="00736B36" w14:paraId="1677D099" w14:textId="77777777" w:rsidTr="008B629F">
        <w:tc>
          <w:tcPr>
            <w:tcW w:w="1804" w:type="dxa"/>
            <w:vAlign w:val="center"/>
          </w:tcPr>
          <w:p w14:paraId="149EE8CB" w14:textId="4E071336" w:rsidR="008B629F" w:rsidRPr="008B629F" w:rsidRDefault="008B629F" w:rsidP="008B629F">
            <w:pPr>
              <w:jc w:val="center"/>
              <w:rPr>
                <w:rFonts w:cs="Times New Roman"/>
                <w:b/>
                <w:bCs/>
                <w:sz w:val="18"/>
                <w:szCs w:val="18"/>
                <w:lang w:val="en-US"/>
              </w:rPr>
            </w:pPr>
            <w:r w:rsidRPr="008B629F">
              <w:rPr>
                <w:rFonts w:cs="Times New Roman"/>
                <w:sz w:val="18"/>
                <w:szCs w:val="18"/>
                <w:lang w:val="en-US"/>
              </w:rPr>
              <w:t>Preparation and stability analysis of glycine water-based phase change materials modified with potassium sorbate for cold chain logistics</w:t>
            </w:r>
          </w:p>
        </w:tc>
        <w:tc>
          <w:tcPr>
            <w:tcW w:w="1687" w:type="dxa"/>
            <w:vAlign w:val="center"/>
          </w:tcPr>
          <w:p w14:paraId="2F556414" w14:textId="77777777" w:rsidR="008B629F" w:rsidRPr="008B629F" w:rsidRDefault="008B629F" w:rsidP="008B629F">
            <w:pPr>
              <w:jc w:val="center"/>
              <w:rPr>
                <w:rFonts w:cs="Times New Roman"/>
                <w:sz w:val="18"/>
                <w:szCs w:val="18"/>
              </w:rPr>
            </w:pPr>
            <w:r w:rsidRPr="008B629F">
              <w:rPr>
                <w:rFonts w:cs="Times New Roman"/>
                <w:sz w:val="18"/>
                <w:szCs w:val="18"/>
              </w:rPr>
              <w:t>Liu, Y., Li, M., Zhang, Y., ... Gu, Z., Tang, R.</w:t>
            </w:r>
          </w:p>
        </w:tc>
        <w:tc>
          <w:tcPr>
            <w:tcW w:w="1777" w:type="dxa"/>
            <w:vAlign w:val="center"/>
          </w:tcPr>
          <w:p w14:paraId="79ED0CCF" w14:textId="77777777" w:rsidR="008B629F" w:rsidRPr="008B629F" w:rsidRDefault="008B629F" w:rsidP="008B629F">
            <w:pPr>
              <w:jc w:val="center"/>
              <w:rPr>
                <w:rFonts w:cs="Times New Roman"/>
                <w:sz w:val="18"/>
                <w:szCs w:val="18"/>
              </w:rPr>
            </w:pPr>
            <w:r w:rsidRPr="008B629F">
              <w:rPr>
                <w:rFonts w:cs="Times New Roman"/>
                <w:sz w:val="18"/>
                <w:szCs w:val="18"/>
              </w:rPr>
              <w:t>Journal of Energy Storage, 72, 108375</w:t>
            </w:r>
          </w:p>
        </w:tc>
        <w:tc>
          <w:tcPr>
            <w:tcW w:w="784" w:type="dxa"/>
            <w:vAlign w:val="center"/>
          </w:tcPr>
          <w:p w14:paraId="16114E39" w14:textId="77777777" w:rsidR="008B629F" w:rsidRPr="008B629F" w:rsidRDefault="008B629F" w:rsidP="008B629F">
            <w:pPr>
              <w:jc w:val="center"/>
              <w:rPr>
                <w:rFonts w:cs="Times New Roman"/>
                <w:sz w:val="18"/>
                <w:szCs w:val="18"/>
              </w:rPr>
            </w:pPr>
            <w:r w:rsidRPr="008B629F">
              <w:rPr>
                <w:rFonts w:cs="Times New Roman"/>
                <w:sz w:val="18"/>
                <w:szCs w:val="18"/>
              </w:rPr>
              <w:t>2023</w:t>
            </w:r>
          </w:p>
        </w:tc>
        <w:tc>
          <w:tcPr>
            <w:tcW w:w="1118" w:type="dxa"/>
            <w:vAlign w:val="center"/>
          </w:tcPr>
          <w:p w14:paraId="30F29F46" w14:textId="77777777" w:rsidR="008B629F" w:rsidRPr="008B629F" w:rsidRDefault="008B629F" w:rsidP="008B629F">
            <w:pPr>
              <w:jc w:val="center"/>
              <w:rPr>
                <w:rFonts w:cs="Times New Roman"/>
                <w:sz w:val="18"/>
                <w:szCs w:val="18"/>
              </w:rPr>
            </w:pPr>
            <w:r w:rsidRPr="008B629F">
              <w:rPr>
                <w:rFonts w:cs="Times New Roman"/>
                <w:sz w:val="18"/>
                <w:szCs w:val="18"/>
              </w:rPr>
              <w:t>11</w:t>
            </w:r>
          </w:p>
        </w:tc>
        <w:tc>
          <w:tcPr>
            <w:tcW w:w="1897" w:type="dxa"/>
            <w:vAlign w:val="center"/>
          </w:tcPr>
          <w:p w14:paraId="66D50D9B" w14:textId="77777777" w:rsidR="008B629F" w:rsidRPr="008B629F" w:rsidRDefault="008B629F" w:rsidP="00CA44F7">
            <w:pPr>
              <w:rPr>
                <w:rFonts w:cs="Times New Roman"/>
                <w:sz w:val="18"/>
                <w:szCs w:val="18"/>
                <w:lang w:val="en-US"/>
              </w:rPr>
            </w:pPr>
            <w:r w:rsidRPr="008B629F">
              <w:rPr>
                <w:rFonts w:cs="Times New Roman"/>
                <w:sz w:val="18"/>
                <w:szCs w:val="18"/>
                <w:lang w:val="en-US"/>
              </w:rPr>
              <w:t>Glycine/mannitol + 0.1 wt% potassium sorbate: Tm ≈ −5.8 °C, high latent heat, excellent cycling; precools faster than ice and holds 0.45–3 °C for ~23 h.</w:t>
            </w:r>
          </w:p>
        </w:tc>
      </w:tr>
      <w:tr w:rsidR="008B629F" w:rsidRPr="00736B36" w14:paraId="71622405" w14:textId="77777777" w:rsidTr="008B629F">
        <w:tc>
          <w:tcPr>
            <w:tcW w:w="1804" w:type="dxa"/>
            <w:vAlign w:val="center"/>
          </w:tcPr>
          <w:p w14:paraId="0A5AB4AF" w14:textId="5B977F55" w:rsidR="008B629F" w:rsidRPr="008B629F" w:rsidRDefault="008B629F" w:rsidP="008B629F">
            <w:pPr>
              <w:jc w:val="center"/>
              <w:rPr>
                <w:rFonts w:cs="Times New Roman"/>
                <w:b/>
                <w:bCs/>
                <w:sz w:val="18"/>
                <w:szCs w:val="18"/>
                <w:lang w:val="en-US"/>
              </w:rPr>
            </w:pPr>
            <w:r w:rsidRPr="008B629F">
              <w:rPr>
                <w:rFonts w:cs="Times New Roman"/>
                <w:sz w:val="18"/>
                <w:szCs w:val="18"/>
                <w:lang w:val="en-US"/>
              </w:rPr>
              <w:t>Experimental study on operation characteristics of a novel refrigeration system using phase change material</w:t>
            </w:r>
          </w:p>
        </w:tc>
        <w:tc>
          <w:tcPr>
            <w:tcW w:w="1687" w:type="dxa"/>
            <w:vAlign w:val="center"/>
          </w:tcPr>
          <w:p w14:paraId="54D256AB" w14:textId="77777777" w:rsidR="008B629F" w:rsidRPr="008B629F" w:rsidRDefault="008B629F" w:rsidP="008B629F">
            <w:pPr>
              <w:jc w:val="center"/>
              <w:rPr>
                <w:rFonts w:cs="Times New Roman"/>
                <w:sz w:val="18"/>
                <w:szCs w:val="18"/>
                <w:lang w:val="en-US"/>
              </w:rPr>
            </w:pPr>
            <w:r w:rsidRPr="008B629F">
              <w:rPr>
                <w:rFonts w:cs="Times New Roman"/>
                <w:sz w:val="18"/>
                <w:szCs w:val="18"/>
                <w:lang w:val="en-US"/>
              </w:rPr>
              <w:t>Chen, X., Zhang, Q., Zhai, Z.J., Wu, D., Liao, S.</w:t>
            </w:r>
          </w:p>
        </w:tc>
        <w:tc>
          <w:tcPr>
            <w:tcW w:w="1777" w:type="dxa"/>
            <w:vAlign w:val="center"/>
          </w:tcPr>
          <w:p w14:paraId="2453C7B2" w14:textId="77777777" w:rsidR="008B629F" w:rsidRPr="008B629F" w:rsidRDefault="008B629F" w:rsidP="008B629F">
            <w:pPr>
              <w:jc w:val="center"/>
              <w:rPr>
                <w:rFonts w:cs="Times New Roman"/>
                <w:sz w:val="18"/>
                <w:szCs w:val="18"/>
              </w:rPr>
            </w:pPr>
            <w:r w:rsidRPr="008B629F">
              <w:rPr>
                <w:rFonts w:cs="Times New Roman"/>
                <w:sz w:val="18"/>
                <w:szCs w:val="18"/>
              </w:rPr>
              <w:t>Energy and Buildings, 150, pp. 516–526</w:t>
            </w:r>
          </w:p>
        </w:tc>
        <w:tc>
          <w:tcPr>
            <w:tcW w:w="784" w:type="dxa"/>
            <w:vAlign w:val="center"/>
          </w:tcPr>
          <w:p w14:paraId="3D20CEE2" w14:textId="77777777" w:rsidR="008B629F" w:rsidRPr="008B629F" w:rsidRDefault="008B629F" w:rsidP="008B629F">
            <w:pPr>
              <w:jc w:val="center"/>
              <w:rPr>
                <w:rFonts w:cs="Times New Roman"/>
                <w:sz w:val="18"/>
                <w:szCs w:val="18"/>
              </w:rPr>
            </w:pPr>
            <w:r w:rsidRPr="008B629F">
              <w:rPr>
                <w:rFonts w:cs="Times New Roman"/>
                <w:sz w:val="18"/>
                <w:szCs w:val="18"/>
              </w:rPr>
              <w:t>2017</w:t>
            </w:r>
          </w:p>
        </w:tc>
        <w:tc>
          <w:tcPr>
            <w:tcW w:w="1118" w:type="dxa"/>
            <w:vAlign w:val="center"/>
          </w:tcPr>
          <w:p w14:paraId="2EAD7810" w14:textId="77777777" w:rsidR="008B629F" w:rsidRPr="008B629F" w:rsidRDefault="008B629F" w:rsidP="008B629F">
            <w:pPr>
              <w:jc w:val="center"/>
              <w:rPr>
                <w:rFonts w:cs="Times New Roman"/>
                <w:sz w:val="18"/>
                <w:szCs w:val="18"/>
              </w:rPr>
            </w:pPr>
            <w:r w:rsidRPr="008B629F">
              <w:rPr>
                <w:rFonts w:cs="Times New Roman"/>
                <w:sz w:val="18"/>
                <w:szCs w:val="18"/>
              </w:rPr>
              <w:t>23</w:t>
            </w:r>
          </w:p>
        </w:tc>
        <w:tc>
          <w:tcPr>
            <w:tcW w:w="1897" w:type="dxa"/>
            <w:vAlign w:val="center"/>
          </w:tcPr>
          <w:p w14:paraId="4FE3CDFC" w14:textId="77777777" w:rsidR="008B629F" w:rsidRPr="008B629F" w:rsidRDefault="008B629F" w:rsidP="00CA44F7">
            <w:pPr>
              <w:rPr>
                <w:rFonts w:cs="Times New Roman"/>
                <w:sz w:val="18"/>
                <w:szCs w:val="18"/>
                <w:lang w:val="en-US"/>
              </w:rPr>
            </w:pPr>
            <w:r w:rsidRPr="008B629F">
              <w:rPr>
                <w:rFonts w:cs="Times New Roman"/>
                <w:sz w:val="18"/>
                <w:szCs w:val="18"/>
                <w:lang w:val="en-US"/>
              </w:rPr>
              <w:t>Stores night cold from outdoor air/VCR and releases by day; prototype stable. At 15 °C ambient, free‑cooling is more energy‑efficient for small storage but slower to charge.</w:t>
            </w:r>
          </w:p>
        </w:tc>
      </w:tr>
      <w:tr w:rsidR="008B629F" w:rsidRPr="00736B36" w14:paraId="1714C00B" w14:textId="77777777" w:rsidTr="008B629F">
        <w:tc>
          <w:tcPr>
            <w:tcW w:w="1804" w:type="dxa"/>
            <w:vAlign w:val="center"/>
          </w:tcPr>
          <w:p w14:paraId="4F4B7FB4" w14:textId="4EFFAD62" w:rsidR="008B629F" w:rsidRPr="008B629F" w:rsidRDefault="008B629F" w:rsidP="008B629F">
            <w:pPr>
              <w:jc w:val="center"/>
              <w:rPr>
                <w:rFonts w:cs="Times New Roman"/>
                <w:b/>
                <w:bCs/>
                <w:sz w:val="18"/>
                <w:szCs w:val="18"/>
                <w:lang w:val="en-US"/>
              </w:rPr>
            </w:pPr>
            <w:r w:rsidRPr="008B629F">
              <w:rPr>
                <w:rFonts w:cs="Times New Roman"/>
                <w:sz w:val="18"/>
                <w:szCs w:val="18"/>
                <w:lang w:val="en-US"/>
              </w:rPr>
              <w:t>Heat and cold storage using phase change materials in domestic refrigeration systems: The state-of-the-art review</w:t>
            </w:r>
          </w:p>
        </w:tc>
        <w:tc>
          <w:tcPr>
            <w:tcW w:w="1687" w:type="dxa"/>
            <w:vAlign w:val="center"/>
          </w:tcPr>
          <w:p w14:paraId="1E6F0871" w14:textId="77777777" w:rsidR="008B629F" w:rsidRPr="008B629F" w:rsidRDefault="008B629F" w:rsidP="008B629F">
            <w:pPr>
              <w:jc w:val="center"/>
              <w:rPr>
                <w:rFonts w:cs="Times New Roman"/>
                <w:sz w:val="18"/>
                <w:szCs w:val="18"/>
                <w:lang w:val="en-US"/>
              </w:rPr>
            </w:pPr>
            <w:r w:rsidRPr="008B629F">
              <w:rPr>
                <w:rFonts w:cs="Times New Roman"/>
                <w:sz w:val="18"/>
                <w:szCs w:val="18"/>
                <w:lang w:val="en-US"/>
              </w:rPr>
              <w:t>Mastani Joybari, M., Haghighat, F., Moffat, J., Sra, P.</w:t>
            </w:r>
          </w:p>
        </w:tc>
        <w:tc>
          <w:tcPr>
            <w:tcW w:w="1777" w:type="dxa"/>
            <w:vAlign w:val="center"/>
          </w:tcPr>
          <w:p w14:paraId="24A387AE" w14:textId="77777777" w:rsidR="008B629F" w:rsidRPr="008B629F" w:rsidRDefault="008B629F" w:rsidP="008B629F">
            <w:pPr>
              <w:jc w:val="center"/>
              <w:rPr>
                <w:rFonts w:cs="Times New Roman"/>
                <w:sz w:val="18"/>
                <w:szCs w:val="18"/>
              </w:rPr>
            </w:pPr>
            <w:r w:rsidRPr="008B629F">
              <w:rPr>
                <w:rFonts w:cs="Times New Roman"/>
                <w:sz w:val="18"/>
                <w:szCs w:val="18"/>
              </w:rPr>
              <w:t>Energy and Buildings, 106, pp. 111–124</w:t>
            </w:r>
          </w:p>
        </w:tc>
        <w:tc>
          <w:tcPr>
            <w:tcW w:w="784" w:type="dxa"/>
            <w:vAlign w:val="center"/>
          </w:tcPr>
          <w:p w14:paraId="3098F3A1" w14:textId="77777777" w:rsidR="008B629F" w:rsidRPr="008B629F" w:rsidRDefault="008B629F" w:rsidP="008B629F">
            <w:pPr>
              <w:jc w:val="center"/>
              <w:rPr>
                <w:rFonts w:cs="Times New Roman"/>
                <w:sz w:val="18"/>
                <w:szCs w:val="18"/>
              </w:rPr>
            </w:pPr>
            <w:r w:rsidRPr="008B629F">
              <w:rPr>
                <w:rFonts w:cs="Times New Roman"/>
                <w:sz w:val="18"/>
                <w:szCs w:val="18"/>
              </w:rPr>
              <w:t>2015</w:t>
            </w:r>
          </w:p>
        </w:tc>
        <w:tc>
          <w:tcPr>
            <w:tcW w:w="1118" w:type="dxa"/>
            <w:vAlign w:val="center"/>
          </w:tcPr>
          <w:p w14:paraId="76C74406" w14:textId="77777777" w:rsidR="008B629F" w:rsidRPr="008B629F" w:rsidRDefault="008B629F" w:rsidP="008B629F">
            <w:pPr>
              <w:jc w:val="center"/>
              <w:rPr>
                <w:rFonts w:cs="Times New Roman"/>
                <w:sz w:val="18"/>
                <w:szCs w:val="18"/>
              </w:rPr>
            </w:pPr>
            <w:r w:rsidRPr="008B629F">
              <w:rPr>
                <w:rFonts w:cs="Times New Roman"/>
                <w:sz w:val="18"/>
                <w:szCs w:val="18"/>
              </w:rPr>
              <w:t>160</w:t>
            </w:r>
          </w:p>
        </w:tc>
        <w:tc>
          <w:tcPr>
            <w:tcW w:w="1897" w:type="dxa"/>
            <w:vAlign w:val="center"/>
          </w:tcPr>
          <w:p w14:paraId="55898088" w14:textId="77777777" w:rsidR="008B629F" w:rsidRPr="008B629F" w:rsidRDefault="008B629F" w:rsidP="00CA44F7">
            <w:pPr>
              <w:rPr>
                <w:rFonts w:cs="Times New Roman"/>
                <w:sz w:val="18"/>
                <w:szCs w:val="18"/>
                <w:lang w:val="en-US"/>
              </w:rPr>
            </w:pPr>
            <w:r w:rsidRPr="008B629F">
              <w:rPr>
                <w:rFonts w:cs="Times New Roman"/>
                <w:sz w:val="18"/>
                <w:szCs w:val="18"/>
                <w:lang w:val="en-US"/>
              </w:rPr>
              <w:t xml:space="preserve">Summarizes experiments/models using PCM (mainly at the evaporator) to reduce temperature swings and energy use; notes gaps on </w:t>
            </w:r>
            <w:r w:rsidRPr="008B629F">
              <w:rPr>
                <w:rFonts w:cs="Times New Roman"/>
                <w:sz w:val="18"/>
                <w:szCs w:val="18"/>
                <w:lang w:val="en-US"/>
              </w:rPr>
              <w:lastRenderedPageBreak/>
              <w:t>condenser‑side applications.</w:t>
            </w:r>
          </w:p>
        </w:tc>
      </w:tr>
      <w:tr w:rsidR="008B629F" w:rsidRPr="00736B36" w14:paraId="4132221B" w14:textId="77777777" w:rsidTr="008B629F">
        <w:tc>
          <w:tcPr>
            <w:tcW w:w="1804" w:type="dxa"/>
            <w:vAlign w:val="center"/>
          </w:tcPr>
          <w:p w14:paraId="43F48D57" w14:textId="2EA12388" w:rsidR="008B629F" w:rsidRPr="008B629F" w:rsidRDefault="008B629F" w:rsidP="008B629F">
            <w:pPr>
              <w:jc w:val="center"/>
              <w:rPr>
                <w:rFonts w:cs="Times New Roman"/>
                <w:b/>
                <w:bCs/>
                <w:sz w:val="18"/>
                <w:szCs w:val="18"/>
                <w:lang w:val="en-US"/>
              </w:rPr>
            </w:pPr>
            <w:r w:rsidRPr="008B629F">
              <w:rPr>
                <w:rFonts w:cs="Times New Roman"/>
                <w:sz w:val="18"/>
                <w:szCs w:val="18"/>
                <w:lang w:val="en-US"/>
              </w:rPr>
              <w:lastRenderedPageBreak/>
              <w:t>Experimental analysis of hydroquinone used as phase change material (PCM) to be applied in solar cooling refrigeration</w:t>
            </w:r>
          </w:p>
        </w:tc>
        <w:tc>
          <w:tcPr>
            <w:tcW w:w="1687" w:type="dxa"/>
            <w:vAlign w:val="center"/>
          </w:tcPr>
          <w:p w14:paraId="17DF28CF" w14:textId="77777777" w:rsidR="008B629F" w:rsidRPr="008B629F" w:rsidRDefault="008B629F" w:rsidP="008B629F">
            <w:pPr>
              <w:jc w:val="center"/>
              <w:rPr>
                <w:rFonts w:cs="Times New Roman"/>
                <w:sz w:val="18"/>
                <w:szCs w:val="18"/>
                <w:lang w:val="en-US"/>
              </w:rPr>
            </w:pPr>
            <w:r w:rsidRPr="008B629F">
              <w:rPr>
                <w:rFonts w:cs="Times New Roman"/>
                <w:sz w:val="18"/>
                <w:szCs w:val="18"/>
                <w:lang w:val="en-US"/>
              </w:rPr>
              <w:t>Gil, A., Oró, E., Miró, L., ... Salmerón, J.M., Cabeza, L.F.</w:t>
            </w:r>
          </w:p>
        </w:tc>
        <w:tc>
          <w:tcPr>
            <w:tcW w:w="1777" w:type="dxa"/>
            <w:vAlign w:val="center"/>
          </w:tcPr>
          <w:p w14:paraId="672D5DBF" w14:textId="77777777" w:rsidR="008B629F" w:rsidRPr="008B629F" w:rsidRDefault="008B629F" w:rsidP="008B629F">
            <w:pPr>
              <w:jc w:val="center"/>
              <w:rPr>
                <w:rFonts w:cs="Times New Roman"/>
                <w:sz w:val="18"/>
                <w:szCs w:val="18"/>
                <w:lang w:val="en-US"/>
              </w:rPr>
            </w:pPr>
            <w:r w:rsidRPr="008B629F">
              <w:rPr>
                <w:rFonts w:cs="Times New Roman"/>
                <w:sz w:val="18"/>
                <w:szCs w:val="18"/>
                <w:lang w:val="en-US"/>
              </w:rPr>
              <w:t>International Journal of Refrigeration, 39, pp. 95–103</w:t>
            </w:r>
          </w:p>
        </w:tc>
        <w:tc>
          <w:tcPr>
            <w:tcW w:w="784" w:type="dxa"/>
            <w:vAlign w:val="center"/>
          </w:tcPr>
          <w:p w14:paraId="52724C57" w14:textId="77777777" w:rsidR="008B629F" w:rsidRPr="008B629F" w:rsidRDefault="008B629F" w:rsidP="008B629F">
            <w:pPr>
              <w:jc w:val="center"/>
              <w:rPr>
                <w:rFonts w:cs="Times New Roman"/>
                <w:sz w:val="18"/>
                <w:szCs w:val="18"/>
              </w:rPr>
            </w:pPr>
            <w:r w:rsidRPr="008B629F">
              <w:rPr>
                <w:rFonts w:cs="Times New Roman"/>
                <w:sz w:val="18"/>
                <w:szCs w:val="18"/>
              </w:rPr>
              <w:t>2014</w:t>
            </w:r>
          </w:p>
        </w:tc>
        <w:tc>
          <w:tcPr>
            <w:tcW w:w="1118" w:type="dxa"/>
            <w:vAlign w:val="center"/>
          </w:tcPr>
          <w:p w14:paraId="05E78B49" w14:textId="77777777" w:rsidR="008B629F" w:rsidRPr="008B629F" w:rsidRDefault="008B629F" w:rsidP="008B629F">
            <w:pPr>
              <w:jc w:val="center"/>
              <w:rPr>
                <w:rFonts w:cs="Times New Roman"/>
                <w:sz w:val="18"/>
                <w:szCs w:val="18"/>
              </w:rPr>
            </w:pPr>
            <w:r w:rsidRPr="008B629F">
              <w:rPr>
                <w:rFonts w:cs="Times New Roman"/>
                <w:sz w:val="18"/>
                <w:szCs w:val="18"/>
              </w:rPr>
              <w:t>81</w:t>
            </w:r>
          </w:p>
        </w:tc>
        <w:tc>
          <w:tcPr>
            <w:tcW w:w="1897" w:type="dxa"/>
            <w:vAlign w:val="center"/>
          </w:tcPr>
          <w:p w14:paraId="1ED735A8" w14:textId="654E5977" w:rsidR="008B629F" w:rsidRPr="008B629F" w:rsidRDefault="008B629F" w:rsidP="00CA44F7">
            <w:pPr>
              <w:rPr>
                <w:rFonts w:cs="Times New Roman"/>
                <w:sz w:val="18"/>
                <w:szCs w:val="18"/>
                <w:lang w:val="en-US"/>
              </w:rPr>
            </w:pPr>
            <w:r w:rsidRPr="008B629F">
              <w:rPr>
                <w:rFonts w:cs="Times New Roman"/>
                <w:sz w:val="18"/>
                <w:szCs w:val="18"/>
                <w:lang w:val="en-US"/>
              </w:rPr>
              <w:t xml:space="preserve">Hydroquinone (166–173 °C, 225 kJ/kg) validated in </w:t>
            </w:r>
            <w:r w:rsidR="00C07F22">
              <w:rPr>
                <w:rFonts w:cs="Times New Roman"/>
                <w:sz w:val="18"/>
                <w:szCs w:val="18"/>
                <w:lang w:val="en-US"/>
              </w:rPr>
              <w:t xml:space="preserve">a </w:t>
            </w:r>
            <w:r w:rsidRPr="008B629F">
              <w:rPr>
                <w:rFonts w:cs="Times New Roman"/>
                <w:sz w:val="18"/>
                <w:szCs w:val="18"/>
                <w:lang w:val="en-US"/>
              </w:rPr>
              <w:t>pilot; informed a 5‑ton PCM tank deployed in a real solar‑cooling plant (Seville).</w:t>
            </w:r>
          </w:p>
        </w:tc>
      </w:tr>
      <w:tr w:rsidR="008B629F" w:rsidRPr="00736B36" w14:paraId="61F0B590" w14:textId="77777777" w:rsidTr="008B629F">
        <w:tc>
          <w:tcPr>
            <w:tcW w:w="1804" w:type="dxa"/>
            <w:vAlign w:val="center"/>
          </w:tcPr>
          <w:p w14:paraId="051F2513" w14:textId="06D77741" w:rsidR="008B629F" w:rsidRPr="008B629F" w:rsidRDefault="008B629F" w:rsidP="008B629F">
            <w:pPr>
              <w:jc w:val="center"/>
              <w:rPr>
                <w:rFonts w:cs="Times New Roman"/>
                <w:b/>
                <w:bCs/>
                <w:sz w:val="18"/>
                <w:szCs w:val="18"/>
                <w:lang w:val="en-US"/>
              </w:rPr>
            </w:pPr>
            <w:r w:rsidRPr="008B629F">
              <w:rPr>
                <w:rFonts w:cs="Times New Roman"/>
                <w:sz w:val="18"/>
                <w:szCs w:val="18"/>
                <w:lang w:val="en-US"/>
              </w:rPr>
              <w:t>Development, characterization and modification of mannitol-water based nanocomposite phase change materials for cold storage</w:t>
            </w:r>
          </w:p>
        </w:tc>
        <w:tc>
          <w:tcPr>
            <w:tcW w:w="1687" w:type="dxa"/>
            <w:vAlign w:val="center"/>
          </w:tcPr>
          <w:p w14:paraId="16DDF4C4" w14:textId="77777777" w:rsidR="008B629F" w:rsidRPr="008B629F" w:rsidRDefault="008B629F" w:rsidP="008B629F">
            <w:pPr>
              <w:jc w:val="center"/>
              <w:rPr>
                <w:rFonts w:cs="Times New Roman"/>
                <w:sz w:val="18"/>
                <w:szCs w:val="18"/>
                <w:lang w:val="nb-NO"/>
              </w:rPr>
            </w:pPr>
            <w:r w:rsidRPr="008B629F">
              <w:rPr>
                <w:rFonts w:cs="Times New Roman"/>
                <w:sz w:val="18"/>
                <w:szCs w:val="18"/>
                <w:lang w:val="nb-NO"/>
              </w:rPr>
              <w:t>Ma, K., Zhang, X., Ji, J., Han, L.</w:t>
            </w:r>
          </w:p>
        </w:tc>
        <w:tc>
          <w:tcPr>
            <w:tcW w:w="1777" w:type="dxa"/>
            <w:vAlign w:val="center"/>
          </w:tcPr>
          <w:p w14:paraId="5C03B2C8" w14:textId="77777777" w:rsidR="008B629F" w:rsidRPr="008B629F" w:rsidRDefault="008B629F" w:rsidP="008B629F">
            <w:pPr>
              <w:jc w:val="center"/>
              <w:rPr>
                <w:rFonts w:cs="Times New Roman"/>
                <w:sz w:val="18"/>
                <w:szCs w:val="18"/>
                <w:lang w:val="en-US"/>
              </w:rPr>
            </w:pPr>
            <w:r w:rsidRPr="008B629F">
              <w:rPr>
                <w:rFonts w:cs="Times New Roman"/>
                <w:sz w:val="18"/>
                <w:szCs w:val="18"/>
                <w:lang w:val="en-US"/>
              </w:rPr>
              <w:t>Colloids and Surfaces A Physicochemical and Engineering Aspects, 650, 129571</w:t>
            </w:r>
          </w:p>
        </w:tc>
        <w:tc>
          <w:tcPr>
            <w:tcW w:w="784" w:type="dxa"/>
            <w:vAlign w:val="center"/>
          </w:tcPr>
          <w:p w14:paraId="14EE899C" w14:textId="77777777" w:rsidR="008B629F" w:rsidRPr="008B629F" w:rsidRDefault="008B629F" w:rsidP="008B629F">
            <w:pPr>
              <w:jc w:val="center"/>
              <w:rPr>
                <w:rFonts w:cs="Times New Roman"/>
                <w:sz w:val="18"/>
                <w:szCs w:val="18"/>
              </w:rPr>
            </w:pPr>
            <w:r w:rsidRPr="008B629F">
              <w:rPr>
                <w:rFonts w:cs="Times New Roman"/>
                <w:sz w:val="18"/>
                <w:szCs w:val="18"/>
              </w:rPr>
              <w:t>2022</w:t>
            </w:r>
          </w:p>
        </w:tc>
        <w:tc>
          <w:tcPr>
            <w:tcW w:w="1118" w:type="dxa"/>
            <w:vAlign w:val="center"/>
          </w:tcPr>
          <w:p w14:paraId="1E21EF2E" w14:textId="77777777" w:rsidR="008B629F" w:rsidRPr="008B629F" w:rsidRDefault="008B629F" w:rsidP="008B629F">
            <w:pPr>
              <w:jc w:val="center"/>
              <w:rPr>
                <w:rFonts w:cs="Times New Roman"/>
                <w:sz w:val="18"/>
                <w:szCs w:val="18"/>
              </w:rPr>
            </w:pPr>
            <w:r w:rsidRPr="008B629F">
              <w:rPr>
                <w:rFonts w:cs="Times New Roman"/>
                <w:sz w:val="18"/>
                <w:szCs w:val="18"/>
              </w:rPr>
              <w:t>24</w:t>
            </w:r>
          </w:p>
        </w:tc>
        <w:tc>
          <w:tcPr>
            <w:tcW w:w="1897" w:type="dxa"/>
            <w:vAlign w:val="center"/>
          </w:tcPr>
          <w:p w14:paraId="16E17275" w14:textId="77777777" w:rsidR="008B629F" w:rsidRPr="008B629F" w:rsidRDefault="008B629F" w:rsidP="00CA44F7">
            <w:pPr>
              <w:rPr>
                <w:rFonts w:cs="Times New Roman"/>
                <w:sz w:val="18"/>
                <w:szCs w:val="18"/>
                <w:lang w:val="en-US"/>
              </w:rPr>
            </w:pPr>
            <w:r w:rsidRPr="008B629F">
              <w:rPr>
                <w:rFonts w:cs="Times New Roman"/>
                <w:sz w:val="18"/>
                <w:szCs w:val="18"/>
                <w:lang w:val="en-US"/>
              </w:rPr>
              <w:t>Mannitol/MgCl₂ base + Nano‑CuO + MWCNT‑OH with PAM dispersant: +18% conductivity, no supercooling, strong stability; cold‑storage time reduced by 57%.</w:t>
            </w:r>
          </w:p>
        </w:tc>
      </w:tr>
      <w:tr w:rsidR="008B629F" w:rsidRPr="00736B36" w14:paraId="16652373" w14:textId="77777777" w:rsidTr="008B629F">
        <w:tc>
          <w:tcPr>
            <w:tcW w:w="1804" w:type="dxa"/>
            <w:vAlign w:val="center"/>
          </w:tcPr>
          <w:p w14:paraId="3CCC3735" w14:textId="6688FEC4" w:rsidR="008B629F" w:rsidRPr="008B629F" w:rsidRDefault="008B629F" w:rsidP="008B629F">
            <w:pPr>
              <w:jc w:val="center"/>
              <w:rPr>
                <w:rFonts w:cs="Times New Roman"/>
                <w:b/>
                <w:bCs/>
                <w:sz w:val="18"/>
                <w:szCs w:val="18"/>
                <w:lang w:val="en-US"/>
              </w:rPr>
            </w:pPr>
            <w:r w:rsidRPr="008B629F">
              <w:rPr>
                <w:rFonts w:cs="Times New Roman"/>
                <w:sz w:val="18"/>
                <w:szCs w:val="18"/>
                <w:lang w:val="en-US"/>
              </w:rPr>
              <w:t>Preparation and heat transfer model of stereotyped phase change materials suitable for cold chain logistics</w:t>
            </w:r>
          </w:p>
        </w:tc>
        <w:tc>
          <w:tcPr>
            <w:tcW w:w="1687" w:type="dxa"/>
            <w:vAlign w:val="center"/>
          </w:tcPr>
          <w:p w14:paraId="016EBBAF" w14:textId="77777777" w:rsidR="008B629F" w:rsidRPr="008B629F" w:rsidRDefault="008B629F" w:rsidP="008B629F">
            <w:pPr>
              <w:jc w:val="center"/>
              <w:rPr>
                <w:rFonts w:cs="Times New Roman"/>
                <w:sz w:val="18"/>
                <w:szCs w:val="18"/>
                <w:lang w:val="en-US"/>
              </w:rPr>
            </w:pPr>
            <w:r w:rsidRPr="008B629F">
              <w:rPr>
                <w:rFonts w:cs="Times New Roman"/>
                <w:sz w:val="18"/>
                <w:szCs w:val="18"/>
                <w:lang w:val="en-US"/>
              </w:rPr>
              <w:t>Xu, X., Zhou, Y., Zhang, S., Zhai, X., Zhang, X.</w:t>
            </w:r>
          </w:p>
        </w:tc>
        <w:tc>
          <w:tcPr>
            <w:tcW w:w="1777" w:type="dxa"/>
            <w:vAlign w:val="center"/>
          </w:tcPr>
          <w:p w14:paraId="1022CA5F" w14:textId="77777777" w:rsidR="008B629F" w:rsidRPr="008B629F" w:rsidRDefault="008B629F" w:rsidP="008B629F">
            <w:pPr>
              <w:jc w:val="center"/>
              <w:rPr>
                <w:rFonts w:cs="Times New Roman"/>
                <w:sz w:val="18"/>
                <w:szCs w:val="18"/>
              </w:rPr>
            </w:pPr>
            <w:r w:rsidRPr="008B629F">
              <w:rPr>
                <w:rFonts w:cs="Times New Roman"/>
                <w:sz w:val="18"/>
                <w:szCs w:val="18"/>
              </w:rPr>
              <w:t>Journal of Energy Storage, 60, 106610</w:t>
            </w:r>
          </w:p>
        </w:tc>
        <w:tc>
          <w:tcPr>
            <w:tcW w:w="784" w:type="dxa"/>
            <w:vAlign w:val="center"/>
          </w:tcPr>
          <w:p w14:paraId="21BA4EEB" w14:textId="77777777" w:rsidR="008B629F" w:rsidRPr="008B629F" w:rsidRDefault="008B629F" w:rsidP="008B629F">
            <w:pPr>
              <w:jc w:val="center"/>
              <w:rPr>
                <w:rFonts w:cs="Times New Roman"/>
                <w:sz w:val="18"/>
                <w:szCs w:val="18"/>
              </w:rPr>
            </w:pPr>
            <w:r w:rsidRPr="008B629F">
              <w:rPr>
                <w:rFonts w:cs="Times New Roman"/>
                <w:sz w:val="18"/>
                <w:szCs w:val="18"/>
              </w:rPr>
              <w:t>2023</w:t>
            </w:r>
          </w:p>
        </w:tc>
        <w:tc>
          <w:tcPr>
            <w:tcW w:w="1118" w:type="dxa"/>
            <w:vAlign w:val="center"/>
          </w:tcPr>
          <w:p w14:paraId="03725964" w14:textId="77777777" w:rsidR="008B629F" w:rsidRPr="008B629F" w:rsidRDefault="008B629F" w:rsidP="008B629F">
            <w:pPr>
              <w:jc w:val="center"/>
              <w:rPr>
                <w:rFonts w:cs="Times New Roman"/>
                <w:sz w:val="18"/>
                <w:szCs w:val="18"/>
              </w:rPr>
            </w:pPr>
            <w:r w:rsidRPr="008B629F">
              <w:rPr>
                <w:rFonts w:cs="Times New Roman"/>
                <w:sz w:val="18"/>
                <w:szCs w:val="18"/>
              </w:rPr>
              <w:t>14</w:t>
            </w:r>
          </w:p>
        </w:tc>
        <w:tc>
          <w:tcPr>
            <w:tcW w:w="1897" w:type="dxa"/>
            <w:vAlign w:val="center"/>
          </w:tcPr>
          <w:p w14:paraId="54DBFC26" w14:textId="77777777" w:rsidR="008B629F" w:rsidRPr="008B629F" w:rsidRDefault="008B629F" w:rsidP="00CA44F7">
            <w:pPr>
              <w:rPr>
                <w:rFonts w:cs="Times New Roman"/>
                <w:sz w:val="18"/>
                <w:szCs w:val="18"/>
                <w:lang w:val="en-US"/>
              </w:rPr>
            </w:pPr>
            <w:r w:rsidRPr="008B629F">
              <w:rPr>
                <w:rFonts w:cs="Times New Roman"/>
                <w:sz w:val="18"/>
                <w:szCs w:val="18"/>
                <w:lang w:val="en-US"/>
              </w:rPr>
              <w:t>CA–LA + 8% EG boosts k to 1.41 W/m·K and prevents leakage; coil‑charged panels cut charging time by 58% vs ambient, improving logistics throughput.</w:t>
            </w:r>
          </w:p>
        </w:tc>
      </w:tr>
      <w:tr w:rsidR="008B629F" w:rsidRPr="00736B36" w14:paraId="68EA6304" w14:textId="77777777" w:rsidTr="008B629F">
        <w:tc>
          <w:tcPr>
            <w:tcW w:w="1804" w:type="dxa"/>
            <w:vAlign w:val="center"/>
          </w:tcPr>
          <w:p w14:paraId="43178424" w14:textId="51AA1E6B" w:rsidR="008B629F" w:rsidRPr="008B629F" w:rsidRDefault="008B629F" w:rsidP="008B629F">
            <w:pPr>
              <w:jc w:val="center"/>
              <w:rPr>
                <w:rFonts w:cs="Times New Roman"/>
                <w:b/>
                <w:bCs/>
                <w:sz w:val="18"/>
                <w:szCs w:val="18"/>
                <w:lang w:val="en-US"/>
              </w:rPr>
            </w:pPr>
            <w:r w:rsidRPr="008B629F">
              <w:rPr>
                <w:rFonts w:cs="Times New Roman"/>
                <w:sz w:val="18"/>
                <w:szCs w:val="18"/>
                <w:lang w:val="en-US"/>
              </w:rPr>
              <w:t>Massive Fabrication of Flexible, Form-Stable, and Self-Repairing Brine Phase Change Material Gels toward Smart Cold Chain Logistics</w:t>
            </w:r>
          </w:p>
        </w:tc>
        <w:tc>
          <w:tcPr>
            <w:tcW w:w="1687" w:type="dxa"/>
            <w:vAlign w:val="center"/>
          </w:tcPr>
          <w:p w14:paraId="783526B3" w14:textId="77777777" w:rsidR="008B629F" w:rsidRPr="008B629F" w:rsidRDefault="008B629F" w:rsidP="008B629F">
            <w:pPr>
              <w:jc w:val="center"/>
              <w:rPr>
                <w:rFonts w:cs="Times New Roman"/>
                <w:sz w:val="18"/>
                <w:szCs w:val="18"/>
                <w:lang w:val="en-US"/>
              </w:rPr>
            </w:pPr>
            <w:r w:rsidRPr="008B629F">
              <w:rPr>
                <w:rFonts w:cs="Times New Roman"/>
                <w:sz w:val="18"/>
                <w:szCs w:val="18"/>
                <w:lang w:val="en-US"/>
              </w:rPr>
              <w:t>Liu, K., He, Z., Luo, Y., Lin, P., Chen, Y.</w:t>
            </w:r>
          </w:p>
        </w:tc>
        <w:tc>
          <w:tcPr>
            <w:tcW w:w="1777" w:type="dxa"/>
            <w:vAlign w:val="center"/>
          </w:tcPr>
          <w:p w14:paraId="2A1AA820" w14:textId="77777777" w:rsidR="008B629F" w:rsidRPr="008B629F" w:rsidRDefault="008B629F" w:rsidP="008B629F">
            <w:pPr>
              <w:jc w:val="center"/>
              <w:rPr>
                <w:rFonts w:cs="Times New Roman"/>
                <w:sz w:val="18"/>
                <w:szCs w:val="18"/>
                <w:lang w:val="en-US"/>
              </w:rPr>
            </w:pPr>
            <w:r w:rsidRPr="008B629F">
              <w:rPr>
                <w:rFonts w:cs="Times New Roman"/>
                <w:sz w:val="18"/>
                <w:szCs w:val="18"/>
                <w:lang w:val="en-US"/>
              </w:rPr>
              <w:t>ACS Applied Materials and Interfaces, 15(13), pp. 17091–17102</w:t>
            </w:r>
          </w:p>
        </w:tc>
        <w:tc>
          <w:tcPr>
            <w:tcW w:w="784" w:type="dxa"/>
            <w:vAlign w:val="center"/>
          </w:tcPr>
          <w:p w14:paraId="5BB09A48" w14:textId="77777777" w:rsidR="008B629F" w:rsidRPr="008B629F" w:rsidRDefault="008B629F" w:rsidP="008B629F">
            <w:pPr>
              <w:jc w:val="center"/>
              <w:rPr>
                <w:rFonts w:cs="Times New Roman"/>
                <w:sz w:val="18"/>
                <w:szCs w:val="18"/>
              </w:rPr>
            </w:pPr>
            <w:r w:rsidRPr="008B629F">
              <w:rPr>
                <w:rFonts w:cs="Times New Roman"/>
                <w:sz w:val="18"/>
                <w:szCs w:val="18"/>
              </w:rPr>
              <w:t>2023</w:t>
            </w:r>
          </w:p>
        </w:tc>
        <w:tc>
          <w:tcPr>
            <w:tcW w:w="1118" w:type="dxa"/>
            <w:vAlign w:val="center"/>
          </w:tcPr>
          <w:p w14:paraId="211BA103" w14:textId="77777777" w:rsidR="008B629F" w:rsidRPr="008B629F" w:rsidRDefault="008B629F" w:rsidP="008B629F">
            <w:pPr>
              <w:jc w:val="center"/>
              <w:rPr>
                <w:rFonts w:cs="Times New Roman"/>
                <w:sz w:val="18"/>
                <w:szCs w:val="18"/>
              </w:rPr>
            </w:pPr>
            <w:r w:rsidRPr="008B629F">
              <w:rPr>
                <w:rFonts w:cs="Times New Roman"/>
                <w:sz w:val="18"/>
                <w:szCs w:val="18"/>
              </w:rPr>
              <w:t>29</w:t>
            </w:r>
          </w:p>
        </w:tc>
        <w:tc>
          <w:tcPr>
            <w:tcW w:w="1897" w:type="dxa"/>
            <w:vAlign w:val="center"/>
          </w:tcPr>
          <w:p w14:paraId="3BFCB64C" w14:textId="77777777" w:rsidR="008B629F" w:rsidRPr="008B629F" w:rsidRDefault="008B629F" w:rsidP="00CA44F7">
            <w:pPr>
              <w:rPr>
                <w:rFonts w:cs="Times New Roman"/>
                <w:sz w:val="18"/>
                <w:szCs w:val="18"/>
                <w:lang w:val="en-US"/>
              </w:rPr>
            </w:pPr>
            <w:r w:rsidRPr="008B629F">
              <w:rPr>
                <w:rFonts w:cs="Times New Roman"/>
                <w:sz w:val="18"/>
                <w:szCs w:val="18"/>
                <w:lang w:val="en-US"/>
              </w:rPr>
              <w:t>NaCl brine gels (ionic/covalent/H‑bond cross‑linking) show high latent heat/conductivity, no supercooling, low cost; IoT cold boxes hold ~36.7 h for seafood.</w:t>
            </w:r>
          </w:p>
        </w:tc>
      </w:tr>
      <w:tr w:rsidR="008B629F" w:rsidRPr="00736B36" w14:paraId="6E1B3F9C" w14:textId="77777777" w:rsidTr="008B629F">
        <w:tc>
          <w:tcPr>
            <w:tcW w:w="1804" w:type="dxa"/>
            <w:vAlign w:val="center"/>
          </w:tcPr>
          <w:p w14:paraId="36EF0820" w14:textId="6BDE9E14" w:rsidR="008B629F" w:rsidRPr="008B629F" w:rsidRDefault="008B629F" w:rsidP="008B629F">
            <w:pPr>
              <w:jc w:val="center"/>
              <w:rPr>
                <w:rFonts w:cs="Times New Roman"/>
                <w:b/>
                <w:bCs/>
                <w:sz w:val="18"/>
                <w:szCs w:val="18"/>
                <w:lang w:val="en-US"/>
              </w:rPr>
            </w:pPr>
            <w:r w:rsidRPr="008B629F">
              <w:rPr>
                <w:rFonts w:cs="Times New Roman"/>
                <w:sz w:val="18"/>
                <w:szCs w:val="18"/>
                <w:lang w:val="en-US"/>
              </w:rPr>
              <w:t>Theoretical study on a vapor compression refrigeration system with cold storage for freezer applications</w:t>
            </w:r>
          </w:p>
        </w:tc>
        <w:tc>
          <w:tcPr>
            <w:tcW w:w="1687" w:type="dxa"/>
            <w:vAlign w:val="center"/>
          </w:tcPr>
          <w:p w14:paraId="0B178155" w14:textId="77777777" w:rsidR="008B629F" w:rsidRPr="008B629F" w:rsidRDefault="008B629F" w:rsidP="008B629F">
            <w:pPr>
              <w:jc w:val="center"/>
              <w:rPr>
                <w:rFonts w:cs="Times New Roman"/>
                <w:sz w:val="18"/>
                <w:szCs w:val="18"/>
                <w:lang w:val="en-US"/>
              </w:rPr>
            </w:pPr>
            <w:r w:rsidRPr="008B629F">
              <w:rPr>
                <w:rFonts w:cs="Times New Roman"/>
                <w:sz w:val="18"/>
                <w:szCs w:val="18"/>
                <w:lang w:val="en-US"/>
              </w:rPr>
              <w:t>Yan, G., Liu, Y., Qian, S., Yu, J.</w:t>
            </w:r>
          </w:p>
        </w:tc>
        <w:tc>
          <w:tcPr>
            <w:tcW w:w="1777" w:type="dxa"/>
            <w:vAlign w:val="center"/>
          </w:tcPr>
          <w:p w14:paraId="1FC94BDC" w14:textId="77777777" w:rsidR="008B629F" w:rsidRPr="008B629F" w:rsidRDefault="008B629F" w:rsidP="008B629F">
            <w:pPr>
              <w:jc w:val="center"/>
              <w:rPr>
                <w:rFonts w:cs="Times New Roman"/>
                <w:sz w:val="18"/>
                <w:szCs w:val="18"/>
              </w:rPr>
            </w:pPr>
            <w:r w:rsidRPr="008B629F">
              <w:rPr>
                <w:rFonts w:cs="Times New Roman"/>
                <w:sz w:val="18"/>
                <w:szCs w:val="18"/>
              </w:rPr>
              <w:t>Applied Thermal Engineering, 160, 114091</w:t>
            </w:r>
          </w:p>
        </w:tc>
        <w:tc>
          <w:tcPr>
            <w:tcW w:w="784" w:type="dxa"/>
            <w:vAlign w:val="center"/>
          </w:tcPr>
          <w:p w14:paraId="086FF052" w14:textId="77777777" w:rsidR="008B629F" w:rsidRPr="008B629F" w:rsidRDefault="008B629F" w:rsidP="008B629F">
            <w:pPr>
              <w:jc w:val="center"/>
              <w:rPr>
                <w:rFonts w:cs="Times New Roman"/>
                <w:sz w:val="18"/>
                <w:szCs w:val="18"/>
              </w:rPr>
            </w:pPr>
            <w:r w:rsidRPr="008B629F">
              <w:rPr>
                <w:rFonts w:cs="Times New Roman"/>
                <w:sz w:val="18"/>
                <w:szCs w:val="18"/>
              </w:rPr>
              <w:t>2019</w:t>
            </w:r>
          </w:p>
        </w:tc>
        <w:tc>
          <w:tcPr>
            <w:tcW w:w="1118" w:type="dxa"/>
            <w:vAlign w:val="center"/>
          </w:tcPr>
          <w:p w14:paraId="49633282" w14:textId="77777777" w:rsidR="008B629F" w:rsidRPr="008B629F" w:rsidRDefault="008B629F" w:rsidP="008B629F">
            <w:pPr>
              <w:jc w:val="center"/>
              <w:rPr>
                <w:rFonts w:cs="Times New Roman"/>
                <w:sz w:val="18"/>
                <w:szCs w:val="18"/>
              </w:rPr>
            </w:pPr>
            <w:r w:rsidRPr="008B629F">
              <w:rPr>
                <w:rFonts w:cs="Times New Roman"/>
                <w:sz w:val="18"/>
                <w:szCs w:val="18"/>
              </w:rPr>
              <w:t>29</w:t>
            </w:r>
          </w:p>
        </w:tc>
        <w:tc>
          <w:tcPr>
            <w:tcW w:w="1897" w:type="dxa"/>
            <w:vAlign w:val="center"/>
          </w:tcPr>
          <w:p w14:paraId="7D959252" w14:textId="77777777" w:rsidR="008B629F" w:rsidRPr="008B629F" w:rsidRDefault="008B629F" w:rsidP="00CA44F7">
            <w:pPr>
              <w:rPr>
                <w:rFonts w:cs="Times New Roman"/>
                <w:sz w:val="18"/>
                <w:szCs w:val="18"/>
                <w:lang w:val="en-US"/>
              </w:rPr>
            </w:pPr>
            <w:r w:rsidRPr="008B629F">
              <w:rPr>
                <w:rFonts w:cs="Times New Roman"/>
                <w:sz w:val="18"/>
                <w:szCs w:val="18"/>
                <w:lang w:val="en-US"/>
              </w:rPr>
              <w:t>PCM subcooling increases COP by 3.3–10.5% and volumetric capacity by 5.5–25.4%; ≥490 g ice can serve as PCM.</w:t>
            </w:r>
          </w:p>
        </w:tc>
      </w:tr>
      <w:tr w:rsidR="008B629F" w:rsidRPr="00736B36" w14:paraId="2218D9FA" w14:textId="77777777" w:rsidTr="008B629F">
        <w:tc>
          <w:tcPr>
            <w:tcW w:w="1804" w:type="dxa"/>
            <w:vAlign w:val="center"/>
          </w:tcPr>
          <w:p w14:paraId="6C0062FD" w14:textId="7749E887" w:rsidR="008B629F" w:rsidRPr="008B629F" w:rsidRDefault="008B629F" w:rsidP="008B629F">
            <w:pPr>
              <w:jc w:val="center"/>
              <w:rPr>
                <w:rFonts w:cs="Times New Roman"/>
                <w:b/>
                <w:bCs/>
                <w:sz w:val="18"/>
                <w:szCs w:val="18"/>
                <w:lang w:val="en-US"/>
              </w:rPr>
            </w:pPr>
            <w:r w:rsidRPr="008B629F">
              <w:rPr>
                <w:rFonts w:cs="Times New Roman"/>
                <w:sz w:val="18"/>
                <w:szCs w:val="18"/>
                <w:lang w:val="en-US"/>
              </w:rPr>
              <w:t xml:space="preserve">Energy, economic and environmental impact analysis of phase change materials for cold chain </w:t>
            </w:r>
            <w:r w:rsidRPr="008B629F">
              <w:rPr>
                <w:rFonts w:cs="Times New Roman"/>
                <w:sz w:val="18"/>
                <w:szCs w:val="18"/>
                <w:lang w:val="en-US"/>
              </w:rPr>
              <w:lastRenderedPageBreak/>
              <w:t>transportation in Malaysia</w:t>
            </w:r>
          </w:p>
        </w:tc>
        <w:tc>
          <w:tcPr>
            <w:tcW w:w="1687" w:type="dxa"/>
            <w:vAlign w:val="center"/>
          </w:tcPr>
          <w:p w14:paraId="65E2622B" w14:textId="77777777" w:rsidR="008B629F" w:rsidRPr="008B629F" w:rsidRDefault="008B629F" w:rsidP="008B629F">
            <w:pPr>
              <w:jc w:val="center"/>
              <w:rPr>
                <w:rFonts w:cs="Times New Roman"/>
                <w:sz w:val="18"/>
                <w:szCs w:val="18"/>
              </w:rPr>
            </w:pPr>
            <w:r w:rsidRPr="008B629F">
              <w:rPr>
                <w:rFonts w:cs="Times New Roman"/>
                <w:sz w:val="18"/>
                <w:szCs w:val="18"/>
              </w:rPr>
              <w:lastRenderedPageBreak/>
              <w:t>Chandran, R., Hasanuzzaman, M., Arıcı, M., Kumar, L.</w:t>
            </w:r>
          </w:p>
        </w:tc>
        <w:tc>
          <w:tcPr>
            <w:tcW w:w="1777" w:type="dxa"/>
            <w:vAlign w:val="center"/>
          </w:tcPr>
          <w:p w14:paraId="38DCF8F1" w14:textId="77777777" w:rsidR="008B629F" w:rsidRPr="008B629F" w:rsidRDefault="008B629F" w:rsidP="008B629F">
            <w:pPr>
              <w:jc w:val="center"/>
              <w:rPr>
                <w:rFonts w:cs="Times New Roman"/>
                <w:sz w:val="18"/>
                <w:szCs w:val="18"/>
              </w:rPr>
            </w:pPr>
            <w:r w:rsidRPr="008B629F">
              <w:rPr>
                <w:rFonts w:cs="Times New Roman"/>
                <w:sz w:val="18"/>
                <w:szCs w:val="18"/>
              </w:rPr>
              <w:t>Journal of Energy Storage, 55, 105481</w:t>
            </w:r>
          </w:p>
        </w:tc>
        <w:tc>
          <w:tcPr>
            <w:tcW w:w="784" w:type="dxa"/>
            <w:vAlign w:val="center"/>
          </w:tcPr>
          <w:p w14:paraId="10470FEB" w14:textId="77777777" w:rsidR="008B629F" w:rsidRPr="008B629F" w:rsidRDefault="008B629F" w:rsidP="008B629F">
            <w:pPr>
              <w:jc w:val="center"/>
              <w:rPr>
                <w:rFonts w:cs="Times New Roman"/>
                <w:sz w:val="18"/>
                <w:szCs w:val="18"/>
              </w:rPr>
            </w:pPr>
            <w:r w:rsidRPr="008B629F">
              <w:rPr>
                <w:rFonts w:cs="Times New Roman"/>
                <w:sz w:val="18"/>
                <w:szCs w:val="18"/>
              </w:rPr>
              <w:t>2022</w:t>
            </w:r>
          </w:p>
        </w:tc>
        <w:tc>
          <w:tcPr>
            <w:tcW w:w="1118" w:type="dxa"/>
            <w:vAlign w:val="center"/>
          </w:tcPr>
          <w:p w14:paraId="113A6019" w14:textId="77777777" w:rsidR="008B629F" w:rsidRPr="008B629F" w:rsidRDefault="008B629F" w:rsidP="008B629F">
            <w:pPr>
              <w:jc w:val="center"/>
              <w:rPr>
                <w:rFonts w:cs="Times New Roman"/>
                <w:sz w:val="18"/>
                <w:szCs w:val="18"/>
              </w:rPr>
            </w:pPr>
            <w:r w:rsidRPr="008B629F">
              <w:rPr>
                <w:rFonts w:cs="Times New Roman"/>
                <w:sz w:val="18"/>
                <w:szCs w:val="18"/>
              </w:rPr>
              <w:t>30</w:t>
            </w:r>
          </w:p>
        </w:tc>
        <w:tc>
          <w:tcPr>
            <w:tcW w:w="1897" w:type="dxa"/>
            <w:vAlign w:val="center"/>
          </w:tcPr>
          <w:p w14:paraId="07855BA1" w14:textId="77777777" w:rsidR="008B629F" w:rsidRPr="008B629F" w:rsidRDefault="008B629F" w:rsidP="00CA44F7">
            <w:pPr>
              <w:rPr>
                <w:rFonts w:cs="Times New Roman"/>
                <w:sz w:val="18"/>
                <w:szCs w:val="18"/>
                <w:lang w:val="en-US"/>
              </w:rPr>
            </w:pPr>
            <w:r w:rsidRPr="008B629F">
              <w:rPr>
                <w:rFonts w:cs="Times New Roman"/>
                <w:sz w:val="18"/>
                <w:szCs w:val="18"/>
                <w:lang w:val="en-US"/>
              </w:rPr>
              <w:t>Adding paraffin PCM layers cuts daily loads up to 34.4%, payback &lt;3 years, and &gt;2700 kg CO₂/year savings.</w:t>
            </w:r>
          </w:p>
        </w:tc>
      </w:tr>
      <w:tr w:rsidR="008B629F" w:rsidRPr="00736B36" w14:paraId="44853206" w14:textId="77777777" w:rsidTr="008B629F">
        <w:tc>
          <w:tcPr>
            <w:tcW w:w="1804" w:type="dxa"/>
            <w:vAlign w:val="center"/>
          </w:tcPr>
          <w:p w14:paraId="733678ED" w14:textId="2B1598DA" w:rsidR="008B629F" w:rsidRPr="008B629F" w:rsidRDefault="008B629F" w:rsidP="008B629F">
            <w:pPr>
              <w:jc w:val="center"/>
              <w:rPr>
                <w:rFonts w:cs="Times New Roman"/>
                <w:b/>
                <w:bCs/>
                <w:sz w:val="18"/>
                <w:szCs w:val="18"/>
                <w:lang w:val="en-US"/>
              </w:rPr>
            </w:pPr>
            <w:r w:rsidRPr="008B629F">
              <w:rPr>
                <w:rFonts w:cs="Times New Roman"/>
                <w:sz w:val="18"/>
                <w:szCs w:val="18"/>
                <w:lang w:val="en-US"/>
              </w:rPr>
              <w:t>Development of low-temperature eutectic phase change material with expanded graphite for vaccine cold chain logistics</w:t>
            </w:r>
          </w:p>
        </w:tc>
        <w:tc>
          <w:tcPr>
            <w:tcW w:w="1687" w:type="dxa"/>
            <w:vAlign w:val="center"/>
          </w:tcPr>
          <w:p w14:paraId="0BCA0A19" w14:textId="77777777" w:rsidR="008B629F" w:rsidRPr="008B629F" w:rsidRDefault="008B629F" w:rsidP="008B629F">
            <w:pPr>
              <w:jc w:val="center"/>
              <w:rPr>
                <w:rFonts w:cs="Times New Roman"/>
                <w:sz w:val="18"/>
                <w:szCs w:val="18"/>
              </w:rPr>
            </w:pPr>
            <w:r w:rsidRPr="008B629F">
              <w:rPr>
                <w:rFonts w:cs="Times New Roman"/>
                <w:sz w:val="18"/>
                <w:szCs w:val="18"/>
                <w:lang w:val="en-US"/>
              </w:rPr>
              <w:t xml:space="preserve">Liu, L., Zhang, X., Xu, X., ... </w:t>
            </w:r>
            <w:r w:rsidRPr="008B629F">
              <w:rPr>
                <w:rFonts w:cs="Times New Roman"/>
                <w:sz w:val="18"/>
                <w:szCs w:val="18"/>
              </w:rPr>
              <w:t>Wu, Y., Zheng, H.</w:t>
            </w:r>
          </w:p>
        </w:tc>
        <w:tc>
          <w:tcPr>
            <w:tcW w:w="1777" w:type="dxa"/>
            <w:vAlign w:val="center"/>
          </w:tcPr>
          <w:p w14:paraId="60F20712" w14:textId="77777777" w:rsidR="008B629F" w:rsidRPr="008B629F" w:rsidRDefault="008B629F" w:rsidP="008B629F">
            <w:pPr>
              <w:jc w:val="center"/>
              <w:rPr>
                <w:rFonts w:cs="Times New Roman"/>
                <w:sz w:val="18"/>
                <w:szCs w:val="18"/>
              </w:rPr>
            </w:pPr>
            <w:r w:rsidRPr="008B629F">
              <w:rPr>
                <w:rFonts w:cs="Times New Roman"/>
                <w:sz w:val="18"/>
                <w:szCs w:val="18"/>
              </w:rPr>
              <w:t>Renewable Energy, 179, pp. 2348–2358</w:t>
            </w:r>
          </w:p>
        </w:tc>
        <w:tc>
          <w:tcPr>
            <w:tcW w:w="784" w:type="dxa"/>
            <w:vAlign w:val="center"/>
          </w:tcPr>
          <w:p w14:paraId="40061AE6" w14:textId="77777777" w:rsidR="008B629F" w:rsidRPr="008B629F" w:rsidRDefault="008B629F" w:rsidP="008B629F">
            <w:pPr>
              <w:jc w:val="center"/>
              <w:rPr>
                <w:rFonts w:cs="Times New Roman"/>
                <w:sz w:val="18"/>
                <w:szCs w:val="18"/>
              </w:rPr>
            </w:pPr>
            <w:r w:rsidRPr="008B629F">
              <w:rPr>
                <w:rFonts w:cs="Times New Roman"/>
                <w:sz w:val="18"/>
                <w:szCs w:val="18"/>
              </w:rPr>
              <w:t>2021</w:t>
            </w:r>
          </w:p>
        </w:tc>
        <w:tc>
          <w:tcPr>
            <w:tcW w:w="1118" w:type="dxa"/>
            <w:vAlign w:val="center"/>
          </w:tcPr>
          <w:p w14:paraId="4542CFD5" w14:textId="77777777" w:rsidR="008B629F" w:rsidRPr="008B629F" w:rsidRDefault="008B629F" w:rsidP="008B629F">
            <w:pPr>
              <w:jc w:val="center"/>
              <w:rPr>
                <w:rFonts w:cs="Times New Roman"/>
                <w:sz w:val="18"/>
                <w:szCs w:val="18"/>
              </w:rPr>
            </w:pPr>
            <w:r w:rsidRPr="008B629F">
              <w:rPr>
                <w:rFonts w:cs="Times New Roman"/>
                <w:sz w:val="18"/>
                <w:szCs w:val="18"/>
              </w:rPr>
              <w:t>81</w:t>
            </w:r>
          </w:p>
        </w:tc>
        <w:tc>
          <w:tcPr>
            <w:tcW w:w="1897" w:type="dxa"/>
            <w:vAlign w:val="center"/>
          </w:tcPr>
          <w:p w14:paraId="2F2BF5E6" w14:textId="77777777" w:rsidR="008B629F" w:rsidRPr="008B629F" w:rsidRDefault="008B629F" w:rsidP="00CA44F7">
            <w:pPr>
              <w:rPr>
                <w:rFonts w:cs="Times New Roman"/>
                <w:sz w:val="18"/>
                <w:szCs w:val="18"/>
                <w:lang w:val="en-US"/>
              </w:rPr>
            </w:pPr>
            <w:r w:rsidRPr="008B629F">
              <w:rPr>
                <w:rFonts w:cs="Times New Roman"/>
                <w:sz w:val="18"/>
                <w:szCs w:val="18"/>
                <w:lang w:val="en-US"/>
              </w:rPr>
              <w:t>DA–LA/EG (12:1): Tp ≈ 2.1 °C, L ≈ 189 J/g, k ≈ 1.75 W/m·K; 13.8× higher k and 79% shorter phase‑change time; stable over 500 cycles.</w:t>
            </w:r>
          </w:p>
        </w:tc>
      </w:tr>
      <w:tr w:rsidR="008B629F" w:rsidRPr="00736B36" w14:paraId="234ED911" w14:textId="77777777" w:rsidTr="008B629F">
        <w:tc>
          <w:tcPr>
            <w:tcW w:w="1804" w:type="dxa"/>
            <w:vAlign w:val="center"/>
          </w:tcPr>
          <w:p w14:paraId="6BDF1E68" w14:textId="4DE87E2D" w:rsidR="008B629F" w:rsidRPr="008B629F" w:rsidRDefault="008B629F" w:rsidP="008B629F">
            <w:pPr>
              <w:jc w:val="center"/>
              <w:rPr>
                <w:rFonts w:cs="Times New Roman"/>
                <w:b/>
                <w:bCs/>
                <w:sz w:val="18"/>
                <w:szCs w:val="18"/>
                <w:lang w:val="en-US"/>
              </w:rPr>
            </w:pPr>
            <w:r w:rsidRPr="008B629F">
              <w:rPr>
                <w:rFonts w:cs="Times New Roman"/>
                <w:sz w:val="18"/>
                <w:szCs w:val="18"/>
                <w:lang w:val="en-US"/>
              </w:rPr>
              <w:t>Development of composite phase change cold storage material and its application in vaccine cold storage equipment</w:t>
            </w:r>
          </w:p>
        </w:tc>
        <w:tc>
          <w:tcPr>
            <w:tcW w:w="1687" w:type="dxa"/>
            <w:vAlign w:val="center"/>
          </w:tcPr>
          <w:p w14:paraId="699E67FA" w14:textId="77777777" w:rsidR="008B629F" w:rsidRPr="008B629F" w:rsidRDefault="008B629F" w:rsidP="008B629F">
            <w:pPr>
              <w:jc w:val="center"/>
              <w:rPr>
                <w:rFonts w:cs="Times New Roman"/>
                <w:sz w:val="18"/>
                <w:szCs w:val="18"/>
                <w:lang w:val="en-US"/>
              </w:rPr>
            </w:pPr>
            <w:r w:rsidRPr="008B629F">
              <w:rPr>
                <w:rFonts w:cs="Times New Roman"/>
                <w:sz w:val="18"/>
                <w:szCs w:val="18"/>
                <w:lang w:val="en-US"/>
              </w:rPr>
              <w:t>Zhao, Y., Zhang, X., Xu, X., Zhang, S.</w:t>
            </w:r>
          </w:p>
        </w:tc>
        <w:tc>
          <w:tcPr>
            <w:tcW w:w="1777" w:type="dxa"/>
            <w:vAlign w:val="center"/>
          </w:tcPr>
          <w:p w14:paraId="7D07C6BF" w14:textId="77777777" w:rsidR="008B629F" w:rsidRPr="008B629F" w:rsidRDefault="008B629F" w:rsidP="008B629F">
            <w:pPr>
              <w:jc w:val="center"/>
              <w:rPr>
                <w:rFonts w:cs="Times New Roman"/>
                <w:sz w:val="18"/>
                <w:szCs w:val="18"/>
              </w:rPr>
            </w:pPr>
            <w:r w:rsidRPr="008B629F">
              <w:rPr>
                <w:rFonts w:cs="Times New Roman"/>
                <w:sz w:val="18"/>
                <w:szCs w:val="18"/>
              </w:rPr>
              <w:t>Journal of Energy Storage, 30, 101455</w:t>
            </w:r>
          </w:p>
        </w:tc>
        <w:tc>
          <w:tcPr>
            <w:tcW w:w="784" w:type="dxa"/>
            <w:vAlign w:val="center"/>
          </w:tcPr>
          <w:p w14:paraId="2E6080ED" w14:textId="77777777" w:rsidR="008B629F" w:rsidRPr="008B629F" w:rsidRDefault="008B629F" w:rsidP="008B629F">
            <w:pPr>
              <w:jc w:val="center"/>
              <w:rPr>
                <w:rFonts w:cs="Times New Roman"/>
                <w:sz w:val="18"/>
                <w:szCs w:val="18"/>
              </w:rPr>
            </w:pPr>
            <w:r w:rsidRPr="008B629F">
              <w:rPr>
                <w:rFonts w:cs="Times New Roman"/>
                <w:sz w:val="18"/>
                <w:szCs w:val="18"/>
              </w:rPr>
              <w:t>2020</w:t>
            </w:r>
          </w:p>
        </w:tc>
        <w:tc>
          <w:tcPr>
            <w:tcW w:w="1118" w:type="dxa"/>
            <w:vAlign w:val="center"/>
          </w:tcPr>
          <w:p w14:paraId="473EE188" w14:textId="77777777" w:rsidR="008B629F" w:rsidRPr="008B629F" w:rsidRDefault="008B629F" w:rsidP="008B629F">
            <w:pPr>
              <w:jc w:val="center"/>
              <w:rPr>
                <w:rFonts w:cs="Times New Roman"/>
                <w:sz w:val="18"/>
                <w:szCs w:val="18"/>
              </w:rPr>
            </w:pPr>
            <w:r w:rsidRPr="008B629F">
              <w:rPr>
                <w:rFonts w:cs="Times New Roman"/>
                <w:sz w:val="18"/>
                <w:szCs w:val="18"/>
              </w:rPr>
              <w:t>100</w:t>
            </w:r>
          </w:p>
        </w:tc>
        <w:tc>
          <w:tcPr>
            <w:tcW w:w="1897" w:type="dxa"/>
            <w:vAlign w:val="center"/>
          </w:tcPr>
          <w:p w14:paraId="525F0BA7" w14:textId="77777777" w:rsidR="008B629F" w:rsidRPr="008B629F" w:rsidRDefault="008B629F" w:rsidP="00CA44F7">
            <w:pPr>
              <w:rPr>
                <w:rFonts w:cs="Times New Roman"/>
                <w:sz w:val="18"/>
                <w:szCs w:val="18"/>
                <w:lang w:val="en-US"/>
              </w:rPr>
            </w:pPr>
            <w:r w:rsidRPr="008B629F">
              <w:rPr>
                <w:rFonts w:cs="Times New Roman"/>
                <w:sz w:val="18"/>
                <w:szCs w:val="18"/>
                <w:lang w:val="en-US"/>
              </w:rPr>
              <w:t>Enhanced‑k PCM paired with an app‑connected cold box that equalizes cold distribution and provides real‑time temperature tracking.</w:t>
            </w:r>
          </w:p>
        </w:tc>
      </w:tr>
      <w:tr w:rsidR="008B629F" w:rsidRPr="00736B36" w14:paraId="7237D291" w14:textId="77777777" w:rsidTr="008B629F">
        <w:tc>
          <w:tcPr>
            <w:tcW w:w="1804" w:type="dxa"/>
            <w:vAlign w:val="center"/>
          </w:tcPr>
          <w:p w14:paraId="0A1B715A" w14:textId="56635CE5" w:rsidR="008B629F" w:rsidRPr="008B629F" w:rsidRDefault="008B629F" w:rsidP="008B629F">
            <w:pPr>
              <w:jc w:val="center"/>
              <w:rPr>
                <w:rFonts w:cs="Times New Roman"/>
                <w:b/>
                <w:bCs/>
                <w:sz w:val="18"/>
                <w:szCs w:val="18"/>
                <w:lang w:val="en-US"/>
              </w:rPr>
            </w:pPr>
            <w:r w:rsidRPr="008B629F">
              <w:rPr>
                <w:rFonts w:cs="Times New Roman"/>
                <w:sz w:val="18"/>
                <w:szCs w:val="18"/>
                <w:lang w:val="en-US"/>
              </w:rPr>
              <w:t>Phase change material cellulosic composites for the cold storage of perishable products: From material preparation to computational evaluation</w:t>
            </w:r>
          </w:p>
        </w:tc>
        <w:tc>
          <w:tcPr>
            <w:tcW w:w="1687" w:type="dxa"/>
            <w:vAlign w:val="center"/>
          </w:tcPr>
          <w:p w14:paraId="59D837B3" w14:textId="77777777" w:rsidR="008B629F" w:rsidRPr="008B629F" w:rsidRDefault="008B629F" w:rsidP="008B629F">
            <w:pPr>
              <w:jc w:val="center"/>
              <w:rPr>
                <w:rFonts w:cs="Times New Roman"/>
                <w:sz w:val="18"/>
                <w:szCs w:val="18"/>
              </w:rPr>
            </w:pPr>
            <w:r w:rsidRPr="008B629F">
              <w:rPr>
                <w:rFonts w:cs="Times New Roman"/>
                <w:sz w:val="18"/>
                <w:szCs w:val="18"/>
              </w:rPr>
              <w:t>Melone, L., Altomare, L., Cigada, A., De Nardo, L.</w:t>
            </w:r>
          </w:p>
        </w:tc>
        <w:tc>
          <w:tcPr>
            <w:tcW w:w="1777" w:type="dxa"/>
            <w:vAlign w:val="center"/>
          </w:tcPr>
          <w:p w14:paraId="56DDBC19" w14:textId="77777777" w:rsidR="008B629F" w:rsidRPr="008B629F" w:rsidRDefault="008B629F" w:rsidP="008B629F">
            <w:pPr>
              <w:jc w:val="center"/>
              <w:rPr>
                <w:rFonts w:cs="Times New Roman"/>
                <w:sz w:val="18"/>
                <w:szCs w:val="18"/>
              </w:rPr>
            </w:pPr>
            <w:r w:rsidRPr="008B629F">
              <w:rPr>
                <w:rFonts w:cs="Times New Roman"/>
                <w:sz w:val="18"/>
                <w:szCs w:val="18"/>
              </w:rPr>
              <w:t>Applied Energy, 89(1), pp. 339–346</w:t>
            </w:r>
          </w:p>
        </w:tc>
        <w:tc>
          <w:tcPr>
            <w:tcW w:w="784" w:type="dxa"/>
            <w:vAlign w:val="center"/>
          </w:tcPr>
          <w:p w14:paraId="1385DE68" w14:textId="77777777" w:rsidR="008B629F" w:rsidRPr="008B629F" w:rsidRDefault="008B629F" w:rsidP="008B629F">
            <w:pPr>
              <w:jc w:val="center"/>
              <w:rPr>
                <w:rFonts w:cs="Times New Roman"/>
                <w:sz w:val="18"/>
                <w:szCs w:val="18"/>
              </w:rPr>
            </w:pPr>
            <w:r w:rsidRPr="008B629F">
              <w:rPr>
                <w:rFonts w:cs="Times New Roman"/>
                <w:sz w:val="18"/>
                <w:szCs w:val="18"/>
              </w:rPr>
              <w:t>2012</w:t>
            </w:r>
          </w:p>
        </w:tc>
        <w:tc>
          <w:tcPr>
            <w:tcW w:w="1118" w:type="dxa"/>
            <w:vAlign w:val="center"/>
          </w:tcPr>
          <w:p w14:paraId="11B1EEA9" w14:textId="77777777" w:rsidR="008B629F" w:rsidRPr="008B629F" w:rsidRDefault="008B629F" w:rsidP="008B629F">
            <w:pPr>
              <w:jc w:val="center"/>
              <w:rPr>
                <w:rFonts w:cs="Times New Roman"/>
                <w:sz w:val="18"/>
                <w:szCs w:val="18"/>
              </w:rPr>
            </w:pPr>
            <w:r w:rsidRPr="008B629F">
              <w:rPr>
                <w:rFonts w:cs="Times New Roman"/>
                <w:sz w:val="18"/>
                <w:szCs w:val="18"/>
              </w:rPr>
              <w:t>67</w:t>
            </w:r>
          </w:p>
        </w:tc>
        <w:tc>
          <w:tcPr>
            <w:tcW w:w="1897" w:type="dxa"/>
            <w:vAlign w:val="center"/>
          </w:tcPr>
          <w:p w14:paraId="721D89AE" w14:textId="77777777" w:rsidR="008B629F" w:rsidRPr="008B629F" w:rsidRDefault="008B629F" w:rsidP="00CA44F7">
            <w:pPr>
              <w:rPr>
                <w:rFonts w:cs="Times New Roman"/>
                <w:sz w:val="18"/>
                <w:szCs w:val="18"/>
                <w:lang w:val="en-US"/>
              </w:rPr>
            </w:pPr>
            <w:r w:rsidRPr="008B629F">
              <w:rPr>
                <w:rFonts w:cs="Times New Roman"/>
                <w:sz w:val="18"/>
                <w:szCs w:val="18"/>
                <w:lang w:val="en-US"/>
              </w:rPr>
              <w:t>Cellulose laminates with 25–50% micro‑PCM keep temperature up to 10× longer during warm exposure; validated by simple models.</w:t>
            </w:r>
          </w:p>
        </w:tc>
      </w:tr>
      <w:tr w:rsidR="008B629F" w:rsidRPr="00736B36" w14:paraId="40067207" w14:textId="77777777" w:rsidTr="008B629F">
        <w:tc>
          <w:tcPr>
            <w:tcW w:w="1804" w:type="dxa"/>
            <w:vAlign w:val="center"/>
          </w:tcPr>
          <w:p w14:paraId="2E185693" w14:textId="1115AB6F" w:rsidR="008B629F" w:rsidRPr="008B629F" w:rsidRDefault="008B629F" w:rsidP="008B629F">
            <w:pPr>
              <w:jc w:val="center"/>
              <w:rPr>
                <w:rFonts w:cs="Times New Roman"/>
                <w:b/>
                <w:bCs/>
                <w:sz w:val="18"/>
                <w:szCs w:val="18"/>
                <w:lang w:val="en-US"/>
              </w:rPr>
            </w:pPr>
            <w:r w:rsidRPr="008B629F">
              <w:rPr>
                <w:rFonts w:cs="Times New Roman"/>
                <w:sz w:val="18"/>
                <w:szCs w:val="18"/>
                <w:lang w:val="en-US"/>
              </w:rPr>
              <w:t>Characterization and thermal properties of lauryl alcohol-capric acid binary mixture with hybrid-nanoparticles as phase change material for vaccine storage applications</w:t>
            </w:r>
          </w:p>
        </w:tc>
        <w:tc>
          <w:tcPr>
            <w:tcW w:w="1687" w:type="dxa"/>
            <w:vAlign w:val="center"/>
          </w:tcPr>
          <w:p w14:paraId="76BE1F9D" w14:textId="77777777" w:rsidR="008B629F" w:rsidRPr="008B629F" w:rsidRDefault="008B629F" w:rsidP="008B629F">
            <w:pPr>
              <w:jc w:val="center"/>
              <w:rPr>
                <w:rFonts w:cs="Times New Roman"/>
                <w:sz w:val="18"/>
                <w:szCs w:val="18"/>
              </w:rPr>
            </w:pPr>
            <w:r w:rsidRPr="008B629F">
              <w:rPr>
                <w:rFonts w:cs="Times New Roman"/>
                <w:sz w:val="18"/>
                <w:szCs w:val="18"/>
                <w:lang w:val="nb-NO"/>
              </w:rPr>
              <w:t xml:space="preserve">Karthikeyan, K., Mariappan, V., Kalidoss, P., ... </w:t>
            </w:r>
            <w:r w:rsidRPr="008B629F">
              <w:rPr>
                <w:rFonts w:cs="Times New Roman"/>
                <w:sz w:val="18"/>
                <w:szCs w:val="18"/>
              </w:rPr>
              <w:t>Prathiban, S., Anish, R.</w:t>
            </w:r>
          </w:p>
        </w:tc>
        <w:tc>
          <w:tcPr>
            <w:tcW w:w="1777" w:type="dxa"/>
            <w:vAlign w:val="center"/>
          </w:tcPr>
          <w:p w14:paraId="76CFBE8C" w14:textId="77777777" w:rsidR="008B629F" w:rsidRPr="008B629F" w:rsidRDefault="008B629F" w:rsidP="008B629F">
            <w:pPr>
              <w:jc w:val="center"/>
              <w:rPr>
                <w:rFonts w:cs="Times New Roman"/>
                <w:sz w:val="18"/>
                <w:szCs w:val="18"/>
              </w:rPr>
            </w:pPr>
            <w:r w:rsidRPr="008B629F">
              <w:rPr>
                <w:rFonts w:cs="Times New Roman"/>
                <w:sz w:val="18"/>
                <w:szCs w:val="18"/>
              </w:rPr>
              <w:t>Journal of Energy Storage, 74, 109442</w:t>
            </w:r>
          </w:p>
        </w:tc>
        <w:tc>
          <w:tcPr>
            <w:tcW w:w="784" w:type="dxa"/>
            <w:vAlign w:val="center"/>
          </w:tcPr>
          <w:p w14:paraId="1ACDEC16" w14:textId="77777777" w:rsidR="008B629F" w:rsidRPr="008B629F" w:rsidRDefault="008B629F" w:rsidP="008B629F">
            <w:pPr>
              <w:jc w:val="center"/>
              <w:rPr>
                <w:rFonts w:cs="Times New Roman"/>
                <w:sz w:val="18"/>
                <w:szCs w:val="18"/>
              </w:rPr>
            </w:pPr>
            <w:r w:rsidRPr="008B629F">
              <w:rPr>
                <w:rFonts w:cs="Times New Roman"/>
                <w:sz w:val="18"/>
                <w:szCs w:val="18"/>
              </w:rPr>
              <w:t>2023</w:t>
            </w:r>
          </w:p>
        </w:tc>
        <w:tc>
          <w:tcPr>
            <w:tcW w:w="1118" w:type="dxa"/>
            <w:vAlign w:val="center"/>
          </w:tcPr>
          <w:p w14:paraId="68E6B8C5" w14:textId="77777777" w:rsidR="008B629F" w:rsidRPr="008B629F" w:rsidRDefault="008B629F" w:rsidP="008B629F">
            <w:pPr>
              <w:jc w:val="center"/>
              <w:rPr>
                <w:rFonts w:cs="Times New Roman"/>
                <w:sz w:val="18"/>
                <w:szCs w:val="18"/>
              </w:rPr>
            </w:pPr>
            <w:r w:rsidRPr="008B629F">
              <w:rPr>
                <w:rFonts w:cs="Times New Roman"/>
                <w:sz w:val="18"/>
                <w:szCs w:val="18"/>
              </w:rPr>
              <w:t>18</w:t>
            </w:r>
          </w:p>
        </w:tc>
        <w:tc>
          <w:tcPr>
            <w:tcW w:w="1897" w:type="dxa"/>
            <w:vAlign w:val="center"/>
          </w:tcPr>
          <w:p w14:paraId="764B40EB" w14:textId="77777777" w:rsidR="008B629F" w:rsidRPr="008B629F" w:rsidRDefault="008B629F" w:rsidP="00CA44F7">
            <w:pPr>
              <w:rPr>
                <w:rFonts w:cs="Times New Roman"/>
                <w:sz w:val="18"/>
                <w:szCs w:val="18"/>
                <w:lang w:val="en-US"/>
              </w:rPr>
            </w:pPr>
            <w:r w:rsidRPr="008B629F">
              <w:rPr>
                <w:rFonts w:cs="Times New Roman"/>
                <w:sz w:val="18"/>
                <w:szCs w:val="18"/>
                <w:lang w:val="en-US"/>
              </w:rPr>
              <w:t>HNePCMs using GNP‑Al₂O₃/CuO/TiO₂ boost conductivity; LA–CA/GNP‑CuO gives strong k‑gain with minimal Tm/enthalpy shift and good durability.</w:t>
            </w:r>
          </w:p>
        </w:tc>
      </w:tr>
      <w:tr w:rsidR="008B629F" w:rsidRPr="00736B36" w14:paraId="46503FC2" w14:textId="77777777" w:rsidTr="008B629F">
        <w:tc>
          <w:tcPr>
            <w:tcW w:w="1804" w:type="dxa"/>
            <w:vAlign w:val="center"/>
          </w:tcPr>
          <w:p w14:paraId="16853A42" w14:textId="22ADF42C" w:rsidR="008B629F" w:rsidRPr="008B629F" w:rsidRDefault="008B629F" w:rsidP="008B629F">
            <w:pPr>
              <w:jc w:val="center"/>
              <w:rPr>
                <w:rFonts w:cs="Times New Roman"/>
                <w:b/>
                <w:bCs/>
                <w:sz w:val="18"/>
                <w:szCs w:val="18"/>
                <w:lang w:val="en-US"/>
              </w:rPr>
            </w:pPr>
            <w:r w:rsidRPr="008B629F">
              <w:rPr>
                <w:rFonts w:cs="Times New Roman"/>
                <w:sz w:val="18"/>
                <w:szCs w:val="18"/>
                <w:lang w:val="en-US"/>
              </w:rPr>
              <w:t>Highly-efficient cold energy storage enabled by brine phase change material gels towards smart cold chain logistics</w:t>
            </w:r>
          </w:p>
        </w:tc>
        <w:tc>
          <w:tcPr>
            <w:tcW w:w="1687" w:type="dxa"/>
            <w:vAlign w:val="center"/>
          </w:tcPr>
          <w:p w14:paraId="1018A45C" w14:textId="77777777" w:rsidR="008B629F" w:rsidRPr="008B629F" w:rsidRDefault="008B629F" w:rsidP="008B629F">
            <w:pPr>
              <w:jc w:val="center"/>
              <w:rPr>
                <w:rFonts w:cs="Times New Roman"/>
                <w:sz w:val="18"/>
                <w:szCs w:val="18"/>
                <w:lang w:val="en-US"/>
              </w:rPr>
            </w:pPr>
            <w:r w:rsidRPr="008B629F">
              <w:rPr>
                <w:rFonts w:cs="Times New Roman"/>
                <w:sz w:val="18"/>
                <w:szCs w:val="18"/>
                <w:lang w:val="en-US"/>
              </w:rPr>
              <w:t>Liu, K., He, Z., Lin, P., ... Sheng, X., Chen, Y.</w:t>
            </w:r>
          </w:p>
        </w:tc>
        <w:tc>
          <w:tcPr>
            <w:tcW w:w="1777" w:type="dxa"/>
            <w:vAlign w:val="center"/>
          </w:tcPr>
          <w:p w14:paraId="1C66219C" w14:textId="77777777" w:rsidR="008B629F" w:rsidRPr="008B629F" w:rsidRDefault="008B629F" w:rsidP="008B629F">
            <w:pPr>
              <w:jc w:val="center"/>
              <w:rPr>
                <w:rFonts w:cs="Times New Roman"/>
                <w:sz w:val="18"/>
                <w:szCs w:val="18"/>
              </w:rPr>
            </w:pPr>
            <w:r w:rsidRPr="008B629F">
              <w:rPr>
                <w:rFonts w:cs="Times New Roman"/>
                <w:sz w:val="18"/>
                <w:szCs w:val="18"/>
              </w:rPr>
              <w:t>Journal of Energy Storage, 52, 104828</w:t>
            </w:r>
          </w:p>
        </w:tc>
        <w:tc>
          <w:tcPr>
            <w:tcW w:w="784" w:type="dxa"/>
            <w:vAlign w:val="center"/>
          </w:tcPr>
          <w:p w14:paraId="15241C64" w14:textId="77777777" w:rsidR="008B629F" w:rsidRPr="008B629F" w:rsidRDefault="008B629F" w:rsidP="008B629F">
            <w:pPr>
              <w:jc w:val="center"/>
              <w:rPr>
                <w:rFonts w:cs="Times New Roman"/>
                <w:sz w:val="18"/>
                <w:szCs w:val="18"/>
              </w:rPr>
            </w:pPr>
            <w:r w:rsidRPr="008B629F">
              <w:rPr>
                <w:rFonts w:cs="Times New Roman"/>
                <w:sz w:val="18"/>
                <w:szCs w:val="18"/>
              </w:rPr>
              <w:t>2022</w:t>
            </w:r>
          </w:p>
        </w:tc>
        <w:tc>
          <w:tcPr>
            <w:tcW w:w="1118" w:type="dxa"/>
            <w:vAlign w:val="center"/>
          </w:tcPr>
          <w:p w14:paraId="2561DD14" w14:textId="77777777" w:rsidR="008B629F" w:rsidRPr="008B629F" w:rsidRDefault="008B629F" w:rsidP="008B629F">
            <w:pPr>
              <w:jc w:val="center"/>
              <w:rPr>
                <w:rFonts w:cs="Times New Roman"/>
                <w:sz w:val="18"/>
                <w:szCs w:val="18"/>
              </w:rPr>
            </w:pPr>
            <w:r w:rsidRPr="008B629F">
              <w:rPr>
                <w:rFonts w:cs="Times New Roman"/>
                <w:sz w:val="18"/>
                <w:szCs w:val="18"/>
              </w:rPr>
              <w:t>43</w:t>
            </w:r>
          </w:p>
        </w:tc>
        <w:tc>
          <w:tcPr>
            <w:tcW w:w="1897" w:type="dxa"/>
            <w:vAlign w:val="center"/>
          </w:tcPr>
          <w:p w14:paraId="366B1D4F" w14:textId="77777777" w:rsidR="008B629F" w:rsidRPr="008B629F" w:rsidRDefault="008B629F" w:rsidP="00CA44F7">
            <w:pPr>
              <w:keepNext/>
              <w:rPr>
                <w:rFonts w:cs="Times New Roman"/>
                <w:sz w:val="18"/>
                <w:szCs w:val="18"/>
                <w:lang w:val="en-US"/>
              </w:rPr>
            </w:pPr>
            <w:r w:rsidRPr="008B629F">
              <w:rPr>
                <w:rFonts w:cs="Times New Roman"/>
                <w:sz w:val="18"/>
                <w:szCs w:val="18"/>
                <w:lang w:val="en-US"/>
              </w:rPr>
              <w:t>Free‑standing gels: no supercooling, L ≈ 231 J/g, k ≈ 0.59 W/m·K, low cost; 16–21 h hold for seafood/biologicals with GPS/temperature telemetry.</w:t>
            </w:r>
          </w:p>
        </w:tc>
      </w:tr>
    </w:tbl>
    <w:p w14:paraId="67B5952C" w14:textId="5861D897" w:rsidR="008B629F" w:rsidRDefault="008B629F" w:rsidP="008B629F">
      <w:pPr>
        <w:pStyle w:val="Caption"/>
        <w:rPr>
          <w:rFonts w:cs="Times New Roman"/>
        </w:rPr>
      </w:pPr>
      <w:bookmarkStart w:id="136" w:name="_Toc214362637"/>
      <w:r>
        <w:t xml:space="preserve">Table </w:t>
      </w:r>
      <w:r w:rsidR="00F43E9A">
        <w:fldChar w:fldCharType="begin"/>
      </w:r>
      <w:r w:rsidR="00F43E9A">
        <w:instrText xml:space="preserve"> STYLEREF 1 \s </w:instrText>
      </w:r>
      <w:r w:rsidR="00F43E9A">
        <w:fldChar w:fldCharType="separate"/>
      </w:r>
      <w:r w:rsidR="000412CE">
        <w:rPr>
          <w:noProof/>
        </w:rPr>
        <w:t>2</w:t>
      </w:r>
      <w:r w:rsidR="00F43E9A">
        <w:fldChar w:fldCharType="end"/>
      </w:r>
      <w:r w:rsidR="00F43E9A">
        <w:t>.</w:t>
      </w:r>
      <w:r w:rsidR="00F43E9A">
        <w:fldChar w:fldCharType="begin"/>
      </w:r>
      <w:r w:rsidR="00F43E9A">
        <w:instrText xml:space="preserve"> SEQ Table \* ARABIC \s 1 </w:instrText>
      </w:r>
      <w:r w:rsidR="00F43E9A">
        <w:fldChar w:fldCharType="separate"/>
      </w:r>
      <w:r w:rsidR="000412CE">
        <w:rPr>
          <w:noProof/>
        </w:rPr>
        <w:t>9</w:t>
      </w:r>
      <w:r w:rsidR="00F43E9A">
        <w:fldChar w:fldCharType="end"/>
      </w:r>
      <w:r w:rsidR="00DE026D">
        <w:t>.</w:t>
      </w:r>
      <w:r>
        <w:t xml:space="preserve"> </w:t>
      </w:r>
      <w:r w:rsidRPr="006530D5">
        <w:t>Selected studies on PCM use in the cold chain: bibliographic details and key findings distilled from the abstracts</w:t>
      </w:r>
      <w:r w:rsidR="00A165BA">
        <w:t>.</w:t>
      </w:r>
      <w:bookmarkEnd w:id="136"/>
    </w:p>
    <w:p w14:paraId="2616F127" w14:textId="46833A7B" w:rsidR="008B629F" w:rsidRPr="008B629F" w:rsidRDefault="008B629F" w:rsidP="008B629F">
      <w:pPr>
        <w:rPr>
          <w:rFonts w:cs="Times New Roman"/>
          <w:lang w:val="en-US"/>
        </w:rPr>
      </w:pPr>
      <w:r w:rsidRPr="008B629F">
        <w:rPr>
          <w:rFonts w:cs="Times New Roman"/>
          <w:lang w:val="en-US"/>
        </w:rPr>
        <w:lastRenderedPageBreak/>
        <w:t xml:space="preserve">Table </w:t>
      </w:r>
      <w:r>
        <w:rPr>
          <w:rFonts w:cs="Times New Roman"/>
          <w:lang w:val="en-US"/>
        </w:rPr>
        <w:t>2.10</w:t>
      </w:r>
      <w:r w:rsidRPr="008B629F">
        <w:rPr>
          <w:rFonts w:cs="Times New Roman"/>
          <w:lang w:val="en-US"/>
        </w:rPr>
        <w:t xml:space="preserve"> summarizes a selection of the most influential review papers on the use of PCMs in the cold chain (refrigeration, cold storage, and vaccine/pharmaceutical logistics). These reviews synthesize PCM properties, system integration strategies, and reported benefits for temperature control, load shifting, and energy efficiency, while outlining challenges and research gaps. For each review, the title, authors, source, year of publication, citation count, and the principal insights highlighted by the authors are reported.</w:t>
      </w:r>
    </w:p>
    <w:tbl>
      <w:tblPr>
        <w:tblStyle w:val="TableGrid"/>
        <w:tblW w:w="0" w:type="auto"/>
        <w:tblLook w:val="04A0" w:firstRow="1" w:lastRow="0" w:firstColumn="1" w:lastColumn="0" w:noHBand="0" w:noVBand="1"/>
      </w:tblPr>
      <w:tblGrid>
        <w:gridCol w:w="1623"/>
        <w:gridCol w:w="1109"/>
        <w:gridCol w:w="1581"/>
        <w:gridCol w:w="790"/>
        <w:gridCol w:w="1112"/>
        <w:gridCol w:w="2641"/>
      </w:tblGrid>
      <w:tr w:rsidR="008B629F" w:rsidRPr="008B629F" w14:paraId="4E0527FD" w14:textId="77777777" w:rsidTr="008B629F">
        <w:tc>
          <w:tcPr>
            <w:tcW w:w="1623" w:type="dxa"/>
            <w:shd w:val="clear" w:color="auto" w:fill="8EA5B6"/>
            <w:vAlign w:val="center"/>
          </w:tcPr>
          <w:p w14:paraId="592E2C20" w14:textId="77777777" w:rsidR="008B629F" w:rsidRPr="008B629F" w:rsidRDefault="008B629F" w:rsidP="008B629F">
            <w:pPr>
              <w:jc w:val="center"/>
              <w:rPr>
                <w:rFonts w:cs="Times New Roman"/>
                <w:b/>
                <w:bCs/>
                <w:sz w:val="18"/>
                <w:szCs w:val="18"/>
              </w:rPr>
            </w:pPr>
            <w:r w:rsidRPr="008B629F">
              <w:rPr>
                <w:rFonts w:cs="Times New Roman"/>
                <w:b/>
                <w:bCs/>
                <w:sz w:val="18"/>
                <w:szCs w:val="18"/>
              </w:rPr>
              <w:t>Title</w:t>
            </w:r>
          </w:p>
        </w:tc>
        <w:tc>
          <w:tcPr>
            <w:tcW w:w="1109" w:type="dxa"/>
            <w:shd w:val="clear" w:color="auto" w:fill="8EA5B6"/>
            <w:vAlign w:val="center"/>
          </w:tcPr>
          <w:p w14:paraId="5B5FA1FD" w14:textId="77777777" w:rsidR="008B629F" w:rsidRPr="008B629F" w:rsidRDefault="008B629F" w:rsidP="008B629F">
            <w:pPr>
              <w:jc w:val="center"/>
              <w:rPr>
                <w:rFonts w:cs="Times New Roman"/>
                <w:b/>
                <w:bCs/>
                <w:sz w:val="18"/>
                <w:szCs w:val="18"/>
              </w:rPr>
            </w:pPr>
            <w:r w:rsidRPr="008B629F">
              <w:rPr>
                <w:rFonts w:cs="Times New Roman"/>
                <w:b/>
                <w:bCs/>
                <w:sz w:val="18"/>
                <w:szCs w:val="18"/>
              </w:rPr>
              <w:t>Authors</w:t>
            </w:r>
          </w:p>
        </w:tc>
        <w:tc>
          <w:tcPr>
            <w:tcW w:w="1581" w:type="dxa"/>
            <w:shd w:val="clear" w:color="auto" w:fill="8EA5B6"/>
            <w:vAlign w:val="center"/>
          </w:tcPr>
          <w:p w14:paraId="7ED642FE" w14:textId="77777777" w:rsidR="008B629F" w:rsidRPr="008B629F" w:rsidRDefault="008B629F" w:rsidP="008B629F">
            <w:pPr>
              <w:jc w:val="center"/>
              <w:rPr>
                <w:rFonts w:cs="Times New Roman"/>
                <w:b/>
                <w:bCs/>
                <w:sz w:val="18"/>
                <w:szCs w:val="18"/>
              </w:rPr>
            </w:pPr>
            <w:r w:rsidRPr="008B629F">
              <w:rPr>
                <w:rFonts w:cs="Times New Roman"/>
                <w:b/>
                <w:bCs/>
                <w:sz w:val="18"/>
                <w:szCs w:val="18"/>
              </w:rPr>
              <w:t>Source</w:t>
            </w:r>
          </w:p>
        </w:tc>
        <w:tc>
          <w:tcPr>
            <w:tcW w:w="790" w:type="dxa"/>
            <w:shd w:val="clear" w:color="auto" w:fill="8EA5B6"/>
            <w:vAlign w:val="center"/>
          </w:tcPr>
          <w:p w14:paraId="7CD5138A" w14:textId="77777777" w:rsidR="008B629F" w:rsidRPr="008B629F" w:rsidRDefault="008B629F" w:rsidP="008B629F">
            <w:pPr>
              <w:jc w:val="center"/>
              <w:rPr>
                <w:rFonts w:cs="Times New Roman"/>
                <w:b/>
                <w:bCs/>
                <w:sz w:val="18"/>
                <w:szCs w:val="18"/>
              </w:rPr>
            </w:pPr>
            <w:r w:rsidRPr="008B629F">
              <w:rPr>
                <w:rFonts w:cs="Times New Roman"/>
                <w:b/>
                <w:bCs/>
                <w:sz w:val="18"/>
                <w:szCs w:val="18"/>
              </w:rPr>
              <w:t>Year</w:t>
            </w:r>
          </w:p>
        </w:tc>
        <w:tc>
          <w:tcPr>
            <w:tcW w:w="1112" w:type="dxa"/>
            <w:shd w:val="clear" w:color="auto" w:fill="8EA5B6"/>
            <w:vAlign w:val="center"/>
          </w:tcPr>
          <w:p w14:paraId="155B8C59" w14:textId="77777777" w:rsidR="008B629F" w:rsidRPr="008B629F" w:rsidRDefault="008B629F" w:rsidP="008B629F">
            <w:pPr>
              <w:jc w:val="center"/>
              <w:rPr>
                <w:rFonts w:cs="Times New Roman"/>
                <w:b/>
                <w:bCs/>
                <w:sz w:val="18"/>
                <w:szCs w:val="18"/>
              </w:rPr>
            </w:pPr>
            <w:r w:rsidRPr="008B629F">
              <w:rPr>
                <w:rFonts w:cs="Times New Roman"/>
                <w:b/>
                <w:bCs/>
                <w:sz w:val="18"/>
                <w:szCs w:val="18"/>
              </w:rPr>
              <w:t>Citations</w:t>
            </w:r>
          </w:p>
        </w:tc>
        <w:tc>
          <w:tcPr>
            <w:tcW w:w="2641" w:type="dxa"/>
            <w:shd w:val="clear" w:color="auto" w:fill="8EA5B6"/>
            <w:vAlign w:val="center"/>
          </w:tcPr>
          <w:p w14:paraId="20288864" w14:textId="4083B5C7" w:rsidR="008B629F" w:rsidRPr="008B629F" w:rsidRDefault="008B629F" w:rsidP="00C07F22">
            <w:pPr>
              <w:jc w:val="center"/>
              <w:rPr>
                <w:rFonts w:cs="Times New Roman"/>
                <w:b/>
                <w:bCs/>
                <w:sz w:val="18"/>
                <w:szCs w:val="18"/>
              </w:rPr>
            </w:pPr>
            <w:r w:rsidRPr="008B629F">
              <w:rPr>
                <w:rFonts w:cs="Times New Roman"/>
                <w:b/>
                <w:bCs/>
                <w:sz w:val="18"/>
                <w:szCs w:val="18"/>
              </w:rPr>
              <w:t>Abstract summary</w:t>
            </w:r>
          </w:p>
        </w:tc>
      </w:tr>
      <w:tr w:rsidR="008B629F" w:rsidRPr="00736B36" w14:paraId="12547150" w14:textId="77777777" w:rsidTr="008B629F">
        <w:tc>
          <w:tcPr>
            <w:tcW w:w="1623" w:type="dxa"/>
            <w:vAlign w:val="center"/>
          </w:tcPr>
          <w:p w14:paraId="36DBEF93" w14:textId="77777777" w:rsidR="008B629F" w:rsidRPr="008B629F" w:rsidRDefault="008B629F" w:rsidP="008B629F">
            <w:pPr>
              <w:jc w:val="center"/>
              <w:rPr>
                <w:rFonts w:cs="Times New Roman"/>
                <w:sz w:val="18"/>
                <w:szCs w:val="18"/>
                <w:lang w:val="en-US"/>
              </w:rPr>
            </w:pPr>
            <w:r w:rsidRPr="008B629F">
              <w:rPr>
                <w:rFonts w:cs="Times New Roman"/>
                <w:sz w:val="18"/>
                <w:szCs w:val="18"/>
                <w:lang w:val="en-US"/>
              </w:rPr>
              <w:t>Emerging phase change cold storage technology for fresh products cold chain logistics</w:t>
            </w:r>
          </w:p>
        </w:tc>
        <w:tc>
          <w:tcPr>
            <w:tcW w:w="1109" w:type="dxa"/>
            <w:vAlign w:val="center"/>
          </w:tcPr>
          <w:p w14:paraId="2E82AC00" w14:textId="77777777" w:rsidR="008B629F" w:rsidRPr="008B629F" w:rsidRDefault="008B629F" w:rsidP="008B629F">
            <w:pPr>
              <w:jc w:val="center"/>
              <w:rPr>
                <w:rFonts w:cs="Times New Roman"/>
                <w:sz w:val="18"/>
                <w:szCs w:val="18"/>
              </w:rPr>
            </w:pPr>
            <w:r w:rsidRPr="008B629F">
              <w:rPr>
                <w:rFonts w:cs="Times New Roman"/>
                <w:sz w:val="18"/>
                <w:szCs w:val="18"/>
              </w:rPr>
              <w:t>Li, M., Xie, B., Li, Y., ... Leng, G., Li, C.</w:t>
            </w:r>
          </w:p>
        </w:tc>
        <w:tc>
          <w:tcPr>
            <w:tcW w:w="1581" w:type="dxa"/>
            <w:vAlign w:val="center"/>
          </w:tcPr>
          <w:p w14:paraId="660D4E6B" w14:textId="77777777" w:rsidR="008B629F" w:rsidRPr="008B629F" w:rsidRDefault="008B629F" w:rsidP="008B629F">
            <w:pPr>
              <w:jc w:val="center"/>
              <w:rPr>
                <w:rFonts w:cs="Times New Roman"/>
                <w:sz w:val="18"/>
                <w:szCs w:val="18"/>
              </w:rPr>
            </w:pPr>
            <w:r w:rsidRPr="008B629F">
              <w:rPr>
                <w:rFonts w:cs="Times New Roman"/>
                <w:sz w:val="18"/>
                <w:szCs w:val="18"/>
              </w:rPr>
              <w:t>Journal of Energy Storage, 88, 111531</w:t>
            </w:r>
          </w:p>
        </w:tc>
        <w:tc>
          <w:tcPr>
            <w:tcW w:w="790" w:type="dxa"/>
            <w:vAlign w:val="center"/>
          </w:tcPr>
          <w:p w14:paraId="27865795" w14:textId="77777777" w:rsidR="008B629F" w:rsidRPr="008B629F" w:rsidRDefault="008B629F" w:rsidP="008B629F">
            <w:pPr>
              <w:jc w:val="center"/>
              <w:rPr>
                <w:rFonts w:cs="Times New Roman"/>
                <w:sz w:val="18"/>
                <w:szCs w:val="18"/>
              </w:rPr>
            </w:pPr>
            <w:r w:rsidRPr="008B629F">
              <w:rPr>
                <w:rFonts w:cs="Times New Roman"/>
                <w:sz w:val="18"/>
                <w:szCs w:val="18"/>
              </w:rPr>
              <w:t>2024</w:t>
            </w:r>
          </w:p>
        </w:tc>
        <w:tc>
          <w:tcPr>
            <w:tcW w:w="1112" w:type="dxa"/>
            <w:vAlign w:val="center"/>
          </w:tcPr>
          <w:p w14:paraId="67DABA81" w14:textId="77777777" w:rsidR="008B629F" w:rsidRPr="008B629F" w:rsidRDefault="008B629F" w:rsidP="008B629F">
            <w:pPr>
              <w:jc w:val="center"/>
              <w:rPr>
                <w:rFonts w:cs="Times New Roman"/>
                <w:sz w:val="18"/>
                <w:szCs w:val="18"/>
              </w:rPr>
            </w:pPr>
            <w:r w:rsidRPr="008B629F">
              <w:rPr>
                <w:rFonts w:cs="Times New Roman"/>
                <w:sz w:val="18"/>
                <w:szCs w:val="18"/>
              </w:rPr>
              <w:t>19</w:t>
            </w:r>
          </w:p>
        </w:tc>
        <w:tc>
          <w:tcPr>
            <w:tcW w:w="2641" w:type="dxa"/>
            <w:vAlign w:val="center"/>
          </w:tcPr>
          <w:p w14:paraId="0CED9AB3" w14:textId="24AC8AF5" w:rsidR="008B629F" w:rsidRPr="008B629F" w:rsidRDefault="008B629F" w:rsidP="00C07F22">
            <w:pPr>
              <w:rPr>
                <w:rFonts w:cs="Times New Roman"/>
                <w:sz w:val="18"/>
                <w:szCs w:val="18"/>
                <w:lang w:val="en-US"/>
              </w:rPr>
            </w:pPr>
            <w:r w:rsidRPr="008B629F">
              <w:rPr>
                <w:rFonts w:cs="Times New Roman"/>
                <w:sz w:val="18"/>
                <w:szCs w:val="18"/>
                <w:lang w:val="en-US"/>
              </w:rPr>
              <w:t>Phase-change cold storage paired with logistics equipment cuts cost, energy use, and emissions while keeping uniform temperatures. Reviews PCM types, selection/optimization, and use across cold-chain devices; outlines current gaps and future R&amp;D needs.</w:t>
            </w:r>
          </w:p>
        </w:tc>
      </w:tr>
      <w:tr w:rsidR="008B629F" w:rsidRPr="00736B36" w14:paraId="1DE5616D" w14:textId="77777777" w:rsidTr="008B629F">
        <w:tc>
          <w:tcPr>
            <w:tcW w:w="1623" w:type="dxa"/>
            <w:vAlign w:val="center"/>
          </w:tcPr>
          <w:p w14:paraId="4C8BCAF3" w14:textId="77777777" w:rsidR="008B629F" w:rsidRPr="008B629F" w:rsidRDefault="008B629F" w:rsidP="008B629F">
            <w:pPr>
              <w:jc w:val="center"/>
              <w:rPr>
                <w:rFonts w:cs="Times New Roman"/>
                <w:sz w:val="18"/>
                <w:szCs w:val="18"/>
                <w:lang w:val="en-US"/>
              </w:rPr>
            </w:pPr>
            <w:r w:rsidRPr="008B629F">
              <w:rPr>
                <w:rFonts w:cs="Times New Roman"/>
                <w:sz w:val="18"/>
                <w:szCs w:val="18"/>
                <w:lang w:val="en-US"/>
              </w:rPr>
              <w:t>Cold chain transportation energy conservation and emission reduction based on phase change materials under dual‑carbon background: A review</w:t>
            </w:r>
          </w:p>
        </w:tc>
        <w:tc>
          <w:tcPr>
            <w:tcW w:w="1109" w:type="dxa"/>
            <w:vAlign w:val="center"/>
          </w:tcPr>
          <w:p w14:paraId="29F5B1A8" w14:textId="77777777" w:rsidR="008B629F" w:rsidRPr="008B629F" w:rsidRDefault="008B629F" w:rsidP="008B629F">
            <w:pPr>
              <w:jc w:val="center"/>
              <w:rPr>
                <w:rFonts w:cs="Times New Roman"/>
                <w:sz w:val="18"/>
                <w:szCs w:val="18"/>
                <w:lang w:val="en-US"/>
              </w:rPr>
            </w:pPr>
            <w:r w:rsidRPr="008B629F">
              <w:rPr>
                <w:rFonts w:cs="Times New Roman"/>
                <w:sz w:val="18"/>
                <w:szCs w:val="18"/>
                <w:lang w:val="en-US"/>
              </w:rPr>
              <w:t>Chen, Y., Zhang, X., Ji, J., Zhang, C.</w:t>
            </w:r>
          </w:p>
        </w:tc>
        <w:tc>
          <w:tcPr>
            <w:tcW w:w="1581" w:type="dxa"/>
            <w:vAlign w:val="center"/>
          </w:tcPr>
          <w:p w14:paraId="51AD4AA7" w14:textId="77777777" w:rsidR="008B629F" w:rsidRPr="008B629F" w:rsidRDefault="008B629F" w:rsidP="008B629F">
            <w:pPr>
              <w:jc w:val="center"/>
              <w:rPr>
                <w:rFonts w:cs="Times New Roman"/>
                <w:sz w:val="18"/>
                <w:szCs w:val="18"/>
              </w:rPr>
            </w:pPr>
            <w:r w:rsidRPr="008B629F">
              <w:rPr>
                <w:rFonts w:cs="Times New Roman"/>
                <w:sz w:val="18"/>
                <w:szCs w:val="18"/>
              </w:rPr>
              <w:t>Journal of Energy Storage, 86, 111258</w:t>
            </w:r>
          </w:p>
        </w:tc>
        <w:tc>
          <w:tcPr>
            <w:tcW w:w="790" w:type="dxa"/>
            <w:vAlign w:val="center"/>
          </w:tcPr>
          <w:p w14:paraId="0015D398" w14:textId="77777777" w:rsidR="008B629F" w:rsidRPr="008B629F" w:rsidRDefault="008B629F" w:rsidP="008B629F">
            <w:pPr>
              <w:jc w:val="center"/>
              <w:rPr>
                <w:rFonts w:cs="Times New Roman"/>
                <w:sz w:val="18"/>
                <w:szCs w:val="18"/>
              </w:rPr>
            </w:pPr>
            <w:r w:rsidRPr="008B629F">
              <w:rPr>
                <w:rFonts w:cs="Times New Roman"/>
                <w:sz w:val="18"/>
                <w:szCs w:val="18"/>
              </w:rPr>
              <w:t>2024</w:t>
            </w:r>
          </w:p>
        </w:tc>
        <w:tc>
          <w:tcPr>
            <w:tcW w:w="1112" w:type="dxa"/>
            <w:vAlign w:val="center"/>
          </w:tcPr>
          <w:p w14:paraId="60632969" w14:textId="77777777" w:rsidR="008B629F" w:rsidRPr="008B629F" w:rsidRDefault="008B629F" w:rsidP="008B629F">
            <w:pPr>
              <w:jc w:val="center"/>
              <w:rPr>
                <w:rFonts w:cs="Times New Roman"/>
                <w:sz w:val="18"/>
                <w:szCs w:val="18"/>
              </w:rPr>
            </w:pPr>
            <w:r w:rsidRPr="008B629F">
              <w:rPr>
                <w:rFonts w:cs="Times New Roman"/>
                <w:sz w:val="18"/>
                <w:szCs w:val="18"/>
              </w:rPr>
              <w:t>24</w:t>
            </w:r>
          </w:p>
        </w:tc>
        <w:tc>
          <w:tcPr>
            <w:tcW w:w="2641" w:type="dxa"/>
            <w:vAlign w:val="center"/>
          </w:tcPr>
          <w:p w14:paraId="2FAD1402" w14:textId="4AEF60DD" w:rsidR="008B629F" w:rsidRPr="008B629F" w:rsidRDefault="008B629F" w:rsidP="00C07F22">
            <w:pPr>
              <w:rPr>
                <w:rFonts w:cs="Times New Roman"/>
                <w:sz w:val="18"/>
                <w:szCs w:val="18"/>
                <w:lang w:val="en-US"/>
              </w:rPr>
            </w:pPr>
            <w:r w:rsidRPr="008B629F">
              <w:rPr>
                <w:rFonts w:cs="Times New Roman"/>
                <w:sz w:val="18"/>
                <w:szCs w:val="18"/>
                <w:lang w:val="en-US"/>
              </w:rPr>
              <w:t>Under carbon-reduction targets, PCM-based cold storage aids insulation, temperature control, and energy savings. Surveys PCM integration in truck compartments, temperature-field optimization, new truck designs, LCA methods for carbon footprints, and practical strategies to reduce energy and emissions.</w:t>
            </w:r>
          </w:p>
        </w:tc>
      </w:tr>
      <w:tr w:rsidR="008B629F" w:rsidRPr="00736B36" w14:paraId="59A24D04" w14:textId="77777777" w:rsidTr="008B629F">
        <w:tc>
          <w:tcPr>
            <w:tcW w:w="1623" w:type="dxa"/>
            <w:vAlign w:val="center"/>
          </w:tcPr>
          <w:p w14:paraId="03D75E21" w14:textId="77777777" w:rsidR="008B629F" w:rsidRPr="008B629F" w:rsidRDefault="008B629F" w:rsidP="008B629F">
            <w:pPr>
              <w:jc w:val="center"/>
              <w:rPr>
                <w:rFonts w:cs="Times New Roman"/>
                <w:sz w:val="18"/>
                <w:szCs w:val="18"/>
                <w:lang w:val="en-US"/>
              </w:rPr>
            </w:pPr>
            <w:r w:rsidRPr="008B629F">
              <w:rPr>
                <w:rFonts w:cs="Times New Roman"/>
                <w:sz w:val="18"/>
                <w:szCs w:val="18"/>
                <w:lang w:val="en-US"/>
              </w:rPr>
              <w:t>Research progress of energy-saving technology in cold storage with/without phase change materials</w:t>
            </w:r>
          </w:p>
        </w:tc>
        <w:tc>
          <w:tcPr>
            <w:tcW w:w="1109" w:type="dxa"/>
            <w:vAlign w:val="center"/>
          </w:tcPr>
          <w:p w14:paraId="7842CF0F" w14:textId="77777777" w:rsidR="008B629F" w:rsidRPr="008B629F" w:rsidRDefault="008B629F" w:rsidP="008B629F">
            <w:pPr>
              <w:jc w:val="center"/>
              <w:rPr>
                <w:rFonts w:cs="Times New Roman"/>
                <w:sz w:val="18"/>
                <w:szCs w:val="18"/>
              </w:rPr>
            </w:pPr>
            <w:r w:rsidRPr="008B629F">
              <w:rPr>
                <w:rFonts w:cs="Times New Roman"/>
                <w:sz w:val="18"/>
                <w:szCs w:val="18"/>
              </w:rPr>
              <w:t>Chen, Y., Zhang, X.</w:t>
            </w:r>
          </w:p>
        </w:tc>
        <w:tc>
          <w:tcPr>
            <w:tcW w:w="1581" w:type="dxa"/>
            <w:vAlign w:val="center"/>
          </w:tcPr>
          <w:p w14:paraId="360E5FB2" w14:textId="77777777" w:rsidR="008B629F" w:rsidRPr="008B629F" w:rsidRDefault="008B629F" w:rsidP="008B629F">
            <w:pPr>
              <w:jc w:val="center"/>
              <w:rPr>
                <w:rFonts w:cs="Times New Roman"/>
                <w:sz w:val="18"/>
                <w:szCs w:val="18"/>
              </w:rPr>
            </w:pPr>
            <w:r w:rsidRPr="008B629F">
              <w:rPr>
                <w:rFonts w:cs="Times New Roman"/>
                <w:sz w:val="18"/>
                <w:szCs w:val="18"/>
              </w:rPr>
              <w:t>Journal of Energy Storage, 103, 114334</w:t>
            </w:r>
          </w:p>
        </w:tc>
        <w:tc>
          <w:tcPr>
            <w:tcW w:w="790" w:type="dxa"/>
            <w:vAlign w:val="center"/>
          </w:tcPr>
          <w:p w14:paraId="607A0335" w14:textId="77777777" w:rsidR="008B629F" w:rsidRPr="008B629F" w:rsidRDefault="008B629F" w:rsidP="008B629F">
            <w:pPr>
              <w:jc w:val="center"/>
              <w:rPr>
                <w:rFonts w:cs="Times New Roman"/>
                <w:sz w:val="18"/>
                <w:szCs w:val="18"/>
              </w:rPr>
            </w:pPr>
            <w:r w:rsidRPr="008B629F">
              <w:rPr>
                <w:rFonts w:cs="Times New Roman"/>
                <w:sz w:val="18"/>
                <w:szCs w:val="18"/>
              </w:rPr>
              <w:t>2024</w:t>
            </w:r>
          </w:p>
        </w:tc>
        <w:tc>
          <w:tcPr>
            <w:tcW w:w="1112" w:type="dxa"/>
            <w:vAlign w:val="center"/>
          </w:tcPr>
          <w:p w14:paraId="43D9F666" w14:textId="77777777" w:rsidR="008B629F" w:rsidRPr="008B629F" w:rsidRDefault="008B629F" w:rsidP="008B629F">
            <w:pPr>
              <w:jc w:val="center"/>
              <w:rPr>
                <w:rFonts w:cs="Times New Roman"/>
                <w:sz w:val="18"/>
                <w:szCs w:val="18"/>
              </w:rPr>
            </w:pPr>
            <w:r w:rsidRPr="008B629F">
              <w:rPr>
                <w:rFonts w:cs="Times New Roman"/>
                <w:sz w:val="18"/>
                <w:szCs w:val="18"/>
              </w:rPr>
              <w:t>7</w:t>
            </w:r>
          </w:p>
        </w:tc>
        <w:tc>
          <w:tcPr>
            <w:tcW w:w="2641" w:type="dxa"/>
            <w:vAlign w:val="center"/>
          </w:tcPr>
          <w:p w14:paraId="5C44E216" w14:textId="141EB504" w:rsidR="008B629F" w:rsidRPr="008B629F" w:rsidRDefault="008B629F" w:rsidP="00C07F22">
            <w:pPr>
              <w:rPr>
                <w:rFonts w:cs="Times New Roman"/>
                <w:sz w:val="18"/>
                <w:szCs w:val="18"/>
                <w:lang w:val="en-US"/>
              </w:rPr>
            </w:pPr>
            <w:r w:rsidRPr="008B629F">
              <w:rPr>
                <w:rFonts w:cs="Times New Roman"/>
                <w:sz w:val="18"/>
                <w:szCs w:val="18"/>
                <w:lang w:val="en-US"/>
              </w:rPr>
              <w:t>Reviews envelope upgrades, PCM in walls/panels, efficient refrigeration equipment, renewables, and control strategies for cold stores. Concludes with guidance for scaling energy-saving measures across China’s cold-storage sector.</w:t>
            </w:r>
          </w:p>
        </w:tc>
      </w:tr>
      <w:tr w:rsidR="008B629F" w:rsidRPr="00736B36" w14:paraId="70936A02" w14:textId="77777777" w:rsidTr="008B629F">
        <w:tc>
          <w:tcPr>
            <w:tcW w:w="1623" w:type="dxa"/>
            <w:vAlign w:val="center"/>
          </w:tcPr>
          <w:p w14:paraId="4271894A" w14:textId="77777777" w:rsidR="008B629F" w:rsidRPr="008B629F" w:rsidRDefault="008B629F" w:rsidP="008B629F">
            <w:pPr>
              <w:jc w:val="center"/>
              <w:rPr>
                <w:rFonts w:cs="Times New Roman"/>
                <w:b/>
                <w:bCs/>
                <w:sz w:val="18"/>
                <w:szCs w:val="18"/>
                <w:lang w:val="en-US"/>
              </w:rPr>
            </w:pPr>
            <w:r w:rsidRPr="008B629F">
              <w:rPr>
                <w:rFonts w:cs="Times New Roman"/>
                <w:sz w:val="18"/>
                <w:szCs w:val="18"/>
                <w:lang w:val="en-US"/>
              </w:rPr>
              <w:t xml:space="preserve">Developments in phase change material (PCM) doped energy efficient polyurethane (PU) foam for perishable food </w:t>
            </w:r>
            <w:r w:rsidRPr="008B629F">
              <w:rPr>
                <w:rFonts w:cs="Times New Roman"/>
                <w:sz w:val="18"/>
                <w:szCs w:val="18"/>
                <w:lang w:val="en-US"/>
              </w:rPr>
              <w:lastRenderedPageBreak/>
              <w:t>cold-storage applications: A review</w:t>
            </w:r>
          </w:p>
          <w:p w14:paraId="18ACB8DF" w14:textId="77777777" w:rsidR="008B629F" w:rsidRPr="008B629F" w:rsidRDefault="008B629F" w:rsidP="008B629F">
            <w:pPr>
              <w:jc w:val="center"/>
              <w:rPr>
                <w:rFonts w:cs="Times New Roman"/>
                <w:sz w:val="18"/>
                <w:szCs w:val="18"/>
                <w:lang w:val="en-US"/>
              </w:rPr>
            </w:pPr>
          </w:p>
        </w:tc>
        <w:tc>
          <w:tcPr>
            <w:tcW w:w="1109" w:type="dxa"/>
            <w:vAlign w:val="center"/>
          </w:tcPr>
          <w:p w14:paraId="353D0673" w14:textId="77777777" w:rsidR="008B629F" w:rsidRPr="0067768F" w:rsidRDefault="008B629F" w:rsidP="008B629F">
            <w:pPr>
              <w:jc w:val="center"/>
              <w:rPr>
                <w:rFonts w:cs="Times New Roman"/>
                <w:sz w:val="18"/>
                <w:szCs w:val="18"/>
                <w:lang w:val="en-US"/>
              </w:rPr>
            </w:pPr>
            <w:r w:rsidRPr="0067768F">
              <w:rPr>
                <w:rFonts w:cs="Times New Roman"/>
                <w:sz w:val="18"/>
                <w:szCs w:val="18"/>
                <w:lang w:val="en-US"/>
              </w:rPr>
              <w:lastRenderedPageBreak/>
              <w:t>Sarkar, S., Mestry, S., Mhaske, S.T.</w:t>
            </w:r>
          </w:p>
        </w:tc>
        <w:tc>
          <w:tcPr>
            <w:tcW w:w="1581" w:type="dxa"/>
            <w:vAlign w:val="center"/>
          </w:tcPr>
          <w:p w14:paraId="012D2F8A" w14:textId="77777777" w:rsidR="008B629F" w:rsidRPr="008B629F" w:rsidRDefault="008B629F" w:rsidP="008B629F">
            <w:pPr>
              <w:jc w:val="center"/>
              <w:rPr>
                <w:rFonts w:cs="Times New Roman"/>
                <w:sz w:val="18"/>
                <w:szCs w:val="18"/>
              </w:rPr>
            </w:pPr>
            <w:r w:rsidRPr="008B629F">
              <w:rPr>
                <w:rFonts w:cs="Times New Roman"/>
                <w:sz w:val="18"/>
                <w:szCs w:val="18"/>
              </w:rPr>
              <w:t>Journal of Energy Storage, 50, 104620</w:t>
            </w:r>
          </w:p>
        </w:tc>
        <w:tc>
          <w:tcPr>
            <w:tcW w:w="790" w:type="dxa"/>
            <w:vAlign w:val="center"/>
          </w:tcPr>
          <w:p w14:paraId="3D8578BB" w14:textId="77777777" w:rsidR="008B629F" w:rsidRPr="008B629F" w:rsidRDefault="008B629F" w:rsidP="008B629F">
            <w:pPr>
              <w:jc w:val="center"/>
              <w:rPr>
                <w:rFonts w:cs="Times New Roman"/>
                <w:sz w:val="18"/>
                <w:szCs w:val="18"/>
              </w:rPr>
            </w:pPr>
            <w:r w:rsidRPr="008B629F">
              <w:rPr>
                <w:rFonts w:cs="Times New Roman"/>
                <w:sz w:val="18"/>
                <w:szCs w:val="18"/>
              </w:rPr>
              <w:t>2022</w:t>
            </w:r>
          </w:p>
        </w:tc>
        <w:tc>
          <w:tcPr>
            <w:tcW w:w="1112" w:type="dxa"/>
            <w:vAlign w:val="center"/>
          </w:tcPr>
          <w:p w14:paraId="44756F3B" w14:textId="77777777" w:rsidR="008B629F" w:rsidRPr="008B629F" w:rsidRDefault="008B629F" w:rsidP="008B629F">
            <w:pPr>
              <w:jc w:val="center"/>
              <w:rPr>
                <w:rFonts w:cs="Times New Roman"/>
                <w:sz w:val="18"/>
                <w:szCs w:val="18"/>
              </w:rPr>
            </w:pPr>
            <w:r w:rsidRPr="008B629F">
              <w:rPr>
                <w:rFonts w:cs="Times New Roman"/>
                <w:sz w:val="18"/>
                <w:szCs w:val="18"/>
              </w:rPr>
              <w:t>83</w:t>
            </w:r>
          </w:p>
        </w:tc>
        <w:tc>
          <w:tcPr>
            <w:tcW w:w="2641" w:type="dxa"/>
            <w:vAlign w:val="center"/>
          </w:tcPr>
          <w:p w14:paraId="683912CE" w14:textId="77777777" w:rsidR="008B629F" w:rsidRPr="008B629F" w:rsidRDefault="008B629F" w:rsidP="00C07F22">
            <w:pPr>
              <w:rPr>
                <w:rFonts w:cs="Times New Roman"/>
                <w:sz w:val="18"/>
                <w:szCs w:val="18"/>
                <w:lang w:val="en-US"/>
              </w:rPr>
            </w:pPr>
            <w:r w:rsidRPr="008B629F">
              <w:rPr>
                <w:rFonts w:cs="Times New Roman"/>
                <w:sz w:val="18"/>
                <w:szCs w:val="18"/>
                <w:lang w:val="en-US"/>
              </w:rPr>
              <w:t>Assesses PU–PCM composites (−10 to 15</w:t>
            </w:r>
            <w:r w:rsidRPr="008B629F">
              <w:rPr>
                <w:rFonts w:ascii="Times New Roman" w:hAnsi="Times New Roman" w:cs="Times New Roman"/>
                <w:sz w:val="18"/>
                <w:szCs w:val="18"/>
                <w:lang w:val="en-US"/>
              </w:rPr>
              <w:t> </w:t>
            </w:r>
            <w:r w:rsidRPr="008B629F">
              <w:rPr>
                <w:rFonts w:cs="Palatino Linotype"/>
                <w:sz w:val="18"/>
                <w:szCs w:val="18"/>
                <w:lang w:val="en-US"/>
              </w:rPr>
              <w:t>°</w:t>
            </w:r>
            <w:r w:rsidRPr="008B629F">
              <w:rPr>
                <w:rFonts w:cs="Times New Roman"/>
                <w:sz w:val="18"/>
                <w:szCs w:val="18"/>
                <w:lang w:val="en-US"/>
              </w:rPr>
              <w:t>C) for cooling</w:t>
            </w:r>
            <w:r w:rsidRPr="008B629F">
              <w:rPr>
                <w:rFonts w:cs="Palatino Linotype"/>
                <w:sz w:val="18"/>
                <w:szCs w:val="18"/>
                <w:lang w:val="en-US"/>
              </w:rPr>
              <w:t>‑</w:t>
            </w:r>
            <w:r w:rsidRPr="008B629F">
              <w:rPr>
                <w:rFonts w:cs="Times New Roman"/>
                <w:sz w:val="18"/>
                <w:szCs w:val="18"/>
                <w:lang w:val="en-US"/>
              </w:rPr>
              <w:t>load reduction. Direct mixing suffers leakage/poor cycling; encapsulated PCM (EPCM)</w:t>
            </w:r>
            <w:r w:rsidRPr="008B629F">
              <w:rPr>
                <w:rFonts w:cs="Palatino Linotype"/>
                <w:sz w:val="18"/>
                <w:szCs w:val="18"/>
                <w:lang w:val="en-US"/>
              </w:rPr>
              <w:t>—</w:t>
            </w:r>
            <w:r w:rsidRPr="008B629F">
              <w:rPr>
                <w:rFonts w:cs="Times New Roman"/>
                <w:sz w:val="18"/>
                <w:szCs w:val="18"/>
                <w:lang w:val="en-US"/>
              </w:rPr>
              <w:t>ideally organic</w:t>
            </w:r>
            <w:r w:rsidRPr="008B629F">
              <w:rPr>
                <w:rFonts w:cs="Palatino Linotype"/>
                <w:sz w:val="18"/>
                <w:szCs w:val="18"/>
                <w:lang w:val="en-US"/>
              </w:rPr>
              <w:t>–</w:t>
            </w:r>
            <w:r w:rsidRPr="008B629F">
              <w:rPr>
                <w:rFonts w:cs="Times New Roman"/>
                <w:sz w:val="18"/>
                <w:szCs w:val="18"/>
                <w:lang w:val="en-US"/>
              </w:rPr>
              <w:t>inorganic hybrid shells with paraffin cores</w:t>
            </w:r>
            <w:r w:rsidRPr="008B629F">
              <w:rPr>
                <w:rFonts w:cs="Palatino Linotype"/>
                <w:sz w:val="18"/>
                <w:szCs w:val="18"/>
                <w:lang w:val="en-US"/>
              </w:rPr>
              <w:t>—</w:t>
            </w:r>
            <w:r w:rsidRPr="008B629F">
              <w:rPr>
                <w:rFonts w:cs="Times New Roman"/>
                <w:sz w:val="18"/>
                <w:szCs w:val="18"/>
                <w:lang w:val="en-US"/>
              </w:rPr>
              <w:t xml:space="preserve">offers better reliability </w:t>
            </w:r>
            <w:r w:rsidRPr="008B629F">
              <w:rPr>
                <w:rFonts w:cs="Times New Roman"/>
                <w:sz w:val="18"/>
                <w:szCs w:val="18"/>
                <w:lang w:val="en-US"/>
              </w:rPr>
              <w:lastRenderedPageBreak/>
              <w:t>and bonding. Encapsulation method, particle size, and loading govern thermal and energy performance.</w:t>
            </w:r>
          </w:p>
        </w:tc>
      </w:tr>
      <w:tr w:rsidR="008B629F" w:rsidRPr="00736B36" w14:paraId="0DA98F1D" w14:textId="77777777" w:rsidTr="008B629F">
        <w:tc>
          <w:tcPr>
            <w:tcW w:w="1623" w:type="dxa"/>
            <w:vAlign w:val="center"/>
          </w:tcPr>
          <w:p w14:paraId="6256D49F" w14:textId="77777777" w:rsidR="008B629F" w:rsidRPr="008B629F" w:rsidRDefault="008B629F" w:rsidP="008B629F">
            <w:pPr>
              <w:jc w:val="center"/>
              <w:rPr>
                <w:rFonts w:cs="Times New Roman"/>
                <w:sz w:val="18"/>
                <w:szCs w:val="18"/>
                <w:lang w:val="en-US"/>
              </w:rPr>
            </w:pPr>
            <w:r w:rsidRPr="008B629F">
              <w:rPr>
                <w:rFonts w:cs="Times New Roman"/>
                <w:sz w:val="18"/>
                <w:szCs w:val="18"/>
                <w:lang w:val="en-US"/>
              </w:rPr>
              <w:lastRenderedPageBreak/>
              <w:t>Research progress of cold chain transport technology for storage fruits and vegetables</w:t>
            </w:r>
          </w:p>
        </w:tc>
        <w:tc>
          <w:tcPr>
            <w:tcW w:w="1109" w:type="dxa"/>
            <w:vAlign w:val="center"/>
          </w:tcPr>
          <w:p w14:paraId="3827C861" w14:textId="77777777" w:rsidR="008B629F" w:rsidRPr="008B629F" w:rsidRDefault="008B629F" w:rsidP="008B629F">
            <w:pPr>
              <w:jc w:val="center"/>
              <w:rPr>
                <w:rFonts w:cs="Times New Roman"/>
                <w:sz w:val="18"/>
                <w:szCs w:val="18"/>
              </w:rPr>
            </w:pPr>
            <w:r w:rsidRPr="008B629F">
              <w:rPr>
                <w:rFonts w:cs="Times New Roman"/>
                <w:sz w:val="18"/>
                <w:szCs w:val="18"/>
                <w:lang w:val="en-US"/>
              </w:rPr>
              <w:t xml:space="preserve">Qi, T., Ji, J., Zhang, X., ... </w:t>
            </w:r>
            <w:r w:rsidRPr="008B629F">
              <w:rPr>
                <w:rFonts w:cs="Times New Roman"/>
                <w:sz w:val="18"/>
                <w:szCs w:val="18"/>
              </w:rPr>
              <w:t>Ma, K., Gao, Y.</w:t>
            </w:r>
          </w:p>
        </w:tc>
        <w:tc>
          <w:tcPr>
            <w:tcW w:w="1581" w:type="dxa"/>
            <w:vAlign w:val="center"/>
          </w:tcPr>
          <w:p w14:paraId="693F0B4D" w14:textId="77777777" w:rsidR="008B629F" w:rsidRPr="008B629F" w:rsidRDefault="008B629F" w:rsidP="008B629F">
            <w:pPr>
              <w:jc w:val="center"/>
              <w:rPr>
                <w:rFonts w:cs="Times New Roman"/>
                <w:sz w:val="18"/>
                <w:szCs w:val="18"/>
              </w:rPr>
            </w:pPr>
            <w:r w:rsidRPr="008B629F">
              <w:rPr>
                <w:rFonts w:cs="Times New Roman"/>
                <w:sz w:val="18"/>
                <w:szCs w:val="18"/>
              </w:rPr>
              <w:t>Journal of Energy Storage, 56, 105958</w:t>
            </w:r>
          </w:p>
        </w:tc>
        <w:tc>
          <w:tcPr>
            <w:tcW w:w="790" w:type="dxa"/>
            <w:vAlign w:val="center"/>
          </w:tcPr>
          <w:p w14:paraId="32A16F8D" w14:textId="77777777" w:rsidR="008B629F" w:rsidRPr="008B629F" w:rsidRDefault="008B629F" w:rsidP="008B629F">
            <w:pPr>
              <w:jc w:val="center"/>
              <w:rPr>
                <w:rFonts w:cs="Times New Roman"/>
                <w:sz w:val="18"/>
                <w:szCs w:val="18"/>
              </w:rPr>
            </w:pPr>
            <w:r w:rsidRPr="008B629F">
              <w:rPr>
                <w:rFonts w:cs="Times New Roman"/>
                <w:sz w:val="18"/>
                <w:szCs w:val="18"/>
              </w:rPr>
              <w:t>2022</w:t>
            </w:r>
          </w:p>
        </w:tc>
        <w:tc>
          <w:tcPr>
            <w:tcW w:w="1112" w:type="dxa"/>
            <w:vAlign w:val="center"/>
          </w:tcPr>
          <w:p w14:paraId="7641413F" w14:textId="77777777" w:rsidR="008B629F" w:rsidRPr="008B629F" w:rsidRDefault="008B629F" w:rsidP="008B629F">
            <w:pPr>
              <w:jc w:val="center"/>
              <w:rPr>
                <w:rFonts w:cs="Times New Roman"/>
                <w:sz w:val="18"/>
                <w:szCs w:val="18"/>
              </w:rPr>
            </w:pPr>
            <w:r w:rsidRPr="008B629F">
              <w:rPr>
                <w:rFonts w:cs="Times New Roman"/>
                <w:sz w:val="18"/>
                <w:szCs w:val="18"/>
              </w:rPr>
              <w:t>56</w:t>
            </w:r>
          </w:p>
        </w:tc>
        <w:tc>
          <w:tcPr>
            <w:tcW w:w="2641" w:type="dxa"/>
            <w:vAlign w:val="center"/>
          </w:tcPr>
          <w:p w14:paraId="4AA3EC35" w14:textId="38E5265B" w:rsidR="008B629F" w:rsidRPr="008B629F" w:rsidRDefault="008B629F" w:rsidP="00C07F22">
            <w:pPr>
              <w:rPr>
                <w:rFonts w:cs="Times New Roman"/>
                <w:sz w:val="18"/>
                <w:szCs w:val="18"/>
                <w:lang w:val="en-US"/>
              </w:rPr>
            </w:pPr>
            <w:r w:rsidRPr="008B629F">
              <w:rPr>
                <w:rFonts w:cs="Times New Roman"/>
                <w:sz w:val="18"/>
                <w:szCs w:val="18"/>
                <w:lang w:val="en-US"/>
              </w:rPr>
              <w:t>Because produce is perishable and temperature‑sensitive, PCM cold storage can stabilize temperatures, improve safety, and save energy versus purely mechanical refrigeration. Reviews box design, refrigeration/insulation roles, demonstrated benefits, and research needs for a more efficient produce cold chain.</w:t>
            </w:r>
          </w:p>
        </w:tc>
      </w:tr>
      <w:tr w:rsidR="008B629F" w:rsidRPr="008B629F" w14:paraId="0C1770C8" w14:textId="77777777" w:rsidTr="008B629F">
        <w:tc>
          <w:tcPr>
            <w:tcW w:w="1623" w:type="dxa"/>
            <w:vAlign w:val="center"/>
          </w:tcPr>
          <w:p w14:paraId="3CE4078E" w14:textId="77777777" w:rsidR="008B629F" w:rsidRPr="008B629F" w:rsidRDefault="008B629F" w:rsidP="008B629F">
            <w:pPr>
              <w:jc w:val="center"/>
              <w:rPr>
                <w:rFonts w:cs="Times New Roman"/>
                <w:sz w:val="18"/>
                <w:szCs w:val="18"/>
                <w:lang w:val="en-US"/>
              </w:rPr>
            </w:pPr>
            <w:r w:rsidRPr="008B629F">
              <w:rPr>
                <w:rFonts w:cs="Times New Roman"/>
                <w:sz w:val="18"/>
                <w:szCs w:val="18"/>
                <w:lang w:val="en-US"/>
              </w:rPr>
              <w:t>Review on operation control of cold thermal energy storage in cooling systems</w:t>
            </w:r>
          </w:p>
        </w:tc>
        <w:tc>
          <w:tcPr>
            <w:tcW w:w="1109" w:type="dxa"/>
            <w:vAlign w:val="center"/>
          </w:tcPr>
          <w:p w14:paraId="13029906" w14:textId="77777777" w:rsidR="008B629F" w:rsidRPr="008B629F" w:rsidRDefault="008B629F" w:rsidP="008B629F">
            <w:pPr>
              <w:jc w:val="center"/>
              <w:rPr>
                <w:rFonts w:cs="Times New Roman"/>
                <w:sz w:val="18"/>
                <w:szCs w:val="18"/>
              </w:rPr>
            </w:pPr>
            <w:r w:rsidRPr="008B629F">
              <w:rPr>
                <w:rFonts w:cs="Times New Roman"/>
                <w:sz w:val="18"/>
                <w:szCs w:val="18"/>
              </w:rPr>
              <w:t>Wang, H., Xie, B., Li, C.</w:t>
            </w:r>
          </w:p>
        </w:tc>
        <w:tc>
          <w:tcPr>
            <w:tcW w:w="1581" w:type="dxa"/>
            <w:vAlign w:val="center"/>
          </w:tcPr>
          <w:p w14:paraId="65B524C3" w14:textId="77777777" w:rsidR="008B629F" w:rsidRPr="008B629F" w:rsidRDefault="008B629F" w:rsidP="008B629F">
            <w:pPr>
              <w:jc w:val="center"/>
              <w:rPr>
                <w:rFonts w:cs="Times New Roman"/>
                <w:sz w:val="18"/>
                <w:szCs w:val="18"/>
                <w:lang w:val="en-US"/>
              </w:rPr>
            </w:pPr>
            <w:r w:rsidRPr="008B629F">
              <w:rPr>
                <w:rFonts w:cs="Times New Roman"/>
                <w:sz w:val="18"/>
                <w:szCs w:val="18"/>
                <w:lang w:val="en-US"/>
              </w:rPr>
              <w:t>Energy and Built Environment, 6(3), pp. 509–523</w:t>
            </w:r>
          </w:p>
        </w:tc>
        <w:tc>
          <w:tcPr>
            <w:tcW w:w="790" w:type="dxa"/>
            <w:vAlign w:val="center"/>
          </w:tcPr>
          <w:p w14:paraId="715045C5" w14:textId="77777777" w:rsidR="008B629F" w:rsidRPr="008B629F" w:rsidRDefault="008B629F" w:rsidP="008B629F">
            <w:pPr>
              <w:jc w:val="center"/>
              <w:rPr>
                <w:rFonts w:cs="Times New Roman"/>
                <w:sz w:val="18"/>
                <w:szCs w:val="18"/>
              </w:rPr>
            </w:pPr>
            <w:r w:rsidRPr="008B629F">
              <w:rPr>
                <w:rFonts w:cs="Times New Roman"/>
                <w:sz w:val="18"/>
                <w:szCs w:val="18"/>
              </w:rPr>
              <w:t>2025</w:t>
            </w:r>
          </w:p>
        </w:tc>
        <w:tc>
          <w:tcPr>
            <w:tcW w:w="1112" w:type="dxa"/>
            <w:vAlign w:val="center"/>
          </w:tcPr>
          <w:p w14:paraId="2F919D37" w14:textId="77777777" w:rsidR="008B629F" w:rsidRPr="008B629F" w:rsidRDefault="008B629F" w:rsidP="008B629F">
            <w:pPr>
              <w:jc w:val="center"/>
              <w:rPr>
                <w:rFonts w:cs="Times New Roman"/>
                <w:sz w:val="18"/>
                <w:szCs w:val="18"/>
              </w:rPr>
            </w:pPr>
            <w:r w:rsidRPr="008B629F">
              <w:rPr>
                <w:rFonts w:cs="Times New Roman"/>
                <w:sz w:val="18"/>
                <w:szCs w:val="18"/>
              </w:rPr>
              <w:t>19</w:t>
            </w:r>
          </w:p>
        </w:tc>
        <w:tc>
          <w:tcPr>
            <w:tcW w:w="2641" w:type="dxa"/>
            <w:vAlign w:val="center"/>
          </w:tcPr>
          <w:p w14:paraId="0D18D105" w14:textId="26DA3192" w:rsidR="008B629F" w:rsidRPr="008B629F" w:rsidRDefault="008B629F" w:rsidP="00C07F22">
            <w:pPr>
              <w:rPr>
                <w:rFonts w:cs="Times New Roman"/>
                <w:sz w:val="18"/>
                <w:szCs w:val="18"/>
              </w:rPr>
            </w:pPr>
            <w:r w:rsidRPr="008B629F">
              <w:rPr>
                <w:rFonts w:cs="Times New Roman"/>
                <w:sz w:val="18"/>
                <w:szCs w:val="18"/>
                <w:lang w:val="en-US"/>
              </w:rPr>
              <w:t xml:space="preserve">Overviews CTES principles, PCM media, and applications (buildings, cold chain, other refrigeration) with emphasis on operation/control: strategies, load prediction (parametric vs ANN), and economic evaluation (CAPEX/OPEX/LCC). </w:t>
            </w:r>
            <w:r w:rsidRPr="008B629F">
              <w:rPr>
                <w:rFonts w:cs="Times New Roman"/>
                <w:sz w:val="18"/>
                <w:szCs w:val="18"/>
              </w:rPr>
              <w:t>Provides an outlook on optimized CTES‑coupled cooling.</w:t>
            </w:r>
          </w:p>
        </w:tc>
      </w:tr>
      <w:tr w:rsidR="008B629F" w:rsidRPr="00736B36" w14:paraId="2A9904FE" w14:textId="77777777" w:rsidTr="008B629F">
        <w:tc>
          <w:tcPr>
            <w:tcW w:w="1623" w:type="dxa"/>
            <w:vAlign w:val="center"/>
          </w:tcPr>
          <w:p w14:paraId="2BE611E5" w14:textId="6163ECDB" w:rsidR="008B629F" w:rsidRPr="008B629F" w:rsidRDefault="008B629F" w:rsidP="008B629F">
            <w:pPr>
              <w:jc w:val="center"/>
              <w:rPr>
                <w:rFonts w:cs="Times New Roman"/>
                <w:b/>
                <w:bCs/>
                <w:sz w:val="18"/>
                <w:szCs w:val="18"/>
                <w:lang w:val="en-US"/>
              </w:rPr>
            </w:pPr>
            <w:r w:rsidRPr="008B629F">
              <w:rPr>
                <w:rFonts w:cs="Times New Roman"/>
                <w:sz w:val="18"/>
                <w:szCs w:val="18"/>
                <w:lang w:val="en-US"/>
              </w:rPr>
              <w:t>Properties and encapsulation forms of phase change material and various types of cold storage box for cold chain logistics: A review</w:t>
            </w:r>
          </w:p>
        </w:tc>
        <w:tc>
          <w:tcPr>
            <w:tcW w:w="1109" w:type="dxa"/>
            <w:vAlign w:val="center"/>
          </w:tcPr>
          <w:p w14:paraId="34493F74" w14:textId="77777777" w:rsidR="008B629F" w:rsidRPr="008B629F" w:rsidRDefault="008B629F" w:rsidP="008B629F">
            <w:pPr>
              <w:jc w:val="center"/>
              <w:rPr>
                <w:rFonts w:cs="Times New Roman"/>
                <w:sz w:val="18"/>
                <w:szCs w:val="18"/>
                <w:lang w:val="en-US"/>
              </w:rPr>
            </w:pPr>
            <w:r w:rsidRPr="008B629F">
              <w:rPr>
                <w:rFonts w:cs="Times New Roman"/>
                <w:sz w:val="18"/>
                <w:szCs w:val="18"/>
                <w:lang w:val="en-US"/>
              </w:rPr>
              <w:t>Sha, Y., Hua, W., Cao, H., Zhang, X.</w:t>
            </w:r>
          </w:p>
        </w:tc>
        <w:tc>
          <w:tcPr>
            <w:tcW w:w="1581" w:type="dxa"/>
            <w:vAlign w:val="center"/>
          </w:tcPr>
          <w:p w14:paraId="791426FE" w14:textId="77777777" w:rsidR="008B629F" w:rsidRPr="008B629F" w:rsidRDefault="008B629F" w:rsidP="008B629F">
            <w:pPr>
              <w:jc w:val="center"/>
              <w:rPr>
                <w:rFonts w:cs="Times New Roman"/>
                <w:sz w:val="18"/>
                <w:szCs w:val="18"/>
              </w:rPr>
            </w:pPr>
            <w:r w:rsidRPr="008B629F">
              <w:rPr>
                <w:rFonts w:cs="Times New Roman"/>
                <w:sz w:val="18"/>
                <w:szCs w:val="18"/>
              </w:rPr>
              <w:t>Journal of Energy Storage, 55, 105426</w:t>
            </w:r>
          </w:p>
        </w:tc>
        <w:tc>
          <w:tcPr>
            <w:tcW w:w="790" w:type="dxa"/>
            <w:vAlign w:val="center"/>
          </w:tcPr>
          <w:p w14:paraId="1528E705" w14:textId="77777777" w:rsidR="008B629F" w:rsidRPr="008B629F" w:rsidRDefault="008B629F" w:rsidP="008B629F">
            <w:pPr>
              <w:jc w:val="center"/>
              <w:rPr>
                <w:rFonts w:cs="Times New Roman"/>
                <w:sz w:val="18"/>
                <w:szCs w:val="18"/>
              </w:rPr>
            </w:pPr>
            <w:r w:rsidRPr="008B629F">
              <w:rPr>
                <w:rFonts w:cs="Times New Roman"/>
                <w:sz w:val="18"/>
                <w:szCs w:val="18"/>
              </w:rPr>
              <w:t>2022</w:t>
            </w:r>
          </w:p>
        </w:tc>
        <w:tc>
          <w:tcPr>
            <w:tcW w:w="1112" w:type="dxa"/>
            <w:vAlign w:val="center"/>
          </w:tcPr>
          <w:p w14:paraId="5D337153" w14:textId="77777777" w:rsidR="008B629F" w:rsidRPr="008B629F" w:rsidRDefault="008B629F" w:rsidP="008B629F">
            <w:pPr>
              <w:jc w:val="center"/>
              <w:rPr>
                <w:rFonts w:cs="Times New Roman"/>
                <w:sz w:val="18"/>
                <w:szCs w:val="18"/>
              </w:rPr>
            </w:pPr>
            <w:r w:rsidRPr="008B629F">
              <w:rPr>
                <w:rFonts w:cs="Times New Roman"/>
                <w:sz w:val="18"/>
                <w:szCs w:val="18"/>
              </w:rPr>
              <w:t>50</w:t>
            </w:r>
          </w:p>
        </w:tc>
        <w:tc>
          <w:tcPr>
            <w:tcW w:w="2641" w:type="dxa"/>
            <w:vAlign w:val="center"/>
          </w:tcPr>
          <w:p w14:paraId="198F5412" w14:textId="02319E64" w:rsidR="008B629F" w:rsidRPr="008B629F" w:rsidRDefault="008B629F" w:rsidP="00C07F22">
            <w:pPr>
              <w:rPr>
                <w:rFonts w:cs="Times New Roman"/>
                <w:sz w:val="18"/>
                <w:szCs w:val="18"/>
                <w:lang w:val="en-US"/>
              </w:rPr>
            </w:pPr>
            <w:r w:rsidRPr="008B629F">
              <w:rPr>
                <w:rFonts w:cs="Times New Roman"/>
                <w:sz w:val="18"/>
                <w:szCs w:val="18"/>
                <w:lang w:val="en-US"/>
              </w:rPr>
              <w:t>Surveys PCM materials, storage units, and diversified passive cold‑storage boxes that can pair with renewable energy. Highlights directions for next‑gen PCM materials and box designs to improve efficiency and sustainability in cold‑chain logistics</w:t>
            </w:r>
            <w:r>
              <w:rPr>
                <w:rFonts w:cs="Times New Roman"/>
                <w:sz w:val="18"/>
                <w:szCs w:val="18"/>
                <w:lang w:val="en-US"/>
              </w:rPr>
              <w:t>.</w:t>
            </w:r>
          </w:p>
        </w:tc>
      </w:tr>
      <w:tr w:rsidR="008B629F" w:rsidRPr="00736B36" w14:paraId="57B3581A" w14:textId="77777777" w:rsidTr="008B629F">
        <w:tc>
          <w:tcPr>
            <w:tcW w:w="1623" w:type="dxa"/>
            <w:vAlign w:val="center"/>
          </w:tcPr>
          <w:p w14:paraId="4B613E91" w14:textId="77777777" w:rsidR="008B629F" w:rsidRPr="008B629F" w:rsidRDefault="008B629F" w:rsidP="008B629F">
            <w:pPr>
              <w:jc w:val="center"/>
              <w:rPr>
                <w:rFonts w:cs="Times New Roman"/>
                <w:sz w:val="18"/>
                <w:szCs w:val="18"/>
                <w:lang w:val="en-US"/>
              </w:rPr>
            </w:pPr>
            <w:r w:rsidRPr="008B629F">
              <w:rPr>
                <w:rFonts w:cs="Times New Roman"/>
                <w:sz w:val="18"/>
                <w:szCs w:val="18"/>
                <w:lang w:val="en-US"/>
              </w:rPr>
              <w:t>Review on cold thermal energy storage applied to refrigeration systems using phase change materials</w:t>
            </w:r>
          </w:p>
        </w:tc>
        <w:tc>
          <w:tcPr>
            <w:tcW w:w="1109" w:type="dxa"/>
            <w:vAlign w:val="center"/>
          </w:tcPr>
          <w:p w14:paraId="6CAA26A7" w14:textId="77777777" w:rsidR="008B629F" w:rsidRPr="0067768F" w:rsidRDefault="008B629F" w:rsidP="008B629F">
            <w:pPr>
              <w:jc w:val="center"/>
              <w:rPr>
                <w:rFonts w:cs="Times New Roman"/>
                <w:sz w:val="18"/>
                <w:szCs w:val="18"/>
                <w:lang w:val="en-US"/>
              </w:rPr>
            </w:pPr>
            <w:r w:rsidRPr="0067768F">
              <w:rPr>
                <w:rFonts w:cs="Times New Roman"/>
                <w:sz w:val="18"/>
                <w:szCs w:val="18"/>
                <w:lang w:val="en-US"/>
              </w:rPr>
              <w:t>Selvnes, H., Allouche, Y., Manescu, R.I., Hafner, A.</w:t>
            </w:r>
          </w:p>
        </w:tc>
        <w:tc>
          <w:tcPr>
            <w:tcW w:w="1581" w:type="dxa"/>
            <w:vAlign w:val="center"/>
          </w:tcPr>
          <w:p w14:paraId="5699B6AC" w14:textId="77777777" w:rsidR="008B629F" w:rsidRPr="008B629F" w:rsidRDefault="008B629F" w:rsidP="008B629F">
            <w:pPr>
              <w:jc w:val="center"/>
              <w:rPr>
                <w:rFonts w:cs="Times New Roman"/>
                <w:sz w:val="18"/>
                <w:szCs w:val="18"/>
                <w:lang w:val="en-US"/>
              </w:rPr>
            </w:pPr>
            <w:r w:rsidRPr="008B629F">
              <w:rPr>
                <w:rFonts w:cs="Times New Roman"/>
                <w:sz w:val="18"/>
                <w:szCs w:val="18"/>
                <w:lang w:val="en-US"/>
              </w:rPr>
              <w:t>Thermal Science and Engineering Progress, 22, 100807</w:t>
            </w:r>
          </w:p>
        </w:tc>
        <w:tc>
          <w:tcPr>
            <w:tcW w:w="790" w:type="dxa"/>
            <w:vAlign w:val="center"/>
          </w:tcPr>
          <w:p w14:paraId="6201D4CD" w14:textId="77777777" w:rsidR="008B629F" w:rsidRPr="008B629F" w:rsidRDefault="008B629F" w:rsidP="008B629F">
            <w:pPr>
              <w:jc w:val="center"/>
              <w:rPr>
                <w:rFonts w:cs="Times New Roman"/>
                <w:sz w:val="18"/>
                <w:szCs w:val="18"/>
              </w:rPr>
            </w:pPr>
            <w:r w:rsidRPr="008B629F">
              <w:rPr>
                <w:rFonts w:cs="Times New Roman"/>
                <w:sz w:val="18"/>
                <w:szCs w:val="18"/>
              </w:rPr>
              <w:t>2021</w:t>
            </w:r>
          </w:p>
        </w:tc>
        <w:tc>
          <w:tcPr>
            <w:tcW w:w="1112" w:type="dxa"/>
            <w:vAlign w:val="center"/>
          </w:tcPr>
          <w:p w14:paraId="7B4DA106" w14:textId="77777777" w:rsidR="008B629F" w:rsidRPr="008B629F" w:rsidRDefault="008B629F" w:rsidP="008B629F">
            <w:pPr>
              <w:jc w:val="center"/>
              <w:rPr>
                <w:rFonts w:cs="Times New Roman"/>
                <w:sz w:val="18"/>
                <w:szCs w:val="18"/>
              </w:rPr>
            </w:pPr>
            <w:r w:rsidRPr="008B629F">
              <w:rPr>
                <w:rFonts w:cs="Times New Roman"/>
                <w:sz w:val="18"/>
                <w:szCs w:val="18"/>
              </w:rPr>
              <w:t>197</w:t>
            </w:r>
          </w:p>
        </w:tc>
        <w:tc>
          <w:tcPr>
            <w:tcW w:w="2641" w:type="dxa"/>
            <w:vAlign w:val="center"/>
          </w:tcPr>
          <w:p w14:paraId="3CBDC820" w14:textId="7D002394" w:rsidR="008B629F" w:rsidRPr="008B629F" w:rsidRDefault="008B629F" w:rsidP="00C07F22">
            <w:pPr>
              <w:rPr>
                <w:rFonts w:cs="Times New Roman"/>
                <w:sz w:val="18"/>
                <w:szCs w:val="18"/>
                <w:lang w:val="en-US"/>
              </w:rPr>
            </w:pPr>
            <w:r w:rsidRPr="008B629F">
              <w:rPr>
                <w:rFonts w:cs="Times New Roman"/>
                <w:sz w:val="18"/>
                <w:szCs w:val="18"/>
                <w:lang w:val="en-US"/>
              </w:rPr>
              <w:t>Classifies PCMs for AC (~20</w:t>
            </w:r>
            <w:r w:rsidRPr="008B629F">
              <w:rPr>
                <w:rFonts w:ascii="Times New Roman" w:hAnsi="Times New Roman" w:cs="Times New Roman"/>
                <w:sz w:val="18"/>
                <w:szCs w:val="18"/>
                <w:lang w:val="en-US"/>
              </w:rPr>
              <w:t> </w:t>
            </w:r>
            <w:r w:rsidRPr="008B629F">
              <w:rPr>
                <w:rFonts w:cs="Palatino Linotype"/>
                <w:sz w:val="18"/>
                <w:szCs w:val="18"/>
                <w:lang w:val="en-US"/>
              </w:rPr>
              <w:t>°</w:t>
            </w:r>
            <w:r w:rsidRPr="008B629F">
              <w:rPr>
                <w:rFonts w:cs="Times New Roman"/>
                <w:sz w:val="18"/>
                <w:szCs w:val="18"/>
                <w:lang w:val="en-US"/>
              </w:rPr>
              <w:t xml:space="preserve">C) down to </w:t>
            </w:r>
            <w:r w:rsidRPr="008B629F">
              <w:rPr>
                <w:rFonts w:cs="Palatino Linotype"/>
                <w:sz w:val="18"/>
                <w:szCs w:val="18"/>
                <w:lang w:val="en-US"/>
              </w:rPr>
              <w:t>−</w:t>
            </w:r>
            <w:r w:rsidRPr="008B629F">
              <w:rPr>
                <w:rFonts w:cs="Times New Roman"/>
                <w:sz w:val="18"/>
                <w:szCs w:val="18"/>
                <w:lang w:val="en-US"/>
              </w:rPr>
              <w:t>65</w:t>
            </w:r>
            <w:r w:rsidRPr="008B629F">
              <w:rPr>
                <w:rFonts w:ascii="Times New Roman" w:hAnsi="Times New Roman" w:cs="Times New Roman"/>
                <w:sz w:val="18"/>
                <w:szCs w:val="18"/>
                <w:lang w:val="en-US"/>
              </w:rPr>
              <w:t> </w:t>
            </w:r>
            <w:r w:rsidRPr="008B629F">
              <w:rPr>
                <w:rFonts w:cs="Palatino Linotype"/>
                <w:sz w:val="18"/>
                <w:szCs w:val="18"/>
                <w:lang w:val="en-US"/>
              </w:rPr>
              <w:t>°</w:t>
            </w:r>
            <w:r w:rsidRPr="008B629F">
              <w:rPr>
                <w:rFonts w:cs="Times New Roman"/>
                <w:sz w:val="18"/>
                <w:szCs w:val="18"/>
                <w:lang w:val="en-US"/>
              </w:rPr>
              <w:t>C; summarizes key properties/characterization and lists commercial options (10</w:t>
            </w:r>
            <w:r w:rsidRPr="008B629F">
              <w:rPr>
                <w:rFonts w:ascii="Times New Roman" w:hAnsi="Times New Roman" w:cs="Times New Roman"/>
                <w:sz w:val="18"/>
                <w:szCs w:val="18"/>
                <w:lang w:val="en-US"/>
              </w:rPr>
              <w:t> </w:t>
            </w:r>
            <w:r w:rsidRPr="008B629F">
              <w:rPr>
                <w:rFonts w:cs="Palatino Linotype"/>
                <w:sz w:val="18"/>
                <w:szCs w:val="18"/>
                <w:lang w:val="en-US"/>
              </w:rPr>
              <w:t>°</w:t>
            </w:r>
            <w:r w:rsidRPr="008B629F">
              <w:rPr>
                <w:rFonts w:cs="Times New Roman"/>
                <w:sz w:val="18"/>
                <w:szCs w:val="18"/>
                <w:lang w:val="en-US"/>
              </w:rPr>
              <w:t xml:space="preserve">C to </w:t>
            </w:r>
            <w:r w:rsidRPr="008B629F">
              <w:rPr>
                <w:rFonts w:cs="Palatino Linotype"/>
                <w:sz w:val="18"/>
                <w:szCs w:val="18"/>
                <w:lang w:val="en-US"/>
              </w:rPr>
              <w:t>−</w:t>
            </w:r>
            <w:r w:rsidRPr="008B629F">
              <w:rPr>
                <w:rFonts w:cs="Times New Roman"/>
                <w:sz w:val="18"/>
                <w:szCs w:val="18"/>
                <w:lang w:val="en-US"/>
              </w:rPr>
              <w:t>65</w:t>
            </w:r>
            <w:r w:rsidRPr="008B629F">
              <w:rPr>
                <w:rFonts w:ascii="Times New Roman" w:hAnsi="Times New Roman" w:cs="Times New Roman"/>
                <w:sz w:val="18"/>
                <w:szCs w:val="18"/>
                <w:lang w:val="en-US"/>
              </w:rPr>
              <w:t> </w:t>
            </w:r>
            <w:r w:rsidRPr="008B629F">
              <w:rPr>
                <w:rFonts w:cs="Palatino Linotype"/>
                <w:sz w:val="18"/>
                <w:szCs w:val="18"/>
                <w:lang w:val="en-US"/>
              </w:rPr>
              <w:t>°</w:t>
            </w:r>
            <w:r w:rsidRPr="008B629F">
              <w:rPr>
                <w:rFonts w:cs="Times New Roman"/>
                <w:sz w:val="18"/>
                <w:szCs w:val="18"/>
                <w:lang w:val="en-US"/>
              </w:rPr>
              <w:t>C). Applications in food transport/packaging and commercial refrigeration are growing; water/ice dominate AC due to cost, with rising use for peak</w:t>
            </w:r>
            <w:r w:rsidRPr="008B629F">
              <w:rPr>
                <w:rFonts w:cs="Palatino Linotype"/>
                <w:sz w:val="18"/>
                <w:szCs w:val="18"/>
                <w:lang w:val="en-US"/>
              </w:rPr>
              <w:t>‑</w:t>
            </w:r>
            <w:r w:rsidRPr="008B629F">
              <w:rPr>
                <w:rFonts w:cs="Times New Roman"/>
                <w:sz w:val="18"/>
                <w:szCs w:val="18"/>
                <w:lang w:val="en-US"/>
              </w:rPr>
              <w:t>shaving and backup cooling.</w:t>
            </w:r>
          </w:p>
        </w:tc>
      </w:tr>
      <w:tr w:rsidR="008B629F" w:rsidRPr="00736B36" w14:paraId="4DBF2C3F" w14:textId="77777777" w:rsidTr="008B629F">
        <w:tc>
          <w:tcPr>
            <w:tcW w:w="1623" w:type="dxa"/>
            <w:vAlign w:val="center"/>
          </w:tcPr>
          <w:p w14:paraId="1647CD8A" w14:textId="77777777" w:rsidR="008B629F" w:rsidRPr="008B629F" w:rsidRDefault="008B629F" w:rsidP="008B629F">
            <w:pPr>
              <w:jc w:val="center"/>
              <w:rPr>
                <w:rFonts w:cs="Times New Roman"/>
                <w:sz w:val="18"/>
                <w:szCs w:val="18"/>
                <w:lang w:val="en-US"/>
              </w:rPr>
            </w:pPr>
            <w:r w:rsidRPr="008B629F">
              <w:rPr>
                <w:rFonts w:cs="Times New Roman"/>
                <w:sz w:val="18"/>
                <w:szCs w:val="18"/>
                <w:lang w:val="en-US"/>
              </w:rPr>
              <w:lastRenderedPageBreak/>
              <w:t>Performance improvement and energy consumption reduction in refrigeration systems using phase change material (PCM)</w:t>
            </w:r>
          </w:p>
        </w:tc>
        <w:tc>
          <w:tcPr>
            <w:tcW w:w="1109" w:type="dxa"/>
            <w:vAlign w:val="center"/>
          </w:tcPr>
          <w:p w14:paraId="5BA4F6C8" w14:textId="77777777" w:rsidR="008B629F" w:rsidRPr="0067768F" w:rsidRDefault="008B629F" w:rsidP="008B629F">
            <w:pPr>
              <w:jc w:val="center"/>
              <w:rPr>
                <w:rFonts w:cs="Times New Roman"/>
                <w:sz w:val="18"/>
                <w:szCs w:val="18"/>
                <w:lang w:val="en-US"/>
              </w:rPr>
            </w:pPr>
            <w:r w:rsidRPr="0067768F">
              <w:rPr>
                <w:rFonts w:cs="Times New Roman"/>
                <w:sz w:val="18"/>
                <w:szCs w:val="18"/>
                <w:lang w:val="en-US"/>
              </w:rPr>
              <w:t>Bista, S., Hosseini, S.E., Owens, E., Phillips, G.</w:t>
            </w:r>
          </w:p>
        </w:tc>
        <w:tc>
          <w:tcPr>
            <w:tcW w:w="1581" w:type="dxa"/>
            <w:vAlign w:val="center"/>
          </w:tcPr>
          <w:p w14:paraId="629C33B7" w14:textId="77777777" w:rsidR="008B629F" w:rsidRPr="008B629F" w:rsidRDefault="008B629F" w:rsidP="008B629F">
            <w:pPr>
              <w:jc w:val="center"/>
              <w:rPr>
                <w:rFonts w:cs="Times New Roman"/>
                <w:sz w:val="18"/>
                <w:szCs w:val="18"/>
              </w:rPr>
            </w:pPr>
            <w:r w:rsidRPr="008B629F">
              <w:rPr>
                <w:rFonts w:cs="Times New Roman"/>
                <w:sz w:val="18"/>
                <w:szCs w:val="18"/>
              </w:rPr>
              <w:t>Applied Thermal Engineering, 142, pp. 723–735</w:t>
            </w:r>
          </w:p>
        </w:tc>
        <w:tc>
          <w:tcPr>
            <w:tcW w:w="790" w:type="dxa"/>
            <w:vAlign w:val="center"/>
          </w:tcPr>
          <w:p w14:paraId="1D78E440" w14:textId="77777777" w:rsidR="008B629F" w:rsidRPr="008B629F" w:rsidRDefault="008B629F" w:rsidP="008B629F">
            <w:pPr>
              <w:jc w:val="center"/>
              <w:rPr>
                <w:rFonts w:cs="Times New Roman"/>
                <w:sz w:val="18"/>
                <w:szCs w:val="18"/>
              </w:rPr>
            </w:pPr>
            <w:r w:rsidRPr="008B629F">
              <w:rPr>
                <w:rFonts w:cs="Times New Roman"/>
                <w:sz w:val="18"/>
                <w:szCs w:val="18"/>
              </w:rPr>
              <w:t>2018</w:t>
            </w:r>
          </w:p>
        </w:tc>
        <w:tc>
          <w:tcPr>
            <w:tcW w:w="1112" w:type="dxa"/>
            <w:vAlign w:val="center"/>
          </w:tcPr>
          <w:p w14:paraId="41D92CE3" w14:textId="77777777" w:rsidR="008B629F" w:rsidRPr="008B629F" w:rsidRDefault="008B629F" w:rsidP="008B629F">
            <w:pPr>
              <w:jc w:val="center"/>
              <w:rPr>
                <w:rFonts w:cs="Times New Roman"/>
                <w:sz w:val="18"/>
                <w:szCs w:val="18"/>
              </w:rPr>
            </w:pPr>
            <w:r w:rsidRPr="008B629F">
              <w:rPr>
                <w:rFonts w:cs="Times New Roman"/>
                <w:sz w:val="18"/>
                <w:szCs w:val="18"/>
              </w:rPr>
              <w:t>113</w:t>
            </w:r>
          </w:p>
        </w:tc>
        <w:tc>
          <w:tcPr>
            <w:tcW w:w="2641" w:type="dxa"/>
            <w:vAlign w:val="center"/>
          </w:tcPr>
          <w:p w14:paraId="439BDECD" w14:textId="77777777" w:rsidR="008B629F" w:rsidRPr="008B629F" w:rsidRDefault="008B629F" w:rsidP="00C07F22">
            <w:pPr>
              <w:keepNext/>
              <w:rPr>
                <w:rFonts w:cs="Times New Roman"/>
                <w:sz w:val="18"/>
                <w:szCs w:val="18"/>
                <w:lang w:val="en-US"/>
              </w:rPr>
            </w:pPr>
            <w:r w:rsidRPr="008B629F">
              <w:rPr>
                <w:rFonts w:cs="Times New Roman"/>
                <w:sz w:val="18"/>
                <w:szCs w:val="18"/>
                <w:lang w:val="en-US"/>
              </w:rPr>
              <w:t>Reviews PCM use in vapor‑compression systems, showing reduced compressor cycling and electricity use. Discusses PCM selection and effects of thickness and phase‑change temperature, plus pros/cons of locating PCM at evaporator, condenser, compartment, or near compressor; overall improves temperature stability and efficiency.</w:t>
            </w:r>
          </w:p>
        </w:tc>
      </w:tr>
    </w:tbl>
    <w:p w14:paraId="3A115B8E" w14:textId="218D68DB" w:rsidR="008B629F" w:rsidRPr="008B629F" w:rsidRDefault="008B629F" w:rsidP="008B629F">
      <w:pPr>
        <w:pStyle w:val="Caption"/>
        <w:rPr>
          <w:rFonts w:cs="Times New Roman"/>
        </w:rPr>
      </w:pPr>
      <w:bookmarkStart w:id="137" w:name="_Toc214362638"/>
      <w:r w:rsidRPr="008B629F">
        <w:rPr>
          <w:rFonts w:cs="Times New Roman"/>
        </w:rPr>
        <w:t xml:space="preserve">Table </w:t>
      </w:r>
      <w:r w:rsidR="00F43E9A">
        <w:rPr>
          <w:rFonts w:cs="Times New Roman"/>
        </w:rPr>
        <w:fldChar w:fldCharType="begin"/>
      </w:r>
      <w:r w:rsidR="00F43E9A">
        <w:rPr>
          <w:rFonts w:cs="Times New Roman"/>
        </w:rPr>
        <w:instrText xml:space="preserve"> STYLEREF 1 \s </w:instrText>
      </w:r>
      <w:r w:rsidR="00F43E9A">
        <w:rPr>
          <w:rFonts w:cs="Times New Roman"/>
        </w:rPr>
        <w:fldChar w:fldCharType="separate"/>
      </w:r>
      <w:r w:rsidR="000412CE">
        <w:rPr>
          <w:rFonts w:cs="Times New Roman"/>
          <w:noProof/>
        </w:rPr>
        <w:t>2</w:t>
      </w:r>
      <w:r w:rsidR="00F43E9A">
        <w:rPr>
          <w:rFonts w:cs="Times New Roman"/>
        </w:rPr>
        <w:fldChar w:fldCharType="end"/>
      </w:r>
      <w:r w:rsidR="00F43E9A">
        <w:rPr>
          <w:rFonts w:cs="Times New Roman"/>
        </w:rPr>
        <w:t>.</w:t>
      </w:r>
      <w:r w:rsidR="00F43E9A">
        <w:rPr>
          <w:rFonts w:cs="Times New Roman"/>
        </w:rPr>
        <w:fldChar w:fldCharType="begin"/>
      </w:r>
      <w:r w:rsidR="00F43E9A">
        <w:rPr>
          <w:rFonts w:cs="Times New Roman"/>
        </w:rPr>
        <w:instrText xml:space="preserve"> SEQ Table \* ARABIC \s 1 </w:instrText>
      </w:r>
      <w:r w:rsidR="00F43E9A">
        <w:rPr>
          <w:rFonts w:cs="Times New Roman"/>
        </w:rPr>
        <w:fldChar w:fldCharType="separate"/>
      </w:r>
      <w:r w:rsidR="000412CE">
        <w:rPr>
          <w:rFonts w:cs="Times New Roman"/>
          <w:noProof/>
        </w:rPr>
        <w:t>10</w:t>
      </w:r>
      <w:r w:rsidR="00F43E9A">
        <w:rPr>
          <w:rFonts w:cs="Times New Roman"/>
        </w:rPr>
        <w:fldChar w:fldCharType="end"/>
      </w:r>
      <w:r w:rsidRPr="008B629F">
        <w:rPr>
          <w:rFonts w:cs="Times New Roman"/>
        </w:rPr>
        <w:t>. Influential reviews on PCM for the cold chain: key bibliographic details and synthesized insights on technologies, integration challenges, and performance gains.</w:t>
      </w:r>
      <w:bookmarkEnd w:id="137"/>
    </w:p>
    <w:p w14:paraId="46F23B4A" w14:textId="4B9979E5" w:rsidR="008B629F" w:rsidRPr="008B629F" w:rsidRDefault="008B629F" w:rsidP="00BE32A7">
      <w:pPr>
        <w:pStyle w:val="Heading3"/>
        <w:rPr>
          <w:lang w:val="en-US"/>
        </w:rPr>
      </w:pPr>
      <w:bookmarkStart w:id="138" w:name="_Toc213354083"/>
      <w:bookmarkStart w:id="139" w:name="_Toc214356302"/>
      <w:r w:rsidRPr="008B629F">
        <w:rPr>
          <w:lang w:val="en-US"/>
        </w:rPr>
        <w:t>Cold Chain Logistics and the Use of PCMs for Passive Cooling</w:t>
      </w:r>
      <w:bookmarkEnd w:id="138"/>
      <w:bookmarkEnd w:id="139"/>
    </w:p>
    <w:p w14:paraId="55D96484" w14:textId="7103E94B" w:rsidR="008B629F" w:rsidRDefault="008B629F" w:rsidP="008B629F">
      <w:pPr>
        <w:rPr>
          <w:rFonts w:cs="Times New Roman"/>
          <w:lang w:val="en-US"/>
        </w:rPr>
      </w:pPr>
      <w:r w:rsidRPr="008B629F">
        <w:rPr>
          <w:rFonts w:cs="Times New Roman"/>
          <w:lang w:val="en-US"/>
        </w:rPr>
        <w:t xml:space="preserve">Soo et al. </w:t>
      </w:r>
      <w:sdt>
        <w:sdtPr>
          <w:rPr>
            <w:rFonts w:cs="Times New Roman"/>
            <w:lang w:val="en-US"/>
          </w:rPr>
          <w:id w:val="-167094161"/>
          <w:citation/>
        </w:sdtPr>
        <w:sdtContent>
          <w:r w:rsidR="00BE32A7">
            <w:rPr>
              <w:rFonts w:cs="Times New Roman"/>
              <w:lang w:val="en-US"/>
            </w:rPr>
            <w:fldChar w:fldCharType="begin"/>
          </w:r>
          <w:r w:rsidR="00BE32A7" w:rsidRPr="00625AD6">
            <w:rPr>
              <w:rFonts w:cs="Times New Roman"/>
              <w:lang w:val="en-US"/>
            </w:rPr>
            <w:instrText xml:space="preserve"> CITATION Placeholder176 \l 1040 </w:instrText>
          </w:r>
          <w:r w:rsidR="00BE32A7">
            <w:rPr>
              <w:rFonts w:cs="Times New Roman"/>
              <w:lang w:val="en-US"/>
            </w:rPr>
            <w:fldChar w:fldCharType="separate"/>
          </w:r>
          <w:r w:rsidR="00855396" w:rsidRPr="00855396">
            <w:rPr>
              <w:rFonts w:cs="Times New Roman"/>
              <w:noProof/>
              <w:lang w:val="en-US"/>
            </w:rPr>
            <w:t>[159]</w:t>
          </w:r>
          <w:r w:rsidR="00BE32A7">
            <w:rPr>
              <w:rFonts w:cs="Times New Roman"/>
              <w:lang w:val="en-US"/>
            </w:rPr>
            <w:fldChar w:fldCharType="end"/>
          </w:r>
        </w:sdtContent>
      </w:sdt>
      <w:r w:rsidR="00BE32A7">
        <w:rPr>
          <w:rFonts w:cs="Times New Roman"/>
          <w:lang w:val="en-US"/>
        </w:rPr>
        <w:t xml:space="preserve"> </w:t>
      </w:r>
      <w:r w:rsidRPr="008B629F">
        <w:rPr>
          <w:rFonts w:cs="Times New Roman"/>
          <w:lang w:val="en-US"/>
        </w:rPr>
        <w:t xml:space="preserve">report that cold chain logistics have become a fundamental component of modern transportation and distribution systems. The rise in living standards and global economic growth has led to an increasing demand for fresh, frozen, and perishable food products from different parts of the world. The importance of this infrastructure became particularly evident during the COVID-19 pandemic, when the transport and storage of vaccines required strict and continuous temperature control throughout the supply chain. Cold chain logistics now play a crucial role in ensuring the safe and efficient international trade of temperature-sensitive goods such as food, pharmaceuticals, and chemicals. Maintaining optimal thermal conditions along the supply chain helps preserve product quality, extend shelf life, and reduce spoilage and waste, thus contributing to global food security. Depending on the nature of the products, specific temperature ranges are defined: cryogenic (≤ −150 °C) for biological samples and special pharmaceuticals, ultra-low (−50 to −80 °C) for certain biologics such as mRNA vaccines, standard frozen (−20 to −30 °C) for food and pharmaceuticals, chilled (2 to 8 °C) for vaccines, fresh produce, and dairy products, and controlled room temperature (15 to 25 °C) for cosmetics and temperature-sensitive medicines. Each category requires accurate monitoring and insulation systems to prevent thermal fluctuations that could compromise product integrity. With increasingly stringent standards for food safety and pharmaceutical efficacy, a growing number of companies rely on cold chain logistics—a sector expected to continue expanding in the coming years. In this context, a significant contribution comes from PCMs, widely used for thermal energy storage. Thanks to their high latent heat capacity, PCMs can absorb and release large amounts of energy during the phase transition, providing an effective and sustainable passive cooling solution for the transport and storage of temperature-sensitive products. Table </w:t>
      </w:r>
      <w:r w:rsidR="00BE32A7">
        <w:rPr>
          <w:rFonts w:cs="Times New Roman"/>
          <w:lang w:val="en-US"/>
        </w:rPr>
        <w:t>2.11</w:t>
      </w:r>
      <w:r w:rsidRPr="008B629F">
        <w:rPr>
          <w:rFonts w:cs="Times New Roman"/>
          <w:lang w:val="en-US"/>
        </w:rPr>
        <w:t xml:space="preserve"> summarizes standard cold-chain temperature bands and representative products.</w:t>
      </w:r>
    </w:p>
    <w:p w14:paraId="3047FCA2" w14:textId="77777777" w:rsidR="00A165BA" w:rsidRDefault="00A165BA" w:rsidP="008B629F">
      <w:pPr>
        <w:rPr>
          <w:rFonts w:cs="Times New Roman"/>
          <w:lang w:val="en-US"/>
        </w:rPr>
      </w:pPr>
    </w:p>
    <w:p w14:paraId="299425DD" w14:textId="77777777" w:rsidR="00A165BA" w:rsidRDefault="00A165BA" w:rsidP="008B629F">
      <w:pPr>
        <w:rPr>
          <w:rFonts w:cs="Times New Roman"/>
          <w:lang w:val="en-US"/>
        </w:rPr>
      </w:pPr>
    </w:p>
    <w:p w14:paraId="0FF2059B" w14:textId="77777777" w:rsidR="008B629F" w:rsidRPr="008B629F" w:rsidRDefault="008B629F" w:rsidP="008B629F">
      <w:pPr>
        <w:rPr>
          <w:rFonts w:cs="Times New Roman"/>
          <w:lang w:val="en-US"/>
        </w:rPr>
      </w:pPr>
    </w:p>
    <w:tbl>
      <w:tblPr>
        <w:tblStyle w:val="TableGrid"/>
        <w:tblW w:w="9067" w:type="dxa"/>
        <w:tblLook w:val="04A0" w:firstRow="1" w:lastRow="0" w:firstColumn="1" w:lastColumn="0" w:noHBand="0" w:noVBand="1"/>
      </w:tblPr>
      <w:tblGrid>
        <w:gridCol w:w="2880"/>
        <w:gridCol w:w="2880"/>
        <w:gridCol w:w="3307"/>
      </w:tblGrid>
      <w:tr w:rsidR="008B629F" w:rsidRPr="008B629F" w14:paraId="1C34294A" w14:textId="77777777" w:rsidTr="00BE32A7">
        <w:tc>
          <w:tcPr>
            <w:tcW w:w="2880" w:type="dxa"/>
            <w:shd w:val="clear" w:color="auto" w:fill="8EA5B6"/>
            <w:vAlign w:val="center"/>
          </w:tcPr>
          <w:p w14:paraId="52CDC321" w14:textId="77777777" w:rsidR="008B629F" w:rsidRPr="00BE32A7" w:rsidRDefault="008B629F" w:rsidP="00BE32A7">
            <w:pPr>
              <w:jc w:val="center"/>
              <w:rPr>
                <w:rFonts w:cs="Times New Roman"/>
                <w:b/>
                <w:bCs/>
              </w:rPr>
            </w:pPr>
            <w:r w:rsidRPr="00BE32A7">
              <w:rPr>
                <w:rFonts w:cs="Times New Roman"/>
                <w:b/>
                <w:bCs/>
              </w:rPr>
              <w:t>Category</w:t>
            </w:r>
          </w:p>
        </w:tc>
        <w:tc>
          <w:tcPr>
            <w:tcW w:w="2880" w:type="dxa"/>
            <w:shd w:val="clear" w:color="auto" w:fill="8EA5B6"/>
            <w:vAlign w:val="center"/>
          </w:tcPr>
          <w:p w14:paraId="3AC3AF31" w14:textId="77777777" w:rsidR="008B629F" w:rsidRPr="00BE32A7" w:rsidRDefault="008B629F" w:rsidP="00BE32A7">
            <w:pPr>
              <w:jc w:val="center"/>
              <w:rPr>
                <w:rFonts w:cs="Times New Roman"/>
                <w:b/>
                <w:bCs/>
              </w:rPr>
            </w:pPr>
            <w:r w:rsidRPr="00BE32A7">
              <w:rPr>
                <w:rFonts w:cs="Times New Roman"/>
                <w:b/>
                <w:bCs/>
              </w:rPr>
              <w:t>Temperature range [°C]</w:t>
            </w:r>
          </w:p>
        </w:tc>
        <w:tc>
          <w:tcPr>
            <w:tcW w:w="3307" w:type="dxa"/>
            <w:shd w:val="clear" w:color="auto" w:fill="8EA5B6"/>
            <w:vAlign w:val="center"/>
          </w:tcPr>
          <w:p w14:paraId="0024BB5A" w14:textId="77777777" w:rsidR="008B629F" w:rsidRPr="00BE32A7" w:rsidRDefault="008B629F" w:rsidP="00BE32A7">
            <w:pPr>
              <w:jc w:val="center"/>
              <w:rPr>
                <w:rFonts w:cs="Times New Roman"/>
                <w:b/>
                <w:bCs/>
              </w:rPr>
            </w:pPr>
            <w:r w:rsidRPr="00BE32A7">
              <w:rPr>
                <w:rFonts w:cs="Times New Roman"/>
                <w:b/>
                <w:bCs/>
              </w:rPr>
              <w:t>Items</w:t>
            </w:r>
          </w:p>
        </w:tc>
      </w:tr>
      <w:tr w:rsidR="008B629F" w:rsidRPr="00736B36" w14:paraId="4392900A" w14:textId="77777777" w:rsidTr="00BE32A7">
        <w:tc>
          <w:tcPr>
            <w:tcW w:w="2880" w:type="dxa"/>
            <w:vAlign w:val="center"/>
          </w:tcPr>
          <w:p w14:paraId="1820BB34" w14:textId="77777777" w:rsidR="008B629F" w:rsidRPr="008B629F" w:rsidRDefault="008B629F" w:rsidP="00BE32A7">
            <w:pPr>
              <w:jc w:val="center"/>
              <w:rPr>
                <w:rFonts w:cs="Times New Roman"/>
              </w:rPr>
            </w:pPr>
            <w:r w:rsidRPr="008B629F">
              <w:rPr>
                <w:rFonts w:cs="Times New Roman"/>
              </w:rPr>
              <w:t>Cool</w:t>
            </w:r>
          </w:p>
        </w:tc>
        <w:tc>
          <w:tcPr>
            <w:tcW w:w="2880" w:type="dxa"/>
            <w:vAlign w:val="center"/>
          </w:tcPr>
          <w:p w14:paraId="3ABA680C" w14:textId="77777777" w:rsidR="008B629F" w:rsidRPr="008B629F" w:rsidRDefault="008B629F" w:rsidP="00BE32A7">
            <w:pPr>
              <w:jc w:val="center"/>
              <w:rPr>
                <w:rFonts w:cs="Times New Roman"/>
              </w:rPr>
            </w:pPr>
            <w:r w:rsidRPr="008B629F">
              <w:rPr>
                <w:rFonts w:cs="Times New Roman"/>
              </w:rPr>
              <w:t>8 to 15</w:t>
            </w:r>
          </w:p>
        </w:tc>
        <w:tc>
          <w:tcPr>
            <w:tcW w:w="3307" w:type="dxa"/>
            <w:vAlign w:val="center"/>
          </w:tcPr>
          <w:p w14:paraId="6E8D7370" w14:textId="40ED3A6D" w:rsidR="008B629F" w:rsidRPr="008B629F" w:rsidRDefault="008B629F" w:rsidP="00BE32A7">
            <w:pPr>
              <w:jc w:val="center"/>
              <w:rPr>
                <w:rFonts w:cs="Times New Roman"/>
                <w:lang w:val="en-US"/>
              </w:rPr>
            </w:pPr>
            <w:r w:rsidRPr="008B629F">
              <w:rPr>
                <w:rFonts w:cs="Times New Roman"/>
                <w:lang w:val="en-US"/>
              </w:rPr>
              <w:t>Fresh produce, fruits (usually tropical), vegetables (e.g., tuber)</w:t>
            </w:r>
          </w:p>
        </w:tc>
      </w:tr>
      <w:tr w:rsidR="008B629F" w:rsidRPr="00736B36" w14:paraId="561BF843" w14:textId="77777777" w:rsidTr="00BE32A7">
        <w:tc>
          <w:tcPr>
            <w:tcW w:w="2880" w:type="dxa"/>
            <w:vAlign w:val="center"/>
          </w:tcPr>
          <w:p w14:paraId="68ACAF50" w14:textId="77777777" w:rsidR="008B629F" w:rsidRPr="008B629F" w:rsidRDefault="008B629F" w:rsidP="00BE32A7">
            <w:pPr>
              <w:jc w:val="center"/>
              <w:rPr>
                <w:rFonts w:cs="Times New Roman"/>
              </w:rPr>
            </w:pPr>
            <w:r w:rsidRPr="008B629F">
              <w:rPr>
                <w:rFonts w:cs="Times New Roman"/>
              </w:rPr>
              <w:t>Pharma</w:t>
            </w:r>
          </w:p>
        </w:tc>
        <w:tc>
          <w:tcPr>
            <w:tcW w:w="2880" w:type="dxa"/>
            <w:vAlign w:val="center"/>
          </w:tcPr>
          <w:p w14:paraId="43CE8E8B" w14:textId="77777777" w:rsidR="008B629F" w:rsidRPr="008B629F" w:rsidRDefault="008B629F" w:rsidP="00BE32A7">
            <w:pPr>
              <w:jc w:val="center"/>
              <w:rPr>
                <w:rFonts w:cs="Times New Roman"/>
              </w:rPr>
            </w:pPr>
            <w:r w:rsidRPr="008B629F">
              <w:rPr>
                <w:rFonts w:cs="Times New Roman"/>
              </w:rPr>
              <w:t>2 to 8</w:t>
            </w:r>
          </w:p>
        </w:tc>
        <w:tc>
          <w:tcPr>
            <w:tcW w:w="3307" w:type="dxa"/>
            <w:vAlign w:val="center"/>
          </w:tcPr>
          <w:p w14:paraId="21EE82C8" w14:textId="0658BB9C" w:rsidR="008B629F" w:rsidRPr="008B629F" w:rsidRDefault="008B629F" w:rsidP="00BE32A7">
            <w:pPr>
              <w:jc w:val="center"/>
              <w:rPr>
                <w:rFonts w:cs="Times New Roman"/>
                <w:lang w:val="en-US"/>
              </w:rPr>
            </w:pPr>
            <w:r w:rsidRPr="008B629F">
              <w:rPr>
                <w:rFonts w:cs="Times New Roman"/>
                <w:lang w:val="en-US"/>
              </w:rPr>
              <w:t>Vaccines (e.g., hepatitis A and B, human papillomavirus, influenza, rotavirus, human rabies), medications</w:t>
            </w:r>
          </w:p>
        </w:tc>
      </w:tr>
      <w:tr w:rsidR="008B629F" w:rsidRPr="00736B36" w14:paraId="0FF839D8" w14:textId="77777777" w:rsidTr="00BE32A7">
        <w:tc>
          <w:tcPr>
            <w:tcW w:w="2880" w:type="dxa"/>
            <w:vAlign w:val="center"/>
          </w:tcPr>
          <w:p w14:paraId="0A1018BB" w14:textId="77777777" w:rsidR="008B629F" w:rsidRPr="008B629F" w:rsidRDefault="008B629F" w:rsidP="00BE32A7">
            <w:pPr>
              <w:jc w:val="center"/>
              <w:rPr>
                <w:rFonts w:cs="Times New Roman"/>
              </w:rPr>
            </w:pPr>
            <w:r w:rsidRPr="008B629F">
              <w:rPr>
                <w:rFonts w:cs="Times New Roman"/>
              </w:rPr>
              <w:t>Chill</w:t>
            </w:r>
          </w:p>
        </w:tc>
        <w:tc>
          <w:tcPr>
            <w:tcW w:w="2880" w:type="dxa"/>
            <w:vAlign w:val="center"/>
          </w:tcPr>
          <w:p w14:paraId="2691711D" w14:textId="77777777" w:rsidR="008B629F" w:rsidRPr="008B629F" w:rsidRDefault="008B629F" w:rsidP="00BE32A7">
            <w:pPr>
              <w:jc w:val="center"/>
              <w:rPr>
                <w:rFonts w:cs="Times New Roman"/>
              </w:rPr>
            </w:pPr>
            <w:r w:rsidRPr="008B629F">
              <w:rPr>
                <w:rFonts w:cs="Times New Roman"/>
              </w:rPr>
              <w:t>2 to 4</w:t>
            </w:r>
          </w:p>
        </w:tc>
        <w:tc>
          <w:tcPr>
            <w:tcW w:w="3307" w:type="dxa"/>
            <w:vAlign w:val="center"/>
          </w:tcPr>
          <w:p w14:paraId="6FFE75C0" w14:textId="18934816" w:rsidR="008B629F" w:rsidRPr="008B629F" w:rsidRDefault="008B629F" w:rsidP="00BE32A7">
            <w:pPr>
              <w:jc w:val="center"/>
              <w:rPr>
                <w:rFonts w:cs="Times New Roman"/>
                <w:lang w:val="en-US"/>
              </w:rPr>
            </w:pPr>
            <w:r w:rsidRPr="008B629F">
              <w:rPr>
                <w:rFonts w:cs="Times New Roman"/>
                <w:lang w:val="en-US"/>
              </w:rPr>
              <w:t>Dairy produce, fresh poultry/meat, vegetables, fruits</w:t>
            </w:r>
          </w:p>
        </w:tc>
      </w:tr>
      <w:tr w:rsidR="008B629F" w:rsidRPr="00736B36" w14:paraId="2A43F824" w14:textId="77777777" w:rsidTr="00BE32A7">
        <w:tc>
          <w:tcPr>
            <w:tcW w:w="2880" w:type="dxa"/>
            <w:vAlign w:val="center"/>
          </w:tcPr>
          <w:p w14:paraId="40CFC6F2" w14:textId="77777777" w:rsidR="008B629F" w:rsidRPr="008B629F" w:rsidRDefault="008B629F" w:rsidP="00BE32A7">
            <w:pPr>
              <w:jc w:val="center"/>
              <w:rPr>
                <w:rFonts w:cs="Times New Roman"/>
              </w:rPr>
            </w:pPr>
            <w:r w:rsidRPr="008B629F">
              <w:rPr>
                <w:rFonts w:cs="Times New Roman"/>
              </w:rPr>
              <w:t>Frozen</w:t>
            </w:r>
          </w:p>
        </w:tc>
        <w:tc>
          <w:tcPr>
            <w:tcW w:w="2880" w:type="dxa"/>
            <w:vAlign w:val="center"/>
          </w:tcPr>
          <w:p w14:paraId="7E100395" w14:textId="77777777" w:rsidR="008B629F" w:rsidRPr="008B629F" w:rsidRDefault="008B629F" w:rsidP="00BE32A7">
            <w:pPr>
              <w:jc w:val="center"/>
              <w:rPr>
                <w:rFonts w:cs="Times New Roman"/>
              </w:rPr>
            </w:pPr>
            <w:r w:rsidRPr="008B629F">
              <w:rPr>
                <w:rFonts w:cs="Times New Roman"/>
              </w:rPr>
              <w:t>-20 to -16</w:t>
            </w:r>
          </w:p>
        </w:tc>
        <w:tc>
          <w:tcPr>
            <w:tcW w:w="3307" w:type="dxa"/>
            <w:vAlign w:val="center"/>
          </w:tcPr>
          <w:p w14:paraId="3F1F2E67" w14:textId="4EF74FB3" w:rsidR="008B629F" w:rsidRPr="008B629F" w:rsidRDefault="008B629F" w:rsidP="00BE32A7">
            <w:pPr>
              <w:jc w:val="center"/>
              <w:rPr>
                <w:rFonts w:cs="Times New Roman"/>
                <w:lang w:val="en-US"/>
              </w:rPr>
            </w:pPr>
            <w:r w:rsidRPr="008B629F">
              <w:rPr>
                <w:rFonts w:cs="Times New Roman"/>
                <w:lang w:val="en-US"/>
              </w:rPr>
              <w:t>Poultry/meat, ice cream, vaccines (e.g., measles, yellow fever, chicken pox, bacillus Calmette–Guérin, polio)</w:t>
            </w:r>
          </w:p>
        </w:tc>
      </w:tr>
      <w:tr w:rsidR="008B629F" w:rsidRPr="008B629F" w14:paraId="50ACE8FE" w14:textId="77777777" w:rsidTr="00BE32A7">
        <w:tc>
          <w:tcPr>
            <w:tcW w:w="2880" w:type="dxa"/>
            <w:vAlign w:val="center"/>
          </w:tcPr>
          <w:p w14:paraId="0C9344F0" w14:textId="77777777" w:rsidR="008B629F" w:rsidRPr="008B629F" w:rsidRDefault="008B629F" w:rsidP="00BE32A7">
            <w:pPr>
              <w:jc w:val="center"/>
              <w:rPr>
                <w:rFonts w:cs="Times New Roman"/>
              </w:rPr>
            </w:pPr>
            <w:r w:rsidRPr="008B629F">
              <w:rPr>
                <w:rFonts w:cs="Times New Roman"/>
              </w:rPr>
              <w:t>Deep freeze</w:t>
            </w:r>
          </w:p>
        </w:tc>
        <w:tc>
          <w:tcPr>
            <w:tcW w:w="2880" w:type="dxa"/>
            <w:vAlign w:val="center"/>
          </w:tcPr>
          <w:p w14:paraId="08C86616" w14:textId="77777777" w:rsidR="008B629F" w:rsidRPr="008B629F" w:rsidRDefault="008B629F" w:rsidP="00BE32A7">
            <w:pPr>
              <w:jc w:val="center"/>
              <w:rPr>
                <w:rFonts w:cs="Times New Roman"/>
              </w:rPr>
            </w:pPr>
            <w:r w:rsidRPr="008B629F">
              <w:rPr>
                <w:rFonts w:cs="Times New Roman"/>
              </w:rPr>
              <w:t>-30 to -28</w:t>
            </w:r>
          </w:p>
        </w:tc>
        <w:tc>
          <w:tcPr>
            <w:tcW w:w="3307" w:type="dxa"/>
            <w:vAlign w:val="center"/>
          </w:tcPr>
          <w:p w14:paraId="411B5587" w14:textId="167AF4D5" w:rsidR="008B629F" w:rsidRPr="008B629F" w:rsidRDefault="008B629F" w:rsidP="00BE32A7">
            <w:pPr>
              <w:keepNext/>
              <w:jc w:val="center"/>
              <w:rPr>
                <w:rFonts w:cs="Times New Roman"/>
              </w:rPr>
            </w:pPr>
            <w:r w:rsidRPr="008B629F">
              <w:rPr>
                <w:rFonts w:cs="Times New Roman"/>
              </w:rPr>
              <w:t>Meat and seafood exports</w:t>
            </w:r>
          </w:p>
        </w:tc>
      </w:tr>
    </w:tbl>
    <w:p w14:paraId="14734705" w14:textId="5E18EA7F" w:rsidR="008B629F" w:rsidRPr="008B629F" w:rsidRDefault="008B629F" w:rsidP="008B629F">
      <w:pPr>
        <w:pStyle w:val="Caption"/>
        <w:rPr>
          <w:rFonts w:cs="Times New Roman"/>
        </w:rPr>
      </w:pPr>
      <w:bookmarkStart w:id="140" w:name="_Toc214362639"/>
      <w:r w:rsidRPr="008B629F">
        <w:rPr>
          <w:rFonts w:cs="Times New Roman"/>
        </w:rPr>
        <w:t xml:space="preserve">Table </w:t>
      </w:r>
      <w:r w:rsidR="00F43E9A">
        <w:rPr>
          <w:rFonts w:cs="Times New Roman"/>
        </w:rPr>
        <w:fldChar w:fldCharType="begin"/>
      </w:r>
      <w:r w:rsidR="00F43E9A">
        <w:rPr>
          <w:rFonts w:cs="Times New Roman"/>
        </w:rPr>
        <w:instrText xml:space="preserve"> STYLEREF 1 \s </w:instrText>
      </w:r>
      <w:r w:rsidR="00F43E9A">
        <w:rPr>
          <w:rFonts w:cs="Times New Roman"/>
        </w:rPr>
        <w:fldChar w:fldCharType="separate"/>
      </w:r>
      <w:r w:rsidR="000412CE">
        <w:rPr>
          <w:rFonts w:cs="Times New Roman"/>
          <w:noProof/>
        </w:rPr>
        <w:t>2</w:t>
      </w:r>
      <w:r w:rsidR="00F43E9A">
        <w:rPr>
          <w:rFonts w:cs="Times New Roman"/>
        </w:rPr>
        <w:fldChar w:fldCharType="end"/>
      </w:r>
      <w:r w:rsidR="00F43E9A">
        <w:rPr>
          <w:rFonts w:cs="Times New Roman"/>
        </w:rPr>
        <w:t>.</w:t>
      </w:r>
      <w:r w:rsidR="00F43E9A">
        <w:rPr>
          <w:rFonts w:cs="Times New Roman"/>
        </w:rPr>
        <w:fldChar w:fldCharType="begin"/>
      </w:r>
      <w:r w:rsidR="00F43E9A">
        <w:rPr>
          <w:rFonts w:cs="Times New Roman"/>
        </w:rPr>
        <w:instrText xml:space="preserve"> SEQ Table \* ARABIC \s 1 </w:instrText>
      </w:r>
      <w:r w:rsidR="00F43E9A">
        <w:rPr>
          <w:rFonts w:cs="Times New Roman"/>
        </w:rPr>
        <w:fldChar w:fldCharType="separate"/>
      </w:r>
      <w:r w:rsidR="000412CE">
        <w:rPr>
          <w:rFonts w:cs="Times New Roman"/>
          <w:noProof/>
        </w:rPr>
        <w:t>11</w:t>
      </w:r>
      <w:r w:rsidR="00F43E9A">
        <w:rPr>
          <w:rFonts w:cs="Times New Roman"/>
        </w:rPr>
        <w:fldChar w:fldCharType="end"/>
      </w:r>
      <w:r w:rsidRPr="008B629F">
        <w:rPr>
          <w:rFonts w:cs="Times New Roman"/>
        </w:rPr>
        <w:t>. Cold-chain categories with target ranges and typical items: Cool, Pharma, Chill, Frozen, Deep freeze</w:t>
      </w:r>
      <w:r w:rsidR="00A165BA">
        <w:rPr>
          <w:rFonts w:cs="Times New Roman"/>
        </w:rPr>
        <w:t>.</w:t>
      </w:r>
      <w:bookmarkEnd w:id="140"/>
    </w:p>
    <w:p w14:paraId="25785021" w14:textId="0B640202" w:rsidR="008B629F" w:rsidRPr="008B629F" w:rsidRDefault="008B629F" w:rsidP="00BE32A7">
      <w:pPr>
        <w:pStyle w:val="Heading3"/>
        <w:rPr>
          <w:lang w:val="en-US"/>
        </w:rPr>
      </w:pPr>
      <w:bookmarkStart w:id="141" w:name="_Toc213354084"/>
      <w:bookmarkStart w:id="142" w:name="_Toc214356303"/>
      <w:r w:rsidRPr="008B629F">
        <w:rPr>
          <w:lang w:val="en-US"/>
        </w:rPr>
        <w:lastRenderedPageBreak/>
        <w:t>Analysis of Cold Chain Logistics and the Application of PCMs</w:t>
      </w:r>
      <w:bookmarkEnd w:id="141"/>
      <w:bookmarkEnd w:id="142"/>
    </w:p>
    <w:p w14:paraId="13A6B624" w14:textId="77777777" w:rsidR="008B629F" w:rsidRPr="008B629F" w:rsidRDefault="008B629F" w:rsidP="008B629F">
      <w:pPr>
        <w:keepNext/>
        <w:jc w:val="center"/>
      </w:pPr>
      <w:r w:rsidRPr="008B629F">
        <w:rPr>
          <w:noProof/>
        </w:rPr>
        <w:drawing>
          <wp:inline distT="0" distB="0" distL="0" distR="0" wp14:anchorId="28B44C80" wp14:editId="27E78F23">
            <wp:extent cx="3429000" cy="2672613"/>
            <wp:effectExtent l="0" t="0" r="0" b="0"/>
            <wp:docPr id="821421950" name="Immagine 1" descr="Immagine che contiene testo, schermata, diagramma, cerchi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421950" name="Immagine 1" descr="Immagine che contiene testo, schermata, diagramma, cerchio&#10;&#10;Il contenuto generato dall'IA potrebbe non essere corretto."/>
                    <pic:cNvPicPr/>
                  </pic:nvPicPr>
                  <pic:blipFill>
                    <a:blip r:embed="rId136"/>
                    <a:stretch>
                      <a:fillRect/>
                    </a:stretch>
                  </pic:blipFill>
                  <pic:spPr>
                    <a:xfrm>
                      <a:off x="0" y="0"/>
                      <a:ext cx="3435246" cy="2677481"/>
                    </a:xfrm>
                    <a:prstGeom prst="rect">
                      <a:avLst/>
                    </a:prstGeom>
                  </pic:spPr>
                </pic:pic>
              </a:graphicData>
            </a:graphic>
          </wp:inline>
        </w:drawing>
      </w:r>
    </w:p>
    <w:p w14:paraId="7DA646BC" w14:textId="03904197" w:rsidR="008B629F" w:rsidRPr="008B629F" w:rsidRDefault="008B629F" w:rsidP="008B629F">
      <w:pPr>
        <w:pStyle w:val="Caption"/>
      </w:pPr>
      <w:bookmarkStart w:id="143" w:name="_Toc214357746"/>
      <w:r w:rsidRPr="008B629F">
        <w:rPr>
          <w:rFonts w:cs="Times New Roman"/>
        </w:rPr>
        <w:t xml:space="preserve">Figure </w:t>
      </w:r>
      <w:r w:rsidR="00F824A5">
        <w:rPr>
          <w:rFonts w:cs="Times New Roman"/>
        </w:rPr>
        <w:fldChar w:fldCharType="begin"/>
      </w:r>
      <w:r w:rsidR="00F824A5">
        <w:rPr>
          <w:rFonts w:cs="Times New Roman"/>
        </w:rPr>
        <w:instrText xml:space="preserve"> STYLEREF 1 \s </w:instrText>
      </w:r>
      <w:r w:rsidR="00F824A5">
        <w:rPr>
          <w:rFonts w:cs="Times New Roman"/>
        </w:rPr>
        <w:fldChar w:fldCharType="separate"/>
      </w:r>
      <w:r w:rsidR="000412CE">
        <w:rPr>
          <w:rFonts w:cs="Times New Roman"/>
          <w:noProof/>
        </w:rPr>
        <w:t>2</w:t>
      </w:r>
      <w:r w:rsidR="00F824A5">
        <w:rPr>
          <w:rFonts w:cs="Times New Roman"/>
        </w:rPr>
        <w:fldChar w:fldCharType="end"/>
      </w:r>
      <w:r w:rsidR="00F824A5">
        <w:rPr>
          <w:rFonts w:cs="Times New Roman"/>
        </w:rPr>
        <w:t>.</w:t>
      </w:r>
      <w:r w:rsidR="00F824A5">
        <w:rPr>
          <w:rFonts w:cs="Times New Roman"/>
        </w:rPr>
        <w:fldChar w:fldCharType="begin"/>
      </w:r>
      <w:r w:rsidR="00F824A5">
        <w:rPr>
          <w:rFonts w:cs="Times New Roman"/>
        </w:rPr>
        <w:instrText xml:space="preserve"> SEQ Figure \* ARABIC \s 1 </w:instrText>
      </w:r>
      <w:r w:rsidR="00F824A5">
        <w:rPr>
          <w:rFonts w:cs="Times New Roman"/>
        </w:rPr>
        <w:fldChar w:fldCharType="separate"/>
      </w:r>
      <w:r w:rsidR="000412CE">
        <w:rPr>
          <w:rFonts w:cs="Times New Roman"/>
          <w:noProof/>
        </w:rPr>
        <w:t>18</w:t>
      </w:r>
      <w:r w:rsidR="00F824A5">
        <w:rPr>
          <w:rFonts w:cs="Times New Roman"/>
        </w:rPr>
        <w:fldChar w:fldCharType="end"/>
      </w:r>
      <w:r w:rsidRPr="008B629F">
        <w:rPr>
          <w:rFonts w:cs="Times New Roman"/>
        </w:rPr>
        <w:t>. Fresh products cold chain logistics process</w:t>
      </w:r>
      <w:r w:rsidRPr="008B629F">
        <w:t>.</w:t>
      </w:r>
      <w:r w:rsidR="00D619A3">
        <w:t xml:space="preserve"> [160]</w:t>
      </w:r>
      <w:r w:rsidR="00A165BA">
        <w:t>.</w:t>
      </w:r>
      <w:bookmarkEnd w:id="143"/>
    </w:p>
    <w:p w14:paraId="6EF49B52" w14:textId="5B472859" w:rsidR="008B629F" w:rsidRPr="008B629F" w:rsidRDefault="008B629F" w:rsidP="008B629F">
      <w:pPr>
        <w:rPr>
          <w:rFonts w:cs="Times New Roman"/>
          <w:lang w:val="en-US"/>
        </w:rPr>
      </w:pPr>
      <w:r w:rsidRPr="008B629F">
        <w:rPr>
          <w:rFonts w:cs="Times New Roman"/>
          <w:lang w:val="en-US"/>
        </w:rPr>
        <w:t>M</w:t>
      </w:r>
      <w:r w:rsidR="00BE32A7">
        <w:rPr>
          <w:rFonts w:cs="Times New Roman"/>
          <w:lang w:val="en-US"/>
        </w:rPr>
        <w:t>a</w:t>
      </w:r>
      <w:r w:rsidRPr="008B629F">
        <w:rPr>
          <w:rFonts w:cs="Times New Roman"/>
          <w:lang w:val="en-US"/>
        </w:rPr>
        <w:t xml:space="preserve"> et al. </w:t>
      </w:r>
      <w:sdt>
        <w:sdtPr>
          <w:rPr>
            <w:rFonts w:cs="Times New Roman"/>
            <w:lang w:val="en-US"/>
          </w:rPr>
          <w:id w:val="-1843622871"/>
          <w:citation/>
        </w:sdtPr>
        <w:sdtContent>
          <w:r w:rsidR="00BE32A7">
            <w:rPr>
              <w:rFonts w:cs="Times New Roman"/>
              <w:lang w:val="en-US"/>
            </w:rPr>
            <w:fldChar w:fldCharType="begin"/>
          </w:r>
          <w:r w:rsidR="00BE32A7" w:rsidRPr="00625AD6">
            <w:rPr>
              <w:rFonts w:cs="Times New Roman"/>
              <w:lang w:val="en-US"/>
            </w:rPr>
            <w:instrText xml:space="preserve"> CITATION Placeholder177 \l 1040 </w:instrText>
          </w:r>
          <w:r w:rsidR="00BE32A7">
            <w:rPr>
              <w:rFonts w:cs="Times New Roman"/>
              <w:lang w:val="en-US"/>
            </w:rPr>
            <w:fldChar w:fldCharType="separate"/>
          </w:r>
          <w:r w:rsidR="00855396" w:rsidRPr="00855396">
            <w:rPr>
              <w:rFonts w:cs="Times New Roman"/>
              <w:noProof/>
              <w:lang w:val="en-US"/>
            </w:rPr>
            <w:t>[160]</w:t>
          </w:r>
          <w:r w:rsidR="00BE32A7">
            <w:rPr>
              <w:rFonts w:cs="Times New Roman"/>
              <w:lang w:val="en-US"/>
            </w:rPr>
            <w:fldChar w:fldCharType="end"/>
          </w:r>
        </w:sdtContent>
      </w:sdt>
      <w:r w:rsidRPr="008B629F">
        <w:rPr>
          <w:rFonts w:cs="Times New Roman"/>
          <w:lang w:val="en-US"/>
        </w:rPr>
        <w:t xml:space="preserve"> reported Figure </w:t>
      </w:r>
      <w:r w:rsidR="00BE32A7">
        <w:rPr>
          <w:rFonts w:cs="Times New Roman"/>
          <w:lang w:val="en-US"/>
        </w:rPr>
        <w:t>2.1</w:t>
      </w:r>
      <w:r w:rsidRPr="008B629F">
        <w:rPr>
          <w:rFonts w:cs="Times New Roman"/>
          <w:lang w:val="en-US"/>
        </w:rPr>
        <w:t xml:space="preserve">9 and state that cold chain logistics is composed of three main stages: the “first mile” (initial collection), refrigerated transportation and transshipment, and the “last mile” (final delivery). After production, fresh goods are rapidly pre-cooled to lower their temperature, slow down biological processes, and preserve quality, before being stored in refrigerated warehouses. Transportation can take place over short distances using refrigerated trucks or over long distances through intermodal systems (road, rail, sea, air) with refrigerated containers, thus ensuring low-temperature conditions are maintained throughout the journey to the final destination. With the rise of e-commerce, direct delivery from producers to consumers using insulated containers has become increasingly common, allowing for continuous and efficient distribution of perishable goods. In this context, PCMs play a key role: thanks to their ability to store and release thermal energy during the phase transition, they can be integrated into every stage of the cold chain to provide passive cooling, insulation, temperature control, and energy savings, thereby enhancing the thermal stability and overall efficiency of cold chain logistics systems. In the “first mile” process, pre-cooling is essential to quickly lower the temperature of fresh products, slowing down their deterioration. Techniques such as air, vacuum, water, or ice cooling are already widely used, but the application of PCMs, though still limited, offers advantages in terms of cooling speed and energy efficiency. PCMs can be used as refrigerated packaging materials or in phase change slurries to achieve fast and uniform cooling. In refrigerated warehouses, which ensure preservation and serve as transit points in the cold chain, PCMs allow for cold energy storage and release, reducing energy consumption and stabilizing temperature. The integration of these technologies in the pre-cooling and storage phases represents a promising solution to improve the efficiency and sustainability of cold chain logistics systems. The section </w:t>
      </w:r>
      <w:r w:rsidRPr="008B629F">
        <w:rPr>
          <w:rFonts w:cs="Times New Roman"/>
          <w:lang w:val="en-US"/>
        </w:rPr>
        <w:lastRenderedPageBreak/>
        <w:t xml:space="preserve">on cold chain transportation transshipment concerns the role of refrigerated trucks and containers in transporting fresh products between the different stages of the cold chain. Refrigerated trucks are the primary solution for short-distance transportation, ensuring the connection between production sites, pre-cooling stations, warehouses, and retail outlets. The integration of PCMs in these vehicles allows for stable temperature maintenance and reduced energy consumption, both in passive systems (cold storage plates) and active systems (with dynamic temperature control). Current research focuses on optimizing the arrangement of cold plates, cooling recharge methods, and internal temperature distribution. Intermodal refrigerated containers (reefer containers) can also be converted into passive cooling systems using PCMs, improving safety, energy efficiency, and environmental sustainability. The “last mile” of the cold chain refers to the direct delivery of fresh products from warehouses or retailers to consumers and requires flexible, door-to-door distribution systems. In this phase, the cold storage box represents the most effective solution: it is a passive and portable system made of insulating materials and PCMs that maintain a stable internal temperature by utilizing the latent heat released during the phase change process. Since different fresh products have specific temperature requirements, PCMs with varied phase change temperatures effectively replace traditional ice packs, providing greater efficiency, sustainability, and recyclability, especially when using low-cost materials. Current research focuses on optimizing insulating materials, cold storage plates, and their arrangement to improve temperature uniformity and reduce the amount of PCM needed. With the expansion of e-commerce, direct distribution from producers to consumers using cold storage boxes is becoming increasingly common, enabling lower losses, higher efficiency, and new application opportunities in last-mile logistics. Table </w:t>
      </w:r>
      <w:r w:rsidR="00BE32A7">
        <w:rPr>
          <w:rFonts w:cs="Times New Roman"/>
          <w:lang w:val="en-US"/>
        </w:rPr>
        <w:t>2.12</w:t>
      </w:r>
      <w:r w:rsidRPr="008B629F">
        <w:rPr>
          <w:rFonts w:cs="Times New Roman"/>
          <w:lang w:val="en-US"/>
        </w:rPr>
        <w:t xml:space="preserve"> shows commercially available cold boxes [1</w:t>
      </w:r>
      <w:r w:rsidR="00BE32A7">
        <w:rPr>
          <w:rFonts w:cs="Times New Roman"/>
          <w:lang w:val="en-US"/>
        </w:rPr>
        <w:t>6</w:t>
      </w:r>
      <w:r w:rsidRPr="008B629F">
        <w:rPr>
          <w:rFonts w:cs="Times New Roman"/>
          <w:lang w:val="en-US"/>
        </w:rPr>
        <w:t>6].</w:t>
      </w:r>
    </w:p>
    <w:tbl>
      <w:tblPr>
        <w:tblStyle w:val="TableGrid"/>
        <w:tblW w:w="0" w:type="auto"/>
        <w:jc w:val="center"/>
        <w:tblLook w:val="04A0" w:firstRow="1" w:lastRow="0" w:firstColumn="1" w:lastColumn="0" w:noHBand="0" w:noVBand="1"/>
      </w:tblPr>
      <w:tblGrid>
        <w:gridCol w:w="1728"/>
        <w:gridCol w:w="1728"/>
        <w:gridCol w:w="1728"/>
        <w:gridCol w:w="1728"/>
        <w:gridCol w:w="1728"/>
      </w:tblGrid>
      <w:tr w:rsidR="008B629F" w:rsidRPr="008B629F" w14:paraId="65129D92" w14:textId="77777777" w:rsidTr="00A00E1B">
        <w:trPr>
          <w:jc w:val="center"/>
        </w:trPr>
        <w:tc>
          <w:tcPr>
            <w:tcW w:w="1728" w:type="dxa"/>
            <w:shd w:val="clear" w:color="auto" w:fill="8EA5B6"/>
          </w:tcPr>
          <w:p w14:paraId="38F790E6" w14:textId="77777777" w:rsidR="008B629F" w:rsidRPr="00BE32A7" w:rsidRDefault="008B629F" w:rsidP="00A00E1B">
            <w:pPr>
              <w:jc w:val="center"/>
              <w:rPr>
                <w:rFonts w:cs="Times New Roman"/>
                <w:b/>
                <w:bCs/>
                <w:sz w:val="20"/>
                <w:szCs w:val="20"/>
              </w:rPr>
            </w:pPr>
            <w:r w:rsidRPr="00BE32A7">
              <w:rPr>
                <w:rFonts w:cs="Times New Roman"/>
                <w:b/>
                <w:bCs/>
                <w:sz w:val="20"/>
                <w:szCs w:val="20"/>
              </w:rPr>
              <w:t>Company</w:t>
            </w:r>
          </w:p>
        </w:tc>
        <w:tc>
          <w:tcPr>
            <w:tcW w:w="1728" w:type="dxa"/>
            <w:shd w:val="clear" w:color="auto" w:fill="8EA5B6"/>
          </w:tcPr>
          <w:p w14:paraId="0C7EA7FE" w14:textId="77777777" w:rsidR="008B629F" w:rsidRPr="00BE32A7" w:rsidRDefault="008B629F" w:rsidP="00A00E1B">
            <w:pPr>
              <w:jc w:val="center"/>
              <w:rPr>
                <w:rFonts w:cs="Times New Roman"/>
                <w:b/>
                <w:bCs/>
                <w:sz w:val="20"/>
                <w:szCs w:val="20"/>
              </w:rPr>
            </w:pPr>
            <w:r w:rsidRPr="00BE32A7">
              <w:rPr>
                <w:rFonts w:cs="Times New Roman"/>
                <w:b/>
                <w:bCs/>
                <w:sz w:val="20"/>
                <w:szCs w:val="20"/>
              </w:rPr>
              <w:t>Sample Name</w:t>
            </w:r>
          </w:p>
        </w:tc>
        <w:tc>
          <w:tcPr>
            <w:tcW w:w="1728" w:type="dxa"/>
            <w:shd w:val="clear" w:color="auto" w:fill="8EA5B6"/>
          </w:tcPr>
          <w:p w14:paraId="71FF65FB" w14:textId="77777777" w:rsidR="008B629F" w:rsidRPr="00BE32A7" w:rsidRDefault="008B629F" w:rsidP="00A00E1B">
            <w:pPr>
              <w:jc w:val="center"/>
              <w:rPr>
                <w:rFonts w:cs="Times New Roman"/>
                <w:b/>
                <w:bCs/>
                <w:sz w:val="20"/>
                <w:szCs w:val="20"/>
              </w:rPr>
            </w:pPr>
            <w:r w:rsidRPr="00BE32A7">
              <w:rPr>
                <w:rFonts w:cs="Times New Roman"/>
                <w:b/>
                <w:bCs/>
                <w:sz w:val="20"/>
                <w:szCs w:val="20"/>
              </w:rPr>
              <w:t>Melting Temperature (°C)</w:t>
            </w:r>
          </w:p>
        </w:tc>
        <w:tc>
          <w:tcPr>
            <w:tcW w:w="1728" w:type="dxa"/>
            <w:shd w:val="clear" w:color="auto" w:fill="8EA5B6"/>
          </w:tcPr>
          <w:p w14:paraId="6DF83C8D" w14:textId="77777777" w:rsidR="008B629F" w:rsidRPr="00BE32A7" w:rsidRDefault="008B629F" w:rsidP="00A00E1B">
            <w:pPr>
              <w:jc w:val="center"/>
              <w:rPr>
                <w:rFonts w:cs="Times New Roman"/>
                <w:b/>
                <w:bCs/>
                <w:sz w:val="20"/>
                <w:szCs w:val="20"/>
              </w:rPr>
            </w:pPr>
            <w:r w:rsidRPr="00BE32A7">
              <w:rPr>
                <w:rFonts w:cs="Times New Roman"/>
                <w:b/>
                <w:bCs/>
                <w:sz w:val="20"/>
                <w:szCs w:val="20"/>
              </w:rPr>
              <w:t>Payload Volume (L)</w:t>
            </w:r>
          </w:p>
        </w:tc>
        <w:tc>
          <w:tcPr>
            <w:tcW w:w="1728" w:type="dxa"/>
            <w:shd w:val="clear" w:color="auto" w:fill="8EA5B6"/>
          </w:tcPr>
          <w:p w14:paraId="6737DC7D" w14:textId="77777777" w:rsidR="008B629F" w:rsidRPr="00BE32A7" w:rsidRDefault="008B629F" w:rsidP="00A00E1B">
            <w:pPr>
              <w:jc w:val="center"/>
              <w:rPr>
                <w:rFonts w:cs="Times New Roman"/>
                <w:b/>
                <w:bCs/>
                <w:sz w:val="20"/>
                <w:szCs w:val="20"/>
              </w:rPr>
            </w:pPr>
            <w:r w:rsidRPr="00BE32A7">
              <w:rPr>
                <w:rFonts w:cs="Times New Roman"/>
                <w:b/>
                <w:bCs/>
                <w:sz w:val="20"/>
                <w:szCs w:val="20"/>
              </w:rPr>
              <w:t>Duration (h)</w:t>
            </w:r>
          </w:p>
        </w:tc>
      </w:tr>
      <w:tr w:rsidR="008B629F" w:rsidRPr="008B629F" w14:paraId="0F7CDC98" w14:textId="77777777" w:rsidTr="00A00E1B">
        <w:trPr>
          <w:jc w:val="center"/>
        </w:trPr>
        <w:tc>
          <w:tcPr>
            <w:tcW w:w="1728" w:type="dxa"/>
          </w:tcPr>
          <w:p w14:paraId="5D80A2CB" w14:textId="45F4671C" w:rsidR="008B629F" w:rsidRPr="00BE32A7" w:rsidRDefault="008B629F" w:rsidP="00A00E1B">
            <w:pPr>
              <w:jc w:val="center"/>
              <w:rPr>
                <w:rFonts w:cs="Times New Roman"/>
                <w:b/>
                <w:bCs/>
                <w:sz w:val="20"/>
                <w:szCs w:val="20"/>
              </w:rPr>
            </w:pPr>
            <w:r w:rsidRPr="008B629F">
              <w:rPr>
                <w:rFonts w:cs="Times New Roman"/>
                <w:sz w:val="20"/>
                <w:szCs w:val="20"/>
              </w:rPr>
              <w:t>Cold Chain Technologies</w:t>
            </w:r>
          </w:p>
        </w:tc>
        <w:tc>
          <w:tcPr>
            <w:tcW w:w="1728" w:type="dxa"/>
          </w:tcPr>
          <w:p w14:paraId="2AF22E7F" w14:textId="77777777" w:rsidR="008B629F" w:rsidRPr="008B629F" w:rsidRDefault="008B629F" w:rsidP="00A00E1B">
            <w:pPr>
              <w:jc w:val="center"/>
              <w:rPr>
                <w:rFonts w:cs="Times New Roman"/>
                <w:sz w:val="20"/>
                <w:szCs w:val="20"/>
              </w:rPr>
            </w:pPr>
            <w:r w:rsidRPr="008B629F">
              <w:rPr>
                <w:rFonts w:cs="Times New Roman"/>
                <w:sz w:val="20"/>
                <w:szCs w:val="20"/>
              </w:rPr>
              <w:t>CCT EcoFlex™ Standard</w:t>
            </w:r>
          </w:p>
        </w:tc>
        <w:tc>
          <w:tcPr>
            <w:tcW w:w="1728" w:type="dxa"/>
          </w:tcPr>
          <w:p w14:paraId="27EE956E" w14:textId="77777777" w:rsidR="008B629F" w:rsidRPr="008B629F" w:rsidRDefault="008B629F" w:rsidP="00A00E1B">
            <w:pPr>
              <w:jc w:val="center"/>
              <w:rPr>
                <w:rFonts w:cs="Times New Roman"/>
                <w:sz w:val="20"/>
                <w:szCs w:val="20"/>
              </w:rPr>
            </w:pPr>
            <w:r w:rsidRPr="008B629F">
              <w:rPr>
                <w:rFonts w:cs="Times New Roman"/>
                <w:sz w:val="20"/>
                <w:szCs w:val="20"/>
              </w:rPr>
              <w:t>2.0 to 8.0</w:t>
            </w:r>
            <w:r w:rsidRPr="008B629F">
              <w:rPr>
                <w:rFonts w:cs="Times New Roman"/>
                <w:sz w:val="20"/>
                <w:szCs w:val="20"/>
              </w:rPr>
              <w:br/>
              <w:t>15.0 to 25.0</w:t>
            </w:r>
          </w:p>
        </w:tc>
        <w:tc>
          <w:tcPr>
            <w:tcW w:w="1728" w:type="dxa"/>
          </w:tcPr>
          <w:p w14:paraId="06E767E5" w14:textId="77777777" w:rsidR="008B629F" w:rsidRPr="008B629F" w:rsidRDefault="008B629F" w:rsidP="00A00E1B">
            <w:pPr>
              <w:jc w:val="center"/>
              <w:rPr>
                <w:rFonts w:cs="Times New Roman"/>
                <w:sz w:val="20"/>
                <w:szCs w:val="20"/>
              </w:rPr>
            </w:pPr>
            <w:r w:rsidRPr="008B629F">
              <w:rPr>
                <w:rFonts w:cs="Times New Roman"/>
                <w:sz w:val="20"/>
                <w:szCs w:val="20"/>
              </w:rPr>
              <w:t>7.5 to 62</w:t>
            </w:r>
          </w:p>
        </w:tc>
        <w:tc>
          <w:tcPr>
            <w:tcW w:w="1728" w:type="dxa"/>
          </w:tcPr>
          <w:p w14:paraId="768961E1" w14:textId="77777777" w:rsidR="008B629F" w:rsidRPr="008B629F" w:rsidRDefault="008B629F" w:rsidP="00A00E1B">
            <w:pPr>
              <w:jc w:val="center"/>
              <w:rPr>
                <w:rFonts w:cs="Times New Roman"/>
                <w:sz w:val="20"/>
                <w:szCs w:val="20"/>
              </w:rPr>
            </w:pPr>
            <w:r w:rsidRPr="008B629F">
              <w:rPr>
                <w:rFonts w:cs="Times New Roman"/>
                <w:sz w:val="20"/>
                <w:szCs w:val="20"/>
              </w:rPr>
              <w:t>45 to 72</w:t>
            </w:r>
          </w:p>
        </w:tc>
      </w:tr>
      <w:tr w:rsidR="008B629F" w:rsidRPr="008B629F" w14:paraId="6B899C79" w14:textId="77777777" w:rsidTr="00A00E1B">
        <w:trPr>
          <w:jc w:val="center"/>
        </w:trPr>
        <w:tc>
          <w:tcPr>
            <w:tcW w:w="1728" w:type="dxa"/>
          </w:tcPr>
          <w:p w14:paraId="44275D67" w14:textId="77777777" w:rsidR="008B629F" w:rsidRPr="008B629F" w:rsidRDefault="008B629F" w:rsidP="00A00E1B">
            <w:pPr>
              <w:jc w:val="center"/>
              <w:rPr>
                <w:rFonts w:cs="Times New Roman"/>
                <w:sz w:val="20"/>
                <w:szCs w:val="20"/>
              </w:rPr>
            </w:pPr>
            <w:r w:rsidRPr="008B629F">
              <w:rPr>
                <w:rFonts w:cs="Times New Roman"/>
                <w:sz w:val="20"/>
                <w:szCs w:val="20"/>
              </w:rPr>
              <w:t>Cold Chain Technologies</w:t>
            </w:r>
          </w:p>
        </w:tc>
        <w:tc>
          <w:tcPr>
            <w:tcW w:w="1728" w:type="dxa"/>
          </w:tcPr>
          <w:p w14:paraId="35371C60" w14:textId="77777777" w:rsidR="008B629F" w:rsidRPr="008B629F" w:rsidRDefault="008B629F" w:rsidP="00A00E1B">
            <w:pPr>
              <w:jc w:val="center"/>
              <w:rPr>
                <w:rFonts w:cs="Times New Roman"/>
                <w:sz w:val="20"/>
                <w:szCs w:val="20"/>
              </w:rPr>
            </w:pPr>
            <w:r w:rsidRPr="008B629F">
              <w:rPr>
                <w:rFonts w:cs="Times New Roman"/>
                <w:sz w:val="20"/>
                <w:szCs w:val="20"/>
              </w:rPr>
              <w:t>CCT EcoFlex™ Extended</w:t>
            </w:r>
          </w:p>
        </w:tc>
        <w:tc>
          <w:tcPr>
            <w:tcW w:w="1728" w:type="dxa"/>
          </w:tcPr>
          <w:p w14:paraId="56EC73EF" w14:textId="30BA5AA3" w:rsidR="008B629F" w:rsidRPr="008B629F" w:rsidRDefault="008B629F" w:rsidP="00A00E1B">
            <w:pPr>
              <w:jc w:val="center"/>
              <w:rPr>
                <w:rFonts w:cs="Times New Roman"/>
                <w:sz w:val="20"/>
                <w:szCs w:val="20"/>
              </w:rPr>
            </w:pPr>
            <w:r w:rsidRPr="008B629F">
              <w:rPr>
                <w:rFonts w:cs="Times New Roman"/>
                <w:sz w:val="20"/>
                <w:szCs w:val="20"/>
              </w:rPr>
              <w:t>2.0 to 8.0</w:t>
            </w:r>
            <w:r w:rsidRPr="008B629F">
              <w:rPr>
                <w:rFonts w:cs="Times New Roman"/>
                <w:sz w:val="20"/>
                <w:szCs w:val="20"/>
              </w:rPr>
              <w:br/>
              <w:t>15.0 to 25.0</w:t>
            </w:r>
            <w:r w:rsidRPr="008B629F">
              <w:rPr>
                <w:rFonts w:cs="Times New Roman"/>
                <w:sz w:val="20"/>
                <w:szCs w:val="20"/>
              </w:rPr>
              <w:br/>
              <w:t>-15.0 to -25.0</w:t>
            </w:r>
            <w:r w:rsidRPr="008B629F">
              <w:rPr>
                <w:rFonts w:cs="Times New Roman"/>
                <w:sz w:val="20"/>
                <w:szCs w:val="20"/>
              </w:rPr>
              <w:br/>
              <w:t>-50.0 to -80.0</w:t>
            </w:r>
          </w:p>
        </w:tc>
        <w:tc>
          <w:tcPr>
            <w:tcW w:w="1728" w:type="dxa"/>
          </w:tcPr>
          <w:p w14:paraId="48287243" w14:textId="77777777" w:rsidR="008B629F" w:rsidRPr="008B629F" w:rsidRDefault="008B629F" w:rsidP="00A00E1B">
            <w:pPr>
              <w:jc w:val="center"/>
              <w:rPr>
                <w:rFonts w:cs="Times New Roman"/>
                <w:sz w:val="20"/>
                <w:szCs w:val="20"/>
              </w:rPr>
            </w:pPr>
            <w:r w:rsidRPr="008B629F">
              <w:rPr>
                <w:rFonts w:cs="Times New Roman"/>
                <w:sz w:val="20"/>
                <w:szCs w:val="20"/>
              </w:rPr>
              <w:t>2.5 to 53.7</w:t>
            </w:r>
          </w:p>
        </w:tc>
        <w:tc>
          <w:tcPr>
            <w:tcW w:w="1728" w:type="dxa"/>
          </w:tcPr>
          <w:p w14:paraId="52B45765" w14:textId="77777777" w:rsidR="008B629F" w:rsidRPr="008B629F" w:rsidRDefault="008B629F" w:rsidP="00A00E1B">
            <w:pPr>
              <w:jc w:val="center"/>
              <w:rPr>
                <w:rFonts w:cs="Times New Roman"/>
                <w:sz w:val="20"/>
                <w:szCs w:val="20"/>
              </w:rPr>
            </w:pPr>
            <w:r w:rsidRPr="008B629F">
              <w:rPr>
                <w:rFonts w:cs="Times New Roman"/>
                <w:sz w:val="20"/>
                <w:szCs w:val="20"/>
              </w:rPr>
              <w:t>96 to 144</w:t>
            </w:r>
          </w:p>
        </w:tc>
      </w:tr>
      <w:tr w:rsidR="008B629F" w:rsidRPr="008B629F" w14:paraId="0EA588A3" w14:textId="77777777" w:rsidTr="00A00E1B">
        <w:trPr>
          <w:jc w:val="center"/>
        </w:trPr>
        <w:tc>
          <w:tcPr>
            <w:tcW w:w="1728" w:type="dxa"/>
          </w:tcPr>
          <w:p w14:paraId="1944C58C" w14:textId="77777777" w:rsidR="008B629F" w:rsidRPr="008B629F" w:rsidRDefault="008B629F" w:rsidP="00A00E1B">
            <w:pPr>
              <w:jc w:val="center"/>
              <w:rPr>
                <w:rFonts w:cs="Times New Roman"/>
                <w:sz w:val="20"/>
                <w:szCs w:val="20"/>
              </w:rPr>
            </w:pPr>
            <w:r w:rsidRPr="008B629F">
              <w:rPr>
                <w:rFonts w:cs="Times New Roman"/>
                <w:sz w:val="20"/>
                <w:szCs w:val="20"/>
              </w:rPr>
              <w:t>CoolPac</w:t>
            </w:r>
          </w:p>
        </w:tc>
        <w:tc>
          <w:tcPr>
            <w:tcW w:w="1728" w:type="dxa"/>
          </w:tcPr>
          <w:p w14:paraId="7E5B3B6F" w14:textId="77777777" w:rsidR="008B629F" w:rsidRPr="008B629F" w:rsidRDefault="008B629F" w:rsidP="00A00E1B">
            <w:pPr>
              <w:jc w:val="center"/>
              <w:rPr>
                <w:rFonts w:cs="Times New Roman"/>
                <w:sz w:val="20"/>
                <w:szCs w:val="20"/>
              </w:rPr>
            </w:pPr>
            <w:r w:rsidRPr="008B629F">
              <w:rPr>
                <w:rFonts w:cs="Times New Roman"/>
                <w:sz w:val="20"/>
                <w:szCs w:val="20"/>
              </w:rPr>
              <w:t>CoolPac 15 PCM</w:t>
            </w:r>
          </w:p>
          <w:p w14:paraId="0D041EA4" w14:textId="77777777" w:rsidR="008B629F" w:rsidRPr="008B629F" w:rsidRDefault="008B629F" w:rsidP="00A00E1B">
            <w:pPr>
              <w:jc w:val="center"/>
              <w:rPr>
                <w:rFonts w:cs="Times New Roman"/>
                <w:sz w:val="20"/>
                <w:szCs w:val="20"/>
              </w:rPr>
            </w:pPr>
          </w:p>
        </w:tc>
        <w:tc>
          <w:tcPr>
            <w:tcW w:w="1728" w:type="dxa"/>
          </w:tcPr>
          <w:p w14:paraId="7218433B" w14:textId="77777777" w:rsidR="008B629F" w:rsidRPr="008B629F" w:rsidRDefault="008B629F" w:rsidP="00A00E1B">
            <w:pPr>
              <w:jc w:val="center"/>
              <w:rPr>
                <w:rFonts w:cs="Times New Roman"/>
                <w:sz w:val="20"/>
                <w:szCs w:val="20"/>
              </w:rPr>
            </w:pPr>
            <w:r w:rsidRPr="008B629F">
              <w:rPr>
                <w:rFonts w:cs="Times New Roman"/>
                <w:sz w:val="20"/>
                <w:szCs w:val="20"/>
              </w:rPr>
              <w:t>-20.0 to 8.0</w:t>
            </w:r>
            <w:r w:rsidRPr="008B629F">
              <w:rPr>
                <w:rFonts w:cs="Times New Roman"/>
                <w:sz w:val="20"/>
                <w:szCs w:val="20"/>
              </w:rPr>
              <w:br/>
              <w:t>2.0 to 8.0</w:t>
            </w:r>
          </w:p>
        </w:tc>
        <w:tc>
          <w:tcPr>
            <w:tcW w:w="1728" w:type="dxa"/>
          </w:tcPr>
          <w:p w14:paraId="27D81D7B" w14:textId="77777777" w:rsidR="008B629F" w:rsidRPr="008B629F" w:rsidRDefault="008B629F" w:rsidP="00A00E1B">
            <w:pPr>
              <w:jc w:val="center"/>
              <w:rPr>
                <w:rFonts w:cs="Times New Roman"/>
                <w:sz w:val="20"/>
                <w:szCs w:val="20"/>
              </w:rPr>
            </w:pPr>
            <w:r w:rsidRPr="008B629F">
              <w:rPr>
                <w:rFonts w:cs="Times New Roman"/>
                <w:sz w:val="20"/>
                <w:szCs w:val="20"/>
              </w:rPr>
              <w:t>8.5 kg dry ice</w:t>
            </w:r>
            <w:r w:rsidRPr="008B629F">
              <w:rPr>
                <w:rFonts w:cs="Times New Roman"/>
                <w:sz w:val="20"/>
                <w:szCs w:val="20"/>
              </w:rPr>
              <w:br/>
              <w:t>2.77</w:t>
            </w:r>
          </w:p>
        </w:tc>
        <w:tc>
          <w:tcPr>
            <w:tcW w:w="1728" w:type="dxa"/>
          </w:tcPr>
          <w:p w14:paraId="28EFB2A7" w14:textId="77777777" w:rsidR="008B629F" w:rsidRPr="008B629F" w:rsidRDefault="008B629F" w:rsidP="00A00E1B">
            <w:pPr>
              <w:jc w:val="center"/>
              <w:rPr>
                <w:rFonts w:cs="Times New Roman"/>
                <w:sz w:val="20"/>
                <w:szCs w:val="20"/>
              </w:rPr>
            </w:pPr>
            <w:r w:rsidRPr="008B629F">
              <w:rPr>
                <w:rFonts w:cs="Times New Roman"/>
                <w:sz w:val="20"/>
                <w:szCs w:val="20"/>
              </w:rPr>
              <w:t>105</w:t>
            </w:r>
          </w:p>
        </w:tc>
      </w:tr>
      <w:tr w:rsidR="008B629F" w:rsidRPr="008B629F" w14:paraId="61BAC4FE" w14:textId="77777777" w:rsidTr="00A00E1B">
        <w:trPr>
          <w:jc w:val="center"/>
        </w:trPr>
        <w:tc>
          <w:tcPr>
            <w:tcW w:w="1728" w:type="dxa"/>
          </w:tcPr>
          <w:p w14:paraId="7F779221" w14:textId="77777777" w:rsidR="008B629F" w:rsidRPr="008B629F" w:rsidRDefault="008B629F" w:rsidP="00A00E1B">
            <w:pPr>
              <w:jc w:val="center"/>
              <w:rPr>
                <w:rFonts w:cs="Times New Roman"/>
                <w:sz w:val="20"/>
                <w:szCs w:val="20"/>
              </w:rPr>
            </w:pPr>
            <w:r w:rsidRPr="008B629F">
              <w:rPr>
                <w:rFonts w:cs="Times New Roman"/>
                <w:sz w:val="20"/>
                <w:szCs w:val="20"/>
              </w:rPr>
              <w:t>CoolPac</w:t>
            </w:r>
          </w:p>
        </w:tc>
        <w:tc>
          <w:tcPr>
            <w:tcW w:w="1728" w:type="dxa"/>
          </w:tcPr>
          <w:p w14:paraId="292DEFAE" w14:textId="77777777" w:rsidR="008B629F" w:rsidRPr="008B629F" w:rsidRDefault="008B629F" w:rsidP="00A00E1B">
            <w:pPr>
              <w:jc w:val="center"/>
              <w:rPr>
                <w:rFonts w:cs="Times New Roman"/>
                <w:sz w:val="20"/>
                <w:szCs w:val="20"/>
              </w:rPr>
            </w:pPr>
            <w:r w:rsidRPr="008B629F">
              <w:rPr>
                <w:rFonts w:cs="Times New Roman"/>
                <w:sz w:val="20"/>
                <w:szCs w:val="20"/>
              </w:rPr>
              <w:t>CoolPac 45 PCM</w:t>
            </w:r>
          </w:p>
          <w:p w14:paraId="6250AB11" w14:textId="77777777" w:rsidR="008B629F" w:rsidRPr="008B629F" w:rsidRDefault="008B629F" w:rsidP="00A00E1B">
            <w:pPr>
              <w:jc w:val="center"/>
              <w:rPr>
                <w:rFonts w:cs="Times New Roman"/>
                <w:sz w:val="20"/>
                <w:szCs w:val="20"/>
              </w:rPr>
            </w:pPr>
          </w:p>
        </w:tc>
        <w:tc>
          <w:tcPr>
            <w:tcW w:w="1728" w:type="dxa"/>
          </w:tcPr>
          <w:p w14:paraId="4BBFA89B" w14:textId="77777777" w:rsidR="008B629F" w:rsidRPr="008B629F" w:rsidRDefault="008B629F" w:rsidP="00A00E1B">
            <w:pPr>
              <w:jc w:val="center"/>
              <w:rPr>
                <w:rFonts w:cs="Times New Roman"/>
                <w:sz w:val="20"/>
                <w:szCs w:val="20"/>
              </w:rPr>
            </w:pPr>
            <w:r w:rsidRPr="008B629F">
              <w:rPr>
                <w:rFonts w:cs="Times New Roman"/>
                <w:sz w:val="20"/>
                <w:szCs w:val="20"/>
              </w:rPr>
              <w:t>-20.0 to 8.0</w:t>
            </w:r>
            <w:r w:rsidRPr="008B629F">
              <w:rPr>
                <w:rFonts w:cs="Times New Roman"/>
                <w:sz w:val="20"/>
                <w:szCs w:val="20"/>
              </w:rPr>
              <w:br/>
              <w:t>2.0 to 8.0</w:t>
            </w:r>
          </w:p>
        </w:tc>
        <w:tc>
          <w:tcPr>
            <w:tcW w:w="1728" w:type="dxa"/>
          </w:tcPr>
          <w:p w14:paraId="12B41EB3" w14:textId="77777777" w:rsidR="008B629F" w:rsidRPr="008B629F" w:rsidRDefault="008B629F" w:rsidP="00A00E1B">
            <w:pPr>
              <w:jc w:val="center"/>
              <w:rPr>
                <w:rFonts w:cs="Times New Roman"/>
                <w:sz w:val="20"/>
                <w:szCs w:val="20"/>
              </w:rPr>
            </w:pPr>
            <w:r w:rsidRPr="008B629F">
              <w:rPr>
                <w:rFonts w:cs="Times New Roman"/>
                <w:sz w:val="20"/>
                <w:szCs w:val="20"/>
              </w:rPr>
              <w:t>15 kg dry ice</w:t>
            </w:r>
            <w:r w:rsidRPr="008B629F">
              <w:rPr>
                <w:rFonts w:cs="Times New Roman"/>
                <w:sz w:val="20"/>
                <w:szCs w:val="20"/>
              </w:rPr>
              <w:br/>
              <w:t>14.65</w:t>
            </w:r>
          </w:p>
        </w:tc>
        <w:tc>
          <w:tcPr>
            <w:tcW w:w="1728" w:type="dxa"/>
          </w:tcPr>
          <w:p w14:paraId="230A6B15" w14:textId="77777777" w:rsidR="008B629F" w:rsidRPr="008B629F" w:rsidRDefault="008B629F" w:rsidP="00A00E1B">
            <w:pPr>
              <w:jc w:val="center"/>
              <w:rPr>
                <w:rFonts w:cs="Times New Roman"/>
                <w:sz w:val="20"/>
                <w:szCs w:val="20"/>
              </w:rPr>
            </w:pPr>
            <w:r w:rsidRPr="008B629F">
              <w:rPr>
                <w:rFonts w:cs="Times New Roman"/>
                <w:sz w:val="20"/>
                <w:szCs w:val="20"/>
              </w:rPr>
              <w:t>66 to 75</w:t>
            </w:r>
            <w:r w:rsidRPr="008B629F">
              <w:rPr>
                <w:rFonts w:cs="Times New Roman"/>
                <w:sz w:val="20"/>
                <w:szCs w:val="20"/>
              </w:rPr>
              <w:br/>
              <w:t>&gt;120</w:t>
            </w:r>
          </w:p>
        </w:tc>
      </w:tr>
      <w:tr w:rsidR="008B629F" w:rsidRPr="008B629F" w14:paraId="4C19CB65" w14:textId="77777777" w:rsidTr="00A00E1B">
        <w:trPr>
          <w:jc w:val="center"/>
        </w:trPr>
        <w:tc>
          <w:tcPr>
            <w:tcW w:w="1728" w:type="dxa"/>
          </w:tcPr>
          <w:p w14:paraId="55241F3C" w14:textId="77777777" w:rsidR="008B629F" w:rsidRPr="008B629F" w:rsidRDefault="008B629F" w:rsidP="00A00E1B">
            <w:pPr>
              <w:jc w:val="center"/>
              <w:rPr>
                <w:rFonts w:cs="Times New Roman"/>
                <w:sz w:val="20"/>
                <w:szCs w:val="20"/>
              </w:rPr>
            </w:pPr>
            <w:r w:rsidRPr="008B629F">
              <w:rPr>
                <w:rFonts w:cs="Times New Roman"/>
                <w:sz w:val="20"/>
                <w:szCs w:val="20"/>
              </w:rPr>
              <w:lastRenderedPageBreak/>
              <w:t>Peli BioThermal</w:t>
            </w:r>
          </w:p>
        </w:tc>
        <w:tc>
          <w:tcPr>
            <w:tcW w:w="1728" w:type="dxa"/>
          </w:tcPr>
          <w:p w14:paraId="65CF2E44" w14:textId="77777777" w:rsidR="008B629F" w:rsidRPr="008B629F" w:rsidRDefault="008B629F" w:rsidP="00A00E1B">
            <w:pPr>
              <w:jc w:val="center"/>
              <w:rPr>
                <w:rFonts w:cs="Times New Roman"/>
                <w:sz w:val="20"/>
                <w:szCs w:val="20"/>
              </w:rPr>
            </w:pPr>
            <w:r w:rsidRPr="008B629F">
              <w:rPr>
                <w:rFonts w:cs="Times New Roman"/>
                <w:sz w:val="20"/>
                <w:szCs w:val="20"/>
              </w:rPr>
              <w:t>Credo Cube™</w:t>
            </w:r>
          </w:p>
        </w:tc>
        <w:tc>
          <w:tcPr>
            <w:tcW w:w="1728" w:type="dxa"/>
          </w:tcPr>
          <w:p w14:paraId="16C82D36" w14:textId="5332E5EE" w:rsidR="008B629F" w:rsidRPr="008B629F" w:rsidRDefault="008B629F" w:rsidP="00A00E1B">
            <w:pPr>
              <w:jc w:val="center"/>
              <w:rPr>
                <w:rFonts w:cs="Times New Roman"/>
                <w:sz w:val="20"/>
                <w:szCs w:val="20"/>
              </w:rPr>
            </w:pPr>
            <w:r w:rsidRPr="008B629F">
              <w:rPr>
                <w:rFonts w:cs="Times New Roman"/>
                <w:sz w:val="20"/>
                <w:szCs w:val="20"/>
              </w:rPr>
              <w:t>&lt; -40.0</w:t>
            </w:r>
            <w:r w:rsidRPr="008B629F">
              <w:rPr>
                <w:rFonts w:cs="Times New Roman"/>
                <w:sz w:val="20"/>
                <w:szCs w:val="20"/>
              </w:rPr>
              <w:br/>
              <w:t>2.0 to 8.0</w:t>
            </w:r>
            <w:r w:rsidRPr="008B629F">
              <w:rPr>
                <w:rFonts w:cs="Times New Roman"/>
                <w:sz w:val="20"/>
                <w:szCs w:val="20"/>
              </w:rPr>
              <w:br/>
              <w:t>15.0 to 25.0</w:t>
            </w:r>
          </w:p>
        </w:tc>
        <w:tc>
          <w:tcPr>
            <w:tcW w:w="1728" w:type="dxa"/>
          </w:tcPr>
          <w:p w14:paraId="187B2DE9" w14:textId="77777777" w:rsidR="008B629F" w:rsidRPr="008B629F" w:rsidRDefault="008B629F" w:rsidP="00A00E1B">
            <w:pPr>
              <w:jc w:val="center"/>
              <w:rPr>
                <w:rFonts w:cs="Times New Roman"/>
                <w:sz w:val="20"/>
                <w:szCs w:val="20"/>
              </w:rPr>
            </w:pPr>
            <w:r w:rsidRPr="008B629F">
              <w:rPr>
                <w:rFonts w:cs="Times New Roman"/>
                <w:sz w:val="20"/>
                <w:szCs w:val="20"/>
              </w:rPr>
              <w:t>-</w:t>
            </w:r>
          </w:p>
        </w:tc>
        <w:tc>
          <w:tcPr>
            <w:tcW w:w="1728" w:type="dxa"/>
          </w:tcPr>
          <w:p w14:paraId="489D0D73" w14:textId="77777777" w:rsidR="008B629F" w:rsidRPr="008B629F" w:rsidRDefault="008B629F" w:rsidP="00A00E1B">
            <w:pPr>
              <w:jc w:val="center"/>
              <w:rPr>
                <w:rFonts w:cs="Times New Roman"/>
                <w:sz w:val="20"/>
                <w:szCs w:val="20"/>
              </w:rPr>
            </w:pPr>
            <w:r w:rsidRPr="008B629F">
              <w:rPr>
                <w:rFonts w:cs="Times New Roman"/>
                <w:sz w:val="20"/>
                <w:szCs w:val="20"/>
              </w:rPr>
              <w:t>96 to 156</w:t>
            </w:r>
          </w:p>
        </w:tc>
      </w:tr>
      <w:tr w:rsidR="008B629F" w:rsidRPr="008B629F" w14:paraId="1031B68C" w14:textId="77777777" w:rsidTr="00A00E1B">
        <w:trPr>
          <w:jc w:val="center"/>
        </w:trPr>
        <w:tc>
          <w:tcPr>
            <w:tcW w:w="1728" w:type="dxa"/>
          </w:tcPr>
          <w:p w14:paraId="149CBAA2" w14:textId="77777777" w:rsidR="008B629F" w:rsidRPr="008B629F" w:rsidRDefault="008B629F" w:rsidP="00A00E1B">
            <w:pPr>
              <w:jc w:val="center"/>
              <w:rPr>
                <w:rFonts w:cs="Times New Roman"/>
                <w:sz w:val="20"/>
                <w:szCs w:val="20"/>
              </w:rPr>
            </w:pPr>
            <w:r w:rsidRPr="008B629F">
              <w:rPr>
                <w:rFonts w:cs="Times New Roman"/>
                <w:sz w:val="20"/>
                <w:szCs w:val="20"/>
              </w:rPr>
              <w:t>TempAid</w:t>
            </w:r>
          </w:p>
        </w:tc>
        <w:tc>
          <w:tcPr>
            <w:tcW w:w="1728" w:type="dxa"/>
          </w:tcPr>
          <w:p w14:paraId="22823BF8" w14:textId="1293F336" w:rsidR="008B629F" w:rsidRPr="008B629F" w:rsidRDefault="008B629F" w:rsidP="00A00E1B">
            <w:pPr>
              <w:jc w:val="center"/>
              <w:rPr>
                <w:rFonts w:cs="Times New Roman"/>
                <w:sz w:val="20"/>
                <w:szCs w:val="20"/>
              </w:rPr>
            </w:pPr>
            <w:r w:rsidRPr="008B629F">
              <w:rPr>
                <w:rFonts w:cs="Times New Roman"/>
                <w:sz w:val="20"/>
                <w:szCs w:val="20"/>
              </w:rPr>
              <w:t>SteadyPac Cube – refrigerated shipments</w:t>
            </w:r>
          </w:p>
        </w:tc>
        <w:tc>
          <w:tcPr>
            <w:tcW w:w="1728" w:type="dxa"/>
          </w:tcPr>
          <w:p w14:paraId="794362D2" w14:textId="77777777" w:rsidR="008B629F" w:rsidRPr="008B629F" w:rsidRDefault="008B629F" w:rsidP="00A00E1B">
            <w:pPr>
              <w:jc w:val="center"/>
              <w:rPr>
                <w:rFonts w:cs="Times New Roman"/>
                <w:sz w:val="20"/>
                <w:szCs w:val="20"/>
              </w:rPr>
            </w:pPr>
            <w:r w:rsidRPr="008B629F">
              <w:rPr>
                <w:rFonts w:cs="Times New Roman"/>
                <w:sz w:val="20"/>
                <w:szCs w:val="20"/>
              </w:rPr>
              <w:t>2.0 to 8.0</w:t>
            </w:r>
          </w:p>
        </w:tc>
        <w:tc>
          <w:tcPr>
            <w:tcW w:w="1728" w:type="dxa"/>
          </w:tcPr>
          <w:p w14:paraId="2933084E" w14:textId="77777777" w:rsidR="008B629F" w:rsidRPr="008B629F" w:rsidRDefault="008B629F" w:rsidP="00A00E1B">
            <w:pPr>
              <w:jc w:val="center"/>
              <w:rPr>
                <w:rFonts w:cs="Times New Roman"/>
                <w:sz w:val="20"/>
                <w:szCs w:val="20"/>
              </w:rPr>
            </w:pPr>
            <w:r w:rsidRPr="008B629F">
              <w:rPr>
                <w:rFonts w:cs="Times New Roman"/>
                <w:sz w:val="20"/>
                <w:szCs w:val="20"/>
              </w:rPr>
              <w:t>3 to 96</w:t>
            </w:r>
          </w:p>
        </w:tc>
        <w:tc>
          <w:tcPr>
            <w:tcW w:w="1728" w:type="dxa"/>
          </w:tcPr>
          <w:p w14:paraId="25D24F1C" w14:textId="77777777" w:rsidR="008B629F" w:rsidRPr="008B629F" w:rsidRDefault="008B629F" w:rsidP="00A00E1B">
            <w:pPr>
              <w:jc w:val="center"/>
              <w:rPr>
                <w:rFonts w:cs="Times New Roman"/>
                <w:sz w:val="20"/>
                <w:szCs w:val="20"/>
              </w:rPr>
            </w:pPr>
            <w:r w:rsidRPr="008B629F">
              <w:rPr>
                <w:rFonts w:cs="Times New Roman"/>
                <w:sz w:val="20"/>
                <w:szCs w:val="20"/>
              </w:rPr>
              <w:t>105</w:t>
            </w:r>
          </w:p>
        </w:tc>
      </w:tr>
      <w:tr w:rsidR="008B629F" w:rsidRPr="008B629F" w14:paraId="628B7157" w14:textId="77777777" w:rsidTr="00A00E1B">
        <w:trPr>
          <w:jc w:val="center"/>
        </w:trPr>
        <w:tc>
          <w:tcPr>
            <w:tcW w:w="1728" w:type="dxa"/>
          </w:tcPr>
          <w:p w14:paraId="5E34D660" w14:textId="77777777" w:rsidR="008B629F" w:rsidRPr="008B629F" w:rsidRDefault="008B629F" w:rsidP="00A00E1B">
            <w:pPr>
              <w:jc w:val="center"/>
              <w:rPr>
                <w:rFonts w:cs="Times New Roman"/>
                <w:sz w:val="20"/>
                <w:szCs w:val="20"/>
              </w:rPr>
            </w:pPr>
            <w:r w:rsidRPr="008B629F">
              <w:rPr>
                <w:rFonts w:cs="Times New Roman"/>
                <w:sz w:val="20"/>
                <w:szCs w:val="20"/>
              </w:rPr>
              <w:t>TempAid</w:t>
            </w:r>
          </w:p>
        </w:tc>
        <w:tc>
          <w:tcPr>
            <w:tcW w:w="1728" w:type="dxa"/>
          </w:tcPr>
          <w:p w14:paraId="2329E7C0" w14:textId="44376BA4" w:rsidR="008B629F" w:rsidRPr="008B629F" w:rsidRDefault="008B629F" w:rsidP="00A00E1B">
            <w:pPr>
              <w:jc w:val="center"/>
              <w:rPr>
                <w:rFonts w:cs="Times New Roman"/>
                <w:sz w:val="20"/>
                <w:szCs w:val="20"/>
                <w:lang w:val="en-US"/>
              </w:rPr>
            </w:pPr>
            <w:r w:rsidRPr="008B629F">
              <w:rPr>
                <w:rFonts w:cs="Times New Roman"/>
                <w:sz w:val="20"/>
                <w:szCs w:val="20"/>
                <w:lang w:val="en-US"/>
              </w:rPr>
              <w:t>Water and Gel-based Qualified Cold Chain Packaging</w:t>
            </w:r>
          </w:p>
        </w:tc>
        <w:tc>
          <w:tcPr>
            <w:tcW w:w="1728" w:type="dxa"/>
          </w:tcPr>
          <w:p w14:paraId="19AC6474" w14:textId="77777777" w:rsidR="008B629F" w:rsidRPr="008B629F" w:rsidRDefault="008B629F" w:rsidP="00A00E1B">
            <w:pPr>
              <w:jc w:val="center"/>
              <w:rPr>
                <w:rFonts w:cs="Times New Roman"/>
                <w:sz w:val="20"/>
                <w:szCs w:val="20"/>
              </w:rPr>
            </w:pPr>
            <w:r w:rsidRPr="008B629F">
              <w:rPr>
                <w:rFonts w:cs="Times New Roman"/>
                <w:sz w:val="20"/>
                <w:szCs w:val="20"/>
              </w:rPr>
              <w:t>2.0 to 8.0</w:t>
            </w:r>
          </w:p>
        </w:tc>
        <w:tc>
          <w:tcPr>
            <w:tcW w:w="1728" w:type="dxa"/>
          </w:tcPr>
          <w:p w14:paraId="0596765C" w14:textId="77777777" w:rsidR="008B629F" w:rsidRPr="008B629F" w:rsidRDefault="008B629F" w:rsidP="00A00E1B">
            <w:pPr>
              <w:jc w:val="center"/>
              <w:rPr>
                <w:rFonts w:cs="Times New Roman"/>
                <w:sz w:val="20"/>
                <w:szCs w:val="20"/>
              </w:rPr>
            </w:pPr>
            <w:r w:rsidRPr="008B629F">
              <w:rPr>
                <w:rFonts w:cs="Times New Roman"/>
                <w:sz w:val="20"/>
                <w:szCs w:val="20"/>
              </w:rPr>
              <w:t>2 to 50</w:t>
            </w:r>
          </w:p>
        </w:tc>
        <w:tc>
          <w:tcPr>
            <w:tcW w:w="1728" w:type="dxa"/>
          </w:tcPr>
          <w:p w14:paraId="78474E15" w14:textId="77777777" w:rsidR="008B629F" w:rsidRPr="008B629F" w:rsidRDefault="008B629F" w:rsidP="00A00E1B">
            <w:pPr>
              <w:jc w:val="center"/>
              <w:rPr>
                <w:rFonts w:cs="Times New Roman"/>
                <w:sz w:val="20"/>
                <w:szCs w:val="20"/>
              </w:rPr>
            </w:pPr>
            <w:r w:rsidRPr="008B629F">
              <w:rPr>
                <w:rFonts w:cs="Times New Roman"/>
                <w:sz w:val="20"/>
                <w:szCs w:val="20"/>
              </w:rPr>
              <w:t>72</w:t>
            </w:r>
          </w:p>
        </w:tc>
      </w:tr>
      <w:tr w:rsidR="008B629F" w:rsidRPr="008B629F" w14:paraId="73E69000" w14:textId="77777777" w:rsidTr="00A00E1B">
        <w:trPr>
          <w:jc w:val="center"/>
        </w:trPr>
        <w:tc>
          <w:tcPr>
            <w:tcW w:w="1728" w:type="dxa"/>
          </w:tcPr>
          <w:p w14:paraId="1A87FE3C" w14:textId="77777777" w:rsidR="008B629F" w:rsidRPr="008B629F" w:rsidRDefault="008B629F" w:rsidP="00A00E1B">
            <w:pPr>
              <w:jc w:val="center"/>
              <w:rPr>
                <w:rFonts w:cs="Times New Roman"/>
                <w:sz w:val="20"/>
                <w:szCs w:val="20"/>
              </w:rPr>
            </w:pPr>
            <w:r w:rsidRPr="008B629F">
              <w:rPr>
                <w:rFonts w:cs="Times New Roman"/>
                <w:sz w:val="20"/>
                <w:szCs w:val="20"/>
              </w:rPr>
              <w:t>TempAid</w:t>
            </w:r>
          </w:p>
        </w:tc>
        <w:tc>
          <w:tcPr>
            <w:tcW w:w="1728" w:type="dxa"/>
          </w:tcPr>
          <w:p w14:paraId="68BE9C43" w14:textId="4D19ADE4" w:rsidR="008B629F" w:rsidRPr="008B629F" w:rsidRDefault="008B629F" w:rsidP="00A00E1B">
            <w:pPr>
              <w:jc w:val="center"/>
              <w:rPr>
                <w:rFonts w:cs="Times New Roman"/>
                <w:sz w:val="20"/>
                <w:szCs w:val="20"/>
              </w:rPr>
            </w:pPr>
            <w:r w:rsidRPr="008B629F">
              <w:rPr>
                <w:rFonts w:cs="Times New Roman"/>
                <w:sz w:val="20"/>
                <w:szCs w:val="20"/>
              </w:rPr>
              <w:t>SteadyPac Cube – frozen shipments</w:t>
            </w:r>
          </w:p>
        </w:tc>
        <w:tc>
          <w:tcPr>
            <w:tcW w:w="1728" w:type="dxa"/>
          </w:tcPr>
          <w:p w14:paraId="737DA335" w14:textId="77777777" w:rsidR="008B629F" w:rsidRPr="008B629F" w:rsidRDefault="008B629F" w:rsidP="00A00E1B">
            <w:pPr>
              <w:jc w:val="center"/>
              <w:rPr>
                <w:rFonts w:cs="Times New Roman"/>
                <w:sz w:val="20"/>
                <w:szCs w:val="20"/>
              </w:rPr>
            </w:pPr>
            <w:r w:rsidRPr="008B629F">
              <w:rPr>
                <w:rFonts w:cs="Times New Roman"/>
                <w:sz w:val="20"/>
                <w:szCs w:val="20"/>
              </w:rPr>
              <w:t>-25.0 to -15.0</w:t>
            </w:r>
          </w:p>
        </w:tc>
        <w:tc>
          <w:tcPr>
            <w:tcW w:w="1728" w:type="dxa"/>
          </w:tcPr>
          <w:p w14:paraId="35EB2589" w14:textId="77777777" w:rsidR="008B629F" w:rsidRPr="008B629F" w:rsidRDefault="008B629F" w:rsidP="00A00E1B">
            <w:pPr>
              <w:jc w:val="center"/>
              <w:rPr>
                <w:rFonts w:cs="Times New Roman"/>
                <w:sz w:val="20"/>
                <w:szCs w:val="20"/>
              </w:rPr>
            </w:pPr>
            <w:r w:rsidRPr="008B629F">
              <w:rPr>
                <w:rFonts w:cs="Times New Roman"/>
                <w:sz w:val="20"/>
                <w:szCs w:val="20"/>
              </w:rPr>
              <w:t>3 to 96</w:t>
            </w:r>
          </w:p>
        </w:tc>
        <w:tc>
          <w:tcPr>
            <w:tcW w:w="1728" w:type="dxa"/>
          </w:tcPr>
          <w:p w14:paraId="190BC739" w14:textId="77777777" w:rsidR="008B629F" w:rsidRPr="008B629F" w:rsidRDefault="008B629F" w:rsidP="00A00E1B">
            <w:pPr>
              <w:keepNext/>
              <w:jc w:val="center"/>
              <w:rPr>
                <w:rFonts w:cs="Times New Roman"/>
                <w:sz w:val="20"/>
                <w:szCs w:val="20"/>
              </w:rPr>
            </w:pPr>
            <w:r w:rsidRPr="008B629F">
              <w:rPr>
                <w:rFonts w:cs="Times New Roman"/>
                <w:sz w:val="20"/>
                <w:szCs w:val="20"/>
              </w:rPr>
              <w:t>96</w:t>
            </w:r>
          </w:p>
        </w:tc>
      </w:tr>
    </w:tbl>
    <w:p w14:paraId="6F2F35FA" w14:textId="3A445628" w:rsidR="008B629F" w:rsidRPr="008B629F" w:rsidRDefault="008B629F" w:rsidP="008B629F">
      <w:pPr>
        <w:pStyle w:val="Caption"/>
        <w:rPr>
          <w:rFonts w:cs="Times New Roman"/>
        </w:rPr>
      </w:pPr>
      <w:bookmarkStart w:id="144" w:name="_Toc214362640"/>
      <w:r w:rsidRPr="008B629F">
        <w:rPr>
          <w:rFonts w:cs="Times New Roman"/>
        </w:rPr>
        <w:t xml:space="preserve">Table </w:t>
      </w:r>
      <w:r w:rsidR="00F43E9A">
        <w:rPr>
          <w:rFonts w:cs="Times New Roman"/>
        </w:rPr>
        <w:fldChar w:fldCharType="begin"/>
      </w:r>
      <w:r w:rsidR="00F43E9A">
        <w:rPr>
          <w:rFonts w:cs="Times New Roman"/>
        </w:rPr>
        <w:instrText xml:space="preserve"> STYLEREF 1 \s </w:instrText>
      </w:r>
      <w:r w:rsidR="00F43E9A">
        <w:rPr>
          <w:rFonts w:cs="Times New Roman"/>
        </w:rPr>
        <w:fldChar w:fldCharType="separate"/>
      </w:r>
      <w:r w:rsidR="000412CE">
        <w:rPr>
          <w:rFonts w:cs="Times New Roman"/>
          <w:noProof/>
        </w:rPr>
        <w:t>2</w:t>
      </w:r>
      <w:r w:rsidR="00F43E9A">
        <w:rPr>
          <w:rFonts w:cs="Times New Roman"/>
        </w:rPr>
        <w:fldChar w:fldCharType="end"/>
      </w:r>
      <w:r w:rsidR="00F43E9A">
        <w:rPr>
          <w:rFonts w:cs="Times New Roman"/>
        </w:rPr>
        <w:t>.</w:t>
      </w:r>
      <w:r w:rsidR="00F43E9A">
        <w:rPr>
          <w:rFonts w:cs="Times New Roman"/>
        </w:rPr>
        <w:fldChar w:fldCharType="begin"/>
      </w:r>
      <w:r w:rsidR="00F43E9A">
        <w:rPr>
          <w:rFonts w:cs="Times New Roman"/>
        </w:rPr>
        <w:instrText xml:space="preserve"> SEQ Table \* ARABIC \s 1 </w:instrText>
      </w:r>
      <w:r w:rsidR="00F43E9A">
        <w:rPr>
          <w:rFonts w:cs="Times New Roman"/>
        </w:rPr>
        <w:fldChar w:fldCharType="separate"/>
      </w:r>
      <w:r w:rsidR="000412CE">
        <w:rPr>
          <w:rFonts w:cs="Times New Roman"/>
          <w:noProof/>
        </w:rPr>
        <w:t>12</w:t>
      </w:r>
      <w:r w:rsidR="00F43E9A">
        <w:rPr>
          <w:rFonts w:cs="Times New Roman"/>
        </w:rPr>
        <w:fldChar w:fldCharType="end"/>
      </w:r>
      <w:r w:rsidRPr="008B629F">
        <w:rPr>
          <w:rFonts w:cs="Times New Roman"/>
        </w:rPr>
        <w:t>. Commercial PCM cold boxes</w:t>
      </w:r>
      <w:r w:rsidR="00A165BA">
        <w:rPr>
          <w:rFonts w:cs="Times New Roman"/>
        </w:rPr>
        <w:t>.</w:t>
      </w:r>
      <w:bookmarkEnd w:id="144"/>
    </w:p>
    <w:p w14:paraId="013699E8" w14:textId="2B741CA4" w:rsidR="008B629F" w:rsidRPr="008B629F" w:rsidRDefault="008B629F" w:rsidP="00BE32A7">
      <w:pPr>
        <w:pStyle w:val="Heading3"/>
        <w:rPr>
          <w:lang w:val="en-US"/>
        </w:rPr>
      </w:pPr>
      <w:bookmarkStart w:id="145" w:name="_Toc213354085"/>
      <w:bookmarkStart w:id="146" w:name="_Toc214356304"/>
      <w:r w:rsidRPr="008B629F">
        <w:rPr>
          <w:lang w:val="en-US"/>
        </w:rPr>
        <w:t>Phase change properties of commercial PCMs for cold chain logistics</w:t>
      </w:r>
      <w:bookmarkEnd w:id="145"/>
      <w:bookmarkEnd w:id="146"/>
    </w:p>
    <w:p w14:paraId="26BB03EB" w14:textId="7E0755B2" w:rsidR="008B629F" w:rsidRPr="008B629F" w:rsidRDefault="008B629F" w:rsidP="008B629F">
      <w:pPr>
        <w:rPr>
          <w:rFonts w:cs="Times New Roman"/>
          <w:lang w:val="en-US"/>
        </w:rPr>
      </w:pPr>
      <w:r w:rsidRPr="008B629F">
        <w:rPr>
          <w:rFonts w:cs="Times New Roman"/>
          <w:lang w:val="en-US"/>
        </w:rPr>
        <w:t xml:space="preserve">Table </w:t>
      </w:r>
      <w:r w:rsidR="00BE32A7">
        <w:rPr>
          <w:rFonts w:cs="Times New Roman"/>
          <w:lang w:val="en-US"/>
        </w:rPr>
        <w:t>2.13</w:t>
      </w:r>
      <w:r w:rsidRPr="008B629F">
        <w:rPr>
          <w:rFonts w:cs="Times New Roman"/>
          <w:lang w:val="en-US"/>
        </w:rPr>
        <w:t xml:space="preserve"> [1</w:t>
      </w:r>
      <w:r w:rsidR="00BE32A7">
        <w:rPr>
          <w:rFonts w:cs="Times New Roman"/>
          <w:lang w:val="en-US"/>
        </w:rPr>
        <w:t>6</w:t>
      </w:r>
      <w:r w:rsidRPr="008B629F">
        <w:rPr>
          <w:rFonts w:cs="Times New Roman"/>
          <w:lang w:val="en-US"/>
        </w:rPr>
        <w:t>6] summarizes the phase change properties of commercial PCMs developed by four major companies (Croda, Rubitherm, Axiotherm, RGEES LLC), showing a wide operating temperature range from −50 °C to over 50 °C, suitable for various cold chain logistics applications. Inorganic PCMs, used below 0 °C, exhibit higher latent heat and thermal conductivity, while organic PCMs, applied above 0 °C, provide better stability and safety. The performance of commercial PCMs is slightly superior to that reported in the literature, with average latent heats of 150–250 J/g for organic PCMs and above 250 J/g for inorganic ones. However, there is a lack of efficient PCMs below −35 °C, representing a promising area for future development, particularly for vaccine preservation. Moreover, the ability to enhance thermal conductivity without compromising phase change performance allows for adjustable cooling efficiency tailored to different logistical requirements.</w:t>
      </w:r>
    </w:p>
    <w:tbl>
      <w:tblPr>
        <w:tblStyle w:val="TableGrid"/>
        <w:tblW w:w="9144" w:type="dxa"/>
        <w:tblLook w:val="04A0" w:firstRow="1" w:lastRow="0" w:firstColumn="1" w:lastColumn="0" w:noHBand="0" w:noVBand="1"/>
      </w:tblPr>
      <w:tblGrid>
        <w:gridCol w:w="2642"/>
        <w:gridCol w:w="1558"/>
        <w:gridCol w:w="1696"/>
        <w:gridCol w:w="1832"/>
        <w:gridCol w:w="1416"/>
      </w:tblGrid>
      <w:tr w:rsidR="008B629F" w:rsidRPr="00736B36" w14:paraId="2A11F069" w14:textId="77777777" w:rsidTr="00BE32A7">
        <w:tc>
          <w:tcPr>
            <w:tcW w:w="2657" w:type="dxa"/>
            <w:shd w:val="clear" w:color="auto" w:fill="8EA5B6"/>
            <w:vAlign w:val="center"/>
          </w:tcPr>
          <w:p w14:paraId="6F920F68" w14:textId="77777777" w:rsidR="008B629F" w:rsidRPr="00BE32A7" w:rsidRDefault="008B629F" w:rsidP="00BE32A7">
            <w:pPr>
              <w:jc w:val="center"/>
              <w:rPr>
                <w:rFonts w:cs="Times New Roman"/>
                <w:b/>
                <w:bCs/>
                <w:sz w:val="20"/>
                <w:szCs w:val="20"/>
              </w:rPr>
            </w:pPr>
            <w:r w:rsidRPr="00BE32A7">
              <w:rPr>
                <w:rFonts w:cs="Times New Roman"/>
                <w:b/>
                <w:bCs/>
                <w:sz w:val="20"/>
                <w:szCs w:val="20"/>
              </w:rPr>
              <w:t>Company</w:t>
            </w:r>
          </w:p>
        </w:tc>
        <w:tc>
          <w:tcPr>
            <w:tcW w:w="1559" w:type="dxa"/>
            <w:shd w:val="clear" w:color="auto" w:fill="8EA5B6"/>
            <w:vAlign w:val="center"/>
          </w:tcPr>
          <w:p w14:paraId="51660799" w14:textId="77777777" w:rsidR="008B629F" w:rsidRPr="00BE32A7" w:rsidRDefault="008B629F" w:rsidP="00BE32A7">
            <w:pPr>
              <w:jc w:val="center"/>
              <w:rPr>
                <w:rFonts w:cs="Times New Roman"/>
                <w:b/>
                <w:bCs/>
                <w:sz w:val="20"/>
                <w:szCs w:val="20"/>
              </w:rPr>
            </w:pPr>
            <w:r w:rsidRPr="00BE32A7">
              <w:rPr>
                <w:rFonts w:cs="Times New Roman"/>
                <w:b/>
                <w:bCs/>
                <w:sz w:val="20"/>
                <w:szCs w:val="20"/>
              </w:rPr>
              <w:t>Sample Name (Type)</w:t>
            </w:r>
          </w:p>
        </w:tc>
        <w:tc>
          <w:tcPr>
            <w:tcW w:w="1700" w:type="dxa"/>
            <w:shd w:val="clear" w:color="auto" w:fill="8EA5B6"/>
            <w:vAlign w:val="center"/>
          </w:tcPr>
          <w:p w14:paraId="523E4FB9" w14:textId="77777777" w:rsidR="008B629F" w:rsidRPr="00BE32A7" w:rsidRDefault="008B629F" w:rsidP="00BE32A7">
            <w:pPr>
              <w:jc w:val="center"/>
              <w:rPr>
                <w:rFonts w:cs="Times New Roman"/>
                <w:b/>
                <w:bCs/>
                <w:sz w:val="20"/>
                <w:szCs w:val="20"/>
              </w:rPr>
            </w:pPr>
            <w:r w:rsidRPr="00BE32A7">
              <w:rPr>
                <w:rFonts w:cs="Times New Roman"/>
                <w:b/>
                <w:bCs/>
                <w:sz w:val="20"/>
                <w:szCs w:val="20"/>
              </w:rPr>
              <w:t>Melting Temperature (°C)</w:t>
            </w:r>
          </w:p>
        </w:tc>
        <w:tc>
          <w:tcPr>
            <w:tcW w:w="1841" w:type="dxa"/>
            <w:shd w:val="clear" w:color="auto" w:fill="8EA5B6"/>
            <w:vAlign w:val="center"/>
          </w:tcPr>
          <w:p w14:paraId="3B854F90" w14:textId="77777777" w:rsidR="008B629F" w:rsidRPr="00BE32A7" w:rsidRDefault="008B629F" w:rsidP="00BE32A7">
            <w:pPr>
              <w:jc w:val="center"/>
              <w:rPr>
                <w:rFonts w:cs="Times New Roman"/>
                <w:b/>
                <w:bCs/>
                <w:sz w:val="20"/>
                <w:szCs w:val="20"/>
              </w:rPr>
            </w:pPr>
            <w:r w:rsidRPr="00BE32A7">
              <w:rPr>
                <w:rFonts w:cs="Times New Roman"/>
                <w:b/>
                <w:bCs/>
                <w:sz w:val="20"/>
                <w:szCs w:val="20"/>
              </w:rPr>
              <w:t>Melting Enthalpy (J/g)</w:t>
            </w:r>
          </w:p>
        </w:tc>
        <w:tc>
          <w:tcPr>
            <w:tcW w:w="1387" w:type="dxa"/>
            <w:shd w:val="clear" w:color="auto" w:fill="8EA5B6"/>
            <w:vAlign w:val="center"/>
          </w:tcPr>
          <w:p w14:paraId="044A1B9C" w14:textId="77777777" w:rsidR="008B629F" w:rsidRPr="00BE32A7" w:rsidRDefault="008B629F" w:rsidP="00BE32A7">
            <w:pPr>
              <w:jc w:val="center"/>
              <w:rPr>
                <w:rFonts w:cs="Times New Roman"/>
                <w:b/>
                <w:bCs/>
                <w:sz w:val="20"/>
                <w:szCs w:val="20"/>
                <w:lang w:val="en-US"/>
              </w:rPr>
            </w:pPr>
            <w:r w:rsidRPr="00BE32A7">
              <w:rPr>
                <w:rFonts w:cs="Times New Roman"/>
                <w:b/>
                <w:bCs/>
                <w:sz w:val="20"/>
                <w:szCs w:val="20"/>
                <w:lang w:val="en-US"/>
              </w:rPr>
              <w:t>Thermal Conductivity (W/m·K)</w:t>
            </w:r>
          </w:p>
        </w:tc>
      </w:tr>
      <w:tr w:rsidR="00BE32A7" w:rsidRPr="008B629F" w14:paraId="3437F24C" w14:textId="77777777" w:rsidTr="00BE32A7">
        <w:tc>
          <w:tcPr>
            <w:tcW w:w="2657" w:type="dxa"/>
            <w:vMerge w:val="restart"/>
            <w:vAlign w:val="center"/>
          </w:tcPr>
          <w:p w14:paraId="0D40C397" w14:textId="77777777" w:rsidR="00BE32A7" w:rsidRPr="008B629F" w:rsidRDefault="00BE32A7" w:rsidP="00BE32A7">
            <w:pPr>
              <w:jc w:val="center"/>
              <w:rPr>
                <w:rFonts w:cs="Times New Roman"/>
                <w:sz w:val="20"/>
                <w:szCs w:val="20"/>
              </w:rPr>
            </w:pPr>
            <w:r w:rsidRPr="008B629F">
              <w:rPr>
                <w:rFonts w:cs="Times New Roman"/>
                <w:sz w:val="20"/>
                <w:szCs w:val="20"/>
              </w:rPr>
              <w:t>Croda</w:t>
            </w:r>
          </w:p>
        </w:tc>
        <w:tc>
          <w:tcPr>
            <w:tcW w:w="1559" w:type="dxa"/>
            <w:vAlign w:val="center"/>
          </w:tcPr>
          <w:p w14:paraId="089C2A5C" w14:textId="77777777" w:rsidR="00BE32A7" w:rsidRPr="008B629F" w:rsidRDefault="00BE32A7" w:rsidP="00BE32A7">
            <w:pPr>
              <w:jc w:val="center"/>
              <w:rPr>
                <w:rFonts w:cs="Times New Roman"/>
                <w:sz w:val="20"/>
                <w:szCs w:val="20"/>
              </w:rPr>
            </w:pPr>
            <w:r w:rsidRPr="008B629F">
              <w:rPr>
                <w:rFonts w:cs="Times New Roman"/>
                <w:sz w:val="20"/>
                <w:szCs w:val="20"/>
              </w:rPr>
              <w:t>Crodatherm™ 5 (org)</w:t>
            </w:r>
          </w:p>
        </w:tc>
        <w:tc>
          <w:tcPr>
            <w:tcW w:w="1700" w:type="dxa"/>
            <w:vAlign w:val="center"/>
          </w:tcPr>
          <w:p w14:paraId="6A11CF3B" w14:textId="77777777" w:rsidR="00BE32A7" w:rsidRPr="008B629F" w:rsidRDefault="00BE32A7" w:rsidP="00BE32A7">
            <w:pPr>
              <w:jc w:val="center"/>
              <w:rPr>
                <w:rFonts w:cs="Times New Roman"/>
                <w:sz w:val="20"/>
                <w:szCs w:val="20"/>
              </w:rPr>
            </w:pPr>
            <w:r w:rsidRPr="008B629F">
              <w:rPr>
                <w:rFonts w:cs="Times New Roman"/>
                <w:sz w:val="20"/>
                <w:szCs w:val="20"/>
              </w:rPr>
              <w:t>5.0</w:t>
            </w:r>
          </w:p>
        </w:tc>
        <w:tc>
          <w:tcPr>
            <w:tcW w:w="1841" w:type="dxa"/>
            <w:vAlign w:val="center"/>
          </w:tcPr>
          <w:p w14:paraId="4847F309" w14:textId="77777777" w:rsidR="00BE32A7" w:rsidRPr="008B629F" w:rsidRDefault="00BE32A7" w:rsidP="00BE32A7">
            <w:pPr>
              <w:jc w:val="center"/>
              <w:rPr>
                <w:rFonts w:cs="Times New Roman"/>
                <w:sz w:val="20"/>
                <w:szCs w:val="20"/>
              </w:rPr>
            </w:pPr>
            <w:r w:rsidRPr="008B629F">
              <w:rPr>
                <w:rFonts w:cs="Times New Roman"/>
                <w:sz w:val="20"/>
                <w:szCs w:val="20"/>
              </w:rPr>
              <w:t>217.0</w:t>
            </w:r>
          </w:p>
        </w:tc>
        <w:tc>
          <w:tcPr>
            <w:tcW w:w="1387" w:type="dxa"/>
            <w:vAlign w:val="center"/>
          </w:tcPr>
          <w:p w14:paraId="0B4369A1" w14:textId="77777777" w:rsidR="00BE32A7" w:rsidRPr="008B629F" w:rsidRDefault="00BE32A7" w:rsidP="00BE32A7">
            <w:pPr>
              <w:jc w:val="center"/>
              <w:rPr>
                <w:rFonts w:cs="Times New Roman"/>
                <w:sz w:val="20"/>
                <w:szCs w:val="20"/>
              </w:rPr>
            </w:pPr>
            <w:r w:rsidRPr="008B629F">
              <w:rPr>
                <w:rFonts w:cs="Times New Roman"/>
                <w:sz w:val="20"/>
                <w:szCs w:val="20"/>
              </w:rPr>
              <w:t>0.15–0.24</w:t>
            </w:r>
          </w:p>
        </w:tc>
      </w:tr>
      <w:tr w:rsidR="00BE32A7" w:rsidRPr="008B629F" w14:paraId="21AF3A9F" w14:textId="77777777" w:rsidTr="00BE32A7">
        <w:tc>
          <w:tcPr>
            <w:tcW w:w="2657" w:type="dxa"/>
            <w:vMerge/>
            <w:vAlign w:val="center"/>
          </w:tcPr>
          <w:p w14:paraId="615718E9" w14:textId="77777777" w:rsidR="00BE32A7" w:rsidRPr="008B629F" w:rsidRDefault="00BE32A7" w:rsidP="00BE32A7">
            <w:pPr>
              <w:jc w:val="center"/>
              <w:rPr>
                <w:rFonts w:cs="Times New Roman"/>
                <w:sz w:val="20"/>
                <w:szCs w:val="20"/>
              </w:rPr>
            </w:pPr>
          </w:p>
        </w:tc>
        <w:tc>
          <w:tcPr>
            <w:tcW w:w="1559" w:type="dxa"/>
            <w:vAlign w:val="center"/>
          </w:tcPr>
          <w:p w14:paraId="65639189" w14:textId="77777777" w:rsidR="00BE32A7" w:rsidRPr="008B629F" w:rsidRDefault="00BE32A7" w:rsidP="00BE32A7">
            <w:pPr>
              <w:jc w:val="center"/>
              <w:rPr>
                <w:rFonts w:cs="Times New Roman"/>
                <w:sz w:val="20"/>
                <w:szCs w:val="20"/>
              </w:rPr>
            </w:pPr>
            <w:r w:rsidRPr="008B629F">
              <w:rPr>
                <w:rFonts w:cs="Times New Roman"/>
                <w:sz w:val="20"/>
                <w:szCs w:val="20"/>
              </w:rPr>
              <w:t>Crodatherm™ 9.5 (org)</w:t>
            </w:r>
          </w:p>
        </w:tc>
        <w:tc>
          <w:tcPr>
            <w:tcW w:w="1700" w:type="dxa"/>
            <w:vAlign w:val="center"/>
          </w:tcPr>
          <w:p w14:paraId="37D32E61" w14:textId="77777777" w:rsidR="00BE32A7" w:rsidRPr="008B629F" w:rsidRDefault="00BE32A7" w:rsidP="00BE32A7">
            <w:pPr>
              <w:jc w:val="center"/>
              <w:rPr>
                <w:rFonts w:cs="Times New Roman"/>
                <w:sz w:val="20"/>
                <w:szCs w:val="20"/>
              </w:rPr>
            </w:pPr>
            <w:r w:rsidRPr="008B629F">
              <w:rPr>
                <w:rFonts w:cs="Times New Roman"/>
                <w:sz w:val="20"/>
                <w:szCs w:val="20"/>
              </w:rPr>
              <w:t>9.5</w:t>
            </w:r>
          </w:p>
        </w:tc>
        <w:tc>
          <w:tcPr>
            <w:tcW w:w="1841" w:type="dxa"/>
            <w:vAlign w:val="center"/>
          </w:tcPr>
          <w:p w14:paraId="3BA71183" w14:textId="77777777" w:rsidR="00BE32A7" w:rsidRPr="008B629F" w:rsidRDefault="00BE32A7" w:rsidP="00BE32A7">
            <w:pPr>
              <w:jc w:val="center"/>
              <w:rPr>
                <w:rFonts w:cs="Times New Roman"/>
                <w:sz w:val="20"/>
                <w:szCs w:val="20"/>
              </w:rPr>
            </w:pPr>
            <w:r w:rsidRPr="008B629F">
              <w:rPr>
                <w:rFonts w:cs="Times New Roman"/>
                <w:sz w:val="20"/>
                <w:szCs w:val="20"/>
              </w:rPr>
              <w:t>186.0</w:t>
            </w:r>
          </w:p>
        </w:tc>
        <w:tc>
          <w:tcPr>
            <w:tcW w:w="1387" w:type="dxa"/>
            <w:vAlign w:val="center"/>
          </w:tcPr>
          <w:p w14:paraId="13579301" w14:textId="77777777" w:rsidR="00BE32A7" w:rsidRPr="008B629F" w:rsidRDefault="00BE32A7" w:rsidP="00BE32A7">
            <w:pPr>
              <w:jc w:val="center"/>
              <w:rPr>
                <w:rFonts w:cs="Times New Roman"/>
                <w:sz w:val="20"/>
                <w:szCs w:val="20"/>
              </w:rPr>
            </w:pPr>
            <w:r w:rsidRPr="008B629F">
              <w:rPr>
                <w:rFonts w:cs="Times New Roman"/>
                <w:sz w:val="20"/>
                <w:szCs w:val="20"/>
              </w:rPr>
              <w:t>0.15–0.18</w:t>
            </w:r>
          </w:p>
        </w:tc>
      </w:tr>
      <w:tr w:rsidR="00BE32A7" w:rsidRPr="008B629F" w14:paraId="64DE2A4F" w14:textId="77777777" w:rsidTr="00BE32A7">
        <w:tc>
          <w:tcPr>
            <w:tcW w:w="2657" w:type="dxa"/>
            <w:vMerge/>
            <w:vAlign w:val="center"/>
          </w:tcPr>
          <w:p w14:paraId="5A68B483" w14:textId="77777777" w:rsidR="00BE32A7" w:rsidRPr="008B629F" w:rsidRDefault="00BE32A7" w:rsidP="00BE32A7">
            <w:pPr>
              <w:jc w:val="center"/>
              <w:rPr>
                <w:rFonts w:cs="Times New Roman"/>
                <w:sz w:val="20"/>
                <w:szCs w:val="20"/>
              </w:rPr>
            </w:pPr>
          </w:p>
        </w:tc>
        <w:tc>
          <w:tcPr>
            <w:tcW w:w="1559" w:type="dxa"/>
            <w:vAlign w:val="center"/>
          </w:tcPr>
          <w:p w14:paraId="7DE1DBC1" w14:textId="77777777" w:rsidR="00BE32A7" w:rsidRPr="008B629F" w:rsidRDefault="00BE32A7" w:rsidP="00BE32A7">
            <w:pPr>
              <w:jc w:val="center"/>
              <w:rPr>
                <w:rFonts w:cs="Times New Roman"/>
                <w:sz w:val="20"/>
                <w:szCs w:val="20"/>
              </w:rPr>
            </w:pPr>
            <w:r w:rsidRPr="008B629F">
              <w:rPr>
                <w:rFonts w:cs="Times New Roman"/>
                <w:sz w:val="20"/>
                <w:szCs w:val="20"/>
              </w:rPr>
              <w:t>Crodatherm™ 21 (org)</w:t>
            </w:r>
          </w:p>
        </w:tc>
        <w:tc>
          <w:tcPr>
            <w:tcW w:w="1700" w:type="dxa"/>
            <w:vAlign w:val="center"/>
          </w:tcPr>
          <w:p w14:paraId="5CB876F8" w14:textId="77777777" w:rsidR="00BE32A7" w:rsidRPr="008B629F" w:rsidRDefault="00BE32A7" w:rsidP="00BE32A7">
            <w:pPr>
              <w:jc w:val="center"/>
              <w:rPr>
                <w:rFonts w:cs="Times New Roman"/>
                <w:sz w:val="20"/>
                <w:szCs w:val="20"/>
              </w:rPr>
            </w:pPr>
            <w:r w:rsidRPr="008B629F">
              <w:rPr>
                <w:rFonts w:cs="Times New Roman"/>
                <w:sz w:val="20"/>
                <w:szCs w:val="20"/>
              </w:rPr>
              <w:t>21.0</w:t>
            </w:r>
          </w:p>
        </w:tc>
        <w:tc>
          <w:tcPr>
            <w:tcW w:w="1841" w:type="dxa"/>
            <w:vAlign w:val="center"/>
          </w:tcPr>
          <w:p w14:paraId="2BB8EBAD" w14:textId="77777777" w:rsidR="00BE32A7" w:rsidRPr="008B629F" w:rsidRDefault="00BE32A7" w:rsidP="00BE32A7">
            <w:pPr>
              <w:jc w:val="center"/>
              <w:rPr>
                <w:rFonts w:cs="Times New Roman"/>
                <w:sz w:val="20"/>
                <w:szCs w:val="20"/>
              </w:rPr>
            </w:pPr>
            <w:r w:rsidRPr="008B629F">
              <w:rPr>
                <w:rFonts w:cs="Times New Roman"/>
                <w:sz w:val="20"/>
                <w:szCs w:val="20"/>
              </w:rPr>
              <w:t>190.0</w:t>
            </w:r>
          </w:p>
        </w:tc>
        <w:tc>
          <w:tcPr>
            <w:tcW w:w="1387" w:type="dxa"/>
            <w:vAlign w:val="center"/>
          </w:tcPr>
          <w:p w14:paraId="70360EAE" w14:textId="77777777" w:rsidR="00BE32A7" w:rsidRPr="008B629F" w:rsidRDefault="00BE32A7" w:rsidP="00BE32A7">
            <w:pPr>
              <w:jc w:val="center"/>
              <w:rPr>
                <w:rFonts w:cs="Times New Roman"/>
                <w:sz w:val="20"/>
                <w:szCs w:val="20"/>
              </w:rPr>
            </w:pPr>
            <w:r w:rsidRPr="008B629F">
              <w:rPr>
                <w:rFonts w:cs="Times New Roman"/>
                <w:sz w:val="20"/>
                <w:szCs w:val="20"/>
              </w:rPr>
              <w:t>0.15–0.18</w:t>
            </w:r>
          </w:p>
        </w:tc>
      </w:tr>
      <w:tr w:rsidR="00BE32A7" w:rsidRPr="008B629F" w14:paraId="5DC22FCC" w14:textId="77777777" w:rsidTr="00BE32A7">
        <w:tc>
          <w:tcPr>
            <w:tcW w:w="2657" w:type="dxa"/>
            <w:vMerge/>
            <w:vAlign w:val="center"/>
          </w:tcPr>
          <w:p w14:paraId="3A0A17B4" w14:textId="77777777" w:rsidR="00BE32A7" w:rsidRPr="008B629F" w:rsidRDefault="00BE32A7" w:rsidP="00BE32A7">
            <w:pPr>
              <w:jc w:val="center"/>
              <w:rPr>
                <w:rFonts w:cs="Times New Roman"/>
                <w:sz w:val="20"/>
                <w:szCs w:val="20"/>
              </w:rPr>
            </w:pPr>
          </w:p>
        </w:tc>
        <w:tc>
          <w:tcPr>
            <w:tcW w:w="1559" w:type="dxa"/>
            <w:vAlign w:val="center"/>
          </w:tcPr>
          <w:p w14:paraId="303C29A9" w14:textId="77777777" w:rsidR="00BE32A7" w:rsidRPr="008B629F" w:rsidRDefault="00BE32A7" w:rsidP="00BE32A7">
            <w:pPr>
              <w:jc w:val="center"/>
              <w:rPr>
                <w:rFonts w:cs="Times New Roman"/>
                <w:sz w:val="20"/>
                <w:szCs w:val="20"/>
              </w:rPr>
            </w:pPr>
            <w:r w:rsidRPr="008B629F">
              <w:rPr>
                <w:rFonts w:cs="Times New Roman"/>
                <w:sz w:val="20"/>
                <w:szCs w:val="20"/>
              </w:rPr>
              <w:t>Crodatherm™ 37 (org)</w:t>
            </w:r>
          </w:p>
          <w:p w14:paraId="0F1706FF" w14:textId="77777777" w:rsidR="00BE32A7" w:rsidRPr="008B629F" w:rsidRDefault="00BE32A7" w:rsidP="00BE32A7">
            <w:pPr>
              <w:jc w:val="center"/>
              <w:rPr>
                <w:rFonts w:cs="Times New Roman"/>
                <w:sz w:val="20"/>
                <w:szCs w:val="20"/>
              </w:rPr>
            </w:pPr>
          </w:p>
        </w:tc>
        <w:tc>
          <w:tcPr>
            <w:tcW w:w="1700" w:type="dxa"/>
            <w:vAlign w:val="center"/>
          </w:tcPr>
          <w:p w14:paraId="01742CDF" w14:textId="77777777" w:rsidR="00BE32A7" w:rsidRPr="008B629F" w:rsidRDefault="00BE32A7" w:rsidP="00BE32A7">
            <w:pPr>
              <w:jc w:val="center"/>
              <w:rPr>
                <w:rFonts w:cs="Times New Roman"/>
                <w:sz w:val="20"/>
                <w:szCs w:val="20"/>
              </w:rPr>
            </w:pPr>
            <w:r w:rsidRPr="008B629F">
              <w:rPr>
                <w:rFonts w:cs="Times New Roman"/>
                <w:sz w:val="20"/>
                <w:szCs w:val="20"/>
              </w:rPr>
              <w:t>37.0</w:t>
            </w:r>
          </w:p>
        </w:tc>
        <w:tc>
          <w:tcPr>
            <w:tcW w:w="1841" w:type="dxa"/>
            <w:vAlign w:val="center"/>
          </w:tcPr>
          <w:p w14:paraId="60EA1E62" w14:textId="77777777" w:rsidR="00BE32A7" w:rsidRPr="008B629F" w:rsidRDefault="00BE32A7" w:rsidP="00BE32A7">
            <w:pPr>
              <w:jc w:val="center"/>
              <w:rPr>
                <w:rFonts w:cs="Times New Roman"/>
                <w:sz w:val="20"/>
                <w:szCs w:val="20"/>
              </w:rPr>
            </w:pPr>
            <w:r w:rsidRPr="008B629F">
              <w:rPr>
                <w:rFonts w:cs="Times New Roman"/>
                <w:sz w:val="20"/>
                <w:szCs w:val="20"/>
              </w:rPr>
              <w:t>240.0</w:t>
            </w:r>
          </w:p>
        </w:tc>
        <w:tc>
          <w:tcPr>
            <w:tcW w:w="1387" w:type="dxa"/>
            <w:vAlign w:val="center"/>
          </w:tcPr>
          <w:p w14:paraId="109C785D" w14:textId="77777777" w:rsidR="00BE32A7" w:rsidRPr="008B629F" w:rsidRDefault="00BE32A7" w:rsidP="00BE32A7">
            <w:pPr>
              <w:jc w:val="center"/>
              <w:rPr>
                <w:rFonts w:cs="Times New Roman"/>
                <w:sz w:val="20"/>
                <w:szCs w:val="20"/>
              </w:rPr>
            </w:pPr>
            <w:r w:rsidRPr="008B629F">
              <w:rPr>
                <w:rFonts w:cs="Times New Roman"/>
                <w:sz w:val="20"/>
                <w:szCs w:val="20"/>
              </w:rPr>
              <w:t>0.17–0.24</w:t>
            </w:r>
          </w:p>
        </w:tc>
      </w:tr>
      <w:tr w:rsidR="008B629F" w:rsidRPr="008B629F" w14:paraId="30A2B3EB" w14:textId="77777777" w:rsidTr="00BE32A7">
        <w:tc>
          <w:tcPr>
            <w:tcW w:w="2657" w:type="dxa"/>
            <w:vAlign w:val="center"/>
          </w:tcPr>
          <w:p w14:paraId="7DB07ECC" w14:textId="77777777" w:rsidR="008B629F" w:rsidRPr="008B629F" w:rsidRDefault="008B629F" w:rsidP="00BE32A7">
            <w:pPr>
              <w:jc w:val="center"/>
              <w:rPr>
                <w:rFonts w:cs="Times New Roman"/>
                <w:sz w:val="20"/>
                <w:szCs w:val="20"/>
              </w:rPr>
            </w:pPr>
            <w:r w:rsidRPr="008B629F">
              <w:rPr>
                <w:rFonts w:cs="Times New Roman"/>
                <w:sz w:val="20"/>
                <w:szCs w:val="20"/>
              </w:rPr>
              <w:t>Rubitherm Technologies GmbH</w:t>
            </w:r>
          </w:p>
        </w:tc>
        <w:tc>
          <w:tcPr>
            <w:tcW w:w="1559" w:type="dxa"/>
            <w:vAlign w:val="center"/>
          </w:tcPr>
          <w:p w14:paraId="76FD4234" w14:textId="77777777" w:rsidR="008B629F" w:rsidRPr="008B629F" w:rsidRDefault="008B629F" w:rsidP="00BE32A7">
            <w:pPr>
              <w:jc w:val="center"/>
              <w:rPr>
                <w:rFonts w:cs="Times New Roman"/>
                <w:sz w:val="20"/>
                <w:szCs w:val="20"/>
              </w:rPr>
            </w:pPr>
            <w:r w:rsidRPr="008B629F">
              <w:rPr>
                <w:rFonts w:cs="Times New Roman"/>
                <w:sz w:val="20"/>
                <w:szCs w:val="20"/>
              </w:rPr>
              <w:t>RT2 (org)</w:t>
            </w:r>
          </w:p>
        </w:tc>
        <w:tc>
          <w:tcPr>
            <w:tcW w:w="1700" w:type="dxa"/>
            <w:vAlign w:val="center"/>
          </w:tcPr>
          <w:p w14:paraId="6CE1CCE2" w14:textId="77777777" w:rsidR="008B629F" w:rsidRPr="008B629F" w:rsidRDefault="008B629F" w:rsidP="00BE32A7">
            <w:pPr>
              <w:jc w:val="center"/>
              <w:rPr>
                <w:rFonts w:cs="Times New Roman"/>
                <w:sz w:val="20"/>
                <w:szCs w:val="20"/>
              </w:rPr>
            </w:pPr>
            <w:r w:rsidRPr="008B629F">
              <w:rPr>
                <w:rFonts w:cs="Times New Roman"/>
                <w:sz w:val="20"/>
                <w:szCs w:val="20"/>
              </w:rPr>
              <w:t>−2.0 to 2.0</w:t>
            </w:r>
          </w:p>
        </w:tc>
        <w:tc>
          <w:tcPr>
            <w:tcW w:w="1841" w:type="dxa"/>
            <w:vAlign w:val="center"/>
          </w:tcPr>
          <w:p w14:paraId="2D7DEE04" w14:textId="77777777" w:rsidR="008B629F" w:rsidRPr="008B629F" w:rsidRDefault="008B629F" w:rsidP="00BE32A7">
            <w:pPr>
              <w:jc w:val="center"/>
              <w:rPr>
                <w:rFonts w:cs="Times New Roman"/>
                <w:sz w:val="20"/>
                <w:szCs w:val="20"/>
              </w:rPr>
            </w:pPr>
            <w:r w:rsidRPr="008B629F">
              <w:rPr>
                <w:rFonts w:cs="Times New Roman"/>
                <w:sz w:val="20"/>
                <w:szCs w:val="20"/>
              </w:rPr>
              <w:t>204.0</w:t>
            </w:r>
          </w:p>
        </w:tc>
        <w:tc>
          <w:tcPr>
            <w:tcW w:w="1387" w:type="dxa"/>
            <w:vAlign w:val="center"/>
          </w:tcPr>
          <w:p w14:paraId="5320E94B" w14:textId="77777777" w:rsidR="008B629F" w:rsidRPr="008B629F" w:rsidRDefault="008B629F" w:rsidP="00BE32A7">
            <w:pPr>
              <w:jc w:val="center"/>
              <w:rPr>
                <w:rFonts w:cs="Times New Roman"/>
                <w:sz w:val="20"/>
                <w:szCs w:val="20"/>
              </w:rPr>
            </w:pPr>
            <w:r w:rsidRPr="008B629F">
              <w:rPr>
                <w:rFonts w:cs="Times New Roman"/>
                <w:sz w:val="20"/>
                <w:szCs w:val="20"/>
              </w:rPr>
              <w:t>0.20</w:t>
            </w:r>
          </w:p>
        </w:tc>
      </w:tr>
      <w:tr w:rsidR="00BE32A7" w:rsidRPr="008B629F" w14:paraId="6A67DF72" w14:textId="77777777" w:rsidTr="00BE32A7">
        <w:tc>
          <w:tcPr>
            <w:tcW w:w="2657" w:type="dxa"/>
            <w:vMerge w:val="restart"/>
            <w:vAlign w:val="center"/>
          </w:tcPr>
          <w:p w14:paraId="6CDD17C2" w14:textId="77777777" w:rsidR="00BE32A7" w:rsidRPr="008B629F" w:rsidRDefault="00BE32A7" w:rsidP="00BE32A7">
            <w:pPr>
              <w:jc w:val="center"/>
              <w:rPr>
                <w:rFonts w:cs="Times New Roman"/>
                <w:sz w:val="20"/>
                <w:szCs w:val="20"/>
              </w:rPr>
            </w:pPr>
          </w:p>
        </w:tc>
        <w:tc>
          <w:tcPr>
            <w:tcW w:w="1559" w:type="dxa"/>
            <w:vAlign w:val="center"/>
          </w:tcPr>
          <w:p w14:paraId="78E56210" w14:textId="77777777" w:rsidR="00BE32A7" w:rsidRPr="008B629F" w:rsidRDefault="00BE32A7" w:rsidP="00BE32A7">
            <w:pPr>
              <w:jc w:val="center"/>
              <w:rPr>
                <w:rFonts w:cs="Times New Roman"/>
                <w:sz w:val="20"/>
                <w:szCs w:val="20"/>
              </w:rPr>
            </w:pPr>
            <w:r w:rsidRPr="008B629F">
              <w:rPr>
                <w:rFonts w:cs="Times New Roman"/>
                <w:sz w:val="20"/>
                <w:szCs w:val="20"/>
              </w:rPr>
              <w:t>RT8 (org)</w:t>
            </w:r>
          </w:p>
        </w:tc>
        <w:tc>
          <w:tcPr>
            <w:tcW w:w="1700" w:type="dxa"/>
            <w:vAlign w:val="center"/>
          </w:tcPr>
          <w:p w14:paraId="12EFF1EE" w14:textId="77777777" w:rsidR="00BE32A7" w:rsidRPr="008B629F" w:rsidRDefault="00BE32A7" w:rsidP="00BE32A7">
            <w:pPr>
              <w:jc w:val="center"/>
              <w:rPr>
                <w:rFonts w:cs="Times New Roman"/>
                <w:sz w:val="20"/>
                <w:szCs w:val="20"/>
              </w:rPr>
            </w:pPr>
            <w:r w:rsidRPr="008B629F">
              <w:rPr>
                <w:rFonts w:cs="Times New Roman"/>
                <w:sz w:val="20"/>
                <w:szCs w:val="20"/>
              </w:rPr>
              <w:t>6.0 to 8.0</w:t>
            </w:r>
          </w:p>
        </w:tc>
        <w:tc>
          <w:tcPr>
            <w:tcW w:w="1841" w:type="dxa"/>
            <w:vAlign w:val="center"/>
          </w:tcPr>
          <w:p w14:paraId="1A210384" w14:textId="77777777" w:rsidR="00BE32A7" w:rsidRPr="008B629F" w:rsidRDefault="00BE32A7" w:rsidP="00BE32A7">
            <w:pPr>
              <w:jc w:val="center"/>
              <w:rPr>
                <w:rFonts w:cs="Times New Roman"/>
                <w:sz w:val="20"/>
                <w:szCs w:val="20"/>
              </w:rPr>
            </w:pPr>
            <w:r w:rsidRPr="008B629F">
              <w:rPr>
                <w:rFonts w:cs="Times New Roman"/>
                <w:sz w:val="20"/>
                <w:szCs w:val="20"/>
              </w:rPr>
              <w:t>180.0</w:t>
            </w:r>
          </w:p>
        </w:tc>
        <w:tc>
          <w:tcPr>
            <w:tcW w:w="1387" w:type="dxa"/>
            <w:vAlign w:val="center"/>
          </w:tcPr>
          <w:p w14:paraId="7F90A070" w14:textId="77777777" w:rsidR="00BE32A7" w:rsidRPr="008B629F" w:rsidRDefault="00BE32A7" w:rsidP="00BE32A7">
            <w:pPr>
              <w:jc w:val="center"/>
              <w:rPr>
                <w:rFonts w:cs="Times New Roman"/>
                <w:sz w:val="20"/>
                <w:szCs w:val="20"/>
              </w:rPr>
            </w:pPr>
            <w:r w:rsidRPr="008B629F">
              <w:rPr>
                <w:rFonts w:cs="Times New Roman"/>
                <w:sz w:val="20"/>
                <w:szCs w:val="20"/>
              </w:rPr>
              <w:t>0.20</w:t>
            </w:r>
          </w:p>
        </w:tc>
      </w:tr>
      <w:tr w:rsidR="00BE32A7" w:rsidRPr="008B629F" w14:paraId="5FD5B608" w14:textId="77777777" w:rsidTr="00BE32A7">
        <w:tc>
          <w:tcPr>
            <w:tcW w:w="2657" w:type="dxa"/>
            <w:vMerge/>
            <w:vAlign w:val="center"/>
          </w:tcPr>
          <w:p w14:paraId="2DF414DF" w14:textId="77777777" w:rsidR="00BE32A7" w:rsidRPr="008B629F" w:rsidRDefault="00BE32A7" w:rsidP="00BE32A7">
            <w:pPr>
              <w:jc w:val="center"/>
              <w:rPr>
                <w:rFonts w:cs="Times New Roman"/>
                <w:sz w:val="20"/>
                <w:szCs w:val="20"/>
              </w:rPr>
            </w:pPr>
          </w:p>
        </w:tc>
        <w:tc>
          <w:tcPr>
            <w:tcW w:w="1559" w:type="dxa"/>
            <w:vAlign w:val="center"/>
          </w:tcPr>
          <w:p w14:paraId="07D17D8A" w14:textId="77777777" w:rsidR="00BE32A7" w:rsidRPr="008B629F" w:rsidRDefault="00BE32A7" w:rsidP="00BE32A7">
            <w:pPr>
              <w:jc w:val="center"/>
              <w:rPr>
                <w:rFonts w:cs="Times New Roman"/>
                <w:sz w:val="20"/>
                <w:szCs w:val="20"/>
              </w:rPr>
            </w:pPr>
            <w:r w:rsidRPr="008B629F">
              <w:rPr>
                <w:rFonts w:cs="Times New Roman"/>
                <w:sz w:val="20"/>
                <w:szCs w:val="20"/>
              </w:rPr>
              <w:t>RT10 (org)</w:t>
            </w:r>
          </w:p>
        </w:tc>
        <w:tc>
          <w:tcPr>
            <w:tcW w:w="1700" w:type="dxa"/>
            <w:vAlign w:val="center"/>
          </w:tcPr>
          <w:p w14:paraId="0AC9D866" w14:textId="77777777" w:rsidR="00BE32A7" w:rsidRPr="008B629F" w:rsidRDefault="00BE32A7" w:rsidP="00BE32A7">
            <w:pPr>
              <w:jc w:val="center"/>
              <w:rPr>
                <w:rFonts w:cs="Times New Roman"/>
                <w:sz w:val="20"/>
                <w:szCs w:val="20"/>
              </w:rPr>
            </w:pPr>
            <w:r w:rsidRPr="008B629F">
              <w:rPr>
                <w:rFonts w:cs="Times New Roman"/>
                <w:sz w:val="20"/>
                <w:szCs w:val="20"/>
              </w:rPr>
              <w:t>8.0 to 10.0</w:t>
            </w:r>
          </w:p>
        </w:tc>
        <w:tc>
          <w:tcPr>
            <w:tcW w:w="1841" w:type="dxa"/>
            <w:vAlign w:val="center"/>
          </w:tcPr>
          <w:p w14:paraId="7C7F7C8B" w14:textId="77777777" w:rsidR="00BE32A7" w:rsidRPr="008B629F" w:rsidRDefault="00BE32A7" w:rsidP="00BE32A7">
            <w:pPr>
              <w:jc w:val="center"/>
              <w:rPr>
                <w:rFonts w:cs="Times New Roman"/>
                <w:sz w:val="20"/>
                <w:szCs w:val="20"/>
              </w:rPr>
            </w:pPr>
            <w:r w:rsidRPr="008B629F">
              <w:rPr>
                <w:rFonts w:cs="Times New Roman"/>
                <w:sz w:val="20"/>
                <w:szCs w:val="20"/>
              </w:rPr>
              <w:t>175.0</w:t>
            </w:r>
          </w:p>
        </w:tc>
        <w:tc>
          <w:tcPr>
            <w:tcW w:w="1387" w:type="dxa"/>
            <w:vAlign w:val="center"/>
          </w:tcPr>
          <w:p w14:paraId="41D9E93E" w14:textId="77777777" w:rsidR="00BE32A7" w:rsidRPr="008B629F" w:rsidRDefault="00BE32A7" w:rsidP="00BE32A7">
            <w:pPr>
              <w:jc w:val="center"/>
              <w:rPr>
                <w:rFonts w:cs="Times New Roman"/>
                <w:sz w:val="20"/>
                <w:szCs w:val="20"/>
              </w:rPr>
            </w:pPr>
            <w:r w:rsidRPr="008B629F">
              <w:rPr>
                <w:rFonts w:cs="Times New Roman"/>
                <w:sz w:val="20"/>
                <w:szCs w:val="20"/>
              </w:rPr>
              <w:t>0.20</w:t>
            </w:r>
          </w:p>
        </w:tc>
      </w:tr>
      <w:tr w:rsidR="00BE32A7" w:rsidRPr="008B629F" w14:paraId="69B69A7A" w14:textId="77777777" w:rsidTr="00BE32A7">
        <w:tc>
          <w:tcPr>
            <w:tcW w:w="2657" w:type="dxa"/>
            <w:vMerge/>
            <w:vAlign w:val="center"/>
          </w:tcPr>
          <w:p w14:paraId="24B527D3" w14:textId="77777777" w:rsidR="00BE32A7" w:rsidRPr="008B629F" w:rsidRDefault="00BE32A7" w:rsidP="00BE32A7">
            <w:pPr>
              <w:jc w:val="center"/>
              <w:rPr>
                <w:rFonts w:cs="Times New Roman"/>
                <w:sz w:val="20"/>
                <w:szCs w:val="20"/>
              </w:rPr>
            </w:pPr>
          </w:p>
        </w:tc>
        <w:tc>
          <w:tcPr>
            <w:tcW w:w="1559" w:type="dxa"/>
            <w:vAlign w:val="center"/>
          </w:tcPr>
          <w:p w14:paraId="54C5981A" w14:textId="77777777" w:rsidR="00BE32A7" w:rsidRPr="008B629F" w:rsidRDefault="00BE32A7" w:rsidP="00BE32A7">
            <w:pPr>
              <w:jc w:val="center"/>
              <w:rPr>
                <w:rFonts w:cs="Times New Roman"/>
                <w:sz w:val="20"/>
                <w:szCs w:val="20"/>
              </w:rPr>
            </w:pPr>
            <w:r w:rsidRPr="008B629F">
              <w:rPr>
                <w:rFonts w:cs="Times New Roman"/>
                <w:sz w:val="20"/>
                <w:szCs w:val="20"/>
              </w:rPr>
              <w:t>RT18 (org)</w:t>
            </w:r>
          </w:p>
        </w:tc>
        <w:tc>
          <w:tcPr>
            <w:tcW w:w="1700" w:type="dxa"/>
            <w:vAlign w:val="center"/>
          </w:tcPr>
          <w:p w14:paraId="3B68FE1A" w14:textId="77777777" w:rsidR="00BE32A7" w:rsidRPr="008B629F" w:rsidRDefault="00BE32A7" w:rsidP="00BE32A7">
            <w:pPr>
              <w:jc w:val="center"/>
              <w:rPr>
                <w:rFonts w:cs="Times New Roman"/>
                <w:sz w:val="20"/>
                <w:szCs w:val="20"/>
              </w:rPr>
            </w:pPr>
            <w:r w:rsidRPr="008B629F">
              <w:rPr>
                <w:rFonts w:cs="Times New Roman"/>
                <w:sz w:val="20"/>
                <w:szCs w:val="20"/>
              </w:rPr>
              <w:t>16.0 to 18.0</w:t>
            </w:r>
          </w:p>
        </w:tc>
        <w:tc>
          <w:tcPr>
            <w:tcW w:w="1841" w:type="dxa"/>
            <w:vAlign w:val="center"/>
          </w:tcPr>
          <w:p w14:paraId="45E9116C" w14:textId="77777777" w:rsidR="00BE32A7" w:rsidRPr="008B629F" w:rsidRDefault="00BE32A7" w:rsidP="00BE32A7">
            <w:pPr>
              <w:jc w:val="center"/>
              <w:rPr>
                <w:rFonts w:cs="Times New Roman"/>
                <w:sz w:val="20"/>
                <w:szCs w:val="20"/>
              </w:rPr>
            </w:pPr>
            <w:r w:rsidRPr="008B629F">
              <w:rPr>
                <w:rFonts w:cs="Times New Roman"/>
                <w:sz w:val="20"/>
                <w:szCs w:val="20"/>
              </w:rPr>
              <w:t>155.0</w:t>
            </w:r>
          </w:p>
        </w:tc>
        <w:tc>
          <w:tcPr>
            <w:tcW w:w="1387" w:type="dxa"/>
            <w:vAlign w:val="center"/>
          </w:tcPr>
          <w:p w14:paraId="194E3E3E" w14:textId="77777777" w:rsidR="00BE32A7" w:rsidRPr="008B629F" w:rsidRDefault="00BE32A7" w:rsidP="00BE32A7">
            <w:pPr>
              <w:jc w:val="center"/>
              <w:rPr>
                <w:rFonts w:cs="Times New Roman"/>
                <w:sz w:val="20"/>
                <w:szCs w:val="20"/>
              </w:rPr>
            </w:pPr>
            <w:r w:rsidRPr="008B629F">
              <w:rPr>
                <w:rFonts w:cs="Times New Roman"/>
                <w:sz w:val="20"/>
                <w:szCs w:val="20"/>
              </w:rPr>
              <w:t>0.20</w:t>
            </w:r>
          </w:p>
        </w:tc>
      </w:tr>
      <w:tr w:rsidR="00BE32A7" w:rsidRPr="008B629F" w14:paraId="1A371A96" w14:textId="77777777" w:rsidTr="00BE32A7">
        <w:tc>
          <w:tcPr>
            <w:tcW w:w="2657" w:type="dxa"/>
            <w:vMerge/>
            <w:vAlign w:val="center"/>
          </w:tcPr>
          <w:p w14:paraId="1D511EE0" w14:textId="77777777" w:rsidR="00BE32A7" w:rsidRPr="008B629F" w:rsidRDefault="00BE32A7" w:rsidP="00BE32A7">
            <w:pPr>
              <w:jc w:val="center"/>
              <w:rPr>
                <w:rFonts w:cs="Times New Roman"/>
                <w:sz w:val="20"/>
                <w:szCs w:val="20"/>
              </w:rPr>
            </w:pPr>
          </w:p>
        </w:tc>
        <w:tc>
          <w:tcPr>
            <w:tcW w:w="1559" w:type="dxa"/>
            <w:vAlign w:val="center"/>
          </w:tcPr>
          <w:p w14:paraId="4C1A4813" w14:textId="77777777" w:rsidR="00BE32A7" w:rsidRPr="008B629F" w:rsidRDefault="00BE32A7" w:rsidP="00BE32A7">
            <w:pPr>
              <w:jc w:val="center"/>
              <w:rPr>
                <w:rFonts w:cs="Times New Roman"/>
                <w:sz w:val="20"/>
                <w:szCs w:val="20"/>
              </w:rPr>
            </w:pPr>
            <w:r w:rsidRPr="008B629F">
              <w:rPr>
                <w:rFonts w:cs="Times New Roman"/>
                <w:sz w:val="20"/>
                <w:szCs w:val="20"/>
              </w:rPr>
              <w:t>RT28 (org)</w:t>
            </w:r>
          </w:p>
        </w:tc>
        <w:tc>
          <w:tcPr>
            <w:tcW w:w="1700" w:type="dxa"/>
            <w:vAlign w:val="center"/>
          </w:tcPr>
          <w:p w14:paraId="274BCC6F" w14:textId="77777777" w:rsidR="00BE32A7" w:rsidRPr="008B629F" w:rsidRDefault="00BE32A7" w:rsidP="00BE32A7">
            <w:pPr>
              <w:jc w:val="center"/>
              <w:rPr>
                <w:rFonts w:cs="Times New Roman"/>
                <w:sz w:val="20"/>
                <w:szCs w:val="20"/>
              </w:rPr>
            </w:pPr>
            <w:r w:rsidRPr="008B629F">
              <w:rPr>
                <w:rFonts w:cs="Times New Roman"/>
                <w:sz w:val="20"/>
                <w:szCs w:val="20"/>
              </w:rPr>
              <w:t>26.0 to 28.0</w:t>
            </w:r>
          </w:p>
        </w:tc>
        <w:tc>
          <w:tcPr>
            <w:tcW w:w="1841" w:type="dxa"/>
            <w:vAlign w:val="center"/>
          </w:tcPr>
          <w:p w14:paraId="21EE7566" w14:textId="77777777" w:rsidR="00BE32A7" w:rsidRPr="008B629F" w:rsidRDefault="00BE32A7" w:rsidP="00BE32A7">
            <w:pPr>
              <w:jc w:val="center"/>
              <w:rPr>
                <w:rFonts w:cs="Times New Roman"/>
                <w:sz w:val="20"/>
                <w:szCs w:val="20"/>
              </w:rPr>
            </w:pPr>
            <w:r w:rsidRPr="008B629F">
              <w:rPr>
                <w:rFonts w:cs="Times New Roman"/>
                <w:sz w:val="20"/>
                <w:szCs w:val="20"/>
              </w:rPr>
              <w:t>245.0</w:t>
            </w:r>
          </w:p>
        </w:tc>
        <w:tc>
          <w:tcPr>
            <w:tcW w:w="1387" w:type="dxa"/>
            <w:vAlign w:val="center"/>
          </w:tcPr>
          <w:p w14:paraId="541A90F0" w14:textId="77777777" w:rsidR="00BE32A7" w:rsidRPr="008B629F" w:rsidRDefault="00BE32A7" w:rsidP="00BE32A7">
            <w:pPr>
              <w:jc w:val="center"/>
              <w:rPr>
                <w:rFonts w:cs="Times New Roman"/>
                <w:sz w:val="20"/>
                <w:szCs w:val="20"/>
              </w:rPr>
            </w:pPr>
            <w:r w:rsidRPr="008B629F">
              <w:rPr>
                <w:rFonts w:cs="Times New Roman"/>
                <w:sz w:val="20"/>
                <w:szCs w:val="20"/>
              </w:rPr>
              <w:t>0.20</w:t>
            </w:r>
          </w:p>
        </w:tc>
      </w:tr>
      <w:tr w:rsidR="00BE32A7" w:rsidRPr="008B629F" w14:paraId="69B564A5" w14:textId="77777777" w:rsidTr="00BE32A7">
        <w:tc>
          <w:tcPr>
            <w:tcW w:w="2657" w:type="dxa"/>
            <w:vMerge/>
            <w:vAlign w:val="center"/>
          </w:tcPr>
          <w:p w14:paraId="4F03A656" w14:textId="77777777" w:rsidR="00BE32A7" w:rsidRPr="008B629F" w:rsidRDefault="00BE32A7" w:rsidP="00BE32A7">
            <w:pPr>
              <w:jc w:val="center"/>
              <w:rPr>
                <w:rFonts w:cs="Times New Roman"/>
                <w:sz w:val="20"/>
                <w:szCs w:val="20"/>
              </w:rPr>
            </w:pPr>
          </w:p>
        </w:tc>
        <w:tc>
          <w:tcPr>
            <w:tcW w:w="1559" w:type="dxa"/>
            <w:vAlign w:val="center"/>
          </w:tcPr>
          <w:p w14:paraId="5A1113C6" w14:textId="77777777" w:rsidR="00BE32A7" w:rsidRPr="008B629F" w:rsidRDefault="00BE32A7" w:rsidP="00BE32A7">
            <w:pPr>
              <w:jc w:val="center"/>
              <w:rPr>
                <w:rFonts w:cs="Times New Roman"/>
                <w:sz w:val="20"/>
                <w:szCs w:val="20"/>
              </w:rPr>
            </w:pPr>
            <w:r w:rsidRPr="008B629F">
              <w:rPr>
                <w:rFonts w:cs="Times New Roman"/>
                <w:sz w:val="20"/>
                <w:szCs w:val="20"/>
              </w:rPr>
              <w:t>RT44 (org)</w:t>
            </w:r>
          </w:p>
        </w:tc>
        <w:tc>
          <w:tcPr>
            <w:tcW w:w="1700" w:type="dxa"/>
            <w:vAlign w:val="center"/>
          </w:tcPr>
          <w:p w14:paraId="5C30674C" w14:textId="77777777" w:rsidR="00BE32A7" w:rsidRPr="008B629F" w:rsidRDefault="00BE32A7" w:rsidP="00BE32A7">
            <w:pPr>
              <w:jc w:val="center"/>
              <w:rPr>
                <w:rFonts w:cs="Times New Roman"/>
                <w:sz w:val="20"/>
                <w:szCs w:val="20"/>
              </w:rPr>
            </w:pPr>
            <w:r w:rsidRPr="008B629F">
              <w:rPr>
                <w:rFonts w:cs="Times New Roman"/>
                <w:sz w:val="20"/>
                <w:szCs w:val="20"/>
              </w:rPr>
              <w:t>42.0 to 44.0</w:t>
            </w:r>
          </w:p>
        </w:tc>
        <w:tc>
          <w:tcPr>
            <w:tcW w:w="1841" w:type="dxa"/>
            <w:vAlign w:val="center"/>
          </w:tcPr>
          <w:p w14:paraId="47F7BCAE" w14:textId="77777777" w:rsidR="00BE32A7" w:rsidRPr="008B629F" w:rsidRDefault="00BE32A7" w:rsidP="00BE32A7">
            <w:pPr>
              <w:jc w:val="center"/>
              <w:rPr>
                <w:rFonts w:cs="Times New Roman"/>
                <w:sz w:val="20"/>
                <w:szCs w:val="20"/>
              </w:rPr>
            </w:pPr>
            <w:r w:rsidRPr="008B629F">
              <w:rPr>
                <w:rFonts w:cs="Times New Roman"/>
                <w:sz w:val="20"/>
                <w:szCs w:val="20"/>
              </w:rPr>
              <w:t>230.0</w:t>
            </w:r>
          </w:p>
        </w:tc>
        <w:tc>
          <w:tcPr>
            <w:tcW w:w="1387" w:type="dxa"/>
            <w:vAlign w:val="center"/>
          </w:tcPr>
          <w:p w14:paraId="060E3289" w14:textId="77777777" w:rsidR="00BE32A7" w:rsidRPr="008B629F" w:rsidRDefault="00BE32A7" w:rsidP="00BE32A7">
            <w:pPr>
              <w:jc w:val="center"/>
              <w:rPr>
                <w:rFonts w:cs="Times New Roman"/>
                <w:sz w:val="20"/>
                <w:szCs w:val="20"/>
              </w:rPr>
            </w:pPr>
            <w:r w:rsidRPr="008B629F">
              <w:rPr>
                <w:rFonts w:cs="Times New Roman"/>
                <w:sz w:val="20"/>
                <w:szCs w:val="20"/>
              </w:rPr>
              <w:t>0.20</w:t>
            </w:r>
          </w:p>
        </w:tc>
      </w:tr>
      <w:tr w:rsidR="008B629F" w:rsidRPr="008B629F" w14:paraId="17628E17" w14:textId="77777777" w:rsidTr="00BE32A7">
        <w:tc>
          <w:tcPr>
            <w:tcW w:w="2657" w:type="dxa"/>
            <w:vAlign w:val="center"/>
          </w:tcPr>
          <w:p w14:paraId="4FF86D4F" w14:textId="77777777" w:rsidR="008B629F" w:rsidRPr="008B629F" w:rsidRDefault="008B629F" w:rsidP="00BE32A7">
            <w:pPr>
              <w:jc w:val="center"/>
              <w:rPr>
                <w:rFonts w:cs="Times New Roman"/>
                <w:sz w:val="20"/>
                <w:szCs w:val="20"/>
              </w:rPr>
            </w:pPr>
            <w:r w:rsidRPr="008B629F">
              <w:rPr>
                <w:rFonts w:cs="Times New Roman"/>
                <w:sz w:val="20"/>
                <w:szCs w:val="20"/>
              </w:rPr>
              <w:t>Axiotherm</w:t>
            </w:r>
          </w:p>
        </w:tc>
        <w:tc>
          <w:tcPr>
            <w:tcW w:w="1559" w:type="dxa"/>
            <w:vAlign w:val="center"/>
          </w:tcPr>
          <w:p w14:paraId="08865C93" w14:textId="77777777" w:rsidR="008B629F" w:rsidRPr="008B629F" w:rsidRDefault="008B629F" w:rsidP="00BE32A7">
            <w:pPr>
              <w:jc w:val="center"/>
              <w:rPr>
                <w:rFonts w:cs="Times New Roman"/>
                <w:sz w:val="20"/>
                <w:szCs w:val="20"/>
              </w:rPr>
            </w:pPr>
            <w:r w:rsidRPr="008B629F">
              <w:rPr>
                <w:rFonts w:cs="Times New Roman"/>
                <w:sz w:val="20"/>
                <w:szCs w:val="20"/>
              </w:rPr>
              <w:t>ATS 50 (inorg)</w:t>
            </w:r>
          </w:p>
        </w:tc>
        <w:tc>
          <w:tcPr>
            <w:tcW w:w="1700" w:type="dxa"/>
            <w:vAlign w:val="center"/>
          </w:tcPr>
          <w:p w14:paraId="259A23F5" w14:textId="77777777" w:rsidR="008B629F" w:rsidRPr="008B629F" w:rsidRDefault="008B629F" w:rsidP="00BE32A7">
            <w:pPr>
              <w:jc w:val="center"/>
              <w:rPr>
                <w:rFonts w:cs="Times New Roman"/>
                <w:sz w:val="20"/>
                <w:szCs w:val="20"/>
              </w:rPr>
            </w:pPr>
            <w:r w:rsidRPr="008B629F">
              <w:rPr>
                <w:rFonts w:cs="Times New Roman"/>
                <w:sz w:val="20"/>
                <w:szCs w:val="20"/>
              </w:rPr>
              <w:t>−51.0 to −49.0</w:t>
            </w:r>
          </w:p>
        </w:tc>
        <w:tc>
          <w:tcPr>
            <w:tcW w:w="1841" w:type="dxa"/>
            <w:vAlign w:val="center"/>
          </w:tcPr>
          <w:p w14:paraId="25623C75" w14:textId="77777777" w:rsidR="008B629F" w:rsidRPr="008B629F" w:rsidRDefault="008B629F" w:rsidP="00BE32A7">
            <w:pPr>
              <w:jc w:val="center"/>
              <w:rPr>
                <w:rFonts w:cs="Times New Roman"/>
                <w:sz w:val="20"/>
                <w:szCs w:val="20"/>
              </w:rPr>
            </w:pPr>
            <w:r w:rsidRPr="008B629F">
              <w:rPr>
                <w:rFonts w:cs="Times New Roman"/>
                <w:sz w:val="20"/>
                <w:szCs w:val="20"/>
              </w:rPr>
              <w:t>345.0</w:t>
            </w:r>
          </w:p>
        </w:tc>
        <w:tc>
          <w:tcPr>
            <w:tcW w:w="1387" w:type="dxa"/>
            <w:vAlign w:val="center"/>
          </w:tcPr>
          <w:p w14:paraId="44B60ECC" w14:textId="77777777" w:rsidR="008B629F" w:rsidRPr="008B629F" w:rsidRDefault="008B629F" w:rsidP="00BE32A7">
            <w:pPr>
              <w:jc w:val="center"/>
              <w:rPr>
                <w:rFonts w:cs="Times New Roman"/>
                <w:sz w:val="20"/>
                <w:szCs w:val="20"/>
              </w:rPr>
            </w:pPr>
            <w:r w:rsidRPr="008B629F">
              <w:rPr>
                <w:rFonts w:cs="Times New Roman"/>
                <w:sz w:val="20"/>
                <w:szCs w:val="20"/>
              </w:rPr>
              <w:t>0.66</w:t>
            </w:r>
          </w:p>
        </w:tc>
      </w:tr>
      <w:tr w:rsidR="00BE32A7" w:rsidRPr="008B629F" w14:paraId="0867C200" w14:textId="77777777" w:rsidTr="00BE32A7">
        <w:tc>
          <w:tcPr>
            <w:tcW w:w="2657" w:type="dxa"/>
            <w:vMerge w:val="restart"/>
            <w:vAlign w:val="center"/>
          </w:tcPr>
          <w:p w14:paraId="3AF1C400" w14:textId="77777777" w:rsidR="00BE32A7" w:rsidRPr="008B629F" w:rsidRDefault="00BE32A7" w:rsidP="00BE32A7">
            <w:pPr>
              <w:jc w:val="center"/>
              <w:rPr>
                <w:rFonts w:cs="Times New Roman"/>
                <w:sz w:val="20"/>
                <w:szCs w:val="20"/>
              </w:rPr>
            </w:pPr>
          </w:p>
        </w:tc>
        <w:tc>
          <w:tcPr>
            <w:tcW w:w="1559" w:type="dxa"/>
            <w:vAlign w:val="center"/>
          </w:tcPr>
          <w:p w14:paraId="67F8FDF4" w14:textId="77777777" w:rsidR="00BE32A7" w:rsidRPr="008B629F" w:rsidRDefault="00BE32A7" w:rsidP="00BE32A7">
            <w:pPr>
              <w:jc w:val="center"/>
              <w:rPr>
                <w:rFonts w:cs="Times New Roman"/>
                <w:sz w:val="20"/>
                <w:szCs w:val="20"/>
              </w:rPr>
            </w:pPr>
            <w:r w:rsidRPr="008B629F">
              <w:rPr>
                <w:rFonts w:cs="Times New Roman"/>
                <w:sz w:val="20"/>
                <w:szCs w:val="20"/>
              </w:rPr>
              <w:t>ATS 29 (inorg)</w:t>
            </w:r>
          </w:p>
        </w:tc>
        <w:tc>
          <w:tcPr>
            <w:tcW w:w="1700" w:type="dxa"/>
            <w:vAlign w:val="center"/>
          </w:tcPr>
          <w:p w14:paraId="56335E32" w14:textId="77777777" w:rsidR="00BE32A7" w:rsidRPr="008B629F" w:rsidRDefault="00BE32A7" w:rsidP="00BE32A7">
            <w:pPr>
              <w:jc w:val="center"/>
              <w:rPr>
                <w:rFonts w:cs="Times New Roman"/>
                <w:sz w:val="20"/>
                <w:szCs w:val="20"/>
              </w:rPr>
            </w:pPr>
            <w:r w:rsidRPr="008B629F">
              <w:rPr>
                <w:rFonts w:cs="Times New Roman"/>
                <w:sz w:val="20"/>
                <w:szCs w:val="20"/>
              </w:rPr>
              <w:t>−31.0 to −29.0</w:t>
            </w:r>
          </w:p>
        </w:tc>
        <w:tc>
          <w:tcPr>
            <w:tcW w:w="1841" w:type="dxa"/>
            <w:vAlign w:val="center"/>
          </w:tcPr>
          <w:p w14:paraId="0BB174DE" w14:textId="77777777" w:rsidR="00BE32A7" w:rsidRPr="008B629F" w:rsidRDefault="00BE32A7" w:rsidP="00BE32A7">
            <w:pPr>
              <w:jc w:val="center"/>
              <w:rPr>
                <w:rFonts w:cs="Times New Roman"/>
                <w:sz w:val="20"/>
                <w:szCs w:val="20"/>
              </w:rPr>
            </w:pPr>
            <w:r w:rsidRPr="008B629F">
              <w:rPr>
                <w:rFonts w:cs="Times New Roman"/>
                <w:sz w:val="20"/>
                <w:szCs w:val="20"/>
              </w:rPr>
              <w:t>285.0</w:t>
            </w:r>
          </w:p>
        </w:tc>
        <w:tc>
          <w:tcPr>
            <w:tcW w:w="1387" w:type="dxa"/>
            <w:vAlign w:val="center"/>
          </w:tcPr>
          <w:p w14:paraId="31DD0DD0" w14:textId="77777777" w:rsidR="00BE32A7" w:rsidRPr="008B629F" w:rsidRDefault="00BE32A7" w:rsidP="00BE32A7">
            <w:pPr>
              <w:jc w:val="center"/>
              <w:rPr>
                <w:rFonts w:cs="Times New Roman"/>
                <w:sz w:val="20"/>
                <w:szCs w:val="20"/>
              </w:rPr>
            </w:pPr>
            <w:r w:rsidRPr="008B629F">
              <w:rPr>
                <w:rFonts w:cs="Times New Roman"/>
                <w:sz w:val="20"/>
                <w:szCs w:val="20"/>
              </w:rPr>
              <w:t>0.66</w:t>
            </w:r>
          </w:p>
        </w:tc>
      </w:tr>
      <w:tr w:rsidR="00BE32A7" w:rsidRPr="008B629F" w14:paraId="5C123796" w14:textId="77777777" w:rsidTr="00BE32A7">
        <w:tc>
          <w:tcPr>
            <w:tcW w:w="2657" w:type="dxa"/>
            <w:vMerge/>
            <w:vAlign w:val="center"/>
          </w:tcPr>
          <w:p w14:paraId="0F8A40E3" w14:textId="77777777" w:rsidR="00BE32A7" w:rsidRPr="008B629F" w:rsidRDefault="00BE32A7" w:rsidP="00BE32A7">
            <w:pPr>
              <w:jc w:val="center"/>
              <w:rPr>
                <w:rFonts w:cs="Times New Roman"/>
                <w:sz w:val="20"/>
                <w:szCs w:val="20"/>
              </w:rPr>
            </w:pPr>
          </w:p>
        </w:tc>
        <w:tc>
          <w:tcPr>
            <w:tcW w:w="1559" w:type="dxa"/>
            <w:vAlign w:val="center"/>
          </w:tcPr>
          <w:p w14:paraId="45E7F17F" w14:textId="77777777" w:rsidR="00BE32A7" w:rsidRPr="008B629F" w:rsidRDefault="00BE32A7" w:rsidP="00BE32A7">
            <w:pPr>
              <w:jc w:val="center"/>
              <w:rPr>
                <w:rFonts w:cs="Times New Roman"/>
                <w:sz w:val="20"/>
                <w:szCs w:val="20"/>
              </w:rPr>
            </w:pPr>
            <w:r w:rsidRPr="008B629F">
              <w:rPr>
                <w:rFonts w:cs="Times New Roman"/>
                <w:sz w:val="20"/>
                <w:szCs w:val="20"/>
              </w:rPr>
              <w:t>ATP 10 (inorg)</w:t>
            </w:r>
          </w:p>
        </w:tc>
        <w:tc>
          <w:tcPr>
            <w:tcW w:w="1700" w:type="dxa"/>
            <w:vAlign w:val="center"/>
          </w:tcPr>
          <w:p w14:paraId="6E287558" w14:textId="77777777" w:rsidR="00BE32A7" w:rsidRPr="008B629F" w:rsidRDefault="00BE32A7" w:rsidP="00BE32A7">
            <w:pPr>
              <w:jc w:val="center"/>
              <w:rPr>
                <w:rFonts w:cs="Times New Roman"/>
                <w:sz w:val="20"/>
                <w:szCs w:val="20"/>
              </w:rPr>
            </w:pPr>
            <w:r w:rsidRPr="008B629F">
              <w:rPr>
                <w:rFonts w:cs="Times New Roman"/>
                <w:sz w:val="20"/>
                <w:szCs w:val="20"/>
              </w:rPr>
              <w:t>−12.0 to −10.0</w:t>
            </w:r>
          </w:p>
        </w:tc>
        <w:tc>
          <w:tcPr>
            <w:tcW w:w="1841" w:type="dxa"/>
            <w:vAlign w:val="center"/>
          </w:tcPr>
          <w:p w14:paraId="212A9380" w14:textId="77777777" w:rsidR="00BE32A7" w:rsidRPr="008B629F" w:rsidRDefault="00BE32A7" w:rsidP="00BE32A7">
            <w:pPr>
              <w:jc w:val="center"/>
              <w:rPr>
                <w:rFonts w:cs="Times New Roman"/>
                <w:sz w:val="20"/>
                <w:szCs w:val="20"/>
              </w:rPr>
            </w:pPr>
            <w:r w:rsidRPr="008B629F">
              <w:rPr>
                <w:rFonts w:cs="Times New Roman"/>
                <w:sz w:val="20"/>
                <w:szCs w:val="20"/>
              </w:rPr>
              <w:t>275.0</w:t>
            </w:r>
          </w:p>
        </w:tc>
        <w:tc>
          <w:tcPr>
            <w:tcW w:w="1387" w:type="dxa"/>
            <w:vAlign w:val="center"/>
          </w:tcPr>
          <w:p w14:paraId="796969F1" w14:textId="77777777" w:rsidR="00BE32A7" w:rsidRPr="008B629F" w:rsidRDefault="00BE32A7" w:rsidP="00BE32A7">
            <w:pPr>
              <w:jc w:val="center"/>
              <w:rPr>
                <w:rFonts w:cs="Times New Roman"/>
                <w:sz w:val="20"/>
                <w:szCs w:val="20"/>
              </w:rPr>
            </w:pPr>
            <w:r w:rsidRPr="008B629F">
              <w:rPr>
                <w:rFonts w:cs="Times New Roman"/>
                <w:sz w:val="20"/>
                <w:szCs w:val="20"/>
              </w:rPr>
              <w:t>0.20</w:t>
            </w:r>
          </w:p>
        </w:tc>
      </w:tr>
      <w:tr w:rsidR="00BE32A7" w:rsidRPr="008B629F" w14:paraId="561C75C8" w14:textId="77777777" w:rsidTr="00BE32A7">
        <w:tc>
          <w:tcPr>
            <w:tcW w:w="2657" w:type="dxa"/>
            <w:vMerge/>
            <w:vAlign w:val="center"/>
          </w:tcPr>
          <w:p w14:paraId="41EB6B34" w14:textId="77777777" w:rsidR="00BE32A7" w:rsidRPr="008B629F" w:rsidRDefault="00BE32A7" w:rsidP="00BE32A7">
            <w:pPr>
              <w:jc w:val="center"/>
              <w:rPr>
                <w:rFonts w:cs="Times New Roman"/>
                <w:sz w:val="20"/>
                <w:szCs w:val="20"/>
              </w:rPr>
            </w:pPr>
          </w:p>
        </w:tc>
        <w:tc>
          <w:tcPr>
            <w:tcW w:w="1559" w:type="dxa"/>
            <w:vAlign w:val="center"/>
          </w:tcPr>
          <w:p w14:paraId="7F7C9170" w14:textId="77777777" w:rsidR="00BE32A7" w:rsidRPr="008B629F" w:rsidRDefault="00BE32A7" w:rsidP="00BE32A7">
            <w:pPr>
              <w:jc w:val="center"/>
              <w:rPr>
                <w:rFonts w:cs="Times New Roman"/>
                <w:sz w:val="20"/>
                <w:szCs w:val="20"/>
              </w:rPr>
            </w:pPr>
            <w:r w:rsidRPr="008B629F">
              <w:rPr>
                <w:rFonts w:cs="Times New Roman"/>
                <w:sz w:val="20"/>
                <w:szCs w:val="20"/>
              </w:rPr>
              <w:t>ATP 18 (inorg)</w:t>
            </w:r>
          </w:p>
        </w:tc>
        <w:tc>
          <w:tcPr>
            <w:tcW w:w="1700" w:type="dxa"/>
            <w:vAlign w:val="center"/>
          </w:tcPr>
          <w:p w14:paraId="68E476F0" w14:textId="77777777" w:rsidR="00BE32A7" w:rsidRPr="008B629F" w:rsidRDefault="00BE32A7" w:rsidP="00BE32A7">
            <w:pPr>
              <w:jc w:val="center"/>
              <w:rPr>
                <w:rFonts w:cs="Times New Roman"/>
                <w:sz w:val="20"/>
                <w:szCs w:val="20"/>
              </w:rPr>
            </w:pPr>
            <w:r w:rsidRPr="008B629F">
              <w:rPr>
                <w:rFonts w:cs="Times New Roman"/>
                <w:sz w:val="20"/>
                <w:szCs w:val="20"/>
              </w:rPr>
              <w:t>16.0 to 18.0</w:t>
            </w:r>
          </w:p>
        </w:tc>
        <w:tc>
          <w:tcPr>
            <w:tcW w:w="1841" w:type="dxa"/>
            <w:vAlign w:val="center"/>
          </w:tcPr>
          <w:p w14:paraId="1FB3BBC4" w14:textId="77777777" w:rsidR="00BE32A7" w:rsidRPr="008B629F" w:rsidRDefault="00BE32A7" w:rsidP="00BE32A7">
            <w:pPr>
              <w:jc w:val="center"/>
              <w:rPr>
                <w:rFonts w:cs="Times New Roman"/>
                <w:sz w:val="20"/>
                <w:szCs w:val="20"/>
              </w:rPr>
            </w:pPr>
            <w:r w:rsidRPr="008B629F">
              <w:rPr>
                <w:rFonts w:cs="Times New Roman"/>
                <w:sz w:val="20"/>
                <w:szCs w:val="20"/>
              </w:rPr>
              <w:t>275.0</w:t>
            </w:r>
          </w:p>
        </w:tc>
        <w:tc>
          <w:tcPr>
            <w:tcW w:w="1387" w:type="dxa"/>
            <w:vAlign w:val="center"/>
          </w:tcPr>
          <w:p w14:paraId="4D371B3B" w14:textId="77777777" w:rsidR="00BE32A7" w:rsidRPr="008B629F" w:rsidRDefault="00BE32A7" w:rsidP="00BE32A7">
            <w:pPr>
              <w:jc w:val="center"/>
              <w:rPr>
                <w:rFonts w:cs="Times New Roman"/>
                <w:sz w:val="20"/>
                <w:szCs w:val="20"/>
              </w:rPr>
            </w:pPr>
            <w:r w:rsidRPr="008B629F">
              <w:rPr>
                <w:rFonts w:cs="Times New Roman"/>
                <w:sz w:val="20"/>
                <w:szCs w:val="20"/>
              </w:rPr>
              <w:t>0.20</w:t>
            </w:r>
          </w:p>
        </w:tc>
      </w:tr>
      <w:tr w:rsidR="00BE32A7" w:rsidRPr="008B629F" w14:paraId="70903144" w14:textId="77777777" w:rsidTr="00732E1F">
        <w:trPr>
          <w:trHeight w:val="295"/>
        </w:trPr>
        <w:tc>
          <w:tcPr>
            <w:tcW w:w="2657" w:type="dxa"/>
            <w:vMerge/>
            <w:vAlign w:val="center"/>
          </w:tcPr>
          <w:p w14:paraId="1CDF6136" w14:textId="77777777" w:rsidR="00BE32A7" w:rsidRPr="008B629F" w:rsidRDefault="00BE32A7" w:rsidP="00BE32A7">
            <w:pPr>
              <w:jc w:val="center"/>
              <w:rPr>
                <w:rFonts w:cs="Times New Roman"/>
                <w:sz w:val="20"/>
                <w:szCs w:val="20"/>
              </w:rPr>
            </w:pPr>
          </w:p>
        </w:tc>
        <w:tc>
          <w:tcPr>
            <w:tcW w:w="1559" w:type="dxa"/>
            <w:vAlign w:val="center"/>
          </w:tcPr>
          <w:p w14:paraId="7CE89094" w14:textId="76561C3B" w:rsidR="00BE32A7" w:rsidRPr="008B629F" w:rsidRDefault="00BE32A7" w:rsidP="00732E1F">
            <w:pPr>
              <w:jc w:val="center"/>
              <w:rPr>
                <w:rFonts w:cs="Times New Roman"/>
                <w:sz w:val="20"/>
                <w:szCs w:val="20"/>
              </w:rPr>
            </w:pPr>
            <w:r w:rsidRPr="008B629F">
              <w:rPr>
                <w:rFonts w:cs="Times New Roman"/>
                <w:sz w:val="20"/>
                <w:szCs w:val="20"/>
              </w:rPr>
              <w:t>ATP 29 (inorg)</w:t>
            </w:r>
          </w:p>
        </w:tc>
        <w:tc>
          <w:tcPr>
            <w:tcW w:w="1700" w:type="dxa"/>
            <w:vAlign w:val="center"/>
          </w:tcPr>
          <w:p w14:paraId="00FF6A31" w14:textId="77777777" w:rsidR="00BE32A7" w:rsidRPr="008B629F" w:rsidRDefault="00BE32A7" w:rsidP="00BE32A7">
            <w:pPr>
              <w:jc w:val="center"/>
              <w:rPr>
                <w:rFonts w:cs="Times New Roman"/>
                <w:sz w:val="20"/>
                <w:szCs w:val="20"/>
              </w:rPr>
            </w:pPr>
            <w:r w:rsidRPr="008B629F">
              <w:rPr>
                <w:rFonts w:cs="Times New Roman"/>
                <w:sz w:val="20"/>
                <w:szCs w:val="20"/>
              </w:rPr>
              <w:t>28.0 to 30.0</w:t>
            </w:r>
          </w:p>
        </w:tc>
        <w:tc>
          <w:tcPr>
            <w:tcW w:w="1841" w:type="dxa"/>
            <w:vAlign w:val="center"/>
          </w:tcPr>
          <w:p w14:paraId="619986FB" w14:textId="77777777" w:rsidR="00BE32A7" w:rsidRPr="008B629F" w:rsidRDefault="00BE32A7" w:rsidP="00BE32A7">
            <w:pPr>
              <w:jc w:val="center"/>
              <w:rPr>
                <w:rFonts w:cs="Times New Roman"/>
                <w:sz w:val="20"/>
                <w:szCs w:val="20"/>
              </w:rPr>
            </w:pPr>
            <w:r w:rsidRPr="008B629F">
              <w:rPr>
                <w:rFonts w:cs="Times New Roman"/>
                <w:sz w:val="20"/>
                <w:szCs w:val="20"/>
              </w:rPr>
              <w:t>280.0</w:t>
            </w:r>
          </w:p>
        </w:tc>
        <w:tc>
          <w:tcPr>
            <w:tcW w:w="1387" w:type="dxa"/>
            <w:vAlign w:val="center"/>
          </w:tcPr>
          <w:p w14:paraId="59DC3954" w14:textId="77777777" w:rsidR="00BE32A7" w:rsidRPr="008B629F" w:rsidRDefault="00BE32A7" w:rsidP="00BE32A7">
            <w:pPr>
              <w:jc w:val="center"/>
              <w:rPr>
                <w:rFonts w:cs="Times New Roman"/>
                <w:sz w:val="20"/>
                <w:szCs w:val="20"/>
              </w:rPr>
            </w:pPr>
            <w:r w:rsidRPr="008B629F">
              <w:rPr>
                <w:rFonts w:cs="Times New Roman"/>
                <w:sz w:val="20"/>
                <w:szCs w:val="20"/>
              </w:rPr>
              <w:t>0.20</w:t>
            </w:r>
          </w:p>
        </w:tc>
      </w:tr>
      <w:tr w:rsidR="00BE32A7" w:rsidRPr="008B629F" w14:paraId="2D0BCE36" w14:textId="77777777" w:rsidTr="00BE32A7">
        <w:tc>
          <w:tcPr>
            <w:tcW w:w="2657" w:type="dxa"/>
            <w:vMerge w:val="restart"/>
            <w:vAlign w:val="center"/>
          </w:tcPr>
          <w:p w14:paraId="66BEF12A" w14:textId="77777777" w:rsidR="00BE32A7" w:rsidRPr="008B629F" w:rsidRDefault="00BE32A7" w:rsidP="00BE32A7">
            <w:pPr>
              <w:jc w:val="center"/>
              <w:rPr>
                <w:rFonts w:cs="Times New Roman"/>
                <w:sz w:val="20"/>
                <w:szCs w:val="20"/>
              </w:rPr>
            </w:pPr>
            <w:r w:rsidRPr="008B629F">
              <w:rPr>
                <w:rFonts w:cs="Times New Roman"/>
                <w:sz w:val="20"/>
                <w:szCs w:val="20"/>
              </w:rPr>
              <w:t>RGEES LLC</w:t>
            </w:r>
          </w:p>
        </w:tc>
        <w:tc>
          <w:tcPr>
            <w:tcW w:w="1559" w:type="dxa"/>
            <w:vAlign w:val="center"/>
          </w:tcPr>
          <w:p w14:paraId="4636D503" w14:textId="77777777" w:rsidR="00BE32A7" w:rsidRPr="008B629F" w:rsidRDefault="00BE32A7" w:rsidP="00BE32A7">
            <w:pPr>
              <w:jc w:val="center"/>
              <w:rPr>
                <w:rFonts w:cs="Times New Roman"/>
                <w:sz w:val="20"/>
                <w:szCs w:val="20"/>
              </w:rPr>
            </w:pPr>
            <w:r w:rsidRPr="008B629F">
              <w:rPr>
                <w:rFonts w:cs="Times New Roman"/>
                <w:sz w:val="20"/>
                <w:szCs w:val="20"/>
              </w:rPr>
              <w:t>PCM-M30N (inorg)</w:t>
            </w:r>
          </w:p>
        </w:tc>
        <w:tc>
          <w:tcPr>
            <w:tcW w:w="1700" w:type="dxa"/>
            <w:vAlign w:val="center"/>
          </w:tcPr>
          <w:p w14:paraId="4096BE7D" w14:textId="77777777" w:rsidR="00BE32A7" w:rsidRPr="008B629F" w:rsidRDefault="00BE32A7" w:rsidP="00BE32A7">
            <w:pPr>
              <w:jc w:val="center"/>
              <w:rPr>
                <w:rFonts w:cs="Times New Roman"/>
                <w:sz w:val="20"/>
                <w:szCs w:val="20"/>
              </w:rPr>
            </w:pPr>
            <w:r w:rsidRPr="008B629F">
              <w:rPr>
                <w:rFonts w:cs="Times New Roman"/>
                <w:sz w:val="20"/>
                <w:szCs w:val="20"/>
              </w:rPr>
              <w:t>−30.0</w:t>
            </w:r>
          </w:p>
        </w:tc>
        <w:tc>
          <w:tcPr>
            <w:tcW w:w="1841" w:type="dxa"/>
            <w:vAlign w:val="center"/>
          </w:tcPr>
          <w:p w14:paraId="7216988D" w14:textId="77777777" w:rsidR="00BE32A7" w:rsidRPr="008B629F" w:rsidRDefault="00BE32A7" w:rsidP="00BE32A7">
            <w:pPr>
              <w:jc w:val="center"/>
              <w:rPr>
                <w:rFonts w:cs="Times New Roman"/>
                <w:sz w:val="20"/>
                <w:szCs w:val="20"/>
              </w:rPr>
            </w:pPr>
            <w:r w:rsidRPr="008B629F">
              <w:rPr>
                <w:rFonts w:cs="Times New Roman"/>
                <w:sz w:val="20"/>
                <w:szCs w:val="20"/>
              </w:rPr>
              <w:t>254.0</w:t>
            </w:r>
          </w:p>
        </w:tc>
        <w:tc>
          <w:tcPr>
            <w:tcW w:w="1387" w:type="dxa"/>
            <w:vAlign w:val="center"/>
          </w:tcPr>
          <w:p w14:paraId="67E73C93" w14:textId="77777777" w:rsidR="00BE32A7" w:rsidRPr="008B629F" w:rsidRDefault="00BE32A7" w:rsidP="00BE32A7">
            <w:pPr>
              <w:jc w:val="center"/>
              <w:rPr>
                <w:rFonts w:cs="Times New Roman"/>
                <w:sz w:val="20"/>
                <w:szCs w:val="20"/>
              </w:rPr>
            </w:pPr>
            <w:r w:rsidRPr="008B629F">
              <w:rPr>
                <w:rFonts w:cs="Times New Roman"/>
                <w:sz w:val="20"/>
                <w:szCs w:val="20"/>
              </w:rPr>
              <w:t>0.62</w:t>
            </w:r>
          </w:p>
        </w:tc>
      </w:tr>
      <w:tr w:rsidR="00BE32A7" w:rsidRPr="008B629F" w14:paraId="03999744" w14:textId="77777777" w:rsidTr="00BE32A7">
        <w:tc>
          <w:tcPr>
            <w:tcW w:w="2657" w:type="dxa"/>
            <w:vMerge/>
            <w:vAlign w:val="center"/>
          </w:tcPr>
          <w:p w14:paraId="38F2BC4B" w14:textId="77777777" w:rsidR="00BE32A7" w:rsidRPr="008B629F" w:rsidRDefault="00BE32A7" w:rsidP="00BE32A7">
            <w:pPr>
              <w:jc w:val="center"/>
              <w:rPr>
                <w:rFonts w:cs="Times New Roman"/>
                <w:sz w:val="20"/>
                <w:szCs w:val="20"/>
              </w:rPr>
            </w:pPr>
          </w:p>
        </w:tc>
        <w:tc>
          <w:tcPr>
            <w:tcW w:w="1559" w:type="dxa"/>
            <w:vAlign w:val="center"/>
          </w:tcPr>
          <w:p w14:paraId="532E5872" w14:textId="77777777" w:rsidR="00BE32A7" w:rsidRPr="008B629F" w:rsidRDefault="00BE32A7" w:rsidP="00BE32A7">
            <w:pPr>
              <w:jc w:val="center"/>
              <w:rPr>
                <w:rFonts w:cs="Times New Roman"/>
                <w:sz w:val="20"/>
                <w:szCs w:val="20"/>
              </w:rPr>
            </w:pPr>
            <w:r w:rsidRPr="008B629F">
              <w:rPr>
                <w:rFonts w:cs="Times New Roman"/>
                <w:sz w:val="20"/>
                <w:szCs w:val="20"/>
              </w:rPr>
              <w:t>PCM-M21N (inorg)</w:t>
            </w:r>
          </w:p>
        </w:tc>
        <w:tc>
          <w:tcPr>
            <w:tcW w:w="1700" w:type="dxa"/>
            <w:vAlign w:val="center"/>
          </w:tcPr>
          <w:p w14:paraId="3403E708" w14:textId="77777777" w:rsidR="00BE32A7" w:rsidRPr="008B629F" w:rsidRDefault="00BE32A7" w:rsidP="00BE32A7">
            <w:pPr>
              <w:jc w:val="center"/>
              <w:rPr>
                <w:rFonts w:cs="Times New Roman"/>
                <w:sz w:val="20"/>
                <w:szCs w:val="20"/>
              </w:rPr>
            </w:pPr>
            <w:r w:rsidRPr="008B629F">
              <w:rPr>
                <w:rFonts w:cs="Times New Roman"/>
                <w:sz w:val="20"/>
                <w:szCs w:val="20"/>
              </w:rPr>
              <w:t>−21.0</w:t>
            </w:r>
          </w:p>
        </w:tc>
        <w:tc>
          <w:tcPr>
            <w:tcW w:w="1841" w:type="dxa"/>
            <w:vAlign w:val="center"/>
          </w:tcPr>
          <w:p w14:paraId="14C2DAAD" w14:textId="77777777" w:rsidR="00BE32A7" w:rsidRPr="008B629F" w:rsidRDefault="00BE32A7" w:rsidP="00BE32A7">
            <w:pPr>
              <w:jc w:val="center"/>
              <w:rPr>
                <w:rFonts w:cs="Times New Roman"/>
                <w:sz w:val="20"/>
                <w:szCs w:val="20"/>
              </w:rPr>
            </w:pPr>
            <w:r w:rsidRPr="008B629F">
              <w:rPr>
                <w:rFonts w:cs="Times New Roman"/>
                <w:sz w:val="20"/>
                <w:szCs w:val="20"/>
              </w:rPr>
              <w:t>280.0</w:t>
            </w:r>
          </w:p>
        </w:tc>
        <w:tc>
          <w:tcPr>
            <w:tcW w:w="1387" w:type="dxa"/>
            <w:vAlign w:val="center"/>
          </w:tcPr>
          <w:p w14:paraId="124BDE3D" w14:textId="77777777" w:rsidR="00BE32A7" w:rsidRPr="008B629F" w:rsidRDefault="00BE32A7" w:rsidP="00BE32A7">
            <w:pPr>
              <w:jc w:val="center"/>
              <w:rPr>
                <w:rFonts w:cs="Times New Roman"/>
                <w:sz w:val="20"/>
                <w:szCs w:val="20"/>
              </w:rPr>
            </w:pPr>
            <w:r w:rsidRPr="008B629F">
              <w:rPr>
                <w:rFonts w:cs="Times New Roman"/>
                <w:sz w:val="20"/>
                <w:szCs w:val="20"/>
              </w:rPr>
              <w:t>0.61</w:t>
            </w:r>
          </w:p>
        </w:tc>
      </w:tr>
      <w:tr w:rsidR="00BE32A7" w:rsidRPr="008B629F" w14:paraId="534F51EF" w14:textId="77777777" w:rsidTr="00BE32A7">
        <w:tc>
          <w:tcPr>
            <w:tcW w:w="2657" w:type="dxa"/>
            <w:vMerge/>
            <w:vAlign w:val="center"/>
          </w:tcPr>
          <w:p w14:paraId="364CBBA8" w14:textId="77777777" w:rsidR="00BE32A7" w:rsidRPr="008B629F" w:rsidRDefault="00BE32A7" w:rsidP="00BE32A7">
            <w:pPr>
              <w:jc w:val="center"/>
              <w:rPr>
                <w:rFonts w:cs="Times New Roman"/>
                <w:sz w:val="20"/>
                <w:szCs w:val="20"/>
              </w:rPr>
            </w:pPr>
          </w:p>
        </w:tc>
        <w:tc>
          <w:tcPr>
            <w:tcW w:w="1559" w:type="dxa"/>
            <w:vAlign w:val="center"/>
          </w:tcPr>
          <w:p w14:paraId="38C7FF76" w14:textId="77777777" w:rsidR="00BE32A7" w:rsidRPr="008B629F" w:rsidRDefault="00BE32A7" w:rsidP="00BE32A7">
            <w:pPr>
              <w:jc w:val="center"/>
              <w:rPr>
                <w:rFonts w:cs="Times New Roman"/>
                <w:sz w:val="20"/>
                <w:szCs w:val="20"/>
              </w:rPr>
            </w:pPr>
            <w:r w:rsidRPr="008B629F">
              <w:rPr>
                <w:rFonts w:cs="Times New Roman"/>
                <w:sz w:val="20"/>
                <w:szCs w:val="20"/>
              </w:rPr>
              <w:t>PCM-M15N (inorg)</w:t>
            </w:r>
          </w:p>
        </w:tc>
        <w:tc>
          <w:tcPr>
            <w:tcW w:w="1700" w:type="dxa"/>
            <w:vAlign w:val="center"/>
          </w:tcPr>
          <w:p w14:paraId="6BA02D21" w14:textId="77777777" w:rsidR="00BE32A7" w:rsidRPr="008B629F" w:rsidRDefault="00BE32A7" w:rsidP="00BE32A7">
            <w:pPr>
              <w:jc w:val="center"/>
              <w:rPr>
                <w:rFonts w:cs="Times New Roman"/>
                <w:sz w:val="20"/>
                <w:szCs w:val="20"/>
              </w:rPr>
            </w:pPr>
            <w:r w:rsidRPr="008B629F">
              <w:rPr>
                <w:rFonts w:cs="Times New Roman"/>
                <w:sz w:val="20"/>
                <w:szCs w:val="20"/>
              </w:rPr>
              <w:t>−15.0</w:t>
            </w:r>
          </w:p>
        </w:tc>
        <w:tc>
          <w:tcPr>
            <w:tcW w:w="1841" w:type="dxa"/>
            <w:vAlign w:val="center"/>
          </w:tcPr>
          <w:p w14:paraId="7AF02DF7" w14:textId="77777777" w:rsidR="00BE32A7" w:rsidRPr="008B629F" w:rsidRDefault="00BE32A7" w:rsidP="00BE32A7">
            <w:pPr>
              <w:jc w:val="center"/>
              <w:rPr>
                <w:rFonts w:cs="Times New Roman"/>
                <w:sz w:val="20"/>
                <w:szCs w:val="20"/>
              </w:rPr>
            </w:pPr>
            <w:r w:rsidRPr="008B629F">
              <w:rPr>
                <w:rFonts w:cs="Times New Roman"/>
                <w:sz w:val="20"/>
                <w:szCs w:val="20"/>
              </w:rPr>
              <w:t>290.0</w:t>
            </w:r>
          </w:p>
        </w:tc>
        <w:tc>
          <w:tcPr>
            <w:tcW w:w="1387" w:type="dxa"/>
            <w:vAlign w:val="center"/>
          </w:tcPr>
          <w:p w14:paraId="6B205AFB" w14:textId="77777777" w:rsidR="00BE32A7" w:rsidRPr="008B629F" w:rsidRDefault="00BE32A7" w:rsidP="00BE32A7">
            <w:pPr>
              <w:jc w:val="center"/>
              <w:rPr>
                <w:rFonts w:cs="Times New Roman"/>
                <w:sz w:val="20"/>
                <w:szCs w:val="20"/>
              </w:rPr>
            </w:pPr>
            <w:r w:rsidRPr="008B629F">
              <w:rPr>
                <w:rFonts w:cs="Times New Roman"/>
                <w:sz w:val="20"/>
                <w:szCs w:val="20"/>
              </w:rPr>
              <w:t>0.56</w:t>
            </w:r>
          </w:p>
        </w:tc>
      </w:tr>
      <w:tr w:rsidR="00BE32A7" w:rsidRPr="008B629F" w14:paraId="02A90113" w14:textId="77777777" w:rsidTr="00BE32A7">
        <w:tc>
          <w:tcPr>
            <w:tcW w:w="2657" w:type="dxa"/>
            <w:vMerge/>
            <w:vAlign w:val="center"/>
          </w:tcPr>
          <w:p w14:paraId="25071651" w14:textId="77777777" w:rsidR="00BE32A7" w:rsidRPr="008B629F" w:rsidRDefault="00BE32A7" w:rsidP="00BE32A7">
            <w:pPr>
              <w:jc w:val="center"/>
              <w:rPr>
                <w:rFonts w:cs="Times New Roman"/>
                <w:sz w:val="20"/>
                <w:szCs w:val="20"/>
              </w:rPr>
            </w:pPr>
          </w:p>
        </w:tc>
        <w:tc>
          <w:tcPr>
            <w:tcW w:w="1559" w:type="dxa"/>
            <w:vAlign w:val="center"/>
          </w:tcPr>
          <w:p w14:paraId="1BEFE8C3" w14:textId="77777777" w:rsidR="00BE32A7" w:rsidRPr="008B629F" w:rsidRDefault="00BE32A7" w:rsidP="00BE32A7">
            <w:pPr>
              <w:jc w:val="center"/>
              <w:rPr>
                <w:rFonts w:cs="Times New Roman"/>
                <w:sz w:val="20"/>
                <w:szCs w:val="20"/>
              </w:rPr>
            </w:pPr>
            <w:r w:rsidRPr="008B629F">
              <w:rPr>
                <w:rFonts w:cs="Times New Roman"/>
                <w:sz w:val="20"/>
                <w:szCs w:val="20"/>
              </w:rPr>
              <w:t>PCM-M06N (inorg)</w:t>
            </w:r>
          </w:p>
        </w:tc>
        <w:tc>
          <w:tcPr>
            <w:tcW w:w="1700" w:type="dxa"/>
            <w:vAlign w:val="center"/>
          </w:tcPr>
          <w:p w14:paraId="5DC13151" w14:textId="77777777" w:rsidR="00BE32A7" w:rsidRPr="008B629F" w:rsidRDefault="00BE32A7" w:rsidP="00BE32A7">
            <w:pPr>
              <w:jc w:val="center"/>
              <w:rPr>
                <w:rFonts w:cs="Times New Roman"/>
                <w:sz w:val="20"/>
                <w:szCs w:val="20"/>
              </w:rPr>
            </w:pPr>
            <w:r w:rsidRPr="008B629F">
              <w:rPr>
                <w:rFonts w:cs="Times New Roman"/>
                <w:sz w:val="20"/>
                <w:szCs w:val="20"/>
              </w:rPr>
              <w:t>−6.0</w:t>
            </w:r>
          </w:p>
        </w:tc>
        <w:tc>
          <w:tcPr>
            <w:tcW w:w="1841" w:type="dxa"/>
            <w:vAlign w:val="center"/>
          </w:tcPr>
          <w:p w14:paraId="578DDE45" w14:textId="77777777" w:rsidR="00BE32A7" w:rsidRPr="008B629F" w:rsidRDefault="00BE32A7" w:rsidP="00BE32A7">
            <w:pPr>
              <w:jc w:val="center"/>
              <w:rPr>
                <w:rFonts w:cs="Times New Roman"/>
                <w:sz w:val="20"/>
                <w:szCs w:val="20"/>
              </w:rPr>
            </w:pPr>
            <w:r w:rsidRPr="008B629F">
              <w:rPr>
                <w:rFonts w:cs="Times New Roman"/>
                <w:sz w:val="20"/>
                <w:szCs w:val="20"/>
              </w:rPr>
              <w:t>365.0</w:t>
            </w:r>
          </w:p>
        </w:tc>
        <w:tc>
          <w:tcPr>
            <w:tcW w:w="1387" w:type="dxa"/>
            <w:vAlign w:val="center"/>
          </w:tcPr>
          <w:p w14:paraId="7894E1D8" w14:textId="77777777" w:rsidR="00BE32A7" w:rsidRPr="008B629F" w:rsidRDefault="00BE32A7" w:rsidP="00BE32A7">
            <w:pPr>
              <w:jc w:val="center"/>
              <w:rPr>
                <w:rFonts w:cs="Times New Roman"/>
                <w:sz w:val="20"/>
                <w:szCs w:val="20"/>
              </w:rPr>
            </w:pPr>
            <w:r w:rsidRPr="008B629F">
              <w:rPr>
                <w:rFonts w:cs="Times New Roman"/>
                <w:sz w:val="20"/>
                <w:szCs w:val="20"/>
              </w:rPr>
              <w:t>0.56</w:t>
            </w:r>
          </w:p>
        </w:tc>
      </w:tr>
      <w:tr w:rsidR="00BE32A7" w:rsidRPr="008B629F" w14:paraId="0BEC3377" w14:textId="77777777" w:rsidTr="00BE32A7">
        <w:tc>
          <w:tcPr>
            <w:tcW w:w="2657" w:type="dxa"/>
            <w:vMerge/>
            <w:vAlign w:val="center"/>
          </w:tcPr>
          <w:p w14:paraId="289AF512" w14:textId="77777777" w:rsidR="00BE32A7" w:rsidRPr="008B629F" w:rsidRDefault="00BE32A7" w:rsidP="00BE32A7">
            <w:pPr>
              <w:jc w:val="center"/>
              <w:rPr>
                <w:rFonts w:cs="Times New Roman"/>
                <w:sz w:val="20"/>
                <w:szCs w:val="20"/>
              </w:rPr>
            </w:pPr>
          </w:p>
        </w:tc>
        <w:tc>
          <w:tcPr>
            <w:tcW w:w="1559" w:type="dxa"/>
            <w:vAlign w:val="center"/>
          </w:tcPr>
          <w:p w14:paraId="5BB86BBC" w14:textId="77777777" w:rsidR="00BE32A7" w:rsidRPr="008B629F" w:rsidRDefault="00BE32A7" w:rsidP="00BE32A7">
            <w:pPr>
              <w:jc w:val="center"/>
              <w:rPr>
                <w:rFonts w:cs="Times New Roman"/>
                <w:sz w:val="20"/>
                <w:szCs w:val="20"/>
              </w:rPr>
            </w:pPr>
            <w:r w:rsidRPr="008B629F">
              <w:rPr>
                <w:rFonts w:cs="Times New Roman"/>
                <w:sz w:val="20"/>
                <w:szCs w:val="20"/>
              </w:rPr>
              <w:t>PCM-CM09L-06 (org)</w:t>
            </w:r>
          </w:p>
        </w:tc>
        <w:tc>
          <w:tcPr>
            <w:tcW w:w="1700" w:type="dxa"/>
            <w:vAlign w:val="center"/>
          </w:tcPr>
          <w:p w14:paraId="4D0A04FB" w14:textId="77777777" w:rsidR="00BE32A7" w:rsidRPr="008B629F" w:rsidRDefault="00BE32A7" w:rsidP="00BE32A7">
            <w:pPr>
              <w:jc w:val="center"/>
              <w:rPr>
                <w:rFonts w:cs="Times New Roman"/>
                <w:sz w:val="20"/>
                <w:szCs w:val="20"/>
              </w:rPr>
            </w:pPr>
            <w:r w:rsidRPr="008B629F">
              <w:rPr>
                <w:rFonts w:cs="Times New Roman"/>
                <w:sz w:val="20"/>
                <w:szCs w:val="20"/>
              </w:rPr>
              <w:t>−6.0</w:t>
            </w:r>
          </w:p>
        </w:tc>
        <w:tc>
          <w:tcPr>
            <w:tcW w:w="1841" w:type="dxa"/>
            <w:vAlign w:val="center"/>
          </w:tcPr>
          <w:p w14:paraId="146DEA6D" w14:textId="77777777" w:rsidR="00BE32A7" w:rsidRPr="008B629F" w:rsidRDefault="00BE32A7" w:rsidP="00BE32A7">
            <w:pPr>
              <w:jc w:val="center"/>
              <w:rPr>
                <w:rFonts w:cs="Times New Roman"/>
                <w:sz w:val="20"/>
                <w:szCs w:val="20"/>
              </w:rPr>
            </w:pPr>
            <w:r w:rsidRPr="008B629F">
              <w:rPr>
                <w:rFonts w:cs="Times New Roman"/>
                <w:sz w:val="20"/>
                <w:szCs w:val="20"/>
              </w:rPr>
              <w:t>390.0</w:t>
            </w:r>
          </w:p>
        </w:tc>
        <w:tc>
          <w:tcPr>
            <w:tcW w:w="1387" w:type="dxa"/>
            <w:vAlign w:val="center"/>
          </w:tcPr>
          <w:p w14:paraId="57C717E3" w14:textId="77777777" w:rsidR="00BE32A7" w:rsidRPr="008B629F" w:rsidRDefault="00BE32A7" w:rsidP="00BE32A7">
            <w:pPr>
              <w:jc w:val="center"/>
              <w:rPr>
                <w:rFonts w:cs="Times New Roman"/>
                <w:sz w:val="20"/>
                <w:szCs w:val="20"/>
              </w:rPr>
            </w:pPr>
            <w:r w:rsidRPr="008B629F">
              <w:rPr>
                <w:rFonts w:cs="Times New Roman"/>
                <w:sz w:val="20"/>
                <w:szCs w:val="20"/>
              </w:rPr>
              <w:t>0.56</w:t>
            </w:r>
          </w:p>
        </w:tc>
      </w:tr>
      <w:tr w:rsidR="00BE32A7" w:rsidRPr="008B629F" w14:paraId="34F3D085" w14:textId="77777777" w:rsidTr="00BE32A7">
        <w:tc>
          <w:tcPr>
            <w:tcW w:w="2657" w:type="dxa"/>
            <w:vMerge/>
            <w:vAlign w:val="center"/>
          </w:tcPr>
          <w:p w14:paraId="7F7F0117" w14:textId="77777777" w:rsidR="00BE32A7" w:rsidRPr="008B629F" w:rsidRDefault="00BE32A7" w:rsidP="00BE32A7">
            <w:pPr>
              <w:jc w:val="center"/>
              <w:rPr>
                <w:rFonts w:cs="Times New Roman"/>
                <w:sz w:val="20"/>
                <w:szCs w:val="20"/>
              </w:rPr>
            </w:pPr>
          </w:p>
        </w:tc>
        <w:tc>
          <w:tcPr>
            <w:tcW w:w="1559" w:type="dxa"/>
            <w:vAlign w:val="center"/>
          </w:tcPr>
          <w:p w14:paraId="4659DDA5" w14:textId="77777777" w:rsidR="00BE32A7" w:rsidRPr="008B629F" w:rsidRDefault="00BE32A7" w:rsidP="00BE32A7">
            <w:pPr>
              <w:jc w:val="center"/>
              <w:rPr>
                <w:rFonts w:cs="Times New Roman"/>
                <w:sz w:val="20"/>
                <w:szCs w:val="20"/>
              </w:rPr>
            </w:pPr>
            <w:r w:rsidRPr="008B629F">
              <w:rPr>
                <w:rFonts w:cs="Times New Roman"/>
                <w:sz w:val="20"/>
                <w:szCs w:val="20"/>
              </w:rPr>
              <w:t>PCMCOOL-8 (org)</w:t>
            </w:r>
          </w:p>
        </w:tc>
        <w:tc>
          <w:tcPr>
            <w:tcW w:w="1700" w:type="dxa"/>
            <w:vAlign w:val="center"/>
          </w:tcPr>
          <w:p w14:paraId="0098DA63" w14:textId="77777777" w:rsidR="00BE32A7" w:rsidRPr="008B629F" w:rsidRDefault="00BE32A7" w:rsidP="00BE32A7">
            <w:pPr>
              <w:jc w:val="center"/>
              <w:rPr>
                <w:rFonts w:cs="Times New Roman"/>
                <w:sz w:val="20"/>
                <w:szCs w:val="20"/>
              </w:rPr>
            </w:pPr>
            <w:r w:rsidRPr="008B629F">
              <w:rPr>
                <w:rFonts w:cs="Times New Roman"/>
                <w:sz w:val="20"/>
                <w:szCs w:val="20"/>
              </w:rPr>
              <w:t>−8.0</w:t>
            </w:r>
          </w:p>
        </w:tc>
        <w:tc>
          <w:tcPr>
            <w:tcW w:w="1841" w:type="dxa"/>
            <w:vAlign w:val="center"/>
          </w:tcPr>
          <w:p w14:paraId="02FEBA78" w14:textId="77777777" w:rsidR="00BE32A7" w:rsidRPr="008B629F" w:rsidRDefault="00BE32A7" w:rsidP="00BE32A7">
            <w:pPr>
              <w:jc w:val="center"/>
              <w:rPr>
                <w:rFonts w:cs="Times New Roman"/>
                <w:sz w:val="20"/>
                <w:szCs w:val="20"/>
              </w:rPr>
            </w:pPr>
            <w:r w:rsidRPr="008B629F">
              <w:rPr>
                <w:rFonts w:cs="Times New Roman"/>
                <w:sz w:val="20"/>
                <w:szCs w:val="20"/>
              </w:rPr>
              <w:t>210.0</w:t>
            </w:r>
          </w:p>
        </w:tc>
        <w:tc>
          <w:tcPr>
            <w:tcW w:w="1387" w:type="dxa"/>
            <w:vAlign w:val="center"/>
          </w:tcPr>
          <w:p w14:paraId="01445169" w14:textId="77777777" w:rsidR="00BE32A7" w:rsidRPr="008B629F" w:rsidRDefault="00BE32A7" w:rsidP="00BE32A7">
            <w:pPr>
              <w:jc w:val="center"/>
              <w:rPr>
                <w:rFonts w:cs="Times New Roman"/>
                <w:sz w:val="20"/>
                <w:szCs w:val="20"/>
              </w:rPr>
            </w:pPr>
            <w:r w:rsidRPr="008B629F">
              <w:rPr>
                <w:rFonts w:cs="Times New Roman"/>
                <w:sz w:val="20"/>
                <w:szCs w:val="20"/>
              </w:rPr>
              <w:t>0.20</w:t>
            </w:r>
          </w:p>
        </w:tc>
      </w:tr>
      <w:tr w:rsidR="00BE32A7" w:rsidRPr="008B629F" w14:paraId="42439289" w14:textId="77777777" w:rsidTr="00BE32A7">
        <w:tc>
          <w:tcPr>
            <w:tcW w:w="2657" w:type="dxa"/>
            <w:vMerge/>
            <w:vAlign w:val="center"/>
          </w:tcPr>
          <w:p w14:paraId="08933F54" w14:textId="77777777" w:rsidR="00BE32A7" w:rsidRPr="008B629F" w:rsidRDefault="00BE32A7" w:rsidP="00BE32A7">
            <w:pPr>
              <w:jc w:val="center"/>
              <w:rPr>
                <w:rFonts w:cs="Times New Roman"/>
                <w:sz w:val="20"/>
                <w:szCs w:val="20"/>
              </w:rPr>
            </w:pPr>
          </w:p>
        </w:tc>
        <w:tc>
          <w:tcPr>
            <w:tcW w:w="1559" w:type="dxa"/>
            <w:vAlign w:val="center"/>
          </w:tcPr>
          <w:p w14:paraId="275362A2" w14:textId="4156463A" w:rsidR="00BE32A7" w:rsidRPr="008B629F" w:rsidRDefault="00BE32A7" w:rsidP="00732E1F">
            <w:pPr>
              <w:jc w:val="center"/>
              <w:rPr>
                <w:rFonts w:cs="Times New Roman"/>
                <w:sz w:val="20"/>
                <w:szCs w:val="20"/>
              </w:rPr>
            </w:pPr>
            <w:r w:rsidRPr="008B629F">
              <w:rPr>
                <w:rFonts w:cs="Times New Roman"/>
                <w:sz w:val="20"/>
                <w:szCs w:val="20"/>
              </w:rPr>
              <w:t>PCMCOOL-18 (org)</w:t>
            </w:r>
          </w:p>
        </w:tc>
        <w:tc>
          <w:tcPr>
            <w:tcW w:w="1700" w:type="dxa"/>
            <w:vAlign w:val="center"/>
          </w:tcPr>
          <w:p w14:paraId="44FB97BD" w14:textId="77777777" w:rsidR="00BE32A7" w:rsidRPr="008B629F" w:rsidRDefault="00BE32A7" w:rsidP="00BE32A7">
            <w:pPr>
              <w:jc w:val="center"/>
              <w:rPr>
                <w:rFonts w:cs="Times New Roman"/>
                <w:sz w:val="20"/>
                <w:szCs w:val="20"/>
              </w:rPr>
            </w:pPr>
            <w:r w:rsidRPr="008B629F">
              <w:rPr>
                <w:rFonts w:cs="Times New Roman"/>
                <w:sz w:val="20"/>
                <w:szCs w:val="20"/>
              </w:rPr>
              <w:t>18.0</w:t>
            </w:r>
          </w:p>
        </w:tc>
        <w:tc>
          <w:tcPr>
            <w:tcW w:w="1841" w:type="dxa"/>
            <w:vAlign w:val="center"/>
          </w:tcPr>
          <w:p w14:paraId="02F8F64F" w14:textId="77777777" w:rsidR="00BE32A7" w:rsidRPr="008B629F" w:rsidRDefault="00BE32A7" w:rsidP="00BE32A7">
            <w:pPr>
              <w:jc w:val="center"/>
              <w:rPr>
                <w:rFonts w:cs="Times New Roman"/>
                <w:sz w:val="20"/>
                <w:szCs w:val="20"/>
              </w:rPr>
            </w:pPr>
            <w:r w:rsidRPr="008B629F">
              <w:rPr>
                <w:rFonts w:cs="Times New Roman"/>
                <w:sz w:val="20"/>
                <w:szCs w:val="20"/>
              </w:rPr>
              <w:t>220.0</w:t>
            </w:r>
          </w:p>
        </w:tc>
        <w:tc>
          <w:tcPr>
            <w:tcW w:w="1387" w:type="dxa"/>
            <w:vAlign w:val="center"/>
          </w:tcPr>
          <w:p w14:paraId="240DD8D1" w14:textId="77777777" w:rsidR="00BE32A7" w:rsidRPr="008B629F" w:rsidRDefault="00BE32A7" w:rsidP="00BE32A7">
            <w:pPr>
              <w:keepNext/>
              <w:jc w:val="center"/>
              <w:rPr>
                <w:rFonts w:cs="Times New Roman"/>
                <w:sz w:val="20"/>
                <w:szCs w:val="20"/>
              </w:rPr>
            </w:pPr>
            <w:r w:rsidRPr="008B629F">
              <w:rPr>
                <w:rFonts w:cs="Times New Roman"/>
                <w:sz w:val="20"/>
                <w:szCs w:val="20"/>
              </w:rPr>
              <w:t>0.20</w:t>
            </w:r>
          </w:p>
        </w:tc>
      </w:tr>
    </w:tbl>
    <w:p w14:paraId="35595CA0" w14:textId="7A87D567" w:rsidR="008B629F" w:rsidRPr="008B629F" w:rsidRDefault="008B629F" w:rsidP="008B629F">
      <w:pPr>
        <w:pStyle w:val="Caption"/>
        <w:rPr>
          <w:rFonts w:cs="Times New Roman"/>
        </w:rPr>
      </w:pPr>
      <w:bookmarkStart w:id="147" w:name="_Toc214362641"/>
      <w:r w:rsidRPr="008B629F">
        <w:rPr>
          <w:rFonts w:cs="Times New Roman"/>
        </w:rPr>
        <w:t xml:space="preserve">Table </w:t>
      </w:r>
      <w:r w:rsidR="00F43E9A">
        <w:rPr>
          <w:rFonts w:cs="Times New Roman"/>
        </w:rPr>
        <w:fldChar w:fldCharType="begin"/>
      </w:r>
      <w:r w:rsidR="00F43E9A">
        <w:rPr>
          <w:rFonts w:cs="Times New Roman"/>
        </w:rPr>
        <w:instrText xml:space="preserve"> STYLEREF 1 \s </w:instrText>
      </w:r>
      <w:r w:rsidR="00F43E9A">
        <w:rPr>
          <w:rFonts w:cs="Times New Roman"/>
        </w:rPr>
        <w:fldChar w:fldCharType="separate"/>
      </w:r>
      <w:r w:rsidR="000412CE">
        <w:rPr>
          <w:rFonts w:cs="Times New Roman"/>
          <w:noProof/>
        </w:rPr>
        <w:t>2</w:t>
      </w:r>
      <w:r w:rsidR="00F43E9A">
        <w:rPr>
          <w:rFonts w:cs="Times New Roman"/>
        </w:rPr>
        <w:fldChar w:fldCharType="end"/>
      </w:r>
      <w:r w:rsidR="00F43E9A">
        <w:rPr>
          <w:rFonts w:cs="Times New Roman"/>
        </w:rPr>
        <w:t>.</w:t>
      </w:r>
      <w:r w:rsidR="00F43E9A">
        <w:rPr>
          <w:rFonts w:cs="Times New Roman"/>
        </w:rPr>
        <w:fldChar w:fldCharType="begin"/>
      </w:r>
      <w:r w:rsidR="00F43E9A">
        <w:rPr>
          <w:rFonts w:cs="Times New Roman"/>
        </w:rPr>
        <w:instrText xml:space="preserve"> SEQ Table \* ARABIC \s 1 </w:instrText>
      </w:r>
      <w:r w:rsidR="00F43E9A">
        <w:rPr>
          <w:rFonts w:cs="Times New Roman"/>
        </w:rPr>
        <w:fldChar w:fldCharType="separate"/>
      </w:r>
      <w:r w:rsidR="000412CE">
        <w:rPr>
          <w:rFonts w:cs="Times New Roman"/>
          <w:noProof/>
        </w:rPr>
        <w:t>13</w:t>
      </w:r>
      <w:r w:rsidR="00F43E9A">
        <w:rPr>
          <w:rFonts w:cs="Times New Roman"/>
        </w:rPr>
        <w:fldChar w:fldCharType="end"/>
      </w:r>
      <w:r w:rsidRPr="008B629F">
        <w:rPr>
          <w:rFonts w:cs="Times New Roman"/>
        </w:rPr>
        <w:t>. Phase-change properties of commercial cold-chain PCMs from Croda, Rubitherm, Axiotherm, and RGEES</w:t>
      </w:r>
      <w:r w:rsidR="00A165BA">
        <w:rPr>
          <w:rFonts w:cs="Times New Roman"/>
        </w:rPr>
        <w:t>.</w:t>
      </w:r>
      <w:bookmarkEnd w:id="147"/>
    </w:p>
    <w:p w14:paraId="40432B36" w14:textId="4FE4549E" w:rsidR="008B629F" w:rsidRPr="008B629F" w:rsidRDefault="008B629F" w:rsidP="00BE32A7">
      <w:pPr>
        <w:pStyle w:val="Heading3"/>
        <w:rPr>
          <w:lang w:val="en-US"/>
        </w:rPr>
      </w:pPr>
      <w:bookmarkStart w:id="148" w:name="_Toc213354086"/>
      <w:bookmarkStart w:id="149" w:name="_Toc214356305"/>
      <w:r w:rsidRPr="008B629F">
        <w:rPr>
          <w:lang w:val="en-US"/>
        </w:rPr>
        <w:t>Focus on the application of PCMs in the biomedical field</w:t>
      </w:r>
      <w:bookmarkEnd w:id="148"/>
      <w:bookmarkEnd w:id="149"/>
    </w:p>
    <w:p w14:paraId="6BDD7C39" w14:textId="0E53C3F8" w:rsidR="008B629F" w:rsidRPr="008B629F" w:rsidRDefault="008B629F" w:rsidP="008B629F">
      <w:pPr>
        <w:rPr>
          <w:rFonts w:cs="Times New Roman"/>
          <w:lang w:val="en-US"/>
        </w:rPr>
      </w:pPr>
      <w:r w:rsidRPr="008B629F">
        <w:rPr>
          <w:rFonts w:cs="Times New Roman"/>
          <w:lang w:val="en-US"/>
        </w:rPr>
        <w:t>In the review by</w:t>
      </w:r>
      <w:r w:rsidR="00BE32A7">
        <w:rPr>
          <w:rFonts w:cs="Times New Roman"/>
          <w:lang w:val="en-US"/>
        </w:rPr>
        <w:t xml:space="preserve"> Ma </w:t>
      </w:r>
      <w:r w:rsidRPr="008B629F">
        <w:rPr>
          <w:rFonts w:cs="Times New Roman"/>
          <w:lang w:val="en-US"/>
        </w:rPr>
        <w:t>et al. [1</w:t>
      </w:r>
      <w:r w:rsidR="00BE32A7">
        <w:rPr>
          <w:rFonts w:cs="Times New Roman"/>
          <w:lang w:val="en-US"/>
        </w:rPr>
        <w:t>6</w:t>
      </w:r>
      <w:r w:rsidRPr="008B629F">
        <w:rPr>
          <w:rFonts w:cs="Times New Roman"/>
          <w:lang w:val="en-US"/>
        </w:rPr>
        <w:t xml:space="preserve">7], a comprehensive overview is provided of the biomedical applications of PCMs, showing that precise thermal management is not only a logistics issue but can also be used as an actual therapeutic tool. First, the authors point out that most vaccines must be stored and transported at 2–8 °C, while a smaller group requires lower ranges (down to −20 °C), and some special vaccines, such as the Ebola vaccine, need ≤ −60 °C before dilution and 2–8 °C after dilution. In tropical or low-resource settings, cold-chain equipment based on PCMs has proven particularly useful because it can maintain stable temperatures without a continuous power supply, thus reducing both energy consumption and the risk of accidental vaccine freezing (which is still quite common: a significant fraction of vaccines, even in high-income countries, is exposed to temperatures below the recommended range). However, the authors note that there is still a gap below −35 °C, a temperature band that is becoming increasingly important for new-generation vaccines and therefore represents a clear direction for future research. The review then moves on to PCM applications in controlled drug delivery systems. Here, PCMs act as </w:t>
      </w:r>
      <w:r w:rsidR="004B352D" w:rsidRPr="008B629F">
        <w:rPr>
          <w:noProof/>
        </w:rPr>
        <mc:AlternateContent>
          <mc:Choice Requires="wps">
            <w:drawing>
              <wp:anchor distT="0" distB="0" distL="114300" distR="114300" simplePos="0" relativeHeight="251730944" behindDoc="0" locked="0" layoutInCell="1" allowOverlap="1" wp14:anchorId="796AF3E0" wp14:editId="3CBB61E2">
                <wp:simplePos x="0" y="0"/>
                <wp:positionH relativeFrom="margin">
                  <wp:align>right</wp:align>
                </wp:positionH>
                <wp:positionV relativeFrom="paragraph">
                  <wp:posOffset>1883410</wp:posOffset>
                </wp:positionV>
                <wp:extent cx="3009900" cy="635"/>
                <wp:effectExtent l="0" t="0" r="0" b="0"/>
                <wp:wrapSquare wrapText="bothSides"/>
                <wp:docPr id="1592677006" name="Text Box 1"/>
                <wp:cNvGraphicFramePr/>
                <a:graphic xmlns:a="http://schemas.openxmlformats.org/drawingml/2006/main">
                  <a:graphicData uri="http://schemas.microsoft.com/office/word/2010/wordprocessingShape">
                    <wps:wsp>
                      <wps:cNvSpPr txBox="1"/>
                      <wps:spPr>
                        <a:xfrm>
                          <a:off x="0" y="0"/>
                          <a:ext cx="3009900" cy="635"/>
                        </a:xfrm>
                        <a:prstGeom prst="rect">
                          <a:avLst/>
                        </a:prstGeom>
                        <a:solidFill>
                          <a:prstClr val="white"/>
                        </a:solidFill>
                        <a:ln>
                          <a:noFill/>
                        </a:ln>
                      </wps:spPr>
                      <wps:txbx>
                        <w:txbxContent>
                          <w:p w14:paraId="416729A7" w14:textId="5DCF422D" w:rsidR="008B629F" w:rsidRPr="001441EB" w:rsidRDefault="008B629F" w:rsidP="008B629F">
                            <w:pPr>
                              <w:pStyle w:val="Caption"/>
                              <w:rPr>
                                <w:rFonts w:ascii="Times New Roman" w:hAnsi="Times New Roman" w:cs="Times New Roman"/>
                                <w:szCs w:val="22"/>
                              </w:rPr>
                            </w:pPr>
                            <w:bookmarkStart w:id="150" w:name="_Toc214357747"/>
                            <w:r w:rsidRPr="001441EB">
                              <w:rPr>
                                <w:rFonts w:ascii="Times New Roman" w:hAnsi="Times New Roman" w:cs="Times New Roman"/>
                              </w:rPr>
                              <w:t xml:space="preserve">Figure </w:t>
                            </w:r>
                            <w:r w:rsidR="00F824A5">
                              <w:rPr>
                                <w:rFonts w:ascii="Times New Roman" w:hAnsi="Times New Roman" w:cs="Times New Roman"/>
                              </w:rPr>
                              <w:fldChar w:fldCharType="begin"/>
                            </w:r>
                            <w:r w:rsidR="00F824A5">
                              <w:rPr>
                                <w:rFonts w:ascii="Times New Roman" w:hAnsi="Times New Roman" w:cs="Times New Roman"/>
                              </w:rPr>
                              <w:instrText xml:space="preserve"> STYLEREF 1 \s </w:instrText>
                            </w:r>
                            <w:r w:rsidR="00F824A5">
                              <w:rPr>
                                <w:rFonts w:ascii="Times New Roman" w:hAnsi="Times New Roman" w:cs="Times New Roman"/>
                              </w:rPr>
                              <w:fldChar w:fldCharType="separate"/>
                            </w:r>
                            <w:r w:rsidR="000412CE">
                              <w:rPr>
                                <w:rFonts w:ascii="Times New Roman" w:hAnsi="Times New Roman" w:cs="Times New Roman"/>
                                <w:noProof/>
                              </w:rPr>
                              <w:t>2</w:t>
                            </w:r>
                            <w:r w:rsidR="00F824A5">
                              <w:rPr>
                                <w:rFonts w:ascii="Times New Roman" w:hAnsi="Times New Roman" w:cs="Times New Roman"/>
                              </w:rPr>
                              <w:fldChar w:fldCharType="end"/>
                            </w:r>
                            <w:r w:rsidR="00F824A5">
                              <w:rPr>
                                <w:rFonts w:ascii="Times New Roman" w:hAnsi="Times New Roman" w:cs="Times New Roman"/>
                              </w:rPr>
                              <w:t>.</w:t>
                            </w:r>
                            <w:r w:rsidR="00F824A5">
                              <w:rPr>
                                <w:rFonts w:ascii="Times New Roman" w:hAnsi="Times New Roman" w:cs="Times New Roman"/>
                              </w:rPr>
                              <w:fldChar w:fldCharType="begin"/>
                            </w:r>
                            <w:r w:rsidR="00F824A5">
                              <w:rPr>
                                <w:rFonts w:ascii="Times New Roman" w:hAnsi="Times New Roman" w:cs="Times New Roman"/>
                              </w:rPr>
                              <w:instrText xml:space="preserve"> SEQ Figure \* ARABIC \s 1 </w:instrText>
                            </w:r>
                            <w:r w:rsidR="00F824A5">
                              <w:rPr>
                                <w:rFonts w:ascii="Times New Roman" w:hAnsi="Times New Roman" w:cs="Times New Roman"/>
                              </w:rPr>
                              <w:fldChar w:fldCharType="separate"/>
                            </w:r>
                            <w:r w:rsidR="000412CE">
                              <w:rPr>
                                <w:rFonts w:ascii="Times New Roman" w:hAnsi="Times New Roman" w:cs="Times New Roman"/>
                                <w:noProof/>
                              </w:rPr>
                              <w:t>19</w:t>
                            </w:r>
                            <w:r w:rsidR="00F824A5">
                              <w:rPr>
                                <w:rFonts w:ascii="Times New Roman" w:hAnsi="Times New Roman" w:cs="Times New Roman"/>
                              </w:rPr>
                              <w:fldChar w:fldCharType="end"/>
                            </w:r>
                            <w:r w:rsidRPr="001441EB">
                              <w:rPr>
                                <w:rFonts w:ascii="Times New Roman" w:hAnsi="Times New Roman" w:cs="Times New Roman"/>
                              </w:rPr>
                              <w:t>. Vaccine cold storage equipment (reproduced from Oxford University Press, copyright 2018)</w:t>
                            </w:r>
                            <w:r w:rsidR="00D619A3">
                              <w:rPr>
                                <w:rFonts w:ascii="Times New Roman" w:hAnsi="Times New Roman" w:cs="Times New Roman"/>
                              </w:rPr>
                              <w:t xml:space="preserve"> [167]</w:t>
                            </w:r>
                            <w:r w:rsidRPr="001441EB">
                              <w:rPr>
                                <w:rFonts w:ascii="Times New Roman" w:hAnsi="Times New Roman" w:cs="Times New Roman"/>
                              </w:rPr>
                              <w:t>.</w:t>
                            </w:r>
                            <w:bookmarkEnd w:id="15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96AF3E0" id="_x0000_s1051" type="#_x0000_t202" style="position:absolute;left:0;text-align:left;margin-left:185.8pt;margin-top:148.3pt;width:237pt;height:.05pt;z-index:251730944;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" stroked="f">
                <v:textbox style="mso-fit-shape-to-text:t" inset="0,0,0,0">
                  <w:txbxContent>
                    <w:p w14:paraId="416729A7" w14:textId="5DCF422D" w:rsidR="008B629F" w:rsidRPr="001441EB" w:rsidRDefault="008B629F" w:rsidP="008B629F">
                      <w:pPr>
                        <w:pStyle w:val="Caption"/>
                        <w:rPr>
                          <w:rFonts w:ascii="Times New Roman" w:hAnsi="Times New Roman" w:cs="Times New Roman"/>
                          <w:szCs w:val="22"/>
                        </w:rPr>
                      </w:pPr>
                      <w:bookmarkStart w:id="151" w:name="_Toc214357747"/>
                      <w:r w:rsidRPr="001441EB">
                        <w:rPr>
                          <w:rFonts w:ascii="Times New Roman" w:hAnsi="Times New Roman" w:cs="Times New Roman"/>
                        </w:rPr>
                        <w:t xml:space="preserve">Figure </w:t>
                      </w:r>
                      <w:r w:rsidR="00F824A5">
                        <w:rPr>
                          <w:rFonts w:ascii="Times New Roman" w:hAnsi="Times New Roman" w:cs="Times New Roman"/>
                        </w:rPr>
                        <w:fldChar w:fldCharType="begin"/>
                      </w:r>
                      <w:r w:rsidR="00F824A5">
                        <w:rPr>
                          <w:rFonts w:ascii="Times New Roman" w:hAnsi="Times New Roman" w:cs="Times New Roman"/>
                        </w:rPr>
                        <w:instrText xml:space="preserve"> STYLEREF 1 \s </w:instrText>
                      </w:r>
                      <w:r w:rsidR="00F824A5">
                        <w:rPr>
                          <w:rFonts w:ascii="Times New Roman" w:hAnsi="Times New Roman" w:cs="Times New Roman"/>
                        </w:rPr>
                        <w:fldChar w:fldCharType="separate"/>
                      </w:r>
                      <w:r w:rsidR="000412CE">
                        <w:rPr>
                          <w:rFonts w:ascii="Times New Roman" w:hAnsi="Times New Roman" w:cs="Times New Roman"/>
                          <w:noProof/>
                        </w:rPr>
                        <w:t>2</w:t>
                      </w:r>
                      <w:r w:rsidR="00F824A5">
                        <w:rPr>
                          <w:rFonts w:ascii="Times New Roman" w:hAnsi="Times New Roman" w:cs="Times New Roman"/>
                        </w:rPr>
                        <w:fldChar w:fldCharType="end"/>
                      </w:r>
                      <w:r w:rsidR="00F824A5">
                        <w:rPr>
                          <w:rFonts w:ascii="Times New Roman" w:hAnsi="Times New Roman" w:cs="Times New Roman"/>
                        </w:rPr>
                        <w:t>.</w:t>
                      </w:r>
                      <w:r w:rsidR="00F824A5">
                        <w:rPr>
                          <w:rFonts w:ascii="Times New Roman" w:hAnsi="Times New Roman" w:cs="Times New Roman"/>
                        </w:rPr>
                        <w:fldChar w:fldCharType="begin"/>
                      </w:r>
                      <w:r w:rsidR="00F824A5">
                        <w:rPr>
                          <w:rFonts w:ascii="Times New Roman" w:hAnsi="Times New Roman" w:cs="Times New Roman"/>
                        </w:rPr>
                        <w:instrText xml:space="preserve"> SEQ Figure \* ARABIC \s 1 </w:instrText>
                      </w:r>
                      <w:r w:rsidR="00F824A5">
                        <w:rPr>
                          <w:rFonts w:ascii="Times New Roman" w:hAnsi="Times New Roman" w:cs="Times New Roman"/>
                        </w:rPr>
                        <w:fldChar w:fldCharType="separate"/>
                      </w:r>
                      <w:r w:rsidR="000412CE">
                        <w:rPr>
                          <w:rFonts w:ascii="Times New Roman" w:hAnsi="Times New Roman" w:cs="Times New Roman"/>
                          <w:noProof/>
                        </w:rPr>
                        <w:t>19</w:t>
                      </w:r>
                      <w:r w:rsidR="00F824A5">
                        <w:rPr>
                          <w:rFonts w:ascii="Times New Roman" w:hAnsi="Times New Roman" w:cs="Times New Roman"/>
                        </w:rPr>
                        <w:fldChar w:fldCharType="end"/>
                      </w:r>
                      <w:r w:rsidRPr="001441EB">
                        <w:rPr>
                          <w:rFonts w:ascii="Times New Roman" w:hAnsi="Times New Roman" w:cs="Times New Roman"/>
                        </w:rPr>
                        <w:t>. Vaccine cold storage equipment (reproduced from Oxford University Press, copyright 2018)</w:t>
                      </w:r>
                      <w:r w:rsidR="00D619A3">
                        <w:rPr>
                          <w:rFonts w:ascii="Times New Roman" w:hAnsi="Times New Roman" w:cs="Times New Roman"/>
                        </w:rPr>
                        <w:t xml:space="preserve"> [167]</w:t>
                      </w:r>
                      <w:r w:rsidRPr="001441EB">
                        <w:rPr>
                          <w:rFonts w:ascii="Times New Roman" w:hAnsi="Times New Roman" w:cs="Times New Roman"/>
                        </w:rPr>
                        <w:t>.</w:t>
                      </w:r>
                      <w:bookmarkEnd w:id="151"/>
                    </w:p>
                  </w:txbxContent>
                </v:textbox>
                <w10:wrap type="square" anchorx="margin"/>
              </v:shape>
            </w:pict>
          </mc:Fallback>
        </mc:AlternateContent>
      </w:r>
      <w:r w:rsidRPr="008B629F">
        <w:rPr>
          <w:rFonts w:cs="Times New Roman"/>
          <w:lang w:val="en-US"/>
        </w:rPr>
        <w:t xml:space="preserve">actual thermal switches: the drug </w:t>
      </w:r>
      <w:r w:rsidRPr="008B629F">
        <w:rPr>
          <w:rFonts w:cs="Times New Roman"/>
          <w:noProof/>
          <w:lang w:val="nb-NO"/>
        </w:rPr>
        <w:drawing>
          <wp:anchor distT="0" distB="0" distL="114300" distR="114300" simplePos="0" relativeHeight="251723776" behindDoc="0" locked="0" layoutInCell="1" allowOverlap="1" wp14:anchorId="786FC010" wp14:editId="7228250A">
            <wp:simplePos x="0" y="0"/>
            <wp:positionH relativeFrom="margin">
              <wp:align>right</wp:align>
            </wp:positionH>
            <wp:positionV relativeFrom="paragraph">
              <wp:posOffset>35923</wp:posOffset>
            </wp:positionV>
            <wp:extent cx="3010320" cy="1790950"/>
            <wp:effectExtent l="0" t="0" r="0" b="0"/>
            <wp:wrapSquare wrapText="bothSides"/>
            <wp:docPr id="1452205431" name="Immagine 1" descr="Immagine che contiene scatola, plastica, contenito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2205431" name="Immagine 1" descr="Immagine che contiene scatola, plastica, contenitore&#10;&#10;Il contenuto generato dall'IA potrebbe non essere corretto."/>
                    <pic:cNvPicPr/>
                  </pic:nvPicPr>
                  <pic:blipFill>
                    <a:blip r:embed="rId137">
                      <a:extLst>
                        <a:ext uri="{28A0092B-C50C-407E-A947-70E740481C1C}">
                          <a14:useLocalDpi xmlns:a14="http://schemas.microsoft.com/office/drawing/2010/main" val="0"/>
                        </a:ext>
                      </a:extLst>
                    </a:blip>
                    <a:stretch>
                      <a:fillRect/>
                    </a:stretch>
                  </pic:blipFill>
                  <pic:spPr>
                    <a:xfrm>
                      <a:off x="0" y="0"/>
                      <a:ext cx="3010320" cy="1790950"/>
                    </a:xfrm>
                    <a:prstGeom prst="rect">
                      <a:avLst/>
                    </a:prstGeom>
                  </pic:spPr>
                </pic:pic>
              </a:graphicData>
            </a:graphic>
          </wp:anchor>
        </w:drawing>
      </w:r>
      <w:r w:rsidRPr="008B629F">
        <w:rPr>
          <w:rFonts w:cs="Times New Roman"/>
          <w:lang w:val="en-US"/>
        </w:rPr>
        <w:t>is embedded in a carrier that remains closed as long as the PCM is in the solid state; when the PCM melts (because the local temperature has reached a preset value, often induced by NIR light, a magnetic field, or local hyperthermia), the system “opens” and the drug is released. This approach is especially interesting for localized and on-demand therapies, for example, in oncology (combined chemo–thermotherapy), because it allows release of the active agent only in the heated area, reducing systemic toxicity. The main limitations highlighted</w:t>
      </w:r>
      <w:r w:rsidR="004B352D">
        <w:rPr>
          <w:rFonts w:cs="Times New Roman"/>
          <w:lang w:val="en-US"/>
        </w:rPr>
        <w:t xml:space="preserve"> </w:t>
      </w:r>
      <w:r w:rsidRPr="008B629F">
        <w:rPr>
          <w:rFonts w:cs="Times New Roman"/>
          <w:lang w:val="en-US"/>
        </w:rPr>
        <w:t xml:space="preserve">are the low thermal conductivity of organic PCMs (which slows the response), the risk of burst release when the material crystallizes, and the limited penetration depth of external activation methods — which is why many of these systems are still closer to proof-of-concept than to clinical application. Another area addressed is thermotherapy and cryotherapy. Many medical procedures must stay for a certain time within a very </w:t>
      </w:r>
      <w:r w:rsidRPr="008B629F">
        <w:rPr>
          <w:rFonts w:cs="Times New Roman"/>
          <w:lang w:val="en-US"/>
        </w:rPr>
        <w:lastRenderedPageBreak/>
        <w:t xml:space="preserve">narrow temperature window (e.g., 40–42 °C for hyperthermia, or 10–15 °C for therapeutic cooling): PCMs are ideal for this because, during phase change, they can keep the temperature almost constant. This leads to applications in wearable or portable devices: warming masks for ENT or dermatological use, heating pads for skin ulcers, cooling caps or bands for pediatric patients, and PCM-based mats for controlled hypothermia/cooling in neonates. The advantage is that you get a stable, repeatable effect without bulky refrigeration equipment, making home or low-resource use feasible. Finally, </w:t>
      </w:r>
      <w:r w:rsidR="004B352D">
        <w:rPr>
          <w:rFonts w:cs="Times New Roman"/>
          <w:lang w:val="en-US"/>
        </w:rPr>
        <w:t xml:space="preserve">it has </w:t>
      </w:r>
      <w:r w:rsidRPr="008B629F">
        <w:rPr>
          <w:rFonts w:cs="Times New Roman"/>
          <w:lang w:val="en-US"/>
        </w:rPr>
        <w:t>describe</w:t>
      </w:r>
      <w:r w:rsidR="004B352D">
        <w:rPr>
          <w:rFonts w:cs="Times New Roman"/>
          <w:lang w:val="en-US"/>
        </w:rPr>
        <w:t>d</w:t>
      </w:r>
      <w:r w:rsidRPr="008B629F">
        <w:rPr>
          <w:rFonts w:cs="Times New Roman"/>
          <w:lang w:val="en-US"/>
        </w:rPr>
        <w:t xml:space="preserve"> the use of PCMs in smart dressings and biomedical devices. The idea is that wound healing is improved when the tissue is kept in a stable thermal microenvironment; by incorporating PCMs into gauzes, films, or hydrogels (also as microcapsules), it is possible to dampen temperature fluctuations and, when fatty-acid-based or hybrid systems are used, to add an antibacterial function. The remaining challenges concern leakage of the liquid phase, supercooling, and the need to make the microcapsule shells both biocompatible and functional.</w:t>
      </w:r>
    </w:p>
    <w:p w14:paraId="2AF38D18" w14:textId="5ADFFCA8" w:rsidR="008B629F" w:rsidRPr="008B629F" w:rsidRDefault="008B629F" w:rsidP="004B352D">
      <w:pPr>
        <w:pStyle w:val="Heading3"/>
        <w:rPr>
          <w:lang w:val="en-US"/>
        </w:rPr>
      </w:pPr>
      <w:bookmarkStart w:id="152" w:name="_Toc213354087"/>
      <w:bookmarkStart w:id="153" w:name="_Toc214356306"/>
      <w:r w:rsidRPr="008B629F">
        <w:rPr>
          <w:lang w:val="en-US"/>
        </w:rPr>
        <w:t>Environmental analysis impact</w:t>
      </w:r>
      <w:bookmarkEnd w:id="152"/>
      <w:bookmarkEnd w:id="153"/>
    </w:p>
    <w:p w14:paraId="5C78AB42" w14:textId="2C653580" w:rsidR="008B629F" w:rsidRPr="008B629F" w:rsidRDefault="008B629F" w:rsidP="008B629F">
      <w:pPr>
        <w:rPr>
          <w:rFonts w:cs="Times New Roman"/>
          <w:lang w:val="en-US"/>
        </w:rPr>
      </w:pPr>
      <w:r w:rsidRPr="008B629F">
        <w:rPr>
          <w:rFonts w:cs="Times New Roman"/>
          <w:lang w:val="en-US"/>
        </w:rPr>
        <w:t xml:space="preserve">Chen et al </w:t>
      </w:r>
      <w:sdt>
        <w:sdtPr>
          <w:rPr>
            <w:rFonts w:cs="Times New Roman"/>
            <w:lang w:val="en-US"/>
          </w:rPr>
          <w:id w:val="366260848"/>
          <w:citation/>
        </w:sdtPr>
        <w:sdtContent>
          <w:r w:rsidR="00BE32A7">
            <w:rPr>
              <w:rFonts w:cs="Times New Roman"/>
              <w:lang w:val="en-US"/>
            </w:rPr>
            <w:fldChar w:fldCharType="begin"/>
          </w:r>
          <w:r w:rsidR="00BE32A7" w:rsidRPr="00BE32A7">
            <w:rPr>
              <w:rFonts w:cs="Times New Roman"/>
              <w:lang w:val="en-US"/>
            </w:rPr>
            <w:instrText xml:space="preserve"> CITATION Placeholder178 \l 1040 </w:instrText>
          </w:r>
          <w:r w:rsidR="00BE32A7">
            <w:rPr>
              <w:rFonts w:cs="Times New Roman"/>
              <w:lang w:val="en-US"/>
            </w:rPr>
            <w:fldChar w:fldCharType="separate"/>
          </w:r>
          <w:r w:rsidR="00855396" w:rsidRPr="00855396">
            <w:rPr>
              <w:rFonts w:cs="Times New Roman"/>
              <w:noProof/>
              <w:lang w:val="en-US"/>
            </w:rPr>
            <w:t>[161]</w:t>
          </w:r>
          <w:r w:rsidR="00BE32A7">
            <w:rPr>
              <w:rFonts w:cs="Times New Roman"/>
              <w:lang w:val="en-US"/>
            </w:rPr>
            <w:fldChar w:fldCharType="end"/>
          </w:r>
        </w:sdtContent>
      </w:sdt>
      <w:r w:rsidRPr="008B629F">
        <w:rPr>
          <w:rFonts w:cs="Times New Roman"/>
          <w:lang w:val="en-US"/>
        </w:rPr>
        <w:t xml:space="preserve"> point out that reducing emissions in cold chain transportation must start from real operating data: Yang et al. </w:t>
      </w:r>
      <w:sdt>
        <w:sdtPr>
          <w:rPr>
            <w:rFonts w:cs="Times New Roman"/>
            <w:lang w:val="en-US"/>
          </w:rPr>
          <w:id w:val="-1764449816"/>
          <w:citation/>
        </w:sdtPr>
        <w:sdtContent>
          <w:r w:rsidR="004B352D">
            <w:rPr>
              <w:rFonts w:cs="Times New Roman"/>
              <w:lang w:val="en-US"/>
            </w:rPr>
            <w:fldChar w:fldCharType="begin"/>
          </w:r>
          <w:r w:rsidR="004B352D" w:rsidRPr="00625AD6">
            <w:rPr>
              <w:rFonts w:cs="Times New Roman"/>
              <w:lang w:val="en-US"/>
            </w:rPr>
            <w:instrText xml:space="preserve"> CITATION Placeholder179 \l 1040 </w:instrText>
          </w:r>
          <w:r w:rsidR="004B352D">
            <w:rPr>
              <w:rFonts w:cs="Times New Roman"/>
              <w:lang w:val="en-US"/>
            </w:rPr>
            <w:fldChar w:fldCharType="separate"/>
          </w:r>
          <w:r w:rsidR="00855396" w:rsidRPr="00855396">
            <w:rPr>
              <w:rFonts w:cs="Times New Roman"/>
              <w:noProof/>
              <w:lang w:val="en-US"/>
            </w:rPr>
            <w:t>[162]</w:t>
          </w:r>
          <w:r w:rsidR="004B352D">
            <w:rPr>
              <w:rFonts w:cs="Times New Roman"/>
              <w:lang w:val="en-US"/>
            </w:rPr>
            <w:fldChar w:fldCharType="end"/>
          </w:r>
        </w:sdtContent>
      </w:sdt>
      <w:r w:rsidR="004B352D">
        <w:rPr>
          <w:rFonts w:cs="Times New Roman"/>
          <w:lang w:val="en-US"/>
        </w:rPr>
        <w:t xml:space="preserve"> </w:t>
      </w:r>
      <w:r w:rsidRPr="008B629F">
        <w:rPr>
          <w:rFonts w:cs="Times New Roman"/>
          <w:lang w:val="en-US"/>
        </w:rPr>
        <w:t xml:space="preserve">showed that refrigerated trucks emit about 15% more CO₂ than standard vehicles and that the refrigeration load is the main cause of this excess (≈ +74%). This effect increases with higher ambient temperatures and with frequent door openings/stops. To identify where to intervene, Life Cycle Assessment (LCA) is used, following the general approach of Finnveden </w:t>
      </w:r>
      <w:sdt>
        <w:sdtPr>
          <w:rPr>
            <w:rFonts w:cs="Times New Roman"/>
            <w:lang w:val="en-US"/>
          </w:rPr>
          <w:id w:val="-641273098"/>
          <w:citation/>
        </w:sdtPr>
        <w:sdtContent>
          <w:r w:rsidR="004B352D">
            <w:rPr>
              <w:rFonts w:cs="Times New Roman"/>
              <w:lang w:val="en-US"/>
            </w:rPr>
            <w:fldChar w:fldCharType="begin"/>
          </w:r>
          <w:r w:rsidR="004B352D" w:rsidRPr="004B352D">
            <w:rPr>
              <w:rFonts w:cs="Times New Roman"/>
              <w:lang w:val="en-US"/>
            </w:rPr>
            <w:instrText xml:space="preserve"> CITATION Placeholder180 \l 1040 </w:instrText>
          </w:r>
          <w:r w:rsidR="004B352D">
            <w:rPr>
              <w:rFonts w:cs="Times New Roman"/>
              <w:lang w:val="en-US"/>
            </w:rPr>
            <w:fldChar w:fldCharType="separate"/>
          </w:r>
          <w:r w:rsidR="00855396" w:rsidRPr="00855396">
            <w:rPr>
              <w:rFonts w:cs="Times New Roman"/>
              <w:noProof/>
              <w:lang w:val="en-US"/>
            </w:rPr>
            <w:t>[163]</w:t>
          </w:r>
          <w:r w:rsidR="004B352D">
            <w:rPr>
              <w:rFonts w:cs="Times New Roman"/>
              <w:lang w:val="en-US"/>
            </w:rPr>
            <w:fldChar w:fldCharType="end"/>
          </w:r>
        </w:sdtContent>
      </w:sdt>
      <w:r w:rsidR="004B352D">
        <w:rPr>
          <w:rFonts w:cs="Times New Roman"/>
          <w:lang w:val="en-US"/>
        </w:rPr>
        <w:t xml:space="preserve"> </w:t>
      </w:r>
      <w:r w:rsidRPr="008B629F">
        <w:rPr>
          <w:rFonts w:cs="Times New Roman"/>
          <w:lang w:val="en-US"/>
        </w:rPr>
        <w:t xml:space="preserve">and, when applied to refrigerated vehicles, Hoang et al. </w:t>
      </w:r>
      <w:sdt>
        <w:sdtPr>
          <w:rPr>
            <w:rFonts w:cs="Times New Roman"/>
            <w:lang w:val="en-US"/>
          </w:rPr>
          <w:id w:val="-1388339331"/>
          <w:citation/>
        </w:sdtPr>
        <w:sdtContent>
          <w:r w:rsidR="004B352D">
            <w:rPr>
              <w:rFonts w:cs="Times New Roman"/>
              <w:lang w:val="en-US"/>
            </w:rPr>
            <w:fldChar w:fldCharType="begin"/>
          </w:r>
          <w:r w:rsidR="004B352D" w:rsidRPr="00625AD6">
            <w:rPr>
              <w:rFonts w:cs="Times New Roman"/>
              <w:lang w:val="en-US"/>
            </w:rPr>
            <w:instrText xml:space="preserve"> CITATION Placeholder181 \l 1040 </w:instrText>
          </w:r>
          <w:r w:rsidR="004B352D">
            <w:rPr>
              <w:rFonts w:cs="Times New Roman"/>
              <w:lang w:val="en-US"/>
            </w:rPr>
            <w:fldChar w:fldCharType="separate"/>
          </w:r>
          <w:r w:rsidR="00855396" w:rsidRPr="00855396">
            <w:rPr>
              <w:rFonts w:cs="Times New Roman"/>
              <w:noProof/>
              <w:lang w:val="en-US"/>
            </w:rPr>
            <w:t>[164]</w:t>
          </w:r>
          <w:r w:rsidR="004B352D">
            <w:rPr>
              <w:rFonts w:cs="Times New Roman"/>
              <w:lang w:val="en-US"/>
            </w:rPr>
            <w:fldChar w:fldCharType="end"/>
          </w:r>
        </w:sdtContent>
      </w:sdt>
      <w:r w:rsidRPr="008B629F">
        <w:rPr>
          <w:rFonts w:cs="Times New Roman"/>
          <w:lang w:val="en-US"/>
        </w:rPr>
        <w:t xml:space="preserve"> showed, for example, that switching from a “refrigerated” to a “superchilled” supply chain for salmon can reduce environmental impacts by about 18%. The clearest result comes from Wu et al. </w:t>
      </w:r>
      <w:sdt>
        <w:sdtPr>
          <w:rPr>
            <w:rFonts w:cs="Times New Roman"/>
            <w:lang w:val="en-US"/>
          </w:rPr>
          <w:id w:val="-1445925376"/>
          <w:citation/>
        </w:sdtPr>
        <w:sdtContent>
          <w:r w:rsidR="004B352D">
            <w:rPr>
              <w:rFonts w:cs="Times New Roman"/>
              <w:lang w:val="en-US"/>
            </w:rPr>
            <w:fldChar w:fldCharType="begin"/>
          </w:r>
          <w:r w:rsidR="004B352D" w:rsidRPr="00625AD6">
            <w:rPr>
              <w:rFonts w:cs="Times New Roman"/>
              <w:lang w:val="en-US"/>
            </w:rPr>
            <w:instrText xml:space="preserve"> CITATION Placeholder182 \l 1040 </w:instrText>
          </w:r>
          <w:r w:rsidR="004B352D">
            <w:rPr>
              <w:rFonts w:cs="Times New Roman"/>
              <w:lang w:val="en-US"/>
            </w:rPr>
            <w:fldChar w:fldCharType="separate"/>
          </w:r>
          <w:r w:rsidR="00855396" w:rsidRPr="00855396">
            <w:rPr>
              <w:rFonts w:cs="Times New Roman"/>
              <w:noProof/>
              <w:lang w:val="en-US"/>
            </w:rPr>
            <w:t>[165]</w:t>
          </w:r>
          <w:r w:rsidR="004B352D">
            <w:rPr>
              <w:rFonts w:cs="Times New Roman"/>
              <w:lang w:val="en-US"/>
            </w:rPr>
            <w:fldChar w:fldCharType="end"/>
          </w:r>
        </w:sdtContent>
      </w:sdt>
      <w:r w:rsidRPr="008B629F">
        <w:rPr>
          <w:rFonts w:cs="Times New Roman"/>
          <w:lang w:val="en-US"/>
        </w:rPr>
        <w:t xml:space="preserve"> who demonstrated that, for Chinese refrigerated trucks, 96% of CO₂ emissions come from the use phase, and that without technological improvements</w:t>
      </w:r>
      <w:r w:rsidR="00732E1F">
        <w:rPr>
          <w:rFonts w:cs="Times New Roman"/>
          <w:lang w:val="en-US"/>
        </w:rPr>
        <w:t>,</w:t>
      </w:r>
      <w:r w:rsidRPr="008B629F">
        <w:rPr>
          <w:rFonts w:cs="Times New Roman"/>
          <w:lang w:val="en-US"/>
        </w:rPr>
        <w:t xml:space="preserve"> the sector would grow sharply. From here, three intervention lines are proposed.</w:t>
      </w:r>
    </w:p>
    <w:p w14:paraId="1C4EDF24" w14:textId="2B8818B0" w:rsidR="008B629F" w:rsidRPr="008B629F" w:rsidRDefault="008B629F" w:rsidP="008B629F">
      <w:pPr>
        <w:rPr>
          <w:rFonts w:cs="Times New Roman"/>
          <w:lang w:val="en-US"/>
        </w:rPr>
      </w:pPr>
      <w:r w:rsidRPr="008B629F">
        <w:rPr>
          <w:rFonts w:cs="Times New Roman"/>
          <w:i/>
          <w:iCs/>
          <w:u w:val="single"/>
          <w:lang w:val="en-US"/>
        </w:rPr>
        <w:t>Refrigerant control</w:t>
      </w:r>
      <w:r w:rsidRPr="008B629F">
        <w:rPr>
          <w:rFonts w:cs="Times New Roman"/>
          <w:lang w:val="en-US"/>
        </w:rPr>
        <w:t xml:space="preserve">. As Koronaki et al. </w:t>
      </w:r>
      <w:sdt>
        <w:sdtPr>
          <w:rPr>
            <w:rFonts w:cs="Times New Roman"/>
            <w:lang w:val="en-US"/>
          </w:rPr>
          <w:id w:val="1668277253"/>
          <w:citation/>
        </w:sdtPr>
        <w:sdtContent>
          <w:r w:rsidR="004B352D">
            <w:rPr>
              <w:rFonts w:cs="Times New Roman"/>
              <w:lang w:val="en-US"/>
            </w:rPr>
            <w:fldChar w:fldCharType="begin"/>
          </w:r>
          <w:r w:rsidR="004B352D" w:rsidRPr="00625AD6">
            <w:rPr>
              <w:rFonts w:cs="Times New Roman"/>
              <w:lang w:val="en-US"/>
            </w:rPr>
            <w:instrText xml:space="preserve"> CITATION Placeholder183 \l 1040 </w:instrText>
          </w:r>
          <w:r w:rsidR="004B352D">
            <w:rPr>
              <w:rFonts w:cs="Times New Roman"/>
              <w:lang w:val="en-US"/>
            </w:rPr>
            <w:fldChar w:fldCharType="separate"/>
          </w:r>
          <w:r w:rsidR="00855396" w:rsidRPr="00855396">
            <w:rPr>
              <w:rFonts w:cs="Times New Roman"/>
              <w:noProof/>
              <w:lang w:val="en-US"/>
            </w:rPr>
            <w:t>[166]</w:t>
          </w:r>
          <w:r w:rsidR="004B352D">
            <w:rPr>
              <w:rFonts w:cs="Times New Roman"/>
              <w:lang w:val="en-US"/>
            </w:rPr>
            <w:fldChar w:fldCharType="end"/>
          </w:r>
        </w:sdtContent>
      </w:sdt>
      <w:r w:rsidR="004B352D">
        <w:rPr>
          <w:rFonts w:cs="Times New Roman"/>
          <w:lang w:val="en-US"/>
        </w:rPr>
        <w:t xml:space="preserve"> </w:t>
      </w:r>
      <w:r w:rsidRPr="008B629F">
        <w:rPr>
          <w:rFonts w:cs="Times New Roman"/>
          <w:lang w:val="en-US"/>
        </w:rPr>
        <w:t xml:space="preserve">explain, refrigerant leaks have a double effect: they increase energy consumption and release high-GWP fluids into the atmosphere. Stellingwerf et al. </w:t>
      </w:r>
      <w:sdt>
        <w:sdtPr>
          <w:rPr>
            <w:rFonts w:cs="Times New Roman"/>
            <w:lang w:val="en-US"/>
          </w:rPr>
          <w:id w:val="-414245407"/>
          <w:citation/>
        </w:sdtPr>
        <w:sdtContent>
          <w:r w:rsidR="004B352D">
            <w:rPr>
              <w:rFonts w:cs="Times New Roman"/>
              <w:lang w:val="en-US"/>
            </w:rPr>
            <w:fldChar w:fldCharType="begin"/>
          </w:r>
          <w:r w:rsidR="004B352D" w:rsidRPr="00625AD6">
            <w:rPr>
              <w:rFonts w:cs="Times New Roman"/>
              <w:lang w:val="en-US"/>
            </w:rPr>
            <w:instrText xml:space="preserve"> CITATION Placeholder184 \l 1040 </w:instrText>
          </w:r>
          <w:r w:rsidR="004B352D">
            <w:rPr>
              <w:rFonts w:cs="Times New Roman"/>
              <w:lang w:val="en-US"/>
            </w:rPr>
            <w:fldChar w:fldCharType="separate"/>
          </w:r>
          <w:r w:rsidR="00855396" w:rsidRPr="00855396">
            <w:rPr>
              <w:rFonts w:cs="Times New Roman"/>
              <w:noProof/>
              <w:lang w:val="en-US"/>
            </w:rPr>
            <w:t>[167]</w:t>
          </w:r>
          <w:r w:rsidR="004B352D">
            <w:rPr>
              <w:rFonts w:cs="Times New Roman"/>
              <w:lang w:val="en-US"/>
            </w:rPr>
            <w:fldChar w:fldCharType="end"/>
          </w:r>
        </w:sdtContent>
      </w:sdt>
      <w:r w:rsidRPr="008B629F">
        <w:rPr>
          <w:rFonts w:cs="Times New Roman"/>
          <w:lang w:val="en-US"/>
        </w:rPr>
        <w:t xml:space="preserve"> estimate that about 40% of emissions in refrigerated transport come from the combination of fuel consumption and refrigerant leakage. Wu et al. </w:t>
      </w:r>
      <w:sdt>
        <w:sdtPr>
          <w:rPr>
            <w:rFonts w:cs="Times New Roman"/>
            <w:lang w:val="en-US"/>
          </w:rPr>
          <w:id w:val="-1737464987"/>
          <w:citation/>
        </w:sdtPr>
        <w:sdtContent>
          <w:r w:rsidR="004B352D">
            <w:rPr>
              <w:rFonts w:cs="Times New Roman"/>
              <w:lang w:val="en-US"/>
            </w:rPr>
            <w:fldChar w:fldCharType="begin"/>
          </w:r>
          <w:r w:rsidR="004B352D" w:rsidRPr="00625AD6">
            <w:rPr>
              <w:rFonts w:cs="Times New Roman"/>
              <w:lang w:val="en-US"/>
            </w:rPr>
            <w:instrText xml:space="preserve"> CITATION Placeholder185 \l 1040 </w:instrText>
          </w:r>
          <w:r w:rsidR="004B352D">
            <w:rPr>
              <w:rFonts w:cs="Times New Roman"/>
              <w:lang w:val="en-US"/>
            </w:rPr>
            <w:fldChar w:fldCharType="separate"/>
          </w:r>
          <w:r w:rsidR="00855396" w:rsidRPr="00855396">
            <w:rPr>
              <w:rFonts w:cs="Times New Roman"/>
              <w:noProof/>
              <w:lang w:val="en-US"/>
            </w:rPr>
            <w:t>[168]</w:t>
          </w:r>
          <w:r w:rsidR="004B352D">
            <w:rPr>
              <w:rFonts w:cs="Times New Roman"/>
              <w:lang w:val="en-US"/>
            </w:rPr>
            <w:fldChar w:fldCharType="end"/>
          </w:r>
        </w:sdtContent>
      </w:sdt>
      <w:r w:rsidR="004B352D">
        <w:rPr>
          <w:rFonts w:cs="Times New Roman"/>
          <w:lang w:val="en-US"/>
        </w:rPr>
        <w:t xml:space="preserve"> </w:t>
      </w:r>
      <w:r w:rsidRPr="008B629F">
        <w:rPr>
          <w:rFonts w:cs="Times New Roman"/>
          <w:lang w:val="en-US"/>
        </w:rPr>
        <w:t>add that, if a ground-charged PCM-based system (PCCSS) is used, emissions from refrigerant leakage decrease further because the refrigeration circuit is no longer mounted on the vehicle.</w:t>
      </w:r>
    </w:p>
    <w:p w14:paraId="18D32B97" w14:textId="51299875" w:rsidR="008B629F" w:rsidRPr="008B629F" w:rsidRDefault="008B629F" w:rsidP="008B629F">
      <w:pPr>
        <w:rPr>
          <w:rFonts w:cs="Times New Roman"/>
          <w:lang w:val="en-US"/>
        </w:rPr>
      </w:pPr>
      <w:r w:rsidRPr="008B629F">
        <w:rPr>
          <w:rFonts w:cs="Times New Roman"/>
          <w:i/>
          <w:iCs/>
          <w:u w:val="single"/>
          <w:lang w:val="en-US"/>
        </w:rPr>
        <w:t>Improving truck energy efficiency</w:t>
      </w:r>
      <w:r w:rsidRPr="008B629F">
        <w:rPr>
          <w:rFonts w:cs="Times New Roman"/>
          <w:lang w:val="en-US"/>
        </w:rPr>
        <w:t xml:space="preserve">. On the technological side, Song et al. </w:t>
      </w:r>
      <w:sdt>
        <w:sdtPr>
          <w:rPr>
            <w:rFonts w:cs="Times New Roman"/>
            <w:lang w:val="en-US"/>
          </w:rPr>
          <w:id w:val="-732697603"/>
          <w:citation/>
        </w:sdtPr>
        <w:sdtContent>
          <w:r w:rsidR="004B352D">
            <w:rPr>
              <w:rFonts w:cs="Times New Roman"/>
              <w:lang w:val="en-US"/>
            </w:rPr>
            <w:fldChar w:fldCharType="begin"/>
          </w:r>
          <w:r w:rsidR="004B352D" w:rsidRPr="00625AD6">
            <w:rPr>
              <w:rFonts w:cs="Times New Roman"/>
              <w:lang w:val="en-US"/>
            </w:rPr>
            <w:instrText xml:space="preserve"> CITATION Placeholder186 \l 1040 </w:instrText>
          </w:r>
          <w:r w:rsidR="004B352D">
            <w:rPr>
              <w:rFonts w:cs="Times New Roman"/>
              <w:lang w:val="en-US"/>
            </w:rPr>
            <w:fldChar w:fldCharType="separate"/>
          </w:r>
          <w:r w:rsidR="00855396" w:rsidRPr="00855396">
            <w:rPr>
              <w:rFonts w:cs="Times New Roman"/>
              <w:noProof/>
              <w:lang w:val="en-US"/>
            </w:rPr>
            <w:t>[169]</w:t>
          </w:r>
          <w:r w:rsidR="004B352D">
            <w:rPr>
              <w:rFonts w:cs="Times New Roman"/>
              <w:lang w:val="en-US"/>
            </w:rPr>
            <w:fldChar w:fldCharType="end"/>
          </w:r>
        </w:sdtContent>
      </w:sdt>
      <w:r w:rsidR="004B352D">
        <w:rPr>
          <w:rFonts w:cs="Times New Roman"/>
          <w:lang w:val="en-US"/>
        </w:rPr>
        <w:t xml:space="preserve"> </w:t>
      </w:r>
      <w:r w:rsidRPr="008B629F">
        <w:rPr>
          <w:rFonts w:cs="Times New Roman"/>
          <w:lang w:val="en-US"/>
        </w:rPr>
        <w:t xml:space="preserve">optimized the refrigeration unit of an electric truck using a genetic algorithm, achieving −0.5 kW in power consumption and +0.15 in COP; Yao et al. </w:t>
      </w:r>
      <w:sdt>
        <w:sdtPr>
          <w:rPr>
            <w:rFonts w:cs="Times New Roman"/>
            <w:lang w:val="en-US"/>
          </w:rPr>
          <w:id w:val="-276103471"/>
          <w:citation/>
        </w:sdtPr>
        <w:sdtContent>
          <w:r w:rsidR="004B352D">
            <w:rPr>
              <w:rFonts w:cs="Times New Roman"/>
              <w:lang w:val="en-US"/>
            </w:rPr>
            <w:fldChar w:fldCharType="begin"/>
          </w:r>
          <w:r w:rsidR="004B352D" w:rsidRPr="00625AD6">
            <w:rPr>
              <w:rFonts w:cs="Times New Roman"/>
              <w:lang w:val="en-US"/>
            </w:rPr>
            <w:instrText xml:space="preserve"> CITATION Placeholder187 \l 1040 </w:instrText>
          </w:r>
          <w:r w:rsidR="004B352D">
            <w:rPr>
              <w:rFonts w:cs="Times New Roman"/>
              <w:lang w:val="en-US"/>
            </w:rPr>
            <w:fldChar w:fldCharType="separate"/>
          </w:r>
          <w:r w:rsidR="00855396" w:rsidRPr="00855396">
            <w:rPr>
              <w:rFonts w:cs="Times New Roman"/>
              <w:noProof/>
              <w:lang w:val="en-US"/>
            </w:rPr>
            <w:t>[170]</w:t>
          </w:r>
          <w:r w:rsidR="004B352D">
            <w:rPr>
              <w:rFonts w:cs="Times New Roman"/>
              <w:lang w:val="en-US"/>
            </w:rPr>
            <w:fldChar w:fldCharType="end"/>
          </w:r>
        </w:sdtContent>
      </w:sdt>
      <w:r w:rsidR="004B352D">
        <w:rPr>
          <w:rFonts w:cs="Times New Roman"/>
          <w:lang w:val="en-US"/>
        </w:rPr>
        <w:t xml:space="preserve"> </w:t>
      </w:r>
      <w:r w:rsidRPr="008B629F">
        <w:rPr>
          <w:rFonts w:cs="Times New Roman"/>
          <w:lang w:val="en-US"/>
        </w:rPr>
        <w:t xml:space="preserve">showed that a truck using a combined power–cooling cycle can meet the cooling demand and save 6.4% of fuel (and therefore CO₂). On the operational side, training drivers in eco-driving with fewer </w:t>
      </w:r>
      <w:r w:rsidRPr="008B629F">
        <w:rPr>
          <w:rFonts w:cs="Times New Roman"/>
          <w:lang w:val="en-US"/>
        </w:rPr>
        <w:lastRenderedPageBreak/>
        <w:t>accelerations, fewer stops with the engine running leads on average to −13.6% in fuel consumption.</w:t>
      </w:r>
    </w:p>
    <w:p w14:paraId="783C0C94" w14:textId="0AC34617" w:rsidR="008B629F" w:rsidRPr="008B629F" w:rsidRDefault="008B629F" w:rsidP="008B629F">
      <w:pPr>
        <w:rPr>
          <w:rFonts w:cs="Times New Roman"/>
          <w:lang w:val="en-US"/>
        </w:rPr>
      </w:pPr>
      <w:r w:rsidRPr="008B629F">
        <w:rPr>
          <w:rFonts w:cs="Times New Roman"/>
          <w:i/>
          <w:iCs/>
          <w:u w:val="single"/>
          <w:lang w:val="en-US"/>
        </w:rPr>
        <w:t>Building a clean energy system</w:t>
      </w:r>
      <w:r w:rsidRPr="008B629F">
        <w:rPr>
          <w:rFonts w:cs="Times New Roman"/>
          <w:lang w:val="en-US"/>
        </w:rPr>
        <w:t xml:space="preserve">. According to Zhang et al. </w:t>
      </w:r>
      <w:sdt>
        <w:sdtPr>
          <w:rPr>
            <w:rFonts w:cs="Times New Roman"/>
            <w:lang w:val="en-US"/>
          </w:rPr>
          <w:id w:val="1484198275"/>
          <w:citation/>
        </w:sdtPr>
        <w:sdtContent>
          <w:r w:rsidR="004B352D">
            <w:rPr>
              <w:rFonts w:cs="Times New Roman"/>
              <w:lang w:val="en-US"/>
            </w:rPr>
            <w:fldChar w:fldCharType="begin"/>
          </w:r>
          <w:r w:rsidR="004B352D" w:rsidRPr="00625AD6">
            <w:rPr>
              <w:rFonts w:cs="Times New Roman"/>
              <w:lang w:val="en-US"/>
            </w:rPr>
            <w:instrText xml:space="preserve"> CITATION Placeholder188 \l 1040 </w:instrText>
          </w:r>
          <w:r w:rsidR="004B352D">
            <w:rPr>
              <w:rFonts w:cs="Times New Roman"/>
              <w:lang w:val="en-US"/>
            </w:rPr>
            <w:fldChar w:fldCharType="separate"/>
          </w:r>
          <w:r w:rsidR="00855396" w:rsidRPr="00855396">
            <w:rPr>
              <w:rFonts w:cs="Times New Roman"/>
              <w:noProof/>
              <w:lang w:val="en-US"/>
            </w:rPr>
            <w:t>[171]</w:t>
          </w:r>
          <w:r w:rsidR="004B352D">
            <w:rPr>
              <w:rFonts w:cs="Times New Roman"/>
              <w:lang w:val="en-US"/>
            </w:rPr>
            <w:fldChar w:fldCharType="end"/>
          </w:r>
        </w:sdtContent>
      </w:sdt>
      <w:r w:rsidRPr="008B629F">
        <w:rPr>
          <w:rFonts w:cs="Times New Roman"/>
          <w:lang w:val="en-US"/>
        </w:rPr>
        <w:t xml:space="preserve">, electrifying transport without decarbonizing power generation can actually increase emissions; however, Yuan et al. </w:t>
      </w:r>
      <w:sdt>
        <w:sdtPr>
          <w:rPr>
            <w:rFonts w:cs="Times New Roman"/>
            <w:lang w:val="en-US"/>
          </w:rPr>
          <w:id w:val="-654454649"/>
          <w:citation/>
        </w:sdtPr>
        <w:sdtContent>
          <w:r w:rsidR="004B352D">
            <w:rPr>
              <w:rFonts w:cs="Times New Roman"/>
              <w:lang w:val="en-US"/>
            </w:rPr>
            <w:fldChar w:fldCharType="begin"/>
          </w:r>
          <w:r w:rsidR="004B352D" w:rsidRPr="00625AD6">
            <w:rPr>
              <w:rFonts w:cs="Times New Roman"/>
              <w:lang w:val="en-US"/>
            </w:rPr>
            <w:instrText xml:space="preserve"> CITATION Placeholder189 \l 1040 </w:instrText>
          </w:r>
          <w:r w:rsidR="004B352D">
            <w:rPr>
              <w:rFonts w:cs="Times New Roman"/>
              <w:lang w:val="en-US"/>
            </w:rPr>
            <w:fldChar w:fldCharType="separate"/>
          </w:r>
          <w:r w:rsidR="00855396" w:rsidRPr="00855396">
            <w:rPr>
              <w:rFonts w:cs="Times New Roman"/>
              <w:noProof/>
              <w:lang w:val="en-US"/>
            </w:rPr>
            <w:t>[172]</w:t>
          </w:r>
          <w:r w:rsidR="004B352D">
            <w:rPr>
              <w:rFonts w:cs="Times New Roman"/>
              <w:lang w:val="en-US"/>
            </w:rPr>
            <w:fldChar w:fldCharType="end"/>
          </w:r>
        </w:sdtContent>
      </w:sdt>
      <w:r w:rsidR="004B352D">
        <w:rPr>
          <w:rFonts w:cs="Times New Roman"/>
          <w:lang w:val="en-US"/>
        </w:rPr>
        <w:t xml:space="preserve"> </w:t>
      </w:r>
      <w:r w:rsidRPr="008B629F">
        <w:rPr>
          <w:rFonts w:cs="Times New Roman"/>
          <w:lang w:val="en-US"/>
        </w:rPr>
        <w:t xml:space="preserve">show that, in a scenario with 100% penetration of electric vehicles in the Beijing–Tianjin–Hebei region, it is still possible to obtain at least an 11% reduction in CO₂ by 2050 without adding more renewable capacity. The idea of Chen et al. </w:t>
      </w:r>
      <w:sdt>
        <w:sdtPr>
          <w:rPr>
            <w:rFonts w:cs="Times New Roman"/>
            <w:lang w:val="en-US"/>
          </w:rPr>
          <w:id w:val="386541533"/>
          <w:citation/>
        </w:sdtPr>
        <w:sdtContent>
          <w:r w:rsidR="004B352D">
            <w:rPr>
              <w:rFonts w:cs="Times New Roman"/>
              <w:lang w:val="en-US"/>
            </w:rPr>
            <w:fldChar w:fldCharType="begin"/>
          </w:r>
          <w:r w:rsidR="004B352D" w:rsidRPr="00625AD6">
            <w:rPr>
              <w:rFonts w:cs="Times New Roman"/>
              <w:lang w:val="en-US"/>
            </w:rPr>
            <w:instrText xml:space="preserve"> CITATION Placeholder190 \l 1040 </w:instrText>
          </w:r>
          <w:r w:rsidR="004B352D">
            <w:rPr>
              <w:rFonts w:cs="Times New Roman"/>
              <w:lang w:val="en-US"/>
            </w:rPr>
            <w:fldChar w:fldCharType="separate"/>
          </w:r>
          <w:r w:rsidR="00855396" w:rsidRPr="00855396">
            <w:rPr>
              <w:rFonts w:cs="Times New Roman"/>
              <w:noProof/>
              <w:lang w:val="en-US"/>
            </w:rPr>
            <w:t>[173]</w:t>
          </w:r>
          <w:r w:rsidR="004B352D">
            <w:rPr>
              <w:rFonts w:cs="Times New Roman"/>
              <w:lang w:val="en-US"/>
            </w:rPr>
            <w:fldChar w:fldCharType="end"/>
          </w:r>
        </w:sdtContent>
      </w:sdt>
      <w:r w:rsidRPr="008B629F">
        <w:rPr>
          <w:rFonts w:cs="Times New Roman"/>
          <w:lang w:val="en-US"/>
        </w:rPr>
        <w:t xml:space="preserve"> is that PCMs act as a bridge: cold is charged when the grid is cleaner, and the stored cold is used on board when needed. In this way, electrification and flexible energy management are combined.</w:t>
      </w:r>
    </w:p>
    <w:p w14:paraId="32BB89F8" w14:textId="096F7965" w:rsidR="008B629F" w:rsidRPr="008B629F" w:rsidRDefault="008B629F" w:rsidP="004B352D">
      <w:pPr>
        <w:pStyle w:val="Heading3"/>
        <w:rPr>
          <w:lang w:val="en-US"/>
        </w:rPr>
      </w:pPr>
      <w:bookmarkStart w:id="154" w:name="_Toc213354088"/>
      <w:bookmarkStart w:id="155" w:name="_Toc214356307"/>
      <w:r w:rsidRPr="008B629F">
        <w:rPr>
          <w:lang w:val="en-US"/>
        </w:rPr>
        <w:t xml:space="preserve">Future </w:t>
      </w:r>
      <w:r w:rsidR="00CF7E04">
        <w:rPr>
          <w:lang w:val="en-US"/>
        </w:rPr>
        <w:t xml:space="preserve">reasearch directions </w:t>
      </w:r>
      <w:r w:rsidRPr="008B629F">
        <w:rPr>
          <w:lang w:val="en-US"/>
        </w:rPr>
        <w:t>on PCMs in biomedical applications and cold chain logistics</w:t>
      </w:r>
      <w:bookmarkEnd w:id="154"/>
      <w:bookmarkEnd w:id="155"/>
    </w:p>
    <w:p w14:paraId="5FA8C0D7" w14:textId="77777777" w:rsidR="008B629F" w:rsidRPr="008B629F" w:rsidRDefault="008B629F" w:rsidP="008B629F">
      <w:pPr>
        <w:rPr>
          <w:rFonts w:cs="Times New Roman"/>
        </w:rPr>
      </w:pPr>
      <w:r w:rsidRPr="008B629F">
        <w:rPr>
          <w:rFonts w:cs="Times New Roman"/>
          <w:lang w:val="en-US"/>
        </w:rPr>
        <w:t xml:space="preserve">Recent research on PCMs shows that we have moved from simple proof-of-concept to the stage where we need PCMs tailored to specific medical and pharmaceutical uses. </w:t>
      </w:r>
      <w:r w:rsidRPr="008B629F">
        <w:rPr>
          <w:rFonts w:cs="Times New Roman"/>
        </w:rPr>
        <w:t xml:space="preserve">Three main issues are highlighted: </w:t>
      </w:r>
    </w:p>
    <w:p w14:paraId="67FAD876" w14:textId="77777777" w:rsidR="008B629F" w:rsidRPr="008B629F" w:rsidRDefault="008B629F">
      <w:pPr>
        <w:pStyle w:val="ListParagraph"/>
        <w:numPr>
          <w:ilvl w:val="0"/>
          <w:numId w:val="13"/>
        </w:numPr>
        <w:spacing w:before="0" w:after="160" w:line="259" w:lineRule="auto"/>
        <w:rPr>
          <w:rFonts w:cs="Times New Roman"/>
          <w:lang w:val="en-US"/>
        </w:rPr>
      </w:pPr>
      <w:r w:rsidRPr="008B629F">
        <w:rPr>
          <w:rFonts w:cs="Times New Roman"/>
          <w:lang w:val="en-US"/>
        </w:rPr>
        <w:t xml:space="preserve"> at the nano- and meso-scale, particle size, shell thickness, and pore diameter (in mesoporous composites or microencapsulated PCMs) strongly affect thermal conductivity, latent heat, and cycling stability, but the underlying mechanism is still not fully understood;</w:t>
      </w:r>
    </w:p>
    <w:p w14:paraId="1D4F1756" w14:textId="77777777" w:rsidR="008B629F" w:rsidRPr="008B629F" w:rsidRDefault="008B629F">
      <w:pPr>
        <w:pStyle w:val="ListParagraph"/>
        <w:numPr>
          <w:ilvl w:val="0"/>
          <w:numId w:val="13"/>
        </w:numPr>
        <w:spacing w:before="0" w:after="160" w:line="259" w:lineRule="auto"/>
        <w:rPr>
          <w:rFonts w:cs="Times New Roman"/>
          <w:lang w:val="en-US"/>
        </w:rPr>
      </w:pPr>
      <w:r w:rsidRPr="008B629F">
        <w:rPr>
          <w:rFonts w:cs="Times New Roman"/>
          <w:lang w:val="en-US"/>
        </w:rPr>
        <w:t xml:space="preserve">in many clinical applications, the exact therapeutic temperature window is still not clearly defined (for example, for certain local thermotherapies or temperature-triggered drug delivery), and without this information, it is difficult to synthesize a PCM with the precise melting point; </w:t>
      </w:r>
    </w:p>
    <w:p w14:paraId="7E3F0A5E" w14:textId="77777777" w:rsidR="008B629F" w:rsidRPr="008B629F" w:rsidRDefault="008B629F">
      <w:pPr>
        <w:pStyle w:val="ListParagraph"/>
        <w:numPr>
          <w:ilvl w:val="0"/>
          <w:numId w:val="13"/>
        </w:numPr>
        <w:spacing w:before="0" w:after="160" w:line="259" w:lineRule="auto"/>
        <w:rPr>
          <w:rFonts w:cs="Times New Roman"/>
          <w:lang w:val="en-US"/>
        </w:rPr>
      </w:pPr>
      <w:r w:rsidRPr="008B629F">
        <w:rPr>
          <w:rFonts w:cs="Times New Roman"/>
          <w:lang w:val="en-US"/>
        </w:rPr>
        <w:t>the long-term safety of PCMs intended for human use (degradation, release products, possible accumulation) still needs to be assessed, also by developing better mesoporous carriers and more stable microcapsules to avoid leakage and phase separation.</w:t>
      </w:r>
    </w:p>
    <w:p w14:paraId="537DA6F7" w14:textId="77777777" w:rsidR="008B629F" w:rsidRPr="008B629F" w:rsidRDefault="008B629F" w:rsidP="008B629F">
      <w:pPr>
        <w:rPr>
          <w:rFonts w:cs="Times New Roman"/>
          <w:lang w:val="en-US"/>
        </w:rPr>
      </w:pPr>
      <w:r w:rsidRPr="008B629F">
        <w:rPr>
          <w:rFonts w:cs="Times New Roman"/>
          <w:lang w:val="en-US"/>
        </w:rPr>
        <w:t>In parallel, a significant part of current research is shifting toward PCMs with melting temperatures below −35 °C, because the new generation of vaccines and biologics (including mRNA-based and some emergency vaccines) requires much lower storage temperatures than the traditional 2–8 °C range.</w:t>
      </w:r>
    </w:p>
    <w:p w14:paraId="167B4473" w14:textId="77777777" w:rsidR="008B629F" w:rsidRPr="008B629F" w:rsidRDefault="008B629F" w:rsidP="008B629F">
      <w:pPr>
        <w:rPr>
          <w:rFonts w:cs="Times New Roman"/>
        </w:rPr>
      </w:pPr>
      <w:r w:rsidRPr="008B629F">
        <w:rPr>
          <w:rFonts w:cs="Times New Roman"/>
          <w:lang w:val="en-US"/>
        </w:rPr>
        <w:t xml:space="preserve">On the cold chain side, the trend is to integrate PCMs into more “intelligent” systems: containers and refrigerated trucks equipped with sensors to monitor temperature, humidity, and door openings in real time, with instant alerts if the load leaves the safe range, modelling and AI tools to select the most suitable PCM (melting point, enthalpy, conductivity, quantity) based on product, trip length, and climate, and to optimize the layout of cold plates inside the box or cargo space. The use of bio-based PCMs and </w:t>
      </w:r>
      <w:r w:rsidRPr="008B629F">
        <w:rPr>
          <w:rFonts w:cs="Times New Roman"/>
          <w:lang w:val="en-US"/>
        </w:rPr>
        <w:lastRenderedPageBreak/>
        <w:t xml:space="preserve">low-impact packaging also makes passive cooling not only energy-efficient but environmentally sustainable. </w:t>
      </w:r>
      <w:r w:rsidRPr="008B629F">
        <w:rPr>
          <w:rFonts w:cs="Times New Roman"/>
          <w:lang w:val="nb-NO"/>
        </w:rPr>
        <w:t>For refrigerated vehicles, the development pathways are equally clear:</w:t>
      </w:r>
    </w:p>
    <w:p w14:paraId="11FDA6C7" w14:textId="77777777" w:rsidR="008B629F" w:rsidRPr="008B629F" w:rsidRDefault="008B629F">
      <w:pPr>
        <w:numPr>
          <w:ilvl w:val="0"/>
          <w:numId w:val="12"/>
        </w:numPr>
        <w:spacing w:before="0" w:after="160" w:line="259" w:lineRule="auto"/>
        <w:rPr>
          <w:rFonts w:cs="Times New Roman"/>
          <w:lang w:val="en-US"/>
        </w:rPr>
      </w:pPr>
      <w:r w:rsidRPr="008B629F">
        <w:rPr>
          <w:rFonts w:cs="Times New Roman"/>
          <w:lang w:val="en-US"/>
        </w:rPr>
        <w:t>Reduce PCM/freezing time for plates or modules, since freezing time is currently one of the main operational bottlenecks.</w:t>
      </w:r>
    </w:p>
    <w:p w14:paraId="4AF3E035" w14:textId="77777777" w:rsidR="008B629F" w:rsidRPr="008B629F" w:rsidRDefault="008B629F">
      <w:pPr>
        <w:numPr>
          <w:ilvl w:val="0"/>
          <w:numId w:val="12"/>
        </w:numPr>
        <w:spacing w:before="0" w:after="160" w:line="259" w:lineRule="auto"/>
        <w:rPr>
          <w:rFonts w:cs="Times New Roman"/>
          <w:lang w:val="en-US"/>
        </w:rPr>
      </w:pPr>
      <w:r w:rsidRPr="008B629F">
        <w:rPr>
          <w:rFonts w:cs="Times New Roman"/>
          <w:lang w:val="en-US"/>
        </w:rPr>
        <w:t>Design more robust PCMs for transport: high latent heat, good thermal conductivity, low or no supercooling, no phase separation, shape stability, long cycling life, and low cost.</w:t>
      </w:r>
    </w:p>
    <w:p w14:paraId="08ED28C6" w14:textId="77777777" w:rsidR="008B629F" w:rsidRPr="008B629F" w:rsidRDefault="008B629F">
      <w:pPr>
        <w:numPr>
          <w:ilvl w:val="0"/>
          <w:numId w:val="12"/>
        </w:numPr>
        <w:spacing w:before="0" w:after="160" w:line="259" w:lineRule="auto"/>
        <w:rPr>
          <w:rFonts w:cs="Times New Roman"/>
          <w:lang w:val="en-US"/>
        </w:rPr>
      </w:pPr>
      <w:r w:rsidRPr="008B629F">
        <w:rPr>
          <w:rFonts w:cs="Times New Roman"/>
          <w:lang w:val="en-US"/>
        </w:rPr>
        <w:t>Link PCMs to electrification and clean energy: charge cold when the grid is greener (solar PV, wind, H₂/fuel cells) and use it on the road, shifting the load in time and reducing emissions; in the future, LNG vehicles with cold recovery and integrated PCMs are also a promising line.</w:t>
      </w:r>
    </w:p>
    <w:p w14:paraId="0D41ED67" w14:textId="77777777" w:rsidR="008B629F" w:rsidRPr="008B629F" w:rsidRDefault="008B629F">
      <w:pPr>
        <w:numPr>
          <w:ilvl w:val="0"/>
          <w:numId w:val="12"/>
        </w:numPr>
        <w:spacing w:before="0" w:after="160" w:line="259" w:lineRule="auto"/>
        <w:rPr>
          <w:lang w:val="en-US"/>
        </w:rPr>
      </w:pPr>
      <w:r w:rsidRPr="008B629F">
        <w:rPr>
          <w:rFonts w:cs="Times New Roman"/>
          <w:lang w:val="en-US"/>
        </w:rPr>
        <w:t>Make the truck “intelligent”: precise temperature control, automatic modulation of refrigeration capacity, optimized airflow, and even low-carbon route planning — thus protecting product quality and reducing CO₂ at the same time</w:t>
      </w:r>
      <w:r w:rsidRPr="008B629F">
        <w:rPr>
          <w:lang w:val="en-US"/>
        </w:rPr>
        <w:t>.</w:t>
      </w:r>
    </w:p>
    <w:p w14:paraId="353D481C" w14:textId="4FCB20B1" w:rsidR="008B629F" w:rsidRPr="008B629F" w:rsidRDefault="008B629F" w:rsidP="004B352D">
      <w:pPr>
        <w:pStyle w:val="Heading2"/>
        <w:rPr>
          <w:lang w:val="en-US"/>
        </w:rPr>
      </w:pPr>
      <w:bookmarkStart w:id="156" w:name="_Toc213354089"/>
      <w:bookmarkStart w:id="157" w:name="_Toc214356308"/>
      <w:r w:rsidRPr="008B629F">
        <w:rPr>
          <w:lang w:val="en-US"/>
        </w:rPr>
        <w:t>PCMs in textile and cooling garments application</w:t>
      </w:r>
      <w:bookmarkEnd w:id="156"/>
      <w:r w:rsidR="00732E1F">
        <w:rPr>
          <w:lang w:val="en-US"/>
        </w:rPr>
        <w:t>s</w:t>
      </w:r>
      <w:bookmarkEnd w:id="157"/>
    </w:p>
    <w:p w14:paraId="0B041CC9" w14:textId="77777777" w:rsidR="008B629F" w:rsidRPr="008B629F" w:rsidRDefault="008B629F" w:rsidP="008B629F">
      <w:pPr>
        <w:rPr>
          <w:rFonts w:cs="Times New Roman"/>
          <w:lang w:val="en-US"/>
        </w:rPr>
      </w:pPr>
      <w:r w:rsidRPr="008B629F">
        <w:rPr>
          <w:rFonts w:cs="Times New Roman"/>
          <w:lang w:val="en-US"/>
        </w:rPr>
        <w:t>To assess the state of the art on PCM applications in textiles and clothing, a systematic search was run on Scopus using the following query:</w:t>
      </w:r>
    </w:p>
    <w:p w14:paraId="37D110DB" w14:textId="77777777" w:rsidR="008B629F" w:rsidRPr="008B629F" w:rsidRDefault="008B629F" w:rsidP="008B629F">
      <w:pPr>
        <w:jc w:val="center"/>
        <w:rPr>
          <w:rFonts w:cs="Times New Roman"/>
          <w:b/>
          <w:bCs/>
          <w:i/>
          <w:iCs/>
          <w:lang w:val="en-US"/>
        </w:rPr>
      </w:pPr>
      <w:r w:rsidRPr="008B629F">
        <w:rPr>
          <w:rFonts w:cs="Times New Roman"/>
          <w:b/>
          <w:bCs/>
          <w:i/>
          <w:iCs/>
          <w:lang w:val="en-US"/>
        </w:rPr>
        <w:t>(“phase change materials” OR PCM) AND (textile OR clothing OR fiber) AND (“thermal comfort” OR “temperature regulation” OR cooling OR heating OR “thermal management”)</w:t>
      </w:r>
    </w:p>
    <w:p w14:paraId="6A80601F" w14:textId="7C681AA1" w:rsidR="008B629F" w:rsidRPr="008B629F" w:rsidRDefault="008B629F" w:rsidP="008B629F">
      <w:pPr>
        <w:rPr>
          <w:rFonts w:cs="Times New Roman"/>
          <w:lang w:val="en-US"/>
        </w:rPr>
      </w:pPr>
      <w:r w:rsidRPr="008B629F">
        <w:rPr>
          <w:rFonts w:cs="Times New Roman"/>
          <w:lang w:val="en-US"/>
        </w:rPr>
        <w:t xml:space="preserve">The query returned 1,005 results. </w:t>
      </w:r>
    </w:p>
    <w:p w14:paraId="59F478CD" w14:textId="12497ECB" w:rsidR="008B629F" w:rsidRPr="008B629F" w:rsidRDefault="004B352D" w:rsidP="008B629F">
      <w:pPr>
        <w:keepNext/>
      </w:pPr>
      <w:r w:rsidRPr="008B629F">
        <w:rPr>
          <w:noProof/>
        </w:rPr>
        <mc:AlternateContent>
          <mc:Choice Requires="wps">
            <w:drawing>
              <wp:anchor distT="45720" distB="45720" distL="114300" distR="114300" simplePos="0" relativeHeight="251732992" behindDoc="0" locked="0" layoutInCell="1" allowOverlap="1" wp14:anchorId="0921DAF6" wp14:editId="2416BFB2">
                <wp:simplePos x="0" y="0"/>
                <wp:positionH relativeFrom="margin">
                  <wp:align>center</wp:align>
                </wp:positionH>
                <wp:positionV relativeFrom="paragraph">
                  <wp:posOffset>180975</wp:posOffset>
                </wp:positionV>
                <wp:extent cx="381000" cy="495300"/>
                <wp:effectExtent l="0" t="0" r="0" b="0"/>
                <wp:wrapNone/>
                <wp:docPr id="7152472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495300"/>
                        </a:xfrm>
                        <a:prstGeom prst="rect">
                          <a:avLst/>
                        </a:prstGeom>
                        <a:noFill/>
                        <a:ln w="9525">
                          <a:noFill/>
                          <a:miter lim="800000"/>
                          <a:headEnd/>
                          <a:tailEnd/>
                        </a:ln>
                      </wps:spPr>
                      <wps:txbx>
                        <w:txbxContent>
                          <w:p w14:paraId="3332C935" w14:textId="77777777" w:rsidR="008B629F" w:rsidRPr="00187FE9" w:rsidRDefault="008B629F" w:rsidP="008B629F">
                            <w:pPr>
                              <w:rPr>
                                <w:lang w:val="en-US"/>
                              </w:rPr>
                            </w:pPr>
                            <w: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921DAF6" id="_x0000_s1052" type="#_x0000_t202" style="position:absolute;left:0;text-align:left;margin-left:0;margin-top:14.25pt;width:30pt;height:39pt;z-index:25173299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" filled="f" stroked="f">
                <v:textbox>
                  <w:txbxContent>
                    <w:p w14:paraId="3332C935" w14:textId="77777777" w:rsidR="008B629F" w:rsidRPr="00187FE9" w:rsidRDefault="008B629F" w:rsidP="008B629F">
                      <w:pPr>
                        <w:rPr>
                          <w:lang w:val="en-US"/>
                        </w:rPr>
                      </w:pPr>
                      <w:r>
                        <w:t>b)</w:t>
                      </w:r>
                    </w:p>
                  </w:txbxContent>
                </v:textbox>
                <w10:wrap anchorx="margin"/>
              </v:shape>
            </w:pict>
          </mc:Fallback>
        </mc:AlternateContent>
      </w:r>
      <w:r w:rsidRPr="008B629F">
        <w:rPr>
          <w:noProof/>
        </w:rPr>
        <mc:AlternateContent>
          <mc:Choice Requires="wps">
            <w:drawing>
              <wp:anchor distT="45720" distB="45720" distL="114300" distR="114300" simplePos="0" relativeHeight="251731968" behindDoc="0" locked="0" layoutInCell="1" allowOverlap="1" wp14:anchorId="25A4BAB2" wp14:editId="7DB088BA">
                <wp:simplePos x="0" y="0"/>
                <wp:positionH relativeFrom="margin">
                  <wp:align>left</wp:align>
                </wp:positionH>
                <wp:positionV relativeFrom="paragraph">
                  <wp:posOffset>193675</wp:posOffset>
                </wp:positionV>
                <wp:extent cx="381000" cy="514350"/>
                <wp:effectExtent l="0" t="0" r="0" b="0"/>
                <wp:wrapNone/>
                <wp:docPr id="137254173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514350"/>
                        </a:xfrm>
                        <a:prstGeom prst="rect">
                          <a:avLst/>
                        </a:prstGeom>
                        <a:noFill/>
                        <a:ln w="9525">
                          <a:noFill/>
                          <a:miter lim="800000"/>
                          <a:headEnd/>
                          <a:tailEnd/>
                        </a:ln>
                      </wps:spPr>
                      <wps:txbx>
                        <w:txbxContent>
                          <w:p w14:paraId="2EDFC795" w14:textId="77777777" w:rsidR="008B629F" w:rsidRPr="00187FE9" w:rsidRDefault="008B629F" w:rsidP="008B629F">
                            <w:pPr>
                              <w:rPr>
                                <w:lang w:val="en-US"/>
                              </w:rPr>
                            </w:pPr>
                            <w: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5A4BAB2" id="_x0000_s1053" type="#_x0000_t202" style="position:absolute;left:0;text-align:left;margin-left:0;margin-top:15.25pt;width:30pt;height:40.5pt;z-index:25173196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" filled="f" stroked="f">
                <v:textbox>
                  <w:txbxContent>
                    <w:p w14:paraId="2EDFC795" w14:textId="77777777" w:rsidR="008B629F" w:rsidRPr="00187FE9" w:rsidRDefault="008B629F" w:rsidP="008B629F">
                      <w:pPr>
                        <w:rPr>
                          <w:lang w:val="en-US"/>
                        </w:rPr>
                      </w:pPr>
                      <w:r>
                        <w:t>a)</w:t>
                      </w:r>
                    </w:p>
                  </w:txbxContent>
                </v:textbox>
                <w10:wrap anchorx="margin"/>
              </v:shape>
            </w:pict>
          </mc:Fallback>
        </mc:AlternateContent>
      </w:r>
      <w:r w:rsidR="008B629F" w:rsidRPr="008B629F">
        <w:rPr>
          <w:rFonts w:cs="Times New Roman"/>
          <w:noProof/>
          <w:lang w:val="en-US"/>
        </w:rPr>
        <w:drawing>
          <wp:inline distT="0" distB="0" distL="0" distR="0" wp14:anchorId="468C6F9B" wp14:editId="14A26D98">
            <wp:extent cx="6120130" cy="1942465"/>
            <wp:effectExtent l="0" t="0" r="0" b="635"/>
            <wp:docPr id="1345795530" name="Picture 1" descr="A graph and chart with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5795530" name="Picture 1" descr="A graph and chart with numbers&#10;&#10;AI-generated content may be incorrect."/>
                    <pic:cNvPicPr/>
                  </pic:nvPicPr>
                  <pic:blipFill>
                    <a:blip r:embed="rId138"/>
                    <a:stretch>
                      <a:fillRect/>
                    </a:stretch>
                  </pic:blipFill>
                  <pic:spPr>
                    <a:xfrm>
                      <a:off x="0" y="0"/>
                      <a:ext cx="6120130" cy="1942465"/>
                    </a:xfrm>
                    <a:prstGeom prst="rect">
                      <a:avLst/>
                    </a:prstGeom>
                  </pic:spPr>
                </pic:pic>
              </a:graphicData>
            </a:graphic>
          </wp:inline>
        </w:drawing>
      </w:r>
    </w:p>
    <w:p w14:paraId="12CB2DC3" w14:textId="296C805C" w:rsidR="008B629F" w:rsidRPr="008B629F" w:rsidRDefault="008B629F" w:rsidP="008B629F">
      <w:pPr>
        <w:pStyle w:val="Caption"/>
        <w:jc w:val="both"/>
        <w:rPr>
          <w:rFonts w:cs="Times New Roman"/>
        </w:rPr>
      </w:pPr>
      <w:bookmarkStart w:id="158" w:name="_Toc214357748"/>
      <w:r w:rsidRPr="008B629F">
        <w:rPr>
          <w:rFonts w:cs="Times New Roman"/>
        </w:rPr>
        <w:t xml:space="preserve">Figure </w:t>
      </w:r>
      <w:r w:rsidR="00F824A5">
        <w:rPr>
          <w:rFonts w:cs="Times New Roman"/>
        </w:rPr>
        <w:fldChar w:fldCharType="begin"/>
      </w:r>
      <w:r w:rsidR="00F824A5">
        <w:rPr>
          <w:rFonts w:cs="Times New Roman"/>
        </w:rPr>
        <w:instrText xml:space="preserve"> STYLEREF 1 \s </w:instrText>
      </w:r>
      <w:r w:rsidR="00F824A5">
        <w:rPr>
          <w:rFonts w:cs="Times New Roman"/>
        </w:rPr>
        <w:fldChar w:fldCharType="separate"/>
      </w:r>
      <w:r w:rsidR="000412CE">
        <w:rPr>
          <w:rFonts w:cs="Times New Roman"/>
          <w:noProof/>
        </w:rPr>
        <w:t>2</w:t>
      </w:r>
      <w:r w:rsidR="00F824A5">
        <w:rPr>
          <w:rFonts w:cs="Times New Roman"/>
        </w:rPr>
        <w:fldChar w:fldCharType="end"/>
      </w:r>
      <w:r w:rsidR="00F824A5">
        <w:rPr>
          <w:rFonts w:cs="Times New Roman"/>
        </w:rPr>
        <w:t>.</w:t>
      </w:r>
      <w:r w:rsidR="00F824A5">
        <w:rPr>
          <w:rFonts w:cs="Times New Roman"/>
        </w:rPr>
        <w:fldChar w:fldCharType="begin"/>
      </w:r>
      <w:r w:rsidR="00F824A5">
        <w:rPr>
          <w:rFonts w:cs="Times New Roman"/>
        </w:rPr>
        <w:instrText xml:space="preserve"> SEQ Figure \* ARABIC \s 1 </w:instrText>
      </w:r>
      <w:r w:rsidR="00F824A5">
        <w:rPr>
          <w:rFonts w:cs="Times New Roman"/>
        </w:rPr>
        <w:fldChar w:fldCharType="separate"/>
      </w:r>
      <w:r w:rsidR="000412CE">
        <w:rPr>
          <w:rFonts w:cs="Times New Roman"/>
          <w:noProof/>
        </w:rPr>
        <w:t>20</w:t>
      </w:r>
      <w:r w:rsidR="00F824A5">
        <w:rPr>
          <w:rFonts w:cs="Times New Roman"/>
        </w:rPr>
        <w:fldChar w:fldCharType="end"/>
      </w:r>
      <w:r w:rsidRPr="008B629F">
        <w:rPr>
          <w:rFonts w:cs="Times New Roman"/>
        </w:rPr>
        <w:t>. Scopus trends for PCM in textiles: (a) publication trends and surge from 2015; (b) country publication contributions led by major textile producers</w:t>
      </w:r>
      <w:r w:rsidR="00A165BA">
        <w:rPr>
          <w:rFonts w:cs="Times New Roman"/>
        </w:rPr>
        <w:t>.</w:t>
      </w:r>
      <w:bookmarkEnd w:id="158"/>
    </w:p>
    <w:p w14:paraId="17A74ACA" w14:textId="3B99FE5F" w:rsidR="008B629F" w:rsidRPr="008B629F" w:rsidRDefault="004B352D" w:rsidP="008B629F">
      <w:pPr>
        <w:rPr>
          <w:rFonts w:cs="Times New Roman"/>
          <w:lang w:val="en-US"/>
        </w:rPr>
      </w:pPr>
      <w:r w:rsidRPr="008B629F">
        <w:rPr>
          <w:noProof/>
        </w:rPr>
        <w:lastRenderedPageBreak/>
        <mc:AlternateContent>
          <mc:Choice Requires="wps">
            <w:drawing>
              <wp:anchor distT="0" distB="0" distL="114300" distR="114300" simplePos="0" relativeHeight="251734016" behindDoc="0" locked="0" layoutInCell="1" allowOverlap="1" wp14:anchorId="3653235B" wp14:editId="4140B48F">
                <wp:simplePos x="0" y="0"/>
                <wp:positionH relativeFrom="margin">
                  <wp:posOffset>2804795</wp:posOffset>
                </wp:positionH>
                <wp:positionV relativeFrom="paragraph">
                  <wp:posOffset>3161665</wp:posOffset>
                </wp:positionV>
                <wp:extent cx="2953385" cy="635"/>
                <wp:effectExtent l="0" t="0" r="0" b="4445"/>
                <wp:wrapSquare wrapText="bothSides"/>
                <wp:docPr id="1143170196" name="Text Box 1"/>
                <wp:cNvGraphicFramePr/>
                <a:graphic xmlns:a="http://schemas.openxmlformats.org/drawingml/2006/main">
                  <a:graphicData uri="http://schemas.microsoft.com/office/word/2010/wordprocessingShape">
                    <wps:wsp>
                      <wps:cNvSpPr txBox="1"/>
                      <wps:spPr>
                        <a:xfrm>
                          <a:off x="0" y="0"/>
                          <a:ext cx="2953385" cy="635"/>
                        </a:xfrm>
                        <a:prstGeom prst="rect">
                          <a:avLst/>
                        </a:prstGeom>
                        <a:solidFill>
                          <a:prstClr val="white"/>
                        </a:solidFill>
                        <a:ln>
                          <a:noFill/>
                        </a:ln>
                      </wps:spPr>
                      <wps:txbx>
                        <w:txbxContent>
                          <w:p w14:paraId="2BF51763" w14:textId="32ADBB7E" w:rsidR="008B629F" w:rsidRPr="001441EB" w:rsidRDefault="008B629F" w:rsidP="008B629F">
                            <w:pPr>
                              <w:pStyle w:val="Caption"/>
                              <w:rPr>
                                <w:rFonts w:ascii="Times New Roman" w:hAnsi="Times New Roman" w:cs="Times New Roman"/>
                                <w:noProof/>
                                <w:szCs w:val="22"/>
                              </w:rPr>
                            </w:pPr>
                            <w:bookmarkStart w:id="159" w:name="_Toc214357749"/>
                            <w:r w:rsidRPr="001441EB">
                              <w:rPr>
                                <w:rFonts w:ascii="Times New Roman" w:hAnsi="Times New Roman" w:cs="Times New Roman"/>
                              </w:rPr>
                              <w:t xml:space="preserve">Figure </w:t>
                            </w:r>
                            <w:r w:rsidR="00F824A5">
                              <w:rPr>
                                <w:rFonts w:ascii="Times New Roman" w:hAnsi="Times New Roman" w:cs="Times New Roman"/>
                              </w:rPr>
                              <w:fldChar w:fldCharType="begin"/>
                            </w:r>
                            <w:r w:rsidR="00F824A5">
                              <w:rPr>
                                <w:rFonts w:ascii="Times New Roman" w:hAnsi="Times New Roman" w:cs="Times New Roman"/>
                              </w:rPr>
                              <w:instrText xml:space="preserve"> STYLEREF 1 \s </w:instrText>
                            </w:r>
                            <w:r w:rsidR="00F824A5">
                              <w:rPr>
                                <w:rFonts w:ascii="Times New Roman" w:hAnsi="Times New Roman" w:cs="Times New Roman"/>
                              </w:rPr>
                              <w:fldChar w:fldCharType="separate"/>
                            </w:r>
                            <w:r w:rsidR="000412CE">
                              <w:rPr>
                                <w:rFonts w:ascii="Times New Roman" w:hAnsi="Times New Roman" w:cs="Times New Roman"/>
                                <w:noProof/>
                              </w:rPr>
                              <w:t>2</w:t>
                            </w:r>
                            <w:r w:rsidR="00F824A5">
                              <w:rPr>
                                <w:rFonts w:ascii="Times New Roman" w:hAnsi="Times New Roman" w:cs="Times New Roman"/>
                              </w:rPr>
                              <w:fldChar w:fldCharType="end"/>
                            </w:r>
                            <w:r w:rsidR="00F824A5">
                              <w:rPr>
                                <w:rFonts w:ascii="Times New Roman" w:hAnsi="Times New Roman" w:cs="Times New Roman"/>
                              </w:rPr>
                              <w:t>.</w:t>
                            </w:r>
                            <w:r w:rsidR="00F824A5">
                              <w:rPr>
                                <w:rFonts w:ascii="Times New Roman" w:hAnsi="Times New Roman" w:cs="Times New Roman"/>
                              </w:rPr>
                              <w:fldChar w:fldCharType="begin"/>
                            </w:r>
                            <w:r w:rsidR="00F824A5">
                              <w:rPr>
                                <w:rFonts w:ascii="Times New Roman" w:hAnsi="Times New Roman" w:cs="Times New Roman"/>
                              </w:rPr>
                              <w:instrText xml:space="preserve"> SEQ Figure \* ARABIC \s 1 </w:instrText>
                            </w:r>
                            <w:r w:rsidR="00F824A5">
                              <w:rPr>
                                <w:rFonts w:ascii="Times New Roman" w:hAnsi="Times New Roman" w:cs="Times New Roman"/>
                              </w:rPr>
                              <w:fldChar w:fldCharType="separate"/>
                            </w:r>
                            <w:r w:rsidR="000412CE">
                              <w:rPr>
                                <w:rFonts w:ascii="Times New Roman" w:hAnsi="Times New Roman" w:cs="Times New Roman"/>
                                <w:noProof/>
                              </w:rPr>
                              <w:t>21</w:t>
                            </w:r>
                            <w:r w:rsidR="00F824A5">
                              <w:rPr>
                                <w:rFonts w:ascii="Times New Roman" w:hAnsi="Times New Roman" w:cs="Times New Roman"/>
                              </w:rPr>
                              <w:fldChar w:fldCharType="end"/>
                            </w:r>
                            <w:r w:rsidRPr="001441EB">
                              <w:rPr>
                                <w:rFonts w:ascii="Times New Roman" w:hAnsi="Times New Roman" w:cs="Times New Roman"/>
                              </w:rPr>
                              <w:t xml:space="preserve">. Publications by source for PCMs in </w:t>
                            </w:r>
                            <w:r w:rsidR="004C4E06">
                              <w:rPr>
                                <w:rFonts w:ascii="Times New Roman" w:hAnsi="Times New Roman" w:cs="Times New Roman"/>
                              </w:rPr>
                              <w:t>textiles</w:t>
                            </w:r>
                            <w:r w:rsidRPr="001441EB">
                              <w:rPr>
                                <w:rFonts w:ascii="Times New Roman" w:hAnsi="Times New Roman" w:cs="Times New Roman"/>
                              </w:rPr>
                              <w:t>: Energy and Buildings; Journal of Energy Storage and Journal of Building Engineering</w:t>
                            </w:r>
                            <w:r w:rsidRPr="001441EB">
                              <w:t>.</w:t>
                            </w:r>
                            <w:bookmarkEnd w:id="15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653235B" id="_x0000_s1054" type="#_x0000_t202" style="position:absolute;left:0;text-align:left;margin-left:220.85pt;margin-top:248.95pt;width:232.55pt;height:.05pt;z-index:25173401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" stroked="f">
                <v:textbox style="mso-fit-shape-to-text:t" inset="0,0,0,0">
                  <w:txbxContent>
                    <w:p w14:paraId="2BF51763" w14:textId="32ADBB7E" w:rsidR="008B629F" w:rsidRPr="001441EB" w:rsidRDefault="008B629F" w:rsidP="008B629F">
                      <w:pPr>
                        <w:pStyle w:val="Caption"/>
                        <w:rPr>
                          <w:rFonts w:ascii="Times New Roman" w:hAnsi="Times New Roman" w:cs="Times New Roman"/>
                          <w:noProof/>
                          <w:szCs w:val="22"/>
                        </w:rPr>
                      </w:pPr>
                      <w:bookmarkStart w:id="160" w:name="_Toc214357749"/>
                      <w:r w:rsidRPr="001441EB">
                        <w:rPr>
                          <w:rFonts w:ascii="Times New Roman" w:hAnsi="Times New Roman" w:cs="Times New Roman"/>
                        </w:rPr>
                        <w:t xml:space="preserve">Figure </w:t>
                      </w:r>
                      <w:r w:rsidR="00F824A5">
                        <w:rPr>
                          <w:rFonts w:ascii="Times New Roman" w:hAnsi="Times New Roman" w:cs="Times New Roman"/>
                        </w:rPr>
                        <w:fldChar w:fldCharType="begin"/>
                      </w:r>
                      <w:r w:rsidR="00F824A5">
                        <w:rPr>
                          <w:rFonts w:ascii="Times New Roman" w:hAnsi="Times New Roman" w:cs="Times New Roman"/>
                        </w:rPr>
                        <w:instrText xml:space="preserve"> STYLEREF 1 \s </w:instrText>
                      </w:r>
                      <w:r w:rsidR="00F824A5">
                        <w:rPr>
                          <w:rFonts w:ascii="Times New Roman" w:hAnsi="Times New Roman" w:cs="Times New Roman"/>
                        </w:rPr>
                        <w:fldChar w:fldCharType="separate"/>
                      </w:r>
                      <w:r w:rsidR="000412CE">
                        <w:rPr>
                          <w:rFonts w:ascii="Times New Roman" w:hAnsi="Times New Roman" w:cs="Times New Roman"/>
                          <w:noProof/>
                        </w:rPr>
                        <w:t>2</w:t>
                      </w:r>
                      <w:r w:rsidR="00F824A5">
                        <w:rPr>
                          <w:rFonts w:ascii="Times New Roman" w:hAnsi="Times New Roman" w:cs="Times New Roman"/>
                        </w:rPr>
                        <w:fldChar w:fldCharType="end"/>
                      </w:r>
                      <w:r w:rsidR="00F824A5">
                        <w:rPr>
                          <w:rFonts w:ascii="Times New Roman" w:hAnsi="Times New Roman" w:cs="Times New Roman"/>
                        </w:rPr>
                        <w:t>.</w:t>
                      </w:r>
                      <w:r w:rsidR="00F824A5">
                        <w:rPr>
                          <w:rFonts w:ascii="Times New Roman" w:hAnsi="Times New Roman" w:cs="Times New Roman"/>
                        </w:rPr>
                        <w:fldChar w:fldCharType="begin"/>
                      </w:r>
                      <w:r w:rsidR="00F824A5">
                        <w:rPr>
                          <w:rFonts w:ascii="Times New Roman" w:hAnsi="Times New Roman" w:cs="Times New Roman"/>
                        </w:rPr>
                        <w:instrText xml:space="preserve"> SEQ Figure \* ARABIC \s 1 </w:instrText>
                      </w:r>
                      <w:r w:rsidR="00F824A5">
                        <w:rPr>
                          <w:rFonts w:ascii="Times New Roman" w:hAnsi="Times New Roman" w:cs="Times New Roman"/>
                        </w:rPr>
                        <w:fldChar w:fldCharType="separate"/>
                      </w:r>
                      <w:r w:rsidR="000412CE">
                        <w:rPr>
                          <w:rFonts w:ascii="Times New Roman" w:hAnsi="Times New Roman" w:cs="Times New Roman"/>
                          <w:noProof/>
                        </w:rPr>
                        <w:t>21</w:t>
                      </w:r>
                      <w:r w:rsidR="00F824A5">
                        <w:rPr>
                          <w:rFonts w:ascii="Times New Roman" w:hAnsi="Times New Roman" w:cs="Times New Roman"/>
                        </w:rPr>
                        <w:fldChar w:fldCharType="end"/>
                      </w:r>
                      <w:r w:rsidRPr="001441EB">
                        <w:rPr>
                          <w:rFonts w:ascii="Times New Roman" w:hAnsi="Times New Roman" w:cs="Times New Roman"/>
                        </w:rPr>
                        <w:t xml:space="preserve">. Publications by source for PCMs in </w:t>
                      </w:r>
                      <w:r w:rsidR="004C4E06">
                        <w:rPr>
                          <w:rFonts w:ascii="Times New Roman" w:hAnsi="Times New Roman" w:cs="Times New Roman"/>
                        </w:rPr>
                        <w:t>textiles</w:t>
                      </w:r>
                      <w:r w:rsidRPr="001441EB">
                        <w:rPr>
                          <w:rFonts w:ascii="Times New Roman" w:hAnsi="Times New Roman" w:cs="Times New Roman"/>
                        </w:rPr>
                        <w:t>: Energy and Buildings; Journal of Energy Storage and Journal of Building Engineering</w:t>
                      </w:r>
                      <w:r w:rsidRPr="001441EB">
                        <w:t>.</w:t>
                      </w:r>
                      <w:bookmarkEnd w:id="160"/>
                    </w:p>
                  </w:txbxContent>
                </v:textbox>
                <w10:wrap type="square" anchorx="margin"/>
              </v:shape>
            </w:pict>
          </mc:Fallback>
        </mc:AlternateContent>
      </w:r>
      <w:r w:rsidRPr="008B629F">
        <w:rPr>
          <w:rFonts w:cs="Times New Roman"/>
          <w:noProof/>
          <w:lang w:val="en-US"/>
        </w:rPr>
        <w:drawing>
          <wp:anchor distT="0" distB="0" distL="114300" distR="114300" simplePos="0" relativeHeight="251725824" behindDoc="0" locked="0" layoutInCell="1" allowOverlap="1" wp14:anchorId="05E3E0C9" wp14:editId="4CD54924">
            <wp:simplePos x="0" y="0"/>
            <wp:positionH relativeFrom="margin">
              <wp:align>right</wp:align>
            </wp:positionH>
            <wp:positionV relativeFrom="paragraph">
              <wp:posOffset>1294130</wp:posOffset>
            </wp:positionV>
            <wp:extent cx="2959100" cy="1857375"/>
            <wp:effectExtent l="0" t="0" r="0" b="9525"/>
            <wp:wrapSquare wrapText="bothSides"/>
            <wp:docPr id="1568914486" name="Picture 1" descr="A graph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8914486" name="Picture 1" descr="A graph of a graph&#10;&#10;AI-generated content may be incorrect."/>
                    <pic:cNvPicPr/>
                  </pic:nvPicPr>
                  <pic:blipFill>
                    <a:blip r:embed="rId139" cstate="print">
                      <a:extLst>
                        <a:ext uri="{28A0092B-C50C-407E-A947-70E740481C1C}">
                          <a14:useLocalDpi xmlns:a14="http://schemas.microsoft.com/office/drawing/2010/main" val="0"/>
                        </a:ext>
                      </a:extLst>
                    </a:blip>
                    <a:stretch>
                      <a:fillRect/>
                    </a:stretch>
                  </pic:blipFill>
                  <pic:spPr>
                    <a:xfrm>
                      <a:off x="0" y="0"/>
                      <a:ext cx="2959100" cy="1857375"/>
                    </a:xfrm>
                    <a:prstGeom prst="rect">
                      <a:avLst/>
                    </a:prstGeom>
                  </pic:spPr>
                </pic:pic>
              </a:graphicData>
            </a:graphic>
            <wp14:sizeRelH relativeFrom="margin">
              <wp14:pctWidth>0</wp14:pctWidth>
            </wp14:sizeRelH>
            <wp14:sizeRelV relativeFrom="margin">
              <wp14:pctHeight>0</wp14:pctHeight>
            </wp14:sizeRelV>
          </wp:anchor>
        </w:drawing>
      </w:r>
      <w:r w:rsidR="008B629F" w:rsidRPr="008B629F">
        <w:rPr>
          <w:rFonts w:cs="Times New Roman"/>
          <w:lang w:val="en-US"/>
        </w:rPr>
        <w:t xml:space="preserve">Figure </w:t>
      </w:r>
      <w:r>
        <w:rPr>
          <w:rFonts w:cs="Times New Roman"/>
          <w:lang w:val="en-US"/>
        </w:rPr>
        <w:t>2.21</w:t>
      </w:r>
      <w:r w:rsidR="008B629F" w:rsidRPr="008B629F">
        <w:rPr>
          <w:rFonts w:cs="Times New Roman"/>
          <w:lang w:val="en-US"/>
        </w:rPr>
        <w:t>a shows the trend of pub</w:t>
      </w:r>
      <w:r w:rsidR="00732E1F">
        <w:rPr>
          <w:rFonts w:cs="Times New Roman"/>
          <w:lang w:val="en-US"/>
        </w:rPr>
        <w:t>lications</w:t>
      </w:r>
      <w:r w:rsidR="008B629F" w:rsidRPr="008B629F">
        <w:rPr>
          <w:rFonts w:cs="Times New Roman"/>
          <w:lang w:val="en-US"/>
        </w:rPr>
        <w:t xml:space="preserve"> by year produced by Scopus. After a long period of low activity, publications start to climb in the late 2000s, accelerate from 2015, and show a marked surge in 2020–2024. The rise aligns with the maturity of microencapsulated PCM technologies, the growth of wearables and smart textiles, and increasing focus on mitigation in industry, defense, sport, and urban environments. Figure </w:t>
      </w:r>
      <w:r>
        <w:rPr>
          <w:rFonts w:cs="Times New Roman"/>
          <w:lang w:val="en-US"/>
        </w:rPr>
        <w:t>2.21</w:t>
      </w:r>
      <w:r w:rsidR="008B629F" w:rsidRPr="008B629F">
        <w:rPr>
          <w:rFonts w:cs="Times New Roman"/>
          <w:lang w:val="en-US"/>
        </w:rPr>
        <w:t>b shows the number of pub</w:t>
      </w:r>
      <w:r w:rsidR="00732E1F">
        <w:rPr>
          <w:rFonts w:cs="Times New Roman"/>
          <w:lang w:val="en-US"/>
        </w:rPr>
        <w:t>lications</w:t>
      </w:r>
      <w:r w:rsidR="008B629F" w:rsidRPr="008B629F">
        <w:rPr>
          <w:rFonts w:cs="Times New Roman"/>
          <w:lang w:val="en-US"/>
        </w:rPr>
        <w:t xml:space="preserve"> by country produced by Scopus. he leading contributors are large textile-producing countries (notably in Asia), followed by the United States and several European nations. This pattern reflects strong manufacturing bases, hot-climate exposure</w:t>
      </w:r>
      <w:r w:rsidR="00732E1F">
        <w:rPr>
          <w:rFonts w:cs="Times New Roman"/>
          <w:lang w:val="en-US"/>
        </w:rPr>
        <w:t>,</w:t>
      </w:r>
      <w:r w:rsidR="008B629F" w:rsidRPr="008B629F">
        <w:rPr>
          <w:rFonts w:cs="Times New Roman"/>
          <w:lang w:val="en-US"/>
        </w:rPr>
        <w:t xml:space="preserve"> and active programs on occupational health and advanced materials. Figure </w:t>
      </w:r>
      <w:r>
        <w:rPr>
          <w:rFonts w:cs="Times New Roman"/>
          <w:lang w:val="en-US"/>
        </w:rPr>
        <w:t>2.2</w:t>
      </w:r>
      <w:r w:rsidR="008B629F" w:rsidRPr="008B629F">
        <w:rPr>
          <w:rFonts w:cs="Times New Roman"/>
          <w:lang w:val="en-US"/>
        </w:rPr>
        <w:t xml:space="preserve">2 shows the trend of documents per year by source. </w:t>
      </w:r>
      <w:r w:rsidR="00732E1F">
        <w:rPr>
          <w:rFonts w:cs="Times New Roman"/>
          <w:lang w:val="en-US"/>
        </w:rPr>
        <w:t xml:space="preserve">The </w:t>
      </w:r>
      <w:r w:rsidR="008B629F" w:rsidRPr="008B629F">
        <w:rPr>
          <w:rFonts w:cs="Times New Roman"/>
          <w:lang w:val="en-US"/>
        </w:rPr>
        <w:t>chart shows a diversification of publication venues on PCMs in buildings. Energy and Buildings is the historical outlet: it grows from 2008, peaks around 2014–2017, then stabilizes. From 2021, the Journal of Energy Storage r</w:t>
      </w:r>
      <w:r w:rsidR="00732E1F">
        <w:rPr>
          <w:rFonts w:cs="Times New Roman"/>
          <w:lang w:val="en-US"/>
        </w:rPr>
        <w:t>ose</w:t>
      </w:r>
      <w:r w:rsidR="008B629F" w:rsidRPr="008B629F">
        <w:rPr>
          <w:rFonts w:cs="Times New Roman"/>
          <w:lang w:val="en-US"/>
        </w:rPr>
        <w:t xml:space="preserve"> sharply, leading annual volumes and reaching highs in 2022–2024, indicating that PCMs are framed as storage and load-shifting technologies. The Journal of Building Engineering </w:t>
      </w:r>
      <w:r w:rsidR="00732E1F">
        <w:rPr>
          <w:rFonts w:cs="Times New Roman"/>
          <w:lang w:val="en-US"/>
        </w:rPr>
        <w:t>has grown</w:t>
      </w:r>
      <w:r w:rsidR="008B629F" w:rsidRPr="008B629F">
        <w:rPr>
          <w:rFonts w:cs="Times New Roman"/>
          <w:lang w:val="en-US"/>
        </w:rPr>
        <w:t xml:space="preserve"> rapidly </w:t>
      </w:r>
      <w:r w:rsidR="00732E1F">
        <w:rPr>
          <w:rFonts w:cs="Times New Roman"/>
          <w:lang w:val="en-US"/>
        </w:rPr>
        <w:t>since</w:t>
      </w:r>
      <w:r w:rsidR="008B629F" w:rsidRPr="008B629F">
        <w:rPr>
          <w:rFonts w:cs="Times New Roman"/>
          <w:lang w:val="en-US"/>
        </w:rPr>
        <w:t xml:space="preserve"> 2019</w:t>
      </w:r>
      <w:r w:rsidR="00732E1F">
        <w:rPr>
          <w:rFonts w:cs="Times New Roman"/>
          <w:lang w:val="en-US"/>
        </w:rPr>
        <w:t>,</w:t>
      </w:r>
      <w:r w:rsidR="008B629F" w:rsidRPr="008B629F">
        <w:rPr>
          <w:rFonts w:cs="Times New Roman"/>
          <w:lang w:val="en-US"/>
        </w:rPr>
        <w:t xml:space="preserve"> with peaks in 2023–2024, consistent with PCM envelope and construction integration. Applied Thermal Engineering and Construction and Building Materials show steady growth with recent highs, pointing to attention on thermo-mechanical performance and materials development. Table </w:t>
      </w:r>
      <w:r>
        <w:rPr>
          <w:rFonts w:cs="Times New Roman"/>
          <w:lang w:val="en-US"/>
        </w:rPr>
        <w:t>2.14</w:t>
      </w:r>
      <w:r w:rsidR="008B629F" w:rsidRPr="008B629F">
        <w:rPr>
          <w:rFonts w:cs="Times New Roman"/>
          <w:lang w:val="en-US"/>
        </w:rPr>
        <w:t xml:space="preserve"> compiles the most relevant contributions on the use of PCMs in textiles and cooling garments. For each article, the title, authors, source, year, citation count, and key findings are reported.</w:t>
      </w:r>
    </w:p>
    <w:tbl>
      <w:tblPr>
        <w:tblStyle w:val="TableGrid"/>
        <w:tblW w:w="0" w:type="auto"/>
        <w:tblLayout w:type="fixed"/>
        <w:tblLook w:val="04A0" w:firstRow="1" w:lastRow="0" w:firstColumn="1" w:lastColumn="0" w:noHBand="0" w:noVBand="1"/>
      </w:tblPr>
      <w:tblGrid>
        <w:gridCol w:w="1780"/>
        <w:gridCol w:w="1456"/>
        <w:gridCol w:w="1550"/>
        <w:gridCol w:w="798"/>
        <w:gridCol w:w="1074"/>
        <w:gridCol w:w="2198"/>
      </w:tblGrid>
      <w:tr w:rsidR="008B629F" w:rsidRPr="008B629F" w14:paraId="72052B96" w14:textId="77777777" w:rsidTr="004B352D">
        <w:tc>
          <w:tcPr>
            <w:tcW w:w="1780" w:type="dxa"/>
            <w:shd w:val="clear" w:color="auto" w:fill="8EA5B6"/>
            <w:vAlign w:val="center"/>
          </w:tcPr>
          <w:p w14:paraId="07ECDCA9" w14:textId="77777777" w:rsidR="008B629F" w:rsidRPr="004B352D" w:rsidRDefault="008B629F" w:rsidP="004B352D">
            <w:pPr>
              <w:jc w:val="center"/>
              <w:rPr>
                <w:rFonts w:cs="Times New Roman"/>
                <w:b/>
                <w:bCs/>
                <w:sz w:val="18"/>
                <w:szCs w:val="18"/>
              </w:rPr>
            </w:pPr>
            <w:r w:rsidRPr="004B352D">
              <w:rPr>
                <w:rFonts w:cs="Times New Roman"/>
                <w:b/>
                <w:bCs/>
                <w:sz w:val="18"/>
                <w:szCs w:val="18"/>
              </w:rPr>
              <w:t>Title</w:t>
            </w:r>
          </w:p>
        </w:tc>
        <w:tc>
          <w:tcPr>
            <w:tcW w:w="1456" w:type="dxa"/>
            <w:shd w:val="clear" w:color="auto" w:fill="8EA5B6"/>
            <w:vAlign w:val="center"/>
          </w:tcPr>
          <w:p w14:paraId="24D9F87E" w14:textId="77777777" w:rsidR="008B629F" w:rsidRPr="004B352D" w:rsidRDefault="008B629F" w:rsidP="004B352D">
            <w:pPr>
              <w:jc w:val="center"/>
              <w:rPr>
                <w:rFonts w:cs="Times New Roman"/>
                <w:b/>
                <w:bCs/>
                <w:sz w:val="18"/>
                <w:szCs w:val="18"/>
              </w:rPr>
            </w:pPr>
            <w:r w:rsidRPr="004B352D">
              <w:rPr>
                <w:rFonts w:cs="Times New Roman"/>
                <w:b/>
                <w:bCs/>
                <w:sz w:val="18"/>
                <w:szCs w:val="18"/>
              </w:rPr>
              <w:t>Authors</w:t>
            </w:r>
          </w:p>
        </w:tc>
        <w:tc>
          <w:tcPr>
            <w:tcW w:w="1550" w:type="dxa"/>
            <w:shd w:val="clear" w:color="auto" w:fill="8EA5B6"/>
            <w:vAlign w:val="center"/>
          </w:tcPr>
          <w:p w14:paraId="591EBCFC" w14:textId="77777777" w:rsidR="008B629F" w:rsidRPr="004B352D" w:rsidRDefault="008B629F" w:rsidP="004B352D">
            <w:pPr>
              <w:jc w:val="center"/>
              <w:rPr>
                <w:rFonts w:cs="Times New Roman"/>
                <w:b/>
                <w:bCs/>
                <w:sz w:val="18"/>
                <w:szCs w:val="18"/>
              </w:rPr>
            </w:pPr>
            <w:r w:rsidRPr="004B352D">
              <w:rPr>
                <w:rFonts w:cs="Times New Roman"/>
                <w:b/>
                <w:bCs/>
                <w:sz w:val="18"/>
                <w:szCs w:val="18"/>
              </w:rPr>
              <w:t>Source</w:t>
            </w:r>
          </w:p>
        </w:tc>
        <w:tc>
          <w:tcPr>
            <w:tcW w:w="798" w:type="dxa"/>
            <w:shd w:val="clear" w:color="auto" w:fill="8EA5B6"/>
            <w:vAlign w:val="center"/>
          </w:tcPr>
          <w:p w14:paraId="0B44E6C4" w14:textId="77777777" w:rsidR="008B629F" w:rsidRPr="004B352D" w:rsidRDefault="008B629F" w:rsidP="004B352D">
            <w:pPr>
              <w:jc w:val="center"/>
              <w:rPr>
                <w:rFonts w:cs="Times New Roman"/>
                <w:b/>
                <w:bCs/>
                <w:sz w:val="18"/>
                <w:szCs w:val="18"/>
              </w:rPr>
            </w:pPr>
            <w:r w:rsidRPr="004B352D">
              <w:rPr>
                <w:rFonts w:cs="Times New Roman"/>
                <w:b/>
                <w:bCs/>
                <w:sz w:val="18"/>
                <w:szCs w:val="18"/>
              </w:rPr>
              <w:t>Year</w:t>
            </w:r>
          </w:p>
        </w:tc>
        <w:tc>
          <w:tcPr>
            <w:tcW w:w="1074" w:type="dxa"/>
            <w:shd w:val="clear" w:color="auto" w:fill="8EA5B6"/>
            <w:vAlign w:val="center"/>
          </w:tcPr>
          <w:p w14:paraId="6D55B129" w14:textId="77777777" w:rsidR="008B629F" w:rsidRPr="004B352D" w:rsidRDefault="008B629F" w:rsidP="004B352D">
            <w:pPr>
              <w:jc w:val="center"/>
              <w:rPr>
                <w:rFonts w:cs="Times New Roman"/>
                <w:b/>
                <w:bCs/>
                <w:sz w:val="18"/>
                <w:szCs w:val="18"/>
              </w:rPr>
            </w:pPr>
            <w:r w:rsidRPr="004B352D">
              <w:rPr>
                <w:rFonts w:cs="Times New Roman"/>
                <w:b/>
                <w:bCs/>
                <w:sz w:val="18"/>
                <w:szCs w:val="18"/>
              </w:rPr>
              <w:t>Citations</w:t>
            </w:r>
          </w:p>
        </w:tc>
        <w:tc>
          <w:tcPr>
            <w:tcW w:w="2198" w:type="dxa"/>
            <w:shd w:val="clear" w:color="auto" w:fill="8EA5B6"/>
            <w:vAlign w:val="center"/>
          </w:tcPr>
          <w:p w14:paraId="0B7A686F" w14:textId="77777777" w:rsidR="008B629F" w:rsidRPr="004B352D" w:rsidRDefault="008B629F" w:rsidP="00732E1F">
            <w:pPr>
              <w:jc w:val="center"/>
              <w:rPr>
                <w:rFonts w:cs="Times New Roman"/>
                <w:b/>
                <w:bCs/>
                <w:sz w:val="18"/>
                <w:szCs w:val="18"/>
              </w:rPr>
            </w:pPr>
            <w:r w:rsidRPr="004B352D">
              <w:rPr>
                <w:rFonts w:cs="Times New Roman"/>
                <w:b/>
                <w:bCs/>
                <w:sz w:val="18"/>
                <w:szCs w:val="18"/>
              </w:rPr>
              <w:t>Abstract summary</w:t>
            </w:r>
          </w:p>
        </w:tc>
      </w:tr>
      <w:tr w:rsidR="008B629F" w:rsidRPr="00736B36" w14:paraId="1C9B2576" w14:textId="77777777" w:rsidTr="004B352D">
        <w:tc>
          <w:tcPr>
            <w:tcW w:w="1780" w:type="dxa"/>
            <w:vAlign w:val="center"/>
          </w:tcPr>
          <w:p w14:paraId="4B65FB59" w14:textId="77777777" w:rsidR="008B629F" w:rsidRPr="008B629F" w:rsidRDefault="008B629F" w:rsidP="004B352D">
            <w:pPr>
              <w:jc w:val="center"/>
              <w:rPr>
                <w:rFonts w:cs="Times New Roman"/>
                <w:sz w:val="18"/>
                <w:szCs w:val="18"/>
                <w:lang w:val="en-US"/>
              </w:rPr>
            </w:pPr>
            <w:r w:rsidRPr="008B629F">
              <w:rPr>
                <w:rFonts w:cs="Times New Roman"/>
                <w:sz w:val="18"/>
                <w:szCs w:val="18"/>
                <w:lang w:val="en-US"/>
              </w:rPr>
              <w:t>Phase change materials for smart textiles - An overview</w:t>
            </w:r>
          </w:p>
        </w:tc>
        <w:tc>
          <w:tcPr>
            <w:tcW w:w="1456" w:type="dxa"/>
            <w:vAlign w:val="center"/>
          </w:tcPr>
          <w:p w14:paraId="226867DD" w14:textId="77777777" w:rsidR="008B629F" w:rsidRPr="008B629F" w:rsidRDefault="008B629F" w:rsidP="004B352D">
            <w:pPr>
              <w:jc w:val="center"/>
              <w:rPr>
                <w:rFonts w:cs="Times New Roman"/>
                <w:sz w:val="18"/>
                <w:szCs w:val="18"/>
              </w:rPr>
            </w:pPr>
            <w:r w:rsidRPr="008B629F">
              <w:rPr>
                <w:rFonts w:cs="Times New Roman"/>
                <w:sz w:val="18"/>
                <w:szCs w:val="18"/>
              </w:rPr>
              <w:t>Mondal, S.</w:t>
            </w:r>
          </w:p>
        </w:tc>
        <w:tc>
          <w:tcPr>
            <w:tcW w:w="1550" w:type="dxa"/>
            <w:vAlign w:val="center"/>
          </w:tcPr>
          <w:p w14:paraId="1A655DA8" w14:textId="77777777" w:rsidR="008B629F" w:rsidRPr="008B629F" w:rsidRDefault="008B629F" w:rsidP="004B352D">
            <w:pPr>
              <w:jc w:val="center"/>
              <w:rPr>
                <w:rFonts w:cs="Times New Roman"/>
                <w:sz w:val="18"/>
                <w:szCs w:val="18"/>
              </w:rPr>
            </w:pPr>
            <w:r w:rsidRPr="008B629F">
              <w:rPr>
                <w:rFonts w:cs="Times New Roman"/>
                <w:sz w:val="18"/>
                <w:szCs w:val="18"/>
              </w:rPr>
              <w:t>Applied Thermal Engineering, 28(11-12), pp. 1536–1550</w:t>
            </w:r>
          </w:p>
        </w:tc>
        <w:tc>
          <w:tcPr>
            <w:tcW w:w="798" w:type="dxa"/>
            <w:vAlign w:val="center"/>
          </w:tcPr>
          <w:p w14:paraId="3DC6BDBD" w14:textId="77777777" w:rsidR="008B629F" w:rsidRPr="008B629F" w:rsidRDefault="008B629F" w:rsidP="004B352D">
            <w:pPr>
              <w:jc w:val="center"/>
              <w:rPr>
                <w:rFonts w:cs="Times New Roman"/>
                <w:sz w:val="18"/>
                <w:szCs w:val="18"/>
              </w:rPr>
            </w:pPr>
            <w:r w:rsidRPr="008B629F">
              <w:rPr>
                <w:rFonts w:cs="Times New Roman"/>
                <w:sz w:val="18"/>
                <w:szCs w:val="18"/>
              </w:rPr>
              <w:t>2008</w:t>
            </w:r>
          </w:p>
        </w:tc>
        <w:tc>
          <w:tcPr>
            <w:tcW w:w="1074" w:type="dxa"/>
            <w:vAlign w:val="center"/>
          </w:tcPr>
          <w:p w14:paraId="0C69CEFC" w14:textId="77777777" w:rsidR="008B629F" w:rsidRPr="008B629F" w:rsidRDefault="008B629F" w:rsidP="004B352D">
            <w:pPr>
              <w:jc w:val="center"/>
              <w:rPr>
                <w:rFonts w:cs="Times New Roman"/>
                <w:sz w:val="18"/>
                <w:szCs w:val="18"/>
              </w:rPr>
            </w:pPr>
            <w:r w:rsidRPr="008B629F">
              <w:rPr>
                <w:rFonts w:cs="Times New Roman"/>
                <w:sz w:val="18"/>
                <w:szCs w:val="18"/>
              </w:rPr>
              <w:t>Over</w:t>
            </w:r>
            <w:r w:rsidRPr="008B629F">
              <w:rPr>
                <w:rFonts w:cs="Times New Roman"/>
                <w:sz w:val="18"/>
                <w:szCs w:val="18"/>
              </w:rPr>
              <w:br/>
              <w:t>1,100</w:t>
            </w:r>
          </w:p>
        </w:tc>
        <w:tc>
          <w:tcPr>
            <w:tcW w:w="2198" w:type="dxa"/>
            <w:vAlign w:val="center"/>
          </w:tcPr>
          <w:p w14:paraId="081EB1E4" w14:textId="11995AC4" w:rsidR="008B629F" w:rsidRPr="008B629F" w:rsidRDefault="008B629F" w:rsidP="00732E1F">
            <w:pPr>
              <w:rPr>
                <w:rFonts w:cs="Times New Roman"/>
                <w:sz w:val="18"/>
                <w:szCs w:val="18"/>
                <w:lang w:val="en-US"/>
              </w:rPr>
            </w:pPr>
            <w:r w:rsidRPr="008B629F">
              <w:rPr>
                <w:rFonts w:cs="Times New Roman"/>
                <w:sz w:val="18"/>
                <w:szCs w:val="18"/>
                <w:lang w:val="en-US"/>
              </w:rPr>
              <w:t>How PCMs store/release latent heat; coating/encapsulation in fabrics for thermo‑regulated clothing; comfort basics, integration methods, applications, market, and challenges.</w:t>
            </w:r>
          </w:p>
        </w:tc>
      </w:tr>
      <w:tr w:rsidR="008B629F" w:rsidRPr="00736B36" w14:paraId="6F471C73" w14:textId="77777777" w:rsidTr="004B352D">
        <w:tc>
          <w:tcPr>
            <w:tcW w:w="1780" w:type="dxa"/>
            <w:vAlign w:val="center"/>
          </w:tcPr>
          <w:p w14:paraId="165FDFA6" w14:textId="6D267D56" w:rsidR="008B629F" w:rsidRPr="004B352D" w:rsidRDefault="008B629F" w:rsidP="004B352D">
            <w:pPr>
              <w:jc w:val="center"/>
              <w:rPr>
                <w:rFonts w:cs="Times New Roman"/>
                <w:b/>
                <w:bCs/>
                <w:sz w:val="18"/>
                <w:szCs w:val="18"/>
                <w:lang w:val="en-US"/>
              </w:rPr>
            </w:pPr>
            <w:r w:rsidRPr="008B629F">
              <w:rPr>
                <w:rFonts w:cs="Times New Roman"/>
                <w:sz w:val="18"/>
                <w:szCs w:val="18"/>
                <w:lang w:val="en-US"/>
              </w:rPr>
              <w:t xml:space="preserve">Effect of the cooling clothing integrating with </w:t>
            </w:r>
            <w:r w:rsidRPr="008B629F">
              <w:rPr>
                <w:rFonts w:cs="Times New Roman"/>
                <w:sz w:val="18"/>
                <w:szCs w:val="18"/>
                <w:lang w:val="en-US"/>
              </w:rPr>
              <w:lastRenderedPageBreak/>
              <w:t>phase change material on the thermal comfort of healthcare workers with personal protective equipment during the COVID-19</w:t>
            </w:r>
          </w:p>
        </w:tc>
        <w:tc>
          <w:tcPr>
            <w:tcW w:w="1456" w:type="dxa"/>
            <w:vAlign w:val="center"/>
          </w:tcPr>
          <w:p w14:paraId="7713944E" w14:textId="77777777" w:rsidR="008B629F" w:rsidRPr="008B629F" w:rsidRDefault="008B629F" w:rsidP="004B352D">
            <w:pPr>
              <w:jc w:val="center"/>
              <w:rPr>
                <w:rFonts w:cs="Times New Roman"/>
                <w:sz w:val="18"/>
                <w:szCs w:val="18"/>
              </w:rPr>
            </w:pPr>
            <w:r w:rsidRPr="008B629F">
              <w:rPr>
                <w:rFonts w:cs="Times New Roman"/>
                <w:sz w:val="18"/>
                <w:szCs w:val="18"/>
              </w:rPr>
              <w:lastRenderedPageBreak/>
              <w:t>Hu, C., Wang, Z., Bo, R., Li, C., Meng, X.</w:t>
            </w:r>
          </w:p>
        </w:tc>
        <w:tc>
          <w:tcPr>
            <w:tcW w:w="1550" w:type="dxa"/>
            <w:vAlign w:val="center"/>
          </w:tcPr>
          <w:p w14:paraId="452D6C99" w14:textId="77777777" w:rsidR="008B629F" w:rsidRPr="008B629F" w:rsidRDefault="008B629F" w:rsidP="004B352D">
            <w:pPr>
              <w:jc w:val="center"/>
              <w:rPr>
                <w:rFonts w:cs="Times New Roman"/>
                <w:sz w:val="18"/>
                <w:szCs w:val="18"/>
                <w:lang w:val="en-US"/>
              </w:rPr>
            </w:pPr>
            <w:r w:rsidRPr="008B629F">
              <w:rPr>
                <w:rFonts w:cs="Times New Roman"/>
                <w:sz w:val="18"/>
                <w:szCs w:val="18"/>
                <w:lang w:val="en-US"/>
              </w:rPr>
              <w:t xml:space="preserve">Case Studies in Thermal </w:t>
            </w:r>
            <w:r w:rsidRPr="008B629F">
              <w:rPr>
                <w:rFonts w:cs="Times New Roman"/>
                <w:sz w:val="18"/>
                <w:szCs w:val="18"/>
                <w:lang w:val="en-US"/>
              </w:rPr>
              <w:lastRenderedPageBreak/>
              <w:t>Engineering, 42, 102725</w:t>
            </w:r>
          </w:p>
        </w:tc>
        <w:tc>
          <w:tcPr>
            <w:tcW w:w="798" w:type="dxa"/>
            <w:vAlign w:val="center"/>
          </w:tcPr>
          <w:p w14:paraId="7AABF196" w14:textId="77777777" w:rsidR="008B629F" w:rsidRPr="008B629F" w:rsidRDefault="008B629F" w:rsidP="004B352D">
            <w:pPr>
              <w:jc w:val="center"/>
              <w:rPr>
                <w:rFonts w:cs="Times New Roman"/>
                <w:sz w:val="18"/>
                <w:szCs w:val="18"/>
              </w:rPr>
            </w:pPr>
            <w:r w:rsidRPr="008B629F">
              <w:rPr>
                <w:rFonts w:cs="Times New Roman"/>
                <w:sz w:val="18"/>
                <w:szCs w:val="18"/>
              </w:rPr>
              <w:lastRenderedPageBreak/>
              <w:t>2023</w:t>
            </w:r>
          </w:p>
        </w:tc>
        <w:tc>
          <w:tcPr>
            <w:tcW w:w="1074" w:type="dxa"/>
            <w:vAlign w:val="center"/>
          </w:tcPr>
          <w:p w14:paraId="315FF6B0" w14:textId="77777777" w:rsidR="008B629F" w:rsidRPr="008B629F" w:rsidRDefault="008B629F" w:rsidP="004B352D">
            <w:pPr>
              <w:jc w:val="center"/>
              <w:rPr>
                <w:rFonts w:cs="Times New Roman"/>
                <w:sz w:val="18"/>
                <w:szCs w:val="18"/>
              </w:rPr>
            </w:pPr>
            <w:r w:rsidRPr="008B629F">
              <w:rPr>
                <w:rFonts w:cs="Times New Roman"/>
                <w:sz w:val="18"/>
                <w:szCs w:val="18"/>
              </w:rPr>
              <w:t>53</w:t>
            </w:r>
          </w:p>
        </w:tc>
        <w:tc>
          <w:tcPr>
            <w:tcW w:w="2198" w:type="dxa"/>
            <w:vAlign w:val="center"/>
          </w:tcPr>
          <w:p w14:paraId="498786B1" w14:textId="77777777" w:rsidR="008B629F" w:rsidRPr="008B629F" w:rsidRDefault="008B629F" w:rsidP="00732E1F">
            <w:pPr>
              <w:rPr>
                <w:rFonts w:cs="Times New Roman"/>
                <w:sz w:val="18"/>
                <w:szCs w:val="18"/>
                <w:lang w:val="en-US"/>
              </w:rPr>
            </w:pPr>
            <w:r w:rsidRPr="008B629F">
              <w:rPr>
                <w:rFonts w:cs="Times New Roman"/>
                <w:sz w:val="18"/>
                <w:szCs w:val="18"/>
                <w:lang w:val="en-US"/>
              </w:rPr>
              <w:t xml:space="preserve">Human tests: PCM clothing cuts head/facial discomfort (−25%/−41% </w:t>
            </w:r>
            <w:r w:rsidRPr="008B629F">
              <w:rPr>
                <w:rFonts w:cs="Times New Roman"/>
                <w:sz w:val="18"/>
                <w:szCs w:val="18"/>
                <w:lang w:val="en-US"/>
              </w:rPr>
              <w:lastRenderedPageBreak/>
              <w:t>at 26 °C), lowers mean skin (~−0.65 °C), and shifts thermal sensation toward neutral at 26–32 °C.</w:t>
            </w:r>
          </w:p>
        </w:tc>
      </w:tr>
      <w:tr w:rsidR="008B629F" w:rsidRPr="00736B36" w14:paraId="4C913C9B" w14:textId="77777777" w:rsidTr="004B352D">
        <w:tc>
          <w:tcPr>
            <w:tcW w:w="1780" w:type="dxa"/>
            <w:vAlign w:val="center"/>
          </w:tcPr>
          <w:p w14:paraId="31743C55" w14:textId="0F22EF8D" w:rsidR="008B629F" w:rsidRPr="004B352D" w:rsidRDefault="008B629F" w:rsidP="004B352D">
            <w:pPr>
              <w:jc w:val="center"/>
              <w:rPr>
                <w:rFonts w:cs="Times New Roman"/>
                <w:b/>
                <w:bCs/>
                <w:sz w:val="18"/>
                <w:szCs w:val="18"/>
                <w:lang w:val="en-US"/>
              </w:rPr>
            </w:pPr>
            <w:r w:rsidRPr="008B629F">
              <w:rPr>
                <w:rFonts w:cs="Times New Roman"/>
                <w:sz w:val="18"/>
                <w:szCs w:val="18"/>
                <w:lang w:val="en-US"/>
              </w:rPr>
              <w:lastRenderedPageBreak/>
              <w:t>Numerical analysis of cooling effect of hybrid cooling clothing incorporated with phase change material (PCM) packs and air ventilation fans</w:t>
            </w:r>
          </w:p>
        </w:tc>
        <w:tc>
          <w:tcPr>
            <w:tcW w:w="1456" w:type="dxa"/>
            <w:vAlign w:val="center"/>
          </w:tcPr>
          <w:p w14:paraId="533B58E7" w14:textId="77777777" w:rsidR="008B629F" w:rsidRPr="008B629F" w:rsidRDefault="008B629F" w:rsidP="004B352D">
            <w:pPr>
              <w:jc w:val="center"/>
              <w:rPr>
                <w:rFonts w:cs="Times New Roman"/>
                <w:sz w:val="18"/>
                <w:szCs w:val="18"/>
                <w:lang w:val="en-US"/>
              </w:rPr>
            </w:pPr>
            <w:r w:rsidRPr="008B629F">
              <w:rPr>
                <w:rFonts w:cs="Times New Roman"/>
                <w:sz w:val="18"/>
                <w:szCs w:val="18"/>
                <w:lang w:val="en-US"/>
              </w:rPr>
              <w:t>Wan, X., Wang, F., Udayraj</w:t>
            </w:r>
          </w:p>
        </w:tc>
        <w:tc>
          <w:tcPr>
            <w:tcW w:w="1550" w:type="dxa"/>
            <w:vAlign w:val="center"/>
          </w:tcPr>
          <w:p w14:paraId="26CE6F76" w14:textId="77777777" w:rsidR="008B629F" w:rsidRPr="008B629F" w:rsidRDefault="008B629F" w:rsidP="004B352D">
            <w:pPr>
              <w:jc w:val="center"/>
              <w:rPr>
                <w:rFonts w:cs="Times New Roman"/>
                <w:sz w:val="18"/>
                <w:szCs w:val="18"/>
                <w:lang w:val="en-US"/>
              </w:rPr>
            </w:pPr>
            <w:r w:rsidRPr="008B629F">
              <w:rPr>
                <w:rFonts w:cs="Times New Roman"/>
                <w:sz w:val="18"/>
                <w:szCs w:val="18"/>
                <w:lang w:val="en-US"/>
              </w:rPr>
              <w:t>International Journal of Heat and Mass Transfer, 126, pp. 636–648</w:t>
            </w:r>
          </w:p>
        </w:tc>
        <w:tc>
          <w:tcPr>
            <w:tcW w:w="798" w:type="dxa"/>
            <w:vAlign w:val="center"/>
          </w:tcPr>
          <w:p w14:paraId="5896B7AA" w14:textId="77777777" w:rsidR="008B629F" w:rsidRPr="008B629F" w:rsidRDefault="008B629F" w:rsidP="004B352D">
            <w:pPr>
              <w:jc w:val="center"/>
              <w:rPr>
                <w:rFonts w:cs="Times New Roman"/>
                <w:sz w:val="18"/>
                <w:szCs w:val="18"/>
              </w:rPr>
            </w:pPr>
            <w:r w:rsidRPr="008B629F">
              <w:rPr>
                <w:rFonts w:cs="Times New Roman"/>
                <w:sz w:val="18"/>
                <w:szCs w:val="18"/>
              </w:rPr>
              <w:t>2018</w:t>
            </w:r>
          </w:p>
        </w:tc>
        <w:tc>
          <w:tcPr>
            <w:tcW w:w="1074" w:type="dxa"/>
            <w:vAlign w:val="center"/>
          </w:tcPr>
          <w:p w14:paraId="2910DEA2" w14:textId="77777777" w:rsidR="008B629F" w:rsidRPr="008B629F" w:rsidRDefault="008B629F" w:rsidP="004B352D">
            <w:pPr>
              <w:jc w:val="center"/>
              <w:rPr>
                <w:rFonts w:cs="Times New Roman"/>
                <w:sz w:val="18"/>
                <w:szCs w:val="18"/>
              </w:rPr>
            </w:pPr>
            <w:r w:rsidRPr="008B629F">
              <w:rPr>
                <w:rFonts w:cs="Times New Roman"/>
                <w:sz w:val="18"/>
                <w:szCs w:val="18"/>
              </w:rPr>
              <w:t>98</w:t>
            </w:r>
          </w:p>
        </w:tc>
        <w:tc>
          <w:tcPr>
            <w:tcW w:w="2198" w:type="dxa"/>
            <w:vAlign w:val="center"/>
          </w:tcPr>
          <w:p w14:paraId="0739B995" w14:textId="77777777" w:rsidR="008B629F" w:rsidRPr="008B629F" w:rsidRDefault="008B629F" w:rsidP="00732E1F">
            <w:pPr>
              <w:rPr>
                <w:rFonts w:cs="Times New Roman"/>
                <w:sz w:val="18"/>
                <w:szCs w:val="18"/>
                <w:lang w:val="en-US"/>
              </w:rPr>
            </w:pPr>
            <w:r w:rsidRPr="008B629F">
              <w:rPr>
                <w:rFonts w:cs="Times New Roman"/>
                <w:sz w:val="18"/>
                <w:szCs w:val="18"/>
                <w:lang w:val="en-US"/>
              </w:rPr>
              <w:t>Validated coupled model shows hybrid garments lower clothing system, core, and mean skin temperatures versus fan‑only or PCM‑only in warm environments.</w:t>
            </w:r>
          </w:p>
        </w:tc>
      </w:tr>
      <w:tr w:rsidR="008B629F" w:rsidRPr="00736B36" w14:paraId="466EC42E" w14:textId="77777777" w:rsidTr="004B352D">
        <w:tc>
          <w:tcPr>
            <w:tcW w:w="1780" w:type="dxa"/>
            <w:vAlign w:val="center"/>
          </w:tcPr>
          <w:p w14:paraId="7ACED7FA" w14:textId="77777777" w:rsidR="008B629F" w:rsidRPr="008B629F" w:rsidRDefault="008B629F" w:rsidP="004B352D">
            <w:pPr>
              <w:jc w:val="center"/>
              <w:rPr>
                <w:rFonts w:cs="Times New Roman"/>
                <w:sz w:val="18"/>
                <w:szCs w:val="18"/>
                <w:lang w:val="en-US"/>
              </w:rPr>
            </w:pPr>
            <w:r w:rsidRPr="008B629F">
              <w:rPr>
                <w:rFonts w:cs="Times New Roman"/>
                <w:sz w:val="18"/>
                <w:szCs w:val="18"/>
                <w:lang w:val="en-US"/>
              </w:rPr>
              <w:t>Personal cooling with phase change materials to improve thermal comfort from a heat wave perspective</w:t>
            </w:r>
          </w:p>
        </w:tc>
        <w:tc>
          <w:tcPr>
            <w:tcW w:w="1456" w:type="dxa"/>
            <w:vAlign w:val="center"/>
          </w:tcPr>
          <w:p w14:paraId="6C409192" w14:textId="77777777" w:rsidR="008B629F" w:rsidRPr="00F3557F" w:rsidRDefault="008B629F" w:rsidP="004B352D">
            <w:pPr>
              <w:jc w:val="center"/>
              <w:rPr>
                <w:rFonts w:cs="Times New Roman"/>
                <w:sz w:val="18"/>
                <w:szCs w:val="18"/>
                <w:lang w:val="en-US"/>
              </w:rPr>
            </w:pPr>
            <w:r w:rsidRPr="00F3557F">
              <w:rPr>
                <w:rFonts w:cs="Times New Roman"/>
                <w:sz w:val="18"/>
                <w:szCs w:val="18"/>
                <w:lang w:val="en-US"/>
              </w:rPr>
              <w:t>Gao, C., Kuklane, K., Wang, F., Holmér, I.</w:t>
            </w:r>
          </w:p>
        </w:tc>
        <w:tc>
          <w:tcPr>
            <w:tcW w:w="1550" w:type="dxa"/>
            <w:vAlign w:val="center"/>
          </w:tcPr>
          <w:p w14:paraId="041D82B5" w14:textId="77777777" w:rsidR="008B629F" w:rsidRPr="008B629F" w:rsidRDefault="008B629F" w:rsidP="004B352D">
            <w:pPr>
              <w:jc w:val="center"/>
              <w:rPr>
                <w:rFonts w:cs="Times New Roman"/>
                <w:sz w:val="18"/>
                <w:szCs w:val="18"/>
              </w:rPr>
            </w:pPr>
            <w:r w:rsidRPr="008B629F">
              <w:rPr>
                <w:rFonts w:cs="Times New Roman"/>
                <w:sz w:val="18"/>
                <w:szCs w:val="18"/>
              </w:rPr>
              <w:t>Indoor Air, 22(6), pp. 523–530</w:t>
            </w:r>
          </w:p>
        </w:tc>
        <w:tc>
          <w:tcPr>
            <w:tcW w:w="798" w:type="dxa"/>
            <w:vAlign w:val="center"/>
          </w:tcPr>
          <w:p w14:paraId="7B2C062F" w14:textId="77777777" w:rsidR="008B629F" w:rsidRPr="008B629F" w:rsidRDefault="008B629F" w:rsidP="004B352D">
            <w:pPr>
              <w:jc w:val="center"/>
              <w:rPr>
                <w:rFonts w:cs="Times New Roman"/>
                <w:sz w:val="18"/>
                <w:szCs w:val="18"/>
              </w:rPr>
            </w:pPr>
            <w:r w:rsidRPr="008B629F">
              <w:rPr>
                <w:rFonts w:cs="Times New Roman"/>
                <w:sz w:val="18"/>
                <w:szCs w:val="18"/>
              </w:rPr>
              <w:t>2012</w:t>
            </w:r>
          </w:p>
        </w:tc>
        <w:tc>
          <w:tcPr>
            <w:tcW w:w="1074" w:type="dxa"/>
            <w:vAlign w:val="center"/>
          </w:tcPr>
          <w:p w14:paraId="62F62E43" w14:textId="77777777" w:rsidR="008B629F" w:rsidRPr="008B629F" w:rsidRDefault="008B629F" w:rsidP="004B352D">
            <w:pPr>
              <w:jc w:val="center"/>
              <w:rPr>
                <w:rFonts w:cs="Times New Roman"/>
                <w:sz w:val="18"/>
                <w:szCs w:val="18"/>
              </w:rPr>
            </w:pPr>
            <w:r w:rsidRPr="008B629F">
              <w:rPr>
                <w:rFonts w:cs="Times New Roman"/>
                <w:sz w:val="18"/>
                <w:szCs w:val="18"/>
              </w:rPr>
              <w:t>173</w:t>
            </w:r>
          </w:p>
        </w:tc>
        <w:tc>
          <w:tcPr>
            <w:tcW w:w="2198" w:type="dxa"/>
            <w:vAlign w:val="center"/>
          </w:tcPr>
          <w:p w14:paraId="1DFB22B2" w14:textId="13FA4FCE" w:rsidR="008B629F" w:rsidRPr="008B629F" w:rsidRDefault="008B629F" w:rsidP="00732E1F">
            <w:pPr>
              <w:rPr>
                <w:rFonts w:cs="Times New Roman"/>
                <w:sz w:val="18"/>
                <w:szCs w:val="18"/>
                <w:lang w:val="en-US"/>
              </w:rPr>
            </w:pPr>
            <w:r w:rsidRPr="008B629F">
              <w:rPr>
                <w:rFonts w:cs="Times New Roman"/>
                <w:sz w:val="18"/>
                <w:szCs w:val="18"/>
                <w:lang w:val="en-US"/>
              </w:rPr>
              <w:t>Manikin + subject tests: torso skin −2–3 °C (≈33.3 °C) and improved thermal sensation; wearable PCM cooling can reduce AC reliance and protect vulnerable people.</w:t>
            </w:r>
          </w:p>
        </w:tc>
      </w:tr>
      <w:tr w:rsidR="008B629F" w:rsidRPr="00736B36" w14:paraId="79E35DD7" w14:textId="77777777" w:rsidTr="004B352D">
        <w:tc>
          <w:tcPr>
            <w:tcW w:w="1780" w:type="dxa"/>
            <w:vAlign w:val="center"/>
          </w:tcPr>
          <w:p w14:paraId="2FE8B47D" w14:textId="38B3DE10" w:rsidR="008B629F" w:rsidRPr="004B352D" w:rsidRDefault="008B629F" w:rsidP="004B352D">
            <w:pPr>
              <w:jc w:val="center"/>
              <w:rPr>
                <w:rFonts w:cs="Times New Roman"/>
                <w:b/>
                <w:bCs/>
                <w:sz w:val="18"/>
                <w:szCs w:val="18"/>
                <w:lang w:val="en-US"/>
              </w:rPr>
            </w:pPr>
            <w:r w:rsidRPr="008B629F">
              <w:rPr>
                <w:rFonts w:cs="Times New Roman"/>
                <w:sz w:val="18"/>
                <w:szCs w:val="18"/>
                <w:lang w:val="en-US"/>
              </w:rPr>
              <w:t>Performance enhancement of hybrid personal cooling clothing in a hot environment: PCM cooling energy management with additional insulation</w:t>
            </w:r>
          </w:p>
        </w:tc>
        <w:tc>
          <w:tcPr>
            <w:tcW w:w="1456" w:type="dxa"/>
            <w:vAlign w:val="center"/>
          </w:tcPr>
          <w:p w14:paraId="0D60F97A" w14:textId="77777777" w:rsidR="008B629F" w:rsidRPr="008B629F" w:rsidRDefault="008B629F" w:rsidP="004B352D">
            <w:pPr>
              <w:jc w:val="center"/>
              <w:rPr>
                <w:rFonts w:cs="Times New Roman"/>
                <w:sz w:val="18"/>
                <w:szCs w:val="18"/>
                <w:lang w:val="en-US"/>
              </w:rPr>
            </w:pPr>
            <w:r w:rsidRPr="008B629F">
              <w:rPr>
                <w:rFonts w:cs="Times New Roman"/>
                <w:sz w:val="18"/>
                <w:szCs w:val="18"/>
                <w:lang w:val="en-US"/>
              </w:rPr>
              <w:t>Udayraj, Wang, F., Song, W., ... Chow, C.S.W., Noor, N.</w:t>
            </w:r>
          </w:p>
        </w:tc>
        <w:tc>
          <w:tcPr>
            <w:tcW w:w="1550" w:type="dxa"/>
            <w:vAlign w:val="center"/>
          </w:tcPr>
          <w:p w14:paraId="5C4F7D88" w14:textId="77777777" w:rsidR="008B629F" w:rsidRPr="008B629F" w:rsidRDefault="008B629F" w:rsidP="004B352D">
            <w:pPr>
              <w:jc w:val="center"/>
              <w:rPr>
                <w:rFonts w:cs="Times New Roman"/>
                <w:sz w:val="18"/>
                <w:szCs w:val="18"/>
              </w:rPr>
            </w:pPr>
            <w:r w:rsidRPr="008B629F">
              <w:rPr>
                <w:rFonts w:cs="Times New Roman"/>
                <w:sz w:val="18"/>
                <w:szCs w:val="18"/>
              </w:rPr>
              <w:t>Ergonomics, 62(7), pp. 928–939</w:t>
            </w:r>
          </w:p>
        </w:tc>
        <w:tc>
          <w:tcPr>
            <w:tcW w:w="798" w:type="dxa"/>
            <w:vAlign w:val="center"/>
          </w:tcPr>
          <w:p w14:paraId="708FBDCB" w14:textId="77777777" w:rsidR="008B629F" w:rsidRPr="008B629F" w:rsidRDefault="008B629F" w:rsidP="004B352D">
            <w:pPr>
              <w:jc w:val="center"/>
              <w:rPr>
                <w:rFonts w:cs="Times New Roman"/>
                <w:sz w:val="18"/>
                <w:szCs w:val="18"/>
              </w:rPr>
            </w:pPr>
            <w:r w:rsidRPr="008B629F">
              <w:rPr>
                <w:rFonts w:cs="Times New Roman"/>
                <w:sz w:val="18"/>
                <w:szCs w:val="18"/>
              </w:rPr>
              <w:t>2019</w:t>
            </w:r>
          </w:p>
        </w:tc>
        <w:tc>
          <w:tcPr>
            <w:tcW w:w="1074" w:type="dxa"/>
            <w:vAlign w:val="center"/>
          </w:tcPr>
          <w:p w14:paraId="55710A75" w14:textId="77777777" w:rsidR="008B629F" w:rsidRPr="008B629F" w:rsidRDefault="008B629F" w:rsidP="004B352D">
            <w:pPr>
              <w:jc w:val="center"/>
              <w:rPr>
                <w:rFonts w:cs="Times New Roman"/>
                <w:sz w:val="18"/>
                <w:szCs w:val="18"/>
              </w:rPr>
            </w:pPr>
            <w:r w:rsidRPr="008B629F">
              <w:rPr>
                <w:rFonts w:cs="Times New Roman"/>
                <w:sz w:val="18"/>
                <w:szCs w:val="18"/>
              </w:rPr>
              <w:t>54</w:t>
            </w:r>
          </w:p>
        </w:tc>
        <w:tc>
          <w:tcPr>
            <w:tcW w:w="2198" w:type="dxa"/>
            <w:vAlign w:val="center"/>
          </w:tcPr>
          <w:p w14:paraId="6CAB1221" w14:textId="77777777" w:rsidR="008B629F" w:rsidRPr="008B629F" w:rsidRDefault="008B629F" w:rsidP="00732E1F">
            <w:pPr>
              <w:rPr>
                <w:rFonts w:cs="Times New Roman"/>
                <w:sz w:val="18"/>
                <w:szCs w:val="18"/>
                <w:lang w:val="en-US"/>
              </w:rPr>
            </w:pPr>
            <w:r w:rsidRPr="008B629F">
              <w:rPr>
                <w:rFonts w:cs="Times New Roman"/>
                <w:sz w:val="18"/>
                <w:szCs w:val="18"/>
                <w:lang w:val="en-US"/>
              </w:rPr>
              <w:t>At 36 °C, RH 59%: adding insulation to PCM+fan (HYB+INS) further lowers mean skin/torso vs HYB; insulation adds little with PCM‑only (no fans).</w:t>
            </w:r>
          </w:p>
        </w:tc>
      </w:tr>
      <w:tr w:rsidR="008B629F" w:rsidRPr="00736B36" w14:paraId="292AC51F" w14:textId="77777777" w:rsidTr="004B352D">
        <w:tc>
          <w:tcPr>
            <w:tcW w:w="1780" w:type="dxa"/>
            <w:vAlign w:val="center"/>
          </w:tcPr>
          <w:p w14:paraId="22940A00" w14:textId="77777777" w:rsidR="008B629F" w:rsidRPr="008B629F" w:rsidRDefault="008B629F" w:rsidP="004B352D">
            <w:pPr>
              <w:jc w:val="center"/>
              <w:rPr>
                <w:rFonts w:cs="Times New Roman"/>
                <w:sz w:val="18"/>
                <w:szCs w:val="18"/>
                <w:lang w:val="en-US"/>
              </w:rPr>
            </w:pPr>
            <w:r w:rsidRPr="008B629F">
              <w:rPr>
                <w:rFonts w:cs="Times New Roman"/>
                <w:sz w:val="18"/>
                <w:szCs w:val="18"/>
                <w:lang w:val="en-US"/>
              </w:rPr>
              <w:t>Phase-change materials (PCMs) for warming or cooling in protective clothing</w:t>
            </w:r>
          </w:p>
        </w:tc>
        <w:tc>
          <w:tcPr>
            <w:tcW w:w="1456" w:type="dxa"/>
            <w:vAlign w:val="center"/>
          </w:tcPr>
          <w:p w14:paraId="24507672" w14:textId="77777777" w:rsidR="008B629F" w:rsidRPr="008B629F" w:rsidRDefault="008B629F" w:rsidP="004B352D">
            <w:pPr>
              <w:jc w:val="center"/>
              <w:rPr>
                <w:rFonts w:cs="Times New Roman"/>
                <w:sz w:val="18"/>
                <w:szCs w:val="18"/>
              </w:rPr>
            </w:pPr>
            <w:r w:rsidRPr="008B629F">
              <w:rPr>
                <w:rFonts w:cs="Times New Roman"/>
                <w:sz w:val="18"/>
                <w:szCs w:val="18"/>
              </w:rPr>
              <w:t>Gao, C.</w:t>
            </w:r>
          </w:p>
        </w:tc>
        <w:tc>
          <w:tcPr>
            <w:tcW w:w="1550" w:type="dxa"/>
            <w:vAlign w:val="center"/>
          </w:tcPr>
          <w:p w14:paraId="3DDCC217" w14:textId="77777777" w:rsidR="008B629F" w:rsidRPr="008B629F" w:rsidRDefault="008B629F" w:rsidP="004B352D">
            <w:pPr>
              <w:jc w:val="center"/>
              <w:rPr>
                <w:rFonts w:cs="Times New Roman"/>
                <w:sz w:val="18"/>
                <w:szCs w:val="18"/>
                <w:lang w:val="en-US"/>
              </w:rPr>
            </w:pPr>
            <w:r w:rsidRPr="008B629F">
              <w:rPr>
                <w:rFonts w:cs="Times New Roman"/>
                <w:sz w:val="18"/>
                <w:szCs w:val="18"/>
                <w:lang w:val="en-US"/>
              </w:rPr>
              <w:t>Protective Clothing Managing Thermal Stress, pp. 227–249</w:t>
            </w:r>
          </w:p>
        </w:tc>
        <w:tc>
          <w:tcPr>
            <w:tcW w:w="798" w:type="dxa"/>
            <w:vAlign w:val="center"/>
          </w:tcPr>
          <w:p w14:paraId="590EBB8E" w14:textId="77777777" w:rsidR="008B629F" w:rsidRPr="008B629F" w:rsidRDefault="008B629F" w:rsidP="004B352D">
            <w:pPr>
              <w:jc w:val="center"/>
              <w:rPr>
                <w:rFonts w:cs="Times New Roman"/>
                <w:sz w:val="18"/>
                <w:szCs w:val="18"/>
              </w:rPr>
            </w:pPr>
            <w:r w:rsidRPr="008B629F">
              <w:rPr>
                <w:rFonts w:cs="Times New Roman"/>
                <w:sz w:val="18"/>
                <w:szCs w:val="18"/>
              </w:rPr>
              <w:t>2014</w:t>
            </w:r>
          </w:p>
        </w:tc>
        <w:tc>
          <w:tcPr>
            <w:tcW w:w="1074" w:type="dxa"/>
            <w:vAlign w:val="center"/>
          </w:tcPr>
          <w:p w14:paraId="253E1034" w14:textId="77777777" w:rsidR="008B629F" w:rsidRPr="008B629F" w:rsidRDefault="008B629F" w:rsidP="004B352D">
            <w:pPr>
              <w:jc w:val="center"/>
              <w:rPr>
                <w:rFonts w:cs="Times New Roman"/>
                <w:sz w:val="18"/>
                <w:szCs w:val="18"/>
              </w:rPr>
            </w:pPr>
            <w:r w:rsidRPr="008B629F">
              <w:rPr>
                <w:rFonts w:cs="Times New Roman"/>
                <w:sz w:val="18"/>
                <w:szCs w:val="18"/>
              </w:rPr>
              <w:t>23</w:t>
            </w:r>
          </w:p>
        </w:tc>
        <w:tc>
          <w:tcPr>
            <w:tcW w:w="2198" w:type="dxa"/>
            <w:vAlign w:val="center"/>
          </w:tcPr>
          <w:p w14:paraId="7D2FADC8" w14:textId="0F6A261D" w:rsidR="008B629F" w:rsidRPr="008B629F" w:rsidRDefault="008B629F" w:rsidP="00732E1F">
            <w:pPr>
              <w:rPr>
                <w:rFonts w:cs="Times New Roman"/>
                <w:sz w:val="18"/>
                <w:szCs w:val="18"/>
                <w:lang w:val="en-US"/>
              </w:rPr>
            </w:pPr>
            <w:r w:rsidRPr="008B629F">
              <w:rPr>
                <w:rFonts w:cs="Times New Roman"/>
                <w:sz w:val="18"/>
                <w:szCs w:val="18"/>
                <w:lang w:val="en-US"/>
              </w:rPr>
              <w:t>Types, working principles, textile incorporation routes, effectiveness factors, applications, standards/testing, and future challenges.</w:t>
            </w:r>
          </w:p>
        </w:tc>
      </w:tr>
      <w:tr w:rsidR="008B629F" w:rsidRPr="00736B36" w14:paraId="29E57314" w14:textId="77777777" w:rsidTr="004B352D">
        <w:tc>
          <w:tcPr>
            <w:tcW w:w="1780" w:type="dxa"/>
            <w:vAlign w:val="center"/>
          </w:tcPr>
          <w:p w14:paraId="68D90CA7" w14:textId="77777777" w:rsidR="008B629F" w:rsidRPr="008B629F" w:rsidRDefault="008B629F" w:rsidP="004B352D">
            <w:pPr>
              <w:jc w:val="center"/>
              <w:rPr>
                <w:rFonts w:cs="Times New Roman"/>
                <w:sz w:val="18"/>
                <w:szCs w:val="18"/>
                <w:lang w:val="en-US"/>
              </w:rPr>
            </w:pPr>
            <w:r w:rsidRPr="008B629F">
              <w:rPr>
                <w:rFonts w:cs="Times New Roman"/>
                <w:sz w:val="18"/>
                <w:szCs w:val="18"/>
                <w:lang w:val="en-US"/>
              </w:rPr>
              <w:t>Study of ultra-light modular phase change cooling clothing based on dynamic human thermal comfort modeling</w:t>
            </w:r>
          </w:p>
        </w:tc>
        <w:tc>
          <w:tcPr>
            <w:tcW w:w="1456" w:type="dxa"/>
            <w:vAlign w:val="center"/>
          </w:tcPr>
          <w:p w14:paraId="69C74D10" w14:textId="77777777" w:rsidR="008B629F" w:rsidRPr="008B629F" w:rsidRDefault="008B629F" w:rsidP="004B352D">
            <w:pPr>
              <w:jc w:val="center"/>
              <w:rPr>
                <w:rFonts w:cs="Times New Roman"/>
                <w:sz w:val="18"/>
                <w:szCs w:val="18"/>
              </w:rPr>
            </w:pPr>
            <w:r w:rsidRPr="008B629F">
              <w:rPr>
                <w:rFonts w:cs="Times New Roman"/>
                <w:sz w:val="18"/>
                <w:szCs w:val="18"/>
              </w:rPr>
              <w:t>Li, W., Liang, Y., Liu, C., Ji, Y., Cheng, L.</w:t>
            </w:r>
          </w:p>
        </w:tc>
        <w:tc>
          <w:tcPr>
            <w:tcW w:w="1550" w:type="dxa"/>
            <w:vAlign w:val="center"/>
          </w:tcPr>
          <w:p w14:paraId="1DE45C52" w14:textId="77777777" w:rsidR="008B629F" w:rsidRPr="008B629F" w:rsidRDefault="008B629F" w:rsidP="004B352D">
            <w:pPr>
              <w:jc w:val="center"/>
              <w:rPr>
                <w:rFonts w:cs="Times New Roman"/>
                <w:sz w:val="18"/>
                <w:szCs w:val="18"/>
              </w:rPr>
            </w:pPr>
            <w:r w:rsidRPr="008B629F">
              <w:rPr>
                <w:rFonts w:cs="Times New Roman"/>
                <w:sz w:val="18"/>
                <w:szCs w:val="18"/>
              </w:rPr>
              <w:t>Building and Environment, 222, 109390</w:t>
            </w:r>
          </w:p>
        </w:tc>
        <w:tc>
          <w:tcPr>
            <w:tcW w:w="798" w:type="dxa"/>
            <w:vAlign w:val="center"/>
          </w:tcPr>
          <w:p w14:paraId="5CB672C7" w14:textId="77777777" w:rsidR="008B629F" w:rsidRPr="008B629F" w:rsidRDefault="008B629F" w:rsidP="004B352D">
            <w:pPr>
              <w:jc w:val="center"/>
              <w:rPr>
                <w:rFonts w:cs="Times New Roman"/>
                <w:sz w:val="18"/>
                <w:szCs w:val="18"/>
              </w:rPr>
            </w:pPr>
            <w:r w:rsidRPr="008B629F">
              <w:rPr>
                <w:rFonts w:cs="Times New Roman"/>
                <w:sz w:val="18"/>
                <w:szCs w:val="18"/>
              </w:rPr>
              <w:t>2022</w:t>
            </w:r>
          </w:p>
        </w:tc>
        <w:tc>
          <w:tcPr>
            <w:tcW w:w="1074" w:type="dxa"/>
            <w:vAlign w:val="center"/>
          </w:tcPr>
          <w:p w14:paraId="5E5E36F3" w14:textId="77777777" w:rsidR="008B629F" w:rsidRPr="008B629F" w:rsidRDefault="008B629F" w:rsidP="004B352D">
            <w:pPr>
              <w:jc w:val="center"/>
              <w:rPr>
                <w:rFonts w:cs="Times New Roman"/>
                <w:sz w:val="18"/>
                <w:szCs w:val="18"/>
              </w:rPr>
            </w:pPr>
            <w:r w:rsidRPr="008B629F">
              <w:rPr>
                <w:rFonts w:cs="Times New Roman"/>
                <w:sz w:val="18"/>
                <w:szCs w:val="18"/>
              </w:rPr>
              <w:t>24</w:t>
            </w:r>
          </w:p>
        </w:tc>
        <w:tc>
          <w:tcPr>
            <w:tcW w:w="2198" w:type="dxa"/>
            <w:vAlign w:val="center"/>
          </w:tcPr>
          <w:p w14:paraId="3DE233AE" w14:textId="6411B788" w:rsidR="008B629F" w:rsidRPr="008B629F" w:rsidRDefault="008B629F" w:rsidP="00732E1F">
            <w:pPr>
              <w:rPr>
                <w:rFonts w:cs="Times New Roman"/>
                <w:sz w:val="18"/>
                <w:szCs w:val="18"/>
                <w:lang w:val="en-US"/>
              </w:rPr>
            </w:pPr>
            <w:r w:rsidRPr="008B629F">
              <w:rPr>
                <w:rFonts w:cs="Times New Roman"/>
                <w:sz w:val="18"/>
                <w:szCs w:val="18"/>
                <w:lang w:val="en-US"/>
              </w:rPr>
              <w:t xml:space="preserve">1.39 kg garment keeps comfort ~30 min; average skin −1.10 to −1.78 °C (outdoor walking/indoor sitting &amp; walking); modular </w:t>
            </w:r>
            <w:r w:rsidRPr="008B629F">
              <w:rPr>
                <w:rFonts w:cs="Times New Roman"/>
                <w:sz w:val="18"/>
                <w:szCs w:val="18"/>
                <w:lang w:val="en-US"/>
              </w:rPr>
              <w:lastRenderedPageBreak/>
              <w:t>design eases PCM re‑solidification.</w:t>
            </w:r>
          </w:p>
        </w:tc>
      </w:tr>
      <w:tr w:rsidR="008B629F" w:rsidRPr="00736B36" w14:paraId="4E8209A9" w14:textId="77777777" w:rsidTr="004B352D">
        <w:tc>
          <w:tcPr>
            <w:tcW w:w="1780" w:type="dxa"/>
            <w:vAlign w:val="center"/>
          </w:tcPr>
          <w:p w14:paraId="5EC9E380" w14:textId="5028E84B" w:rsidR="008B629F" w:rsidRPr="004B352D" w:rsidRDefault="008B629F" w:rsidP="004B352D">
            <w:pPr>
              <w:jc w:val="center"/>
              <w:rPr>
                <w:rFonts w:cs="Times New Roman"/>
                <w:b/>
                <w:bCs/>
                <w:sz w:val="18"/>
                <w:szCs w:val="18"/>
                <w:lang w:val="en-US"/>
              </w:rPr>
            </w:pPr>
            <w:r w:rsidRPr="008B629F">
              <w:rPr>
                <w:rFonts w:cs="Times New Roman"/>
                <w:sz w:val="18"/>
                <w:szCs w:val="18"/>
                <w:lang w:val="en-US"/>
              </w:rPr>
              <w:lastRenderedPageBreak/>
              <w:t>Modeling the efficiency and heat gain of a phase change material cooling vest: The effect of ambient temperature and outer isolation</w:t>
            </w:r>
          </w:p>
        </w:tc>
        <w:tc>
          <w:tcPr>
            <w:tcW w:w="1456" w:type="dxa"/>
            <w:vAlign w:val="center"/>
          </w:tcPr>
          <w:p w14:paraId="02299539" w14:textId="77777777" w:rsidR="008B629F" w:rsidRPr="008B629F" w:rsidRDefault="008B629F" w:rsidP="004B352D">
            <w:pPr>
              <w:jc w:val="center"/>
              <w:rPr>
                <w:rFonts w:cs="Times New Roman"/>
                <w:sz w:val="18"/>
                <w:szCs w:val="18"/>
                <w:lang w:val="en-US"/>
              </w:rPr>
            </w:pPr>
            <w:r w:rsidRPr="008B629F">
              <w:rPr>
                <w:rFonts w:cs="Times New Roman"/>
                <w:sz w:val="18"/>
                <w:szCs w:val="18"/>
                <w:lang w:val="en-US"/>
              </w:rPr>
              <w:t>Mokhtari Yazdi, M., Sheikhzadeh, M., Dabirzadeh, A., Chavoshi, E.</w:t>
            </w:r>
          </w:p>
        </w:tc>
        <w:tc>
          <w:tcPr>
            <w:tcW w:w="1550" w:type="dxa"/>
            <w:vAlign w:val="center"/>
          </w:tcPr>
          <w:p w14:paraId="104E5884" w14:textId="77777777" w:rsidR="008B629F" w:rsidRPr="008B629F" w:rsidRDefault="008B629F" w:rsidP="004B352D">
            <w:pPr>
              <w:jc w:val="center"/>
              <w:rPr>
                <w:rFonts w:cs="Times New Roman"/>
                <w:sz w:val="18"/>
                <w:szCs w:val="18"/>
                <w:lang w:val="en-US"/>
              </w:rPr>
            </w:pPr>
            <w:r w:rsidRPr="008B629F">
              <w:rPr>
                <w:rFonts w:cs="Times New Roman"/>
                <w:sz w:val="18"/>
                <w:szCs w:val="18"/>
                <w:lang w:val="en-US"/>
              </w:rPr>
              <w:t>Journal of Industrial Textiles, 46(2), pp. 436–454</w:t>
            </w:r>
          </w:p>
        </w:tc>
        <w:tc>
          <w:tcPr>
            <w:tcW w:w="798" w:type="dxa"/>
            <w:vAlign w:val="center"/>
          </w:tcPr>
          <w:p w14:paraId="28A68B43" w14:textId="77777777" w:rsidR="008B629F" w:rsidRPr="008B629F" w:rsidRDefault="008B629F" w:rsidP="004B352D">
            <w:pPr>
              <w:jc w:val="center"/>
              <w:rPr>
                <w:rFonts w:cs="Times New Roman"/>
                <w:sz w:val="18"/>
                <w:szCs w:val="18"/>
              </w:rPr>
            </w:pPr>
            <w:r w:rsidRPr="008B629F">
              <w:rPr>
                <w:rFonts w:cs="Times New Roman"/>
                <w:sz w:val="18"/>
                <w:szCs w:val="18"/>
              </w:rPr>
              <w:t>2016</w:t>
            </w:r>
          </w:p>
        </w:tc>
        <w:tc>
          <w:tcPr>
            <w:tcW w:w="1074" w:type="dxa"/>
            <w:vAlign w:val="center"/>
          </w:tcPr>
          <w:p w14:paraId="18394283" w14:textId="77777777" w:rsidR="008B629F" w:rsidRPr="008B629F" w:rsidRDefault="008B629F" w:rsidP="004B352D">
            <w:pPr>
              <w:jc w:val="center"/>
              <w:rPr>
                <w:rFonts w:cs="Times New Roman"/>
                <w:sz w:val="18"/>
                <w:szCs w:val="18"/>
              </w:rPr>
            </w:pPr>
            <w:r w:rsidRPr="008B629F">
              <w:rPr>
                <w:rFonts w:cs="Times New Roman"/>
                <w:sz w:val="18"/>
                <w:szCs w:val="18"/>
              </w:rPr>
              <w:t>23</w:t>
            </w:r>
          </w:p>
        </w:tc>
        <w:tc>
          <w:tcPr>
            <w:tcW w:w="2198" w:type="dxa"/>
            <w:vAlign w:val="center"/>
          </w:tcPr>
          <w:p w14:paraId="67B965C4" w14:textId="77777777" w:rsidR="008B629F" w:rsidRPr="008B629F" w:rsidRDefault="008B629F" w:rsidP="00732E1F">
            <w:pPr>
              <w:keepNext/>
              <w:rPr>
                <w:rFonts w:cs="Times New Roman"/>
                <w:sz w:val="18"/>
                <w:szCs w:val="18"/>
                <w:lang w:val="en-US"/>
              </w:rPr>
            </w:pPr>
            <w:r w:rsidRPr="008B629F">
              <w:rPr>
                <w:rFonts w:cs="Times New Roman"/>
                <w:sz w:val="18"/>
                <w:szCs w:val="18"/>
                <w:lang w:val="en-US"/>
              </w:rPr>
              <w:t>Raising the ambient 30</w:t>
            </w:r>
            <w:r w:rsidRPr="008B629F">
              <w:rPr>
                <w:rFonts w:ascii="Times New Roman" w:hAnsi="Times New Roman" w:cs="Times New Roman"/>
                <w:sz w:val="18"/>
                <w:szCs w:val="18"/>
                <w:lang w:val="en-US"/>
              </w:rPr>
              <w:t>→</w:t>
            </w:r>
            <w:r w:rsidRPr="008B629F">
              <w:rPr>
                <w:rFonts w:cs="Times New Roman"/>
                <w:sz w:val="18"/>
                <w:szCs w:val="18"/>
                <w:lang w:val="en-US"/>
              </w:rPr>
              <w:t xml:space="preserve">40 </w:t>
            </w:r>
            <w:r w:rsidRPr="008B629F">
              <w:rPr>
                <w:rFonts w:cs="Palatino Linotype"/>
                <w:sz w:val="18"/>
                <w:szCs w:val="18"/>
                <w:lang w:val="en-US"/>
              </w:rPr>
              <w:t>°</w:t>
            </w:r>
            <w:r w:rsidRPr="008B629F">
              <w:rPr>
                <w:rFonts w:cs="Times New Roman"/>
                <w:sz w:val="18"/>
                <w:szCs w:val="18"/>
                <w:lang w:val="en-US"/>
              </w:rPr>
              <w:t>C can cut efficacy up to 70%; using protective clothing is feasible; insulating PCM pouches boost cooling by ~20</w:t>
            </w:r>
            <w:r w:rsidRPr="008B629F">
              <w:rPr>
                <w:rFonts w:cs="Palatino Linotype"/>
                <w:sz w:val="18"/>
                <w:szCs w:val="18"/>
                <w:lang w:val="en-US"/>
              </w:rPr>
              <w:t>–</w:t>
            </w:r>
            <w:r w:rsidRPr="008B629F">
              <w:rPr>
                <w:rFonts w:cs="Times New Roman"/>
                <w:sz w:val="18"/>
                <w:szCs w:val="18"/>
                <w:lang w:val="en-US"/>
              </w:rPr>
              <w:t>34%.</w:t>
            </w:r>
          </w:p>
        </w:tc>
      </w:tr>
    </w:tbl>
    <w:p w14:paraId="6DB98317" w14:textId="1414A0B4" w:rsidR="008B629F" w:rsidRPr="008B629F" w:rsidRDefault="008B629F" w:rsidP="008B629F">
      <w:pPr>
        <w:pStyle w:val="Caption"/>
        <w:rPr>
          <w:rFonts w:cs="Times New Roman"/>
        </w:rPr>
      </w:pPr>
      <w:bookmarkStart w:id="161" w:name="_Toc214362642"/>
      <w:r w:rsidRPr="008B629F">
        <w:rPr>
          <w:rFonts w:cs="Times New Roman"/>
        </w:rPr>
        <w:t xml:space="preserve">Table </w:t>
      </w:r>
      <w:r w:rsidR="00F43E9A">
        <w:rPr>
          <w:rFonts w:cs="Times New Roman"/>
        </w:rPr>
        <w:fldChar w:fldCharType="begin"/>
      </w:r>
      <w:r w:rsidR="00F43E9A">
        <w:rPr>
          <w:rFonts w:cs="Times New Roman"/>
        </w:rPr>
        <w:instrText xml:space="preserve"> STYLEREF 1 \s </w:instrText>
      </w:r>
      <w:r w:rsidR="00F43E9A">
        <w:rPr>
          <w:rFonts w:cs="Times New Roman"/>
        </w:rPr>
        <w:fldChar w:fldCharType="separate"/>
      </w:r>
      <w:r w:rsidR="000412CE">
        <w:rPr>
          <w:rFonts w:cs="Times New Roman"/>
          <w:noProof/>
        </w:rPr>
        <w:t>2</w:t>
      </w:r>
      <w:r w:rsidR="00F43E9A">
        <w:rPr>
          <w:rFonts w:cs="Times New Roman"/>
        </w:rPr>
        <w:fldChar w:fldCharType="end"/>
      </w:r>
      <w:r w:rsidR="00F43E9A">
        <w:rPr>
          <w:rFonts w:cs="Times New Roman"/>
        </w:rPr>
        <w:t>.</w:t>
      </w:r>
      <w:r w:rsidR="00F43E9A">
        <w:rPr>
          <w:rFonts w:cs="Times New Roman"/>
        </w:rPr>
        <w:fldChar w:fldCharType="begin"/>
      </w:r>
      <w:r w:rsidR="00F43E9A">
        <w:rPr>
          <w:rFonts w:cs="Times New Roman"/>
        </w:rPr>
        <w:instrText xml:space="preserve"> SEQ Table \* ARABIC \s 1 </w:instrText>
      </w:r>
      <w:r w:rsidR="00F43E9A">
        <w:rPr>
          <w:rFonts w:cs="Times New Roman"/>
        </w:rPr>
        <w:fldChar w:fldCharType="separate"/>
      </w:r>
      <w:r w:rsidR="000412CE">
        <w:rPr>
          <w:rFonts w:cs="Times New Roman"/>
          <w:noProof/>
        </w:rPr>
        <w:t>14</w:t>
      </w:r>
      <w:r w:rsidR="00F43E9A">
        <w:rPr>
          <w:rFonts w:cs="Times New Roman"/>
        </w:rPr>
        <w:fldChar w:fldCharType="end"/>
      </w:r>
      <w:r w:rsidRPr="008B629F">
        <w:rPr>
          <w:rFonts w:cs="Times New Roman"/>
        </w:rPr>
        <w:t>. Key studies on PCMs in textiles and cooling garments: bibliographic details and concise findings</w:t>
      </w:r>
      <w:r w:rsidR="00A165BA">
        <w:rPr>
          <w:rFonts w:cs="Times New Roman"/>
        </w:rPr>
        <w:t>.</w:t>
      </w:r>
      <w:bookmarkEnd w:id="161"/>
    </w:p>
    <w:p w14:paraId="00E6FC60" w14:textId="4EEE14E0" w:rsidR="008B629F" w:rsidRDefault="008B629F" w:rsidP="008B629F">
      <w:pPr>
        <w:rPr>
          <w:rFonts w:cs="Times New Roman"/>
          <w:lang w:val="en-US"/>
        </w:rPr>
      </w:pPr>
      <w:r w:rsidRPr="008B629F">
        <w:rPr>
          <w:rFonts w:cs="Times New Roman"/>
          <w:lang w:val="en-US"/>
        </w:rPr>
        <w:t xml:space="preserve">Table </w:t>
      </w:r>
      <w:r w:rsidR="004B352D">
        <w:rPr>
          <w:rFonts w:cs="Times New Roman"/>
          <w:lang w:val="en-US"/>
        </w:rPr>
        <w:t>2.15</w:t>
      </w:r>
      <w:r w:rsidRPr="008B629F">
        <w:rPr>
          <w:rFonts w:cs="Times New Roman"/>
          <w:lang w:val="en-US"/>
        </w:rPr>
        <w:t xml:space="preserve"> summarizes the most influential review papers on PCMs in textiles and cooling garments. For each review, the title, authors, source, year, citation count, and principal insights are reported.</w:t>
      </w:r>
    </w:p>
    <w:p w14:paraId="464F8D56" w14:textId="77777777" w:rsidR="00732E1F" w:rsidRDefault="00732E1F" w:rsidP="008B629F">
      <w:pPr>
        <w:rPr>
          <w:rFonts w:cs="Times New Roman"/>
          <w:lang w:val="en-US"/>
        </w:rPr>
      </w:pPr>
    </w:p>
    <w:p w14:paraId="7F200BA6" w14:textId="77777777" w:rsidR="00732E1F" w:rsidRPr="008B629F" w:rsidRDefault="00732E1F" w:rsidP="008B629F">
      <w:pPr>
        <w:rPr>
          <w:rFonts w:cs="Times New Roman"/>
          <w:lang w:val="en-US"/>
        </w:rPr>
      </w:pPr>
    </w:p>
    <w:tbl>
      <w:tblPr>
        <w:tblStyle w:val="TableGrid"/>
        <w:tblW w:w="0" w:type="auto"/>
        <w:tblLook w:val="04A0" w:firstRow="1" w:lastRow="0" w:firstColumn="1" w:lastColumn="0" w:noHBand="0" w:noVBand="1"/>
      </w:tblPr>
      <w:tblGrid>
        <w:gridCol w:w="1725"/>
        <w:gridCol w:w="1215"/>
        <w:gridCol w:w="1541"/>
        <w:gridCol w:w="797"/>
        <w:gridCol w:w="1108"/>
        <w:gridCol w:w="2470"/>
      </w:tblGrid>
      <w:tr w:rsidR="008B629F" w:rsidRPr="008B629F" w14:paraId="636F1C8C" w14:textId="77777777" w:rsidTr="004B352D">
        <w:tc>
          <w:tcPr>
            <w:tcW w:w="1725" w:type="dxa"/>
            <w:shd w:val="clear" w:color="auto" w:fill="8EA5B6"/>
            <w:vAlign w:val="center"/>
          </w:tcPr>
          <w:p w14:paraId="386C9B75" w14:textId="77777777" w:rsidR="008B629F" w:rsidRPr="004B352D" w:rsidRDefault="008B629F" w:rsidP="004B352D">
            <w:pPr>
              <w:jc w:val="center"/>
              <w:rPr>
                <w:rFonts w:cs="Times New Roman"/>
                <w:b/>
                <w:bCs/>
                <w:sz w:val="18"/>
                <w:szCs w:val="18"/>
              </w:rPr>
            </w:pPr>
            <w:r w:rsidRPr="004B352D">
              <w:rPr>
                <w:rFonts w:cs="Times New Roman"/>
                <w:b/>
                <w:bCs/>
                <w:sz w:val="18"/>
                <w:szCs w:val="18"/>
              </w:rPr>
              <w:t>Title</w:t>
            </w:r>
          </w:p>
        </w:tc>
        <w:tc>
          <w:tcPr>
            <w:tcW w:w="1215" w:type="dxa"/>
            <w:shd w:val="clear" w:color="auto" w:fill="8EA5B6"/>
            <w:vAlign w:val="center"/>
          </w:tcPr>
          <w:p w14:paraId="3994B444" w14:textId="77777777" w:rsidR="008B629F" w:rsidRPr="004B352D" w:rsidRDefault="008B629F" w:rsidP="004B352D">
            <w:pPr>
              <w:jc w:val="center"/>
              <w:rPr>
                <w:rFonts w:cs="Times New Roman"/>
                <w:b/>
                <w:bCs/>
                <w:sz w:val="18"/>
                <w:szCs w:val="18"/>
              </w:rPr>
            </w:pPr>
            <w:r w:rsidRPr="004B352D">
              <w:rPr>
                <w:rFonts w:cs="Times New Roman"/>
                <w:b/>
                <w:bCs/>
                <w:sz w:val="18"/>
                <w:szCs w:val="18"/>
              </w:rPr>
              <w:t>Authors</w:t>
            </w:r>
          </w:p>
        </w:tc>
        <w:tc>
          <w:tcPr>
            <w:tcW w:w="1541" w:type="dxa"/>
            <w:shd w:val="clear" w:color="auto" w:fill="8EA5B6"/>
            <w:vAlign w:val="center"/>
          </w:tcPr>
          <w:p w14:paraId="18D47510" w14:textId="77777777" w:rsidR="008B629F" w:rsidRPr="004B352D" w:rsidRDefault="008B629F" w:rsidP="004B352D">
            <w:pPr>
              <w:jc w:val="center"/>
              <w:rPr>
                <w:rFonts w:cs="Times New Roman"/>
                <w:b/>
                <w:bCs/>
                <w:sz w:val="18"/>
                <w:szCs w:val="18"/>
              </w:rPr>
            </w:pPr>
            <w:r w:rsidRPr="004B352D">
              <w:rPr>
                <w:rFonts w:cs="Times New Roman"/>
                <w:b/>
                <w:bCs/>
                <w:sz w:val="18"/>
                <w:szCs w:val="18"/>
              </w:rPr>
              <w:t>Source</w:t>
            </w:r>
          </w:p>
        </w:tc>
        <w:tc>
          <w:tcPr>
            <w:tcW w:w="797" w:type="dxa"/>
            <w:shd w:val="clear" w:color="auto" w:fill="8EA5B6"/>
            <w:vAlign w:val="center"/>
          </w:tcPr>
          <w:p w14:paraId="299BB0EB" w14:textId="77777777" w:rsidR="008B629F" w:rsidRPr="004B352D" w:rsidRDefault="008B629F" w:rsidP="004B352D">
            <w:pPr>
              <w:jc w:val="center"/>
              <w:rPr>
                <w:rFonts w:cs="Times New Roman"/>
                <w:b/>
                <w:bCs/>
                <w:sz w:val="18"/>
                <w:szCs w:val="18"/>
              </w:rPr>
            </w:pPr>
            <w:r w:rsidRPr="004B352D">
              <w:rPr>
                <w:rFonts w:cs="Times New Roman"/>
                <w:b/>
                <w:bCs/>
                <w:sz w:val="18"/>
                <w:szCs w:val="18"/>
              </w:rPr>
              <w:t>Year</w:t>
            </w:r>
          </w:p>
        </w:tc>
        <w:tc>
          <w:tcPr>
            <w:tcW w:w="1108" w:type="dxa"/>
            <w:shd w:val="clear" w:color="auto" w:fill="8EA5B6"/>
            <w:vAlign w:val="center"/>
          </w:tcPr>
          <w:p w14:paraId="54DEF37F" w14:textId="77777777" w:rsidR="008B629F" w:rsidRPr="004B352D" w:rsidRDefault="008B629F" w:rsidP="004B352D">
            <w:pPr>
              <w:jc w:val="center"/>
              <w:rPr>
                <w:rFonts w:cs="Times New Roman"/>
                <w:b/>
                <w:bCs/>
                <w:sz w:val="18"/>
                <w:szCs w:val="18"/>
              </w:rPr>
            </w:pPr>
            <w:r w:rsidRPr="004B352D">
              <w:rPr>
                <w:rFonts w:cs="Times New Roman"/>
                <w:b/>
                <w:bCs/>
                <w:sz w:val="18"/>
                <w:szCs w:val="18"/>
              </w:rPr>
              <w:t>Citations</w:t>
            </w:r>
          </w:p>
        </w:tc>
        <w:tc>
          <w:tcPr>
            <w:tcW w:w="2470" w:type="dxa"/>
            <w:shd w:val="clear" w:color="auto" w:fill="8EA5B6"/>
            <w:vAlign w:val="center"/>
          </w:tcPr>
          <w:p w14:paraId="3DC5AC48" w14:textId="6459F510" w:rsidR="008B629F" w:rsidRPr="004B352D" w:rsidRDefault="008B629F" w:rsidP="00732E1F">
            <w:pPr>
              <w:jc w:val="center"/>
              <w:rPr>
                <w:rFonts w:cs="Times New Roman"/>
                <w:b/>
                <w:bCs/>
                <w:sz w:val="18"/>
                <w:szCs w:val="18"/>
              </w:rPr>
            </w:pPr>
            <w:r w:rsidRPr="004B352D">
              <w:rPr>
                <w:rFonts w:cs="Times New Roman"/>
                <w:b/>
                <w:bCs/>
                <w:sz w:val="18"/>
                <w:szCs w:val="18"/>
              </w:rPr>
              <w:t>Abstract summary</w:t>
            </w:r>
          </w:p>
        </w:tc>
      </w:tr>
      <w:tr w:rsidR="008B629F" w:rsidRPr="00736B36" w14:paraId="672486D6" w14:textId="77777777" w:rsidTr="004B352D">
        <w:tc>
          <w:tcPr>
            <w:tcW w:w="1725" w:type="dxa"/>
            <w:vAlign w:val="center"/>
          </w:tcPr>
          <w:p w14:paraId="38A71142" w14:textId="77777777" w:rsidR="008B629F" w:rsidRPr="008B629F" w:rsidRDefault="008B629F" w:rsidP="004B352D">
            <w:pPr>
              <w:jc w:val="center"/>
              <w:rPr>
                <w:rFonts w:cs="Times New Roman"/>
                <w:sz w:val="18"/>
                <w:szCs w:val="18"/>
                <w:lang w:val="en-US"/>
              </w:rPr>
            </w:pPr>
            <w:r w:rsidRPr="008B629F">
              <w:rPr>
                <w:rFonts w:cs="Times New Roman"/>
                <w:sz w:val="18"/>
                <w:szCs w:val="18"/>
                <w:lang w:val="en-US"/>
              </w:rPr>
              <w:t>An overview of phase change materials, their production, and applications in textiles</w:t>
            </w:r>
          </w:p>
        </w:tc>
        <w:tc>
          <w:tcPr>
            <w:tcW w:w="1215" w:type="dxa"/>
            <w:vAlign w:val="center"/>
          </w:tcPr>
          <w:p w14:paraId="7C4DE81D" w14:textId="77777777" w:rsidR="008B629F" w:rsidRPr="008B629F" w:rsidRDefault="008B629F" w:rsidP="004B352D">
            <w:pPr>
              <w:jc w:val="center"/>
              <w:rPr>
                <w:rFonts w:cs="Times New Roman"/>
                <w:sz w:val="18"/>
                <w:szCs w:val="18"/>
                <w:lang w:val="en-US"/>
              </w:rPr>
            </w:pPr>
            <w:r w:rsidRPr="008B629F">
              <w:rPr>
                <w:rFonts w:cs="Times New Roman"/>
                <w:sz w:val="18"/>
                <w:szCs w:val="18"/>
                <w:lang w:val="en-US"/>
              </w:rPr>
              <w:t>Das, A., Apu, M.M.H., Akter, A., Reza, M.M.A., Mia, R.</w:t>
            </w:r>
          </w:p>
        </w:tc>
        <w:tc>
          <w:tcPr>
            <w:tcW w:w="1541" w:type="dxa"/>
            <w:vAlign w:val="center"/>
          </w:tcPr>
          <w:p w14:paraId="53CEAA41" w14:textId="77777777" w:rsidR="008B629F" w:rsidRPr="008B629F" w:rsidRDefault="008B629F" w:rsidP="004B352D">
            <w:pPr>
              <w:jc w:val="center"/>
              <w:rPr>
                <w:rFonts w:cs="Times New Roman"/>
                <w:sz w:val="18"/>
                <w:szCs w:val="18"/>
              </w:rPr>
            </w:pPr>
            <w:r w:rsidRPr="008B629F">
              <w:rPr>
                <w:rFonts w:cs="Times New Roman"/>
                <w:sz w:val="18"/>
                <w:szCs w:val="18"/>
              </w:rPr>
              <w:t>Results in Engineering, 25, 103603</w:t>
            </w:r>
          </w:p>
        </w:tc>
        <w:tc>
          <w:tcPr>
            <w:tcW w:w="797" w:type="dxa"/>
            <w:vAlign w:val="center"/>
          </w:tcPr>
          <w:p w14:paraId="3A66540F" w14:textId="77777777" w:rsidR="008B629F" w:rsidRPr="008B629F" w:rsidRDefault="008B629F" w:rsidP="004B352D">
            <w:pPr>
              <w:jc w:val="center"/>
              <w:rPr>
                <w:rFonts w:cs="Times New Roman"/>
                <w:sz w:val="18"/>
                <w:szCs w:val="18"/>
              </w:rPr>
            </w:pPr>
            <w:r w:rsidRPr="008B629F">
              <w:rPr>
                <w:rFonts w:cs="Times New Roman"/>
                <w:sz w:val="18"/>
                <w:szCs w:val="18"/>
              </w:rPr>
              <w:t>2025</w:t>
            </w:r>
          </w:p>
        </w:tc>
        <w:tc>
          <w:tcPr>
            <w:tcW w:w="1108" w:type="dxa"/>
            <w:vAlign w:val="center"/>
          </w:tcPr>
          <w:p w14:paraId="02B39221" w14:textId="63BDFFCD" w:rsidR="008B629F" w:rsidRPr="008B629F" w:rsidRDefault="008B629F" w:rsidP="004B352D">
            <w:pPr>
              <w:jc w:val="center"/>
              <w:rPr>
                <w:rFonts w:cs="Times New Roman"/>
                <w:sz w:val="18"/>
                <w:szCs w:val="18"/>
              </w:rPr>
            </w:pPr>
            <w:r w:rsidRPr="008B629F">
              <w:rPr>
                <w:rFonts w:cs="Times New Roman"/>
                <w:sz w:val="18"/>
                <w:szCs w:val="18"/>
              </w:rPr>
              <w:t>15</w:t>
            </w:r>
          </w:p>
        </w:tc>
        <w:tc>
          <w:tcPr>
            <w:tcW w:w="2470" w:type="dxa"/>
            <w:vAlign w:val="center"/>
          </w:tcPr>
          <w:p w14:paraId="2D350C45" w14:textId="7B6525F5" w:rsidR="008B629F" w:rsidRPr="008B629F" w:rsidRDefault="008B629F" w:rsidP="00732E1F">
            <w:pPr>
              <w:rPr>
                <w:rFonts w:cs="Times New Roman"/>
                <w:sz w:val="18"/>
                <w:szCs w:val="18"/>
                <w:lang w:val="en-US"/>
              </w:rPr>
            </w:pPr>
            <w:r w:rsidRPr="008B629F">
              <w:rPr>
                <w:rFonts w:cs="Times New Roman"/>
                <w:sz w:val="18"/>
                <w:szCs w:val="18"/>
                <w:lang w:val="en-US"/>
              </w:rPr>
              <w:t>PCMs store/release heat around a set transition temperature and can be integrated into fabrics via coating or encapsulation to create thermo-regulated “smart” textiles. The review explains PCM principles, thermal comfort, and cold-weather clothing, surveys textile integration methods and recent applications, and notes market prospects alongside challenges (e.g., durability, cost, washability, and comfort trade-offs).</w:t>
            </w:r>
          </w:p>
        </w:tc>
      </w:tr>
      <w:tr w:rsidR="008B629F" w:rsidRPr="00736B36" w14:paraId="022E6CB6" w14:textId="77777777" w:rsidTr="004B352D">
        <w:tc>
          <w:tcPr>
            <w:tcW w:w="1725" w:type="dxa"/>
            <w:vAlign w:val="center"/>
          </w:tcPr>
          <w:p w14:paraId="7F559C6D" w14:textId="77777777" w:rsidR="008B629F" w:rsidRPr="008B629F" w:rsidRDefault="008B629F" w:rsidP="004B352D">
            <w:pPr>
              <w:jc w:val="center"/>
              <w:rPr>
                <w:rFonts w:cs="Times New Roman"/>
                <w:sz w:val="18"/>
                <w:szCs w:val="18"/>
                <w:lang w:val="en-US"/>
              </w:rPr>
            </w:pPr>
            <w:r w:rsidRPr="008B629F">
              <w:rPr>
                <w:rFonts w:cs="Times New Roman"/>
                <w:sz w:val="18"/>
                <w:szCs w:val="18"/>
                <w:lang w:val="en-US"/>
              </w:rPr>
              <w:t>Research and development on phase change material-integrated cloth: A review</w:t>
            </w:r>
          </w:p>
        </w:tc>
        <w:tc>
          <w:tcPr>
            <w:tcW w:w="1215" w:type="dxa"/>
            <w:vAlign w:val="center"/>
          </w:tcPr>
          <w:p w14:paraId="125EF5E4" w14:textId="77777777" w:rsidR="008B629F" w:rsidRPr="008B629F" w:rsidRDefault="008B629F" w:rsidP="004B352D">
            <w:pPr>
              <w:jc w:val="center"/>
              <w:rPr>
                <w:rFonts w:cs="Times New Roman"/>
                <w:sz w:val="18"/>
                <w:szCs w:val="18"/>
              </w:rPr>
            </w:pPr>
            <w:r w:rsidRPr="008B629F">
              <w:rPr>
                <w:rFonts w:cs="Times New Roman"/>
                <w:sz w:val="18"/>
                <w:szCs w:val="18"/>
                <w:lang w:val="en-US"/>
              </w:rPr>
              <w:t xml:space="preserve">Shahid, M.A., Hossain, M.T., Hossain, I., ... </w:t>
            </w:r>
            <w:r w:rsidRPr="008B629F">
              <w:rPr>
                <w:rFonts w:cs="Times New Roman"/>
                <w:sz w:val="18"/>
                <w:szCs w:val="18"/>
              </w:rPr>
              <w:t>Rabbani, M., Rahim, A.</w:t>
            </w:r>
          </w:p>
        </w:tc>
        <w:tc>
          <w:tcPr>
            <w:tcW w:w="1541" w:type="dxa"/>
            <w:vAlign w:val="center"/>
          </w:tcPr>
          <w:p w14:paraId="600BDBB5" w14:textId="77777777" w:rsidR="008B629F" w:rsidRPr="008B629F" w:rsidRDefault="008B629F" w:rsidP="004B352D">
            <w:pPr>
              <w:jc w:val="center"/>
              <w:rPr>
                <w:rFonts w:cs="Times New Roman"/>
                <w:sz w:val="18"/>
                <w:szCs w:val="18"/>
              </w:rPr>
            </w:pPr>
            <w:r w:rsidRPr="008B629F">
              <w:rPr>
                <w:rFonts w:cs="Times New Roman"/>
                <w:sz w:val="18"/>
                <w:szCs w:val="18"/>
              </w:rPr>
              <w:t>Journal of Industrial Textiles, 54</w:t>
            </w:r>
          </w:p>
        </w:tc>
        <w:tc>
          <w:tcPr>
            <w:tcW w:w="797" w:type="dxa"/>
            <w:vAlign w:val="center"/>
          </w:tcPr>
          <w:p w14:paraId="41F88B37" w14:textId="77777777" w:rsidR="008B629F" w:rsidRPr="008B629F" w:rsidRDefault="008B629F" w:rsidP="004B352D">
            <w:pPr>
              <w:jc w:val="center"/>
              <w:rPr>
                <w:rFonts w:cs="Times New Roman"/>
                <w:sz w:val="18"/>
                <w:szCs w:val="18"/>
              </w:rPr>
            </w:pPr>
            <w:r w:rsidRPr="008B629F">
              <w:rPr>
                <w:rFonts w:cs="Times New Roman"/>
                <w:sz w:val="18"/>
                <w:szCs w:val="18"/>
              </w:rPr>
              <w:t>2024</w:t>
            </w:r>
          </w:p>
        </w:tc>
        <w:tc>
          <w:tcPr>
            <w:tcW w:w="1108" w:type="dxa"/>
            <w:vAlign w:val="center"/>
          </w:tcPr>
          <w:p w14:paraId="77019C5C" w14:textId="77777777" w:rsidR="008B629F" w:rsidRPr="008B629F" w:rsidRDefault="008B629F" w:rsidP="004B352D">
            <w:pPr>
              <w:jc w:val="center"/>
              <w:rPr>
                <w:rFonts w:cs="Times New Roman"/>
                <w:sz w:val="18"/>
                <w:szCs w:val="18"/>
              </w:rPr>
            </w:pPr>
            <w:r w:rsidRPr="008B629F">
              <w:rPr>
                <w:rFonts w:cs="Times New Roman"/>
                <w:sz w:val="18"/>
                <w:szCs w:val="18"/>
              </w:rPr>
              <w:t>19</w:t>
            </w:r>
          </w:p>
        </w:tc>
        <w:tc>
          <w:tcPr>
            <w:tcW w:w="2470" w:type="dxa"/>
            <w:vAlign w:val="center"/>
          </w:tcPr>
          <w:p w14:paraId="73759DAA" w14:textId="110894D1" w:rsidR="008B629F" w:rsidRPr="008B629F" w:rsidRDefault="008B629F" w:rsidP="00732E1F">
            <w:pPr>
              <w:rPr>
                <w:rFonts w:cs="Times New Roman"/>
                <w:sz w:val="18"/>
                <w:szCs w:val="18"/>
                <w:lang w:val="en-US"/>
              </w:rPr>
            </w:pPr>
            <w:r w:rsidRPr="008B629F">
              <w:rPr>
                <w:rFonts w:cs="Times New Roman"/>
                <w:sz w:val="18"/>
                <w:szCs w:val="18"/>
                <w:lang w:val="en-US"/>
              </w:rPr>
              <w:t xml:space="preserve">PCMs offer high latent heat, narrow operating ranges, long life, and compatibility with textile processing, enabling energy savings and improved comfort. The paper reviews fundamentals, characterization, and advanced applications—from spacewear and medical dressings to </w:t>
            </w:r>
            <w:r w:rsidRPr="008B629F">
              <w:rPr>
                <w:rFonts w:cs="Times New Roman"/>
                <w:sz w:val="18"/>
                <w:szCs w:val="18"/>
                <w:lang w:val="en-US"/>
              </w:rPr>
              <w:lastRenderedPageBreak/>
              <w:t>sportswear, bedding, building textiles, automotive, and footwear—highlighting recent advances, remaining hurdles, and opportunities for wider deployment.</w:t>
            </w:r>
          </w:p>
        </w:tc>
      </w:tr>
      <w:tr w:rsidR="008B629F" w:rsidRPr="00736B36" w14:paraId="024BAD4F" w14:textId="77777777" w:rsidTr="004B352D">
        <w:tc>
          <w:tcPr>
            <w:tcW w:w="1725" w:type="dxa"/>
            <w:vAlign w:val="center"/>
          </w:tcPr>
          <w:p w14:paraId="4A0D2F99" w14:textId="77777777" w:rsidR="008B629F" w:rsidRPr="008B629F" w:rsidRDefault="008B629F" w:rsidP="004B352D">
            <w:pPr>
              <w:jc w:val="center"/>
              <w:rPr>
                <w:rFonts w:cs="Times New Roman"/>
                <w:sz w:val="18"/>
                <w:szCs w:val="18"/>
                <w:lang w:val="en-US"/>
              </w:rPr>
            </w:pPr>
            <w:r w:rsidRPr="008B629F">
              <w:rPr>
                <w:rFonts w:cs="Times New Roman"/>
                <w:sz w:val="18"/>
                <w:szCs w:val="18"/>
                <w:lang w:val="en-US"/>
              </w:rPr>
              <w:lastRenderedPageBreak/>
              <w:t>Novel personal cooling textiles revolutionizing human thermal management: principles, designs and applications</w:t>
            </w:r>
          </w:p>
        </w:tc>
        <w:tc>
          <w:tcPr>
            <w:tcW w:w="1215" w:type="dxa"/>
            <w:vAlign w:val="center"/>
          </w:tcPr>
          <w:p w14:paraId="76E7E43C" w14:textId="77777777" w:rsidR="008B629F" w:rsidRPr="00BD2ECC" w:rsidRDefault="008B629F" w:rsidP="004B352D">
            <w:pPr>
              <w:jc w:val="center"/>
              <w:rPr>
                <w:rFonts w:cs="Times New Roman"/>
                <w:sz w:val="18"/>
                <w:szCs w:val="18"/>
                <w:lang w:val="en-US"/>
              </w:rPr>
            </w:pPr>
            <w:r w:rsidRPr="008B629F">
              <w:rPr>
                <w:rFonts w:cs="Times New Roman"/>
                <w:sz w:val="18"/>
                <w:szCs w:val="18"/>
              </w:rPr>
              <w:t xml:space="preserve">Hu, X., Li, T.-T., Shou, B., ... </w:t>
            </w:r>
            <w:r w:rsidRPr="00BD2ECC">
              <w:rPr>
                <w:rFonts w:cs="Times New Roman"/>
                <w:sz w:val="18"/>
                <w:szCs w:val="18"/>
                <w:lang w:val="en-US"/>
              </w:rPr>
              <w:t>Ren, H.-T., Lou, C.-W.</w:t>
            </w:r>
          </w:p>
        </w:tc>
        <w:tc>
          <w:tcPr>
            <w:tcW w:w="1541" w:type="dxa"/>
            <w:vAlign w:val="center"/>
          </w:tcPr>
          <w:p w14:paraId="392BD8F8" w14:textId="77777777" w:rsidR="008B629F" w:rsidRPr="008B629F" w:rsidRDefault="008B629F" w:rsidP="004B352D">
            <w:pPr>
              <w:jc w:val="center"/>
              <w:rPr>
                <w:rFonts w:cs="Times New Roman"/>
                <w:sz w:val="18"/>
                <w:szCs w:val="18"/>
              </w:rPr>
            </w:pPr>
            <w:r w:rsidRPr="008B629F">
              <w:rPr>
                <w:rFonts w:cs="Times New Roman"/>
                <w:sz w:val="18"/>
                <w:szCs w:val="18"/>
              </w:rPr>
              <w:t>Chemical Engineering Journal, 499, 155729</w:t>
            </w:r>
          </w:p>
        </w:tc>
        <w:tc>
          <w:tcPr>
            <w:tcW w:w="797" w:type="dxa"/>
            <w:vAlign w:val="center"/>
          </w:tcPr>
          <w:p w14:paraId="622F6FA5" w14:textId="77777777" w:rsidR="008B629F" w:rsidRPr="008B629F" w:rsidRDefault="008B629F" w:rsidP="004B352D">
            <w:pPr>
              <w:jc w:val="center"/>
              <w:rPr>
                <w:rFonts w:cs="Times New Roman"/>
                <w:sz w:val="18"/>
                <w:szCs w:val="18"/>
              </w:rPr>
            </w:pPr>
            <w:r w:rsidRPr="008B629F">
              <w:rPr>
                <w:rFonts w:cs="Times New Roman"/>
                <w:sz w:val="18"/>
                <w:szCs w:val="18"/>
              </w:rPr>
              <w:t>2024</w:t>
            </w:r>
          </w:p>
        </w:tc>
        <w:tc>
          <w:tcPr>
            <w:tcW w:w="1108" w:type="dxa"/>
            <w:vAlign w:val="center"/>
          </w:tcPr>
          <w:p w14:paraId="50DAE6B4" w14:textId="77777777" w:rsidR="008B629F" w:rsidRPr="008B629F" w:rsidRDefault="008B629F" w:rsidP="004B352D">
            <w:pPr>
              <w:jc w:val="center"/>
              <w:rPr>
                <w:rFonts w:cs="Times New Roman"/>
                <w:sz w:val="18"/>
                <w:szCs w:val="18"/>
              </w:rPr>
            </w:pPr>
            <w:r w:rsidRPr="008B629F">
              <w:rPr>
                <w:rFonts w:cs="Times New Roman"/>
                <w:sz w:val="18"/>
                <w:szCs w:val="18"/>
              </w:rPr>
              <w:t>15</w:t>
            </w:r>
          </w:p>
        </w:tc>
        <w:tc>
          <w:tcPr>
            <w:tcW w:w="2470" w:type="dxa"/>
            <w:vAlign w:val="center"/>
          </w:tcPr>
          <w:p w14:paraId="1706FE04" w14:textId="76197AB9" w:rsidR="008B629F" w:rsidRPr="008B629F" w:rsidRDefault="008B629F" w:rsidP="00732E1F">
            <w:pPr>
              <w:rPr>
                <w:rFonts w:cs="Times New Roman"/>
                <w:sz w:val="18"/>
                <w:szCs w:val="18"/>
                <w:lang w:val="en-US"/>
              </w:rPr>
            </w:pPr>
            <w:r w:rsidRPr="008B629F">
              <w:rPr>
                <w:rFonts w:cs="Times New Roman"/>
                <w:sz w:val="18"/>
                <w:szCs w:val="18"/>
                <w:lang w:val="en-US"/>
              </w:rPr>
              <w:t>Driven by climate change, modern cooling fabrics combine fiber design, nanomaterials, functional coatings, and PCMs to enhance heat removal via radiation, convection, evaporation, and respiration. The review links fabric structure (porosity, spacing, networks) to comfort and mechanics, outlines measurement methods (thermal conduction, moisture/infrared properties), and flags sustainability and environmental concerns as key ongoing challenges.</w:t>
            </w:r>
          </w:p>
        </w:tc>
      </w:tr>
      <w:tr w:rsidR="008B629F" w:rsidRPr="00736B36" w14:paraId="5CA7314A" w14:textId="77777777" w:rsidTr="004B352D">
        <w:tc>
          <w:tcPr>
            <w:tcW w:w="1725" w:type="dxa"/>
            <w:vAlign w:val="center"/>
          </w:tcPr>
          <w:p w14:paraId="2C44589D" w14:textId="77777777" w:rsidR="008B629F" w:rsidRPr="008B629F" w:rsidRDefault="008B629F" w:rsidP="004B352D">
            <w:pPr>
              <w:jc w:val="center"/>
              <w:rPr>
                <w:rFonts w:cs="Times New Roman"/>
                <w:sz w:val="18"/>
                <w:szCs w:val="18"/>
                <w:lang w:val="en-US"/>
              </w:rPr>
            </w:pPr>
            <w:r w:rsidRPr="008B629F">
              <w:rPr>
                <w:rFonts w:cs="Times New Roman"/>
                <w:sz w:val="18"/>
                <w:szCs w:val="18"/>
                <w:lang w:val="en-US"/>
              </w:rPr>
              <w:t>Progress in application of phase-change materials to cooling clothing</w:t>
            </w:r>
          </w:p>
        </w:tc>
        <w:tc>
          <w:tcPr>
            <w:tcW w:w="1215" w:type="dxa"/>
            <w:vAlign w:val="center"/>
          </w:tcPr>
          <w:p w14:paraId="55083941" w14:textId="77777777" w:rsidR="008B629F" w:rsidRPr="008B629F" w:rsidRDefault="008B629F" w:rsidP="004B352D">
            <w:pPr>
              <w:jc w:val="center"/>
              <w:rPr>
                <w:rFonts w:cs="Times New Roman"/>
                <w:sz w:val="18"/>
                <w:szCs w:val="18"/>
              </w:rPr>
            </w:pPr>
            <w:r w:rsidRPr="008B629F">
              <w:rPr>
                <w:rFonts w:cs="Times New Roman"/>
                <w:sz w:val="18"/>
                <w:szCs w:val="18"/>
                <w:lang w:val="nb-NO"/>
              </w:rPr>
              <w:t xml:space="preserve">Wang, F., Pang, D., Liu, X., ... </w:t>
            </w:r>
            <w:r w:rsidRPr="008B629F">
              <w:rPr>
                <w:rFonts w:cs="Times New Roman"/>
                <w:sz w:val="18"/>
                <w:szCs w:val="18"/>
              </w:rPr>
              <w:t>Zhang, Y., Cheng, X.</w:t>
            </w:r>
          </w:p>
        </w:tc>
        <w:tc>
          <w:tcPr>
            <w:tcW w:w="1541" w:type="dxa"/>
            <w:vAlign w:val="center"/>
          </w:tcPr>
          <w:p w14:paraId="378968A0" w14:textId="77777777" w:rsidR="008B629F" w:rsidRPr="008B629F" w:rsidRDefault="008B629F" w:rsidP="004B352D">
            <w:pPr>
              <w:jc w:val="center"/>
              <w:rPr>
                <w:rFonts w:cs="Times New Roman"/>
                <w:sz w:val="18"/>
                <w:szCs w:val="18"/>
              </w:rPr>
            </w:pPr>
            <w:r w:rsidRPr="008B629F">
              <w:rPr>
                <w:rFonts w:cs="Times New Roman"/>
                <w:sz w:val="18"/>
                <w:szCs w:val="18"/>
              </w:rPr>
              <w:t>Journal of Energy Storage, 60, 106606</w:t>
            </w:r>
          </w:p>
        </w:tc>
        <w:tc>
          <w:tcPr>
            <w:tcW w:w="797" w:type="dxa"/>
            <w:vAlign w:val="center"/>
          </w:tcPr>
          <w:p w14:paraId="2D7F9F30" w14:textId="77777777" w:rsidR="008B629F" w:rsidRPr="008B629F" w:rsidRDefault="008B629F" w:rsidP="004B352D">
            <w:pPr>
              <w:jc w:val="center"/>
              <w:rPr>
                <w:rFonts w:cs="Times New Roman"/>
                <w:sz w:val="18"/>
                <w:szCs w:val="18"/>
              </w:rPr>
            </w:pPr>
            <w:r w:rsidRPr="008B629F">
              <w:rPr>
                <w:rFonts w:cs="Times New Roman"/>
                <w:sz w:val="18"/>
                <w:szCs w:val="18"/>
              </w:rPr>
              <w:t>2023</w:t>
            </w:r>
          </w:p>
        </w:tc>
        <w:tc>
          <w:tcPr>
            <w:tcW w:w="1108" w:type="dxa"/>
            <w:vAlign w:val="center"/>
          </w:tcPr>
          <w:p w14:paraId="140ABED8" w14:textId="77777777" w:rsidR="008B629F" w:rsidRPr="008B629F" w:rsidRDefault="008B629F" w:rsidP="004B352D">
            <w:pPr>
              <w:jc w:val="center"/>
              <w:rPr>
                <w:rFonts w:cs="Times New Roman"/>
                <w:sz w:val="18"/>
                <w:szCs w:val="18"/>
              </w:rPr>
            </w:pPr>
            <w:r w:rsidRPr="008B629F">
              <w:rPr>
                <w:rFonts w:cs="Times New Roman"/>
                <w:sz w:val="18"/>
                <w:szCs w:val="18"/>
              </w:rPr>
              <w:t>70</w:t>
            </w:r>
          </w:p>
        </w:tc>
        <w:tc>
          <w:tcPr>
            <w:tcW w:w="2470" w:type="dxa"/>
            <w:vAlign w:val="center"/>
          </w:tcPr>
          <w:p w14:paraId="19EAB825" w14:textId="17524706" w:rsidR="008B629F" w:rsidRPr="008B629F" w:rsidRDefault="008B629F" w:rsidP="00732E1F">
            <w:pPr>
              <w:keepNext/>
              <w:rPr>
                <w:rFonts w:cs="Times New Roman"/>
                <w:sz w:val="18"/>
                <w:szCs w:val="18"/>
                <w:lang w:val="en-US"/>
              </w:rPr>
            </w:pPr>
            <w:r w:rsidRPr="008B629F">
              <w:rPr>
                <w:rFonts w:cs="Times New Roman"/>
                <w:sz w:val="18"/>
                <w:szCs w:val="18"/>
                <w:lang w:val="en-US"/>
              </w:rPr>
              <w:t>Prolonged heat/humidity raises core temperature and heat-illness risk; PCM-enhanced garments buffer the microclimate by absorbing latent heat. The paper gives practical guidance: choose PCM by transition temperature, form, and composition; optimize melting point, latent heat, thermal conductivity, dosage, coverage, and placement to maximize heat dissipation; and pursue research on extending PCM lifetime, reactivating degraded PCMs, and integrating portable cooling/dehumidification modules.</w:t>
            </w:r>
          </w:p>
        </w:tc>
      </w:tr>
    </w:tbl>
    <w:p w14:paraId="151AD986" w14:textId="541CE1BF" w:rsidR="008B629F" w:rsidRPr="008B629F" w:rsidRDefault="008B629F" w:rsidP="008B629F">
      <w:pPr>
        <w:pStyle w:val="Caption"/>
        <w:rPr>
          <w:rFonts w:cs="Times New Roman"/>
        </w:rPr>
      </w:pPr>
      <w:bookmarkStart w:id="162" w:name="_Toc214362643"/>
      <w:r w:rsidRPr="008B629F">
        <w:rPr>
          <w:rFonts w:cs="Times New Roman"/>
        </w:rPr>
        <w:t xml:space="preserve">Table </w:t>
      </w:r>
      <w:r w:rsidR="00F43E9A">
        <w:rPr>
          <w:rFonts w:cs="Times New Roman"/>
        </w:rPr>
        <w:fldChar w:fldCharType="begin"/>
      </w:r>
      <w:r w:rsidR="00F43E9A">
        <w:rPr>
          <w:rFonts w:cs="Times New Roman"/>
        </w:rPr>
        <w:instrText xml:space="preserve"> STYLEREF 1 \s </w:instrText>
      </w:r>
      <w:r w:rsidR="00F43E9A">
        <w:rPr>
          <w:rFonts w:cs="Times New Roman"/>
        </w:rPr>
        <w:fldChar w:fldCharType="separate"/>
      </w:r>
      <w:r w:rsidR="000412CE">
        <w:rPr>
          <w:rFonts w:cs="Times New Roman"/>
          <w:noProof/>
        </w:rPr>
        <w:t>2</w:t>
      </w:r>
      <w:r w:rsidR="00F43E9A">
        <w:rPr>
          <w:rFonts w:cs="Times New Roman"/>
        </w:rPr>
        <w:fldChar w:fldCharType="end"/>
      </w:r>
      <w:r w:rsidR="00F43E9A">
        <w:rPr>
          <w:rFonts w:cs="Times New Roman"/>
        </w:rPr>
        <w:t>.</w:t>
      </w:r>
      <w:r w:rsidR="00F43E9A">
        <w:rPr>
          <w:rFonts w:cs="Times New Roman"/>
        </w:rPr>
        <w:fldChar w:fldCharType="begin"/>
      </w:r>
      <w:r w:rsidR="00F43E9A">
        <w:rPr>
          <w:rFonts w:cs="Times New Roman"/>
        </w:rPr>
        <w:instrText xml:space="preserve"> SEQ Table \* ARABIC \s 1 </w:instrText>
      </w:r>
      <w:r w:rsidR="00F43E9A">
        <w:rPr>
          <w:rFonts w:cs="Times New Roman"/>
        </w:rPr>
        <w:fldChar w:fldCharType="separate"/>
      </w:r>
      <w:r w:rsidR="000412CE">
        <w:rPr>
          <w:rFonts w:cs="Times New Roman"/>
          <w:noProof/>
        </w:rPr>
        <w:t>15</w:t>
      </w:r>
      <w:r w:rsidR="00F43E9A">
        <w:rPr>
          <w:rFonts w:cs="Times New Roman"/>
        </w:rPr>
        <w:fldChar w:fldCharType="end"/>
      </w:r>
      <w:r w:rsidRPr="008B629F">
        <w:rPr>
          <w:rFonts w:cs="Times New Roman"/>
        </w:rPr>
        <w:t>. Influential reviews on PCMs for textiles and wearables: key bibliographic details and synthesized insights</w:t>
      </w:r>
      <w:r w:rsidR="00A165BA">
        <w:rPr>
          <w:rFonts w:cs="Times New Roman"/>
        </w:rPr>
        <w:t>.</w:t>
      </w:r>
      <w:bookmarkEnd w:id="162"/>
    </w:p>
    <w:p w14:paraId="4217A3E6" w14:textId="6DCA1814" w:rsidR="008B629F" w:rsidRPr="008B629F" w:rsidRDefault="008B629F" w:rsidP="003A65E5">
      <w:pPr>
        <w:pStyle w:val="Heading3"/>
        <w:rPr>
          <w:lang w:val="en-US"/>
        </w:rPr>
      </w:pPr>
      <w:bookmarkStart w:id="163" w:name="_Toc213354090"/>
      <w:bookmarkStart w:id="164" w:name="_Toc214356309"/>
      <w:r w:rsidRPr="008B629F">
        <w:rPr>
          <w:lang w:val="en-US"/>
        </w:rPr>
        <w:lastRenderedPageBreak/>
        <w:t xml:space="preserve">Clothing </w:t>
      </w:r>
      <w:r w:rsidRPr="003A65E5">
        <w:t>comfort</w:t>
      </w:r>
      <w:r w:rsidRPr="008B629F">
        <w:rPr>
          <w:lang w:val="en-US"/>
        </w:rPr>
        <w:t xml:space="preserve"> using PCMs</w:t>
      </w:r>
      <w:bookmarkEnd w:id="163"/>
      <w:bookmarkEnd w:id="164"/>
    </w:p>
    <w:p w14:paraId="1FF78D91" w14:textId="0AA7F3D4" w:rsidR="008B629F" w:rsidRPr="008B629F" w:rsidRDefault="00D619A3" w:rsidP="008B629F">
      <w:pPr>
        <w:rPr>
          <w:rFonts w:cs="Times New Roman"/>
          <w:lang w:val="en-US"/>
        </w:rPr>
      </w:pPr>
      <w:r w:rsidRPr="008B629F">
        <w:rPr>
          <w:noProof/>
        </w:rPr>
        <mc:AlternateContent>
          <mc:Choice Requires="wps">
            <w:drawing>
              <wp:anchor distT="0" distB="0" distL="114300" distR="114300" simplePos="0" relativeHeight="251735040" behindDoc="0" locked="0" layoutInCell="1" allowOverlap="1" wp14:anchorId="4FA3D523" wp14:editId="469334DE">
                <wp:simplePos x="0" y="0"/>
                <wp:positionH relativeFrom="margin">
                  <wp:align>right</wp:align>
                </wp:positionH>
                <wp:positionV relativeFrom="paragraph">
                  <wp:posOffset>3229610</wp:posOffset>
                </wp:positionV>
                <wp:extent cx="2628900" cy="635"/>
                <wp:effectExtent l="0" t="0" r="0" b="6350"/>
                <wp:wrapSquare wrapText="bothSides"/>
                <wp:docPr id="1817501680" name="Text Box 1"/>
                <wp:cNvGraphicFramePr/>
                <a:graphic xmlns:a="http://schemas.openxmlformats.org/drawingml/2006/main">
                  <a:graphicData uri="http://schemas.microsoft.com/office/word/2010/wordprocessingShape">
                    <wps:wsp>
                      <wps:cNvSpPr txBox="1"/>
                      <wps:spPr>
                        <a:xfrm>
                          <a:off x="0" y="0"/>
                          <a:ext cx="2628900" cy="635"/>
                        </a:xfrm>
                        <a:prstGeom prst="rect">
                          <a:avLst/>
                        </a:prstGeom>
                        <a:solidFill>
                          <a:prstClr val="white"/>
                        </a:solidFill>
                        <a:ln>
                          <a:noFill/>
                        </a:ln>
                      </wps:spPr>
                      <wps:txbx>
                        <w:txbxContent>
                          <w:p w14:paraId="2E9892C5" w14:textId="21432C47" w:rsidR="008B629F" w:rsidRPr="00E46EC0" w:rsidRDefault="008B629F" w:rsidP="008B629F">
                            <w:pPr>
                              <w:pStyle w:val="Caption"/>
                              <w:rPr>
                                <w:noProof/>
                                <w:szCs w:val="22"/>
                              </w:rPr>
                            </w:pPr>
                            <w:bookmarkStart w:id="165" w:name="_Toc214357750"/>
                            <w:r w:rsidRPr="001077DC">
                              <w:rPr>
                                <w:rFonts w:ascii="Times New Roman" w:hAnsi="Times New Roman" w:cs="Times New Roman"/>
                              </w:rPr>
                              <w:t xml:space="preserve">Figure </w:t>
                            </w:r>
                            <w:r w:rsidR="00F824A5">
                              <w:rPr>
                                <w:rFonts w:ascii="Times New Roman" w:hAnsi="Times New Roman" w:cs="Times New Roman"/>
                              </w:rPr>
                              <w:fldChar w:fldCharType="begin"/>
                            </w:r>
                            <w:r w:rsidR="00F824A5">
                              <w:rPr>
                                <w:rFonts w:ascii="Times New Roman" w:hAnsi="Times New Roman" w:cs="Times New Roman"/>
                              </w:rPr>
                              <w:instrText xml:space="preserve"> STYLEREF 1 \s </w:instrText>
                            </w:r>
                            <w:r w:rsidR="00F824A5">
                              <w:rPr>
                                <w:rFonts w:ascii="Times New Roman" w:hAnsi="Times New Roman" w:cs="Times New Roman"/>
                              </w:rPr>
                              <w:fldChar w:fldCharType="separate"/>
                            </w:r>
                            <w:r w:rsidR="000412CE">
                              <w:rPr>
                                <w:rFonts w:ascii="Times New Roman" w:hAnsi="Times New Roman" w:cs="Times New Roman"/>
                                <w:noProof/>
                              </w:rPr>
                              <w:t>2</w:t>
                            </w:r>
                            <w:r w:rsidR="00F824A5">
                              <w:rPr>
                                <w:rFonts w:ascii="Times New Roman" w:hAnsi="Times New Roman" w:cs="Times New Roman"/>
                              </w:rPr>
                              <w:fldChar w:fldCharType="end"/>
                            </w:r>
                            <w:r w:rsidR="00F824A5">
                              <w:rPr>
                                <w:rFonts w:ascii="Times New Roman" w:hAnsi="Times New Roman" w:cs="Times New Roman"/>
                              </w:rPr>
                              <w:t>.</w:t>
                            </w:r>
                            <w:r w:rsidR="00F824A5">
                              <w:rPr>
                                <w:rFonts w:ascii="Times New Roman" w:hAnsi="Times New Roman" w:cs="Times New Roman"/>
                              </w:rPr>
                              <w:fldChar w:fldCharType="begin"/>
                            </w:r>
                            <w:r w:rsidR="00F824A5">
                              <w:rPr>
                                <w:rFonts w:ascii="Times New Roman" w:hAnsi="Times New Roman" w:cs="Times New Roman"/>
                              </w:rPr>
                              <w:instrText xml:space="preserve"> SEQ Figure \* ARABIC \s 1 </w:instrText>
                            </w:r>
                            <w:r w:rsidR="00F824A5">
                              <w:rPr>
                                <w:rFonts w:ascii="Times New Roman" w:hAnsi="Times New Roman" w:cs="Times New Roman"/>
                              </w:rPr>
                              <w:fldChar w:fldCharType="separate"/>
                            </w:r>
                            <w:r w:rsidR="000412CE">
                              <w:rPr>
                                <w:rFonts w:ascii="Times New Roman" w:hAnsi="Times New Roman" w:cs="Times New Roman"/>
                                <w:noProof/>
                              </w:rPr>
                              <w:t>22</w:t>
                            </w:r>
                            <w:r w:rsidR="00F824A5">
                              <w:rPr>
                                <w:rFonts w:ascii="Times New Roman" w:hAnsi="Times New Roman" w:cs="Times New Roman"/>
                              </w:rPr>
                              <w:fldChar w:fldCharType="end"/>
                            </w:r>
                            <w:r w:rsidRPr="001077DC">
                              <w:rPr>
                                <w:rFonts w:ascii="Times New Roman" w:hAnsi="Times New Roman" w:cs="Times New Roman"/>
                              </w:rPr>
                              <w:t>. (a)</w:t>
                            </w:r>
                            <w:r w:rsidR="00AD21F1" w:rsidRPr="00AD21F1">
                              <w:rPr>
                                <w:rFonts w:cs="Times New Roman"/>
                              </w:rPr>
                              <w:t xml:space="preserve"> </w:t>
                            </w:r>
                            <w:r w:rsidR="00AD21F1" w:rsidRPr="008B629F">
                              <w:rPr>
                                <w:rFonts w:cs="Times New Roman"/>
                              </w:rPr>
                              <w:t>the PCM-only vest</w:t>
                            </w:r>
                            <w:r w:rsidRPr="001077DC">
                              <w:rPr>
                                <w:rFonts w:ascii="Times New Roman" w:hAnsi="Times New Roman" w:cs="Times New Roman"/>
                              </w:rPr>
                              <w:t xml:space="preserve"> (b)</w:t>
                            </w:r>
                            <w:r w:rsidR="00AD21F1" w:rsidRPr="00AD21F1">
                              <w:rPr>
                                <w:rFonts w:cs="Times New Roman"/>
                              </w:rPr>
                              <w:t xml:space="preserve"> </w:t>
                            </w:r>
                            <w:r w:rsidR="00AD21F1" w:rsidRPr="008B629F">
                              <w:rPr>
                                <w:rFonts w:cs="Times New Roman"/>
                              </w:rPr>
                              <w:t>the hybrid PCM–desiccant vest</w:t>
                            </w:r>
                            <w:r w:rsidRPr="001077DC">
                              <w:rPr>
                                <w:rFonts w:ascii="Times New Roman" w:hAnsi="Times New Roman" w:cs="Times New Roman"/>
                              </w:rPr>
                              <w:t xml:space="preserve"> (c</w:t>
                            </w:r>
                            <w:r>
                              <w:t>)</w:t>
                            </w:r>
                            <w:r w:rsidR="00AD21F1" w:rsidRPr="00AD21F1">
                              <w:rPr>
                                <w:rFonts w:cs="Times New Roman"/>
                              </w:rPr>
                              <w:t xml:space="preserve"> </w:t>
                            </w:r>
                            <w:r w:rsidR="00AD21F1" w:rsidRPr="008B629F">
                              <w:rPr>
                                <w:rFonts w:cs="Times New Roman"/>
                              </w:rPr>
                              <w:t>) the hybrid PCM–Fan vest</w:t>
                            </w:r>
                            <w:r w:rsidR="00D619A3">
                              <w:rPr>
                                <w:rFonts w:cs="Times New Roman"/>
                              </w:rPr>
                              <w:t xml:space="preserve"> [174]</w:t>
                            </w:r>
                            <w:r w:rsidR="00A165BA">
                              <w:rPr>
                                <w:rFonts w:cs="Times New Roman"/>
                              </w:rPr>
                              <w:t>.</w:t>
                            </w:r>
                            <w:bookmarkEnd w:id="16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FA3D523" id="_x0000_s1055" type="#_x0000_t202" style="position:absolute;left:0;text-align:left;margin-left:155.8pt;margin-top:254.3pt;width:207pt;height:.05pt;z-index:251735040;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" stroked="f">
                <v:textbox style="mso-fit-shape-to-text:t" inset="0,0,0,0">
                  <w:txbxContent>
                    <w:p w14:paraId="2E9892C5" w14:textId="21432C47" w:rsidR="008B629F" w:rsidRPr="00E46EC0" w:rsidRDefault="008B629F" w:rsidP="008B629F">
                      <w:pPr>
                        <w:pStyle w:val="Caption"/>
                        <w:rPr>
                          <w:noProof/>
                          <w:szCs w:val="22"/>
                        </w:rPr>
                      </w:pPr>
                      <w:bookmarkStart w:id="166" w:name="_Toc214357750"/>
                      <w:r w:rsidRPr="001077DC">
                        <w:rPr>
                          <w:rFonts w:ascii="Times New Roman" w:hAnsi="Times New Roman" w:cs="Times New Roman"/>
                        </w:rPr>
                        <w:t xml:space="preserve">Figure </w:t>
                      </w:r>
                      <w:r w:rsidR="00F824A5">
                        <w:rPr>
                          <w:rFonts w:ascii="Times New Roman" w:hAnsi="Times New Roman" w:cs="Times New Roman"/>
                        </w:rPr>
                        <w:fldChar w:fldCharType="begin"/>
                      </w:r>
                      <w:r w:rsidR="00F824A5">
                        <w:rPr>
                          <w:rFonts w:ascii="Times New Roman" w:hAnsi="Times New Roman" w:cs="Times New Roman"/>
                        </w:rPr>
                        <w:instrText xml:space="preserve"> STYLEREF 1 \s </w:instrText>
                      </w:r>
                      <w:r w:rsidR="00F824A5">
                        <w:rPr>
                          <w:rFonts w:ascii="Times New Roman" w:hAnsi="Times New Roman" w:cs="Times New Roman"/>
                        </w:rPr>
                        <w:fldChar w:fldCharType="separate"/>
                      </w:r>
                      <w:r w:rsidR="000412CE">
                        <w:rPr>
                          <w:rFonts w:ascii="Times New Roman" w:hAnsi="Times New Roman" w:cs="Times New Roman"/>
                          <w:noProof/>
                        </w:rPr>
                        <w:t>2</w:t>
                      </w:r>
                      <w:r w:rsidR="00F824A5">
                        <w:rPr>
                          <w:rFonts w:ascii="Times New Roman" w:hAnsi="Times New Roman" w:cs="Times New Roman"/>
                        </w:rPr>
                        <w:fldChar w:fldCharType="end"/>
                      </w:r>
                      <w:r w:rsidR="00F824A5">
                        <w:rPr>
                          <w:rFonts w:ascii="Times New Roman" w:hAnsi="Times New Roman" w:cs="Times New Roman"/>
                        </w:rPr>
                        <w:t>.</w:t>
                      </w:r>
                      <w:r w:rsidR="00F824A5">
                        <w:rPr>
                          <w:rFonts w:ascii="Times New Roman" w:hAnsi="Times New Roman" w:cs="Times New Roman"/>
                        </w:rPr>
                        <w:fldChar w:fldCharType="begin"/>
                      </w:r>
                      <w:r w:rsidR="00F824A5">
                        <w:rPr>
                          <w:rFonts w:ascii="Times New Roman" w:hAnsi="Times New Roman" w:cs="Times New Roman"/>
                        </w:rPr>
                        <w:instrText xml:space="preserve"> SEQ Figure \* ARABIC \s 1 </w:instrText>
                      </w:r>
                      <w:r w:rsidR="00F824A5">
                        <w:rPr>
                          <w:rFonts w:ascii="Times New Roman" w:hAnsi="Times New Roman" w:cs="Times New Roman"/>
                        </w:rPr>
                        <w:fldChar w:fldCharType="separate"/>
                      </w:r>
                      <w:r w:rsidR="000412CE">
                        <w:rPr>
                          <w:rFonts w:ascii="Times New Roman" w:hAnsi="Times New Roman" w:cs="Times New Roman"/>
                          <w:noProof/>
                        </w:rPr>
                        <w:t>22</w:t>
                      </w:r>
                      <w:r w:rsidR="00F824A5">
                        <w:rPr>
                          <w:rFonts w:ascii="Times New Roman" w:hAnsi="Times New Roman" w:cs="Times New Roman"/>
                        </w:rPr>
                        <w:fldChar w:fldCharType="end"/>
                      </w:r>
                      <w:r w:rsidRPr="001077DC">
                        <w:rPr>
                          <w:rFonts w:ascii="Times New Roman" w:hAnsi="Times New Roman" w:cs="Times New Roman"/>
                        </w:rPr>
                        <w:t>. (a)</w:t>
                      </w:r>
                      <w:r w:rsidR="00AD21F1" w:rsidRPr="00AD21F1">
                        <w:rPr>
                          <w:rFonts w:cs="Times New Roman"/>
                        </w:rPr>
                        <w:t xml:space="preserve"> </w:t>
                      </w:r>
                      <w:r w:rsidR="00AD21F1" w:rsidRPr="008B629F">
                        <w:rPr>
                          <w:rFonts w:cs="Times New Roman"/>
                        </w:rPr>
                        <w:t>the PCM-only vest</w:t>
                      </w:r>
                      <w:r w:rsidRPr="001077DC">
                        <w:rPr>
                          <w:rFonts w:ascii="Times New Roman" w:hAnsi="Times New Roman" w:cs="Times New Roman"/>
                        </w:rPr>
                        <w:t xml:space="preserve"> (b)</w:t>
                      </w:r>
                      <w:r w:rsidR="00AD21F1" w:rsidRPr="00AD21F1">
                        <w:rPr>
                          <w:rFonts w:cs="Times New Roman"/>
                        </w:rPr>
                        <w:t xml:space="preserve"> </w:t>
                      </w:r>
                      <w:r w:rsidR="00AD21F1" w:rsidRPr="008B629F">
                        <w:rPr>
                          <w:rFonts w:cs="Times New Roman"/>
                        </w:rPr>
                        <w:t>the hybrid PCM–desiccant vest</w:t>
                      </w:r>
                      <w:r w:rsidRPr="001077DC">
                        <w:rPr>
                          <w:rFonts w:ascii="Times New Roman" w:hAnsi="Times New Roman" w:cs="Times New Roman"/>
                        </w:rPr>
                        <w:t xml:space="preserve"> (c</w:t>
                      </w:r>
                      <w:r>
                        <w:t>)</w:t>
                      </w:r>
                      <w:r w:rsidR="00AD21F1" w:rsidRPr="00AD21F1">
                        <w:rPr>
                          <w:rFonts w:cs="Times New Roman"/>
                        </w:rPr>
                        <w:t xml:space="preserve"> </w:t>
                      </w:r>
                      <w:r w:rsidR="00AD21F1" w:rsidRPr="008B629F">
                        <w:rPr>
                          <w:rFonts w:cs="Times New Roman"/>
                        </w:rPr>
                        <w:t>) the hybrid PCM–Fan vest</w:t>
                      </w:r>
                      <w:r w:rsidR="00D619A3">
                        <w:rPr>
                          <w:rFonts w:cs="Times New Roman"/>
                        </w:rPr>
                        <w:t xml:space="preserve"> [174]</w:t>
                      </w:r>
                      <w:r w:rsidR="00A165BA">
                        <w:rPr>
                          <w:rFonts w:cs="Times New Roman"/>
                        </w:rPr>
                        <w:t>.</w:t>
                      </w:r>
                      <w:bookmarkEnd w:id="166"/>
                    </w:p>
                  </w:txbxContent>
                </v:textbox>
                <w10:wrap type="square" anchorx="margin"/>
              </v:shape>
            </w:pict>
          </mc:Fallback>
        </mc:AlternateContent>
      </w:r>
      <w:r w:rsidR="00AD21F1" w:rsidRPr="008B629F">
        <w:rPr>
          <w:noProof/>
          <w:lang w:val="en-US"/>
        </w:rPr>
        <w:drawing>
          <wp:anchor distT="0" distB="0" distL="114300" distR="114300" simplePos="0" relativeHeight="251726848" behindDoc="0" locked="0" layoutInCell="1" allowOverlap="1" wp14:anchorId="095B74EA" wp14:editId="54032B0A">
            <wp:simplePos x="0" y="0"/>
            <wp:positionH relativeFrom="margin">
              <wp:align>right</wp:align>
            </wp:positionH>
            <wp:positionV relativeFrom="paragraph">
              <wp:posOffset>638643</wp:posOffset>
            </wp:positionV>
            <wp:extent cx="2628900" cy="2424430"/>
            <wp:effectExtent l="0" t="0" r="0" b="0"/>
            <wp:wrapSquare wrapText="bothSides"/>
            <wp:docPr id="96104924" name="Immagine 1" descr="Immagine che contiene schizzo, testo, diagramma, disegn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104924" name="Immagine 1" descr="Immagine che contiene schizzo, testo, diagramma, disegno&#10;&#10;Il contenuto generato dall'IA potrebbe non essere corretto."/>
                    <pic:cNvPicPr/>
                  </pic:nvPicPr>
                  <pic:blipFill>
                    <a:blip r:embed="rId140">
                      <a:extLst>
                        <a:ext uri="{28A0092B-C50C-407E-A947-70E740481C1C}">
                          <a14:useLocalDpi xmlns:a14="http://schemas.microsoft.com/office/drawing/2010/main" val="0"/>
                        </a:ext>
                      </a:extLst>
                    </a:blip>
                    <a:stretch>
                      <a:fillRect/>
                    </a:stretch>
                  </pic:blipFill>
                  <pic:spPr>
                    <a:xfrm>
                      <a:off x="0" y="0"/>
                      <a:ext cx="2628900" cy="2424430"/>
                    </a:xfrm>
                    <a:prstGeom prst="rect">
                      <a:avLst/>
                    </a:prstGeom>
                  </pic:spPr>
                </pic:pic>
              </a:graphicData>
            </a:graphic>
            <wp14:sizeRelH relativeFrom="margin">
              <wp14:pctWidth>0</wp14:pctWidth>
            </wp14:sizeRelH>
            <wp14:sizeRelV relativeFrom="margin">
              <wp14:pctHeight>0</wp14:pctHeight>
            </wp14:sizeRelV>
          </wp:anchor>
        </w:drawing>
      </w:r>
      <w:r w:rsidR="008B629F" w:rsidRPr="008B629F">
        <w:rPr>
          <w:rFonts w:cs="Times New Roman"/>
          <w:lang w:val="en-US"/>
        </w:rPr>
        <w:t xml:space="preserve">Das et al. </w:t>
      </w:r>
      <w:sdt>
        <w:sdtPr>
          <w:rPr>
            <w:rFonts w:cs="Times New Roman"/>
            <w:lang w:val="en-US"/>
          </w:rPr>
          <w:id w:val="-1246956381"/>
          <w:citation/>
        </w:sdtPr>
        <w:sdtContent>
          <w:r w:rsidR="004B352D">
            <w:rPr>
              <w:rFonts w:cs="Times New Roman"/>
              <w:lang w:val="en-US"/>
            </w:rPr>
            <w:fldChar w:fldCharType="begin"/>
          </w:r>
          <w:r w:rsidR="004B352D" w:rsidRPr="00625AD6">
            <w:rPr>
              <w:rFonts w:cs="Times New Roman"/>
              <w:lang w:val="en-US"/>
            </w:rPr>
            <w:instrText xml:space="preserve"> CITATION Placeholder191 \l 1040 </w:instrText>
          </w:r>
          <w:r w:rsidR="004B352D">
            <w:rPr>
              <w:rFonts w:cs="Times New Roman"/>
              <w:lang w:val="en-US"/>
            </w:rPr>
            <w:fldChar w:fldCharType="separate"/>
          </w:r>
          <w:r w:rsidR="00855396" w:rsidRPr="00855396">
            <w:rPr>
              <w:rFonts w:cs="Times New Roman"/>
              <w:noProof/>
              <w:lang w:val="en-US"/>
            </w:rPr>
            <w:t>[174]</w:t>
          </w:r>
          <w:r w:rsidR="004B352D">
            <w:rPr>
              <w:rFonts w:cs="Times New Roman"/>
              <w:lang w:val="en-US"/>
            </w:rPr>
            <w:fldChar w:fldCharType="end"/>
          </w:r>
        </w:sdtContent>
      </w:sdt>
      <w:r w:rsidR="004B352D">
        <w:rPr>
          <w:rFonts w:cs="Times New Roman"/>
          <w:lang w:val="en-US"/>
        </w:rPr>
        <w:t xml:space="preserve"> </w:t>
      </w:r>
      <w:r w:rsidR="008B629F" w:rsidRPr="008B629F">
        <w:rPr>
          <w:rFonts w:cs="Times New Roman"/>
          <w:lang w:val="en-US"/>
        </w:rPr>
        <w:t xml:space="preserve">wrote a review focusing on the application of PCMs in the textile field, in which they report that under high-temperature conditions and physically demanding activities—such as those performed by firefighters, military personnel, or athletes—personal cooling systems help improve the body’s microclimate and reduce heat stress. PCMs, due to their ability to store latent heat, enable the development of “smart” textiles capable of maintaining body temperature within comfort limits. During the 2003 heatwave in France, over 15,000 deaths were attributed to dehydration and heat stroke, highlighting the importance of thermal protection solutions. Among these, vests containing PCMs (such as salts or paraffins) have proven highly effective: Gao et al. </w:t>
      </w:r>
      <w:sdt>
        <w:sdtPr>
          <w:rPr>
            <w:rFonts w:cs="Times New Roman"/>
            <w:lang w:val="en-US"/>
          </w:rPr>
          <w:id w:val="1608849741"/>
          <w:citation/>
        </w:sdtPr>
        <w:sdtContent>
          <w:r w:rsidR="004B352D">
            <w:rPr>
              <w:rFonts w:cs="Times New Roman"/>
              <w:lang w:val="en-US"/>
            </w:rPr>
            <w:fldChar w:fldCharType="begin"/>
          </w:r>
          <w:r w:rsidR="004B352D" w:rsidRPr="00625AD6">
            <w:rPr>
              <w:rFonts w:cs="Times New Roman"/>
              <w:lang w:val="en-US"/>
            </w:rPr>
            <w:instrText xml:space="preserve"> CITATION Placeholder192 \l 1040 </w:instrText>
          </w:r>
          <w:r w:rsidR="004B352D">
            <w:rPr>
              <w:rFonts w:cs="Times New Roman"/>
              <w:lang w:val="en-US"/>
            </w:rPr>
            <w:fldChar w:fldCharType="separate"/>
          </w:r>
          <w:r w:rsidR="00855396" w:rsidRPr="00855396">
            <w:rPr>
              <w:rFonts w:cs="Times New Roman"/>
              <w:noProof/>
              <w:lang w:val="en-US"/>
            </w:rPr>
            <w:t>[175]</w:t>
          </w:r>
          <w:r w:rsidR="004B352D">
            <w:rPr>
              <w:rFonts w:cs="Times New Roman"/>
              <w:lang w:val="en-US"/>
            </w:rPr>
            <w:fldChar w:fldCharType="end"/>
          </w:r>
        </w:sdtContent>
      </w:sdt>
      <w:r w:rsidR="008B629F" w:rsidRPr="008B629F">
        <w:rPr>
          <w:rFonts w:cs="Times New Roman"/>
          <w:lang w:val="en-US"/>
        </w:rPr>
        <w:t xml:space="preserve"> observed that a PCM vest with a melting point of 24 °C provided the highest cooling rate, with an average temperature difference of about 6 °C compared to the surface of the thermal manikin, thereby reducing heat strain both in the manikin and in human subjects. For hot and humid climates, Mneimneh et al.</w:t>
      </w:r>
      <w:r w:rsidR="004B352D">
        <w:rPr>
          <w:rFonts w:cs="Times New Roman"/>
          <w:lang w:val="en-US"/>
        </w:rPr>
        <w:t xml:space="preserve"> </w:t>
      </w:r>
      <w:sdt>
        <w:sdtPr>
          <w:rPr>
            <w:rFonts w:cs="Times New Roman"/>
            <w:lang w:val="en-US"/>
          </w:rPr>
          <w:id w:val="1730800286"/>
          <w:citation/>
        </w:sdtPr>
        <w:sdtContent>
          <w:r w:rsidR="004B352D">
            <w:rPr>
              <w:rFonts w:cs="Times New Roman"/>
              <w:lang w:val="en-US"/>
            </w:rPr>
            <w:fldChar w:fldCharType="begin"/>
          </w:r>
          <w:r w:rsidR="004B352D" w:rsidRPr="00625AD6">
            <w:rPr>
              <w:rFonts w:cs="Times New Roman"/>
              <w:lang w:val="en-US"/>
            </w:rPr>
            <w:instrText xml:space="preserve"> CITATION Placeholder193 \l 1040 </w:instrText>
          </w:r>
          <w:r w:rsidR="004B352D">
            <w:rPr>
              <w:rFonts w:cs="Times New Roman"/>
              <w:lang w:val="en-US"/>
            </w:rPr>
            <w:fldChar w:fldCharType="separate"/>
          </w:r>
          <w:r w:rsidR="00855396" w:rsidRPr="00855396">
            <w:rPr>
              <w:rFonts w:cs="Times New Roman"/>
              <w:noProof/>
              <w:lang w:val="en-US"/>
            </w:rPr>
            <w:t>[176]</w:t>
          </w:r>
          <w:r w:rsidR="004B352D">
            <w:rPr>
              <w:rFonts w:cs="Times New Roman"/>
              <w:lang w:val="en-US"/>
            </w:rPr>
            <w:fldChar w:fldCharType="end"/>
          </w:r>
        </w:sdtContent>
      </w:sdt>
      <w:r w:rsidR="008B629F" w:rsidRPr="008B629F">
        <w:rPr>
          <w:rFonts w:cs="Times New Roman"/>
          <w:lang w:val="en-US"/>
        </w:rPr>
        <w:t xml:space="preserve"> proposed a hybrid PCM–Fan system, effective under various thermo-hygrometric conditions: the PCM–Fan vest is suitable for high temperatures and low humidity, whereas under higher humidity</w:t>
      </w:r>
      <w:r w:rsidR="00732E1F">
        <w:rPr>
          <w:rFonts w:cs="Times New Roman"/>
          <w:lang w:val="en-US"/>
        </w:rPr>
        <w:t>,</w:t>
      </w:r>
      <w:r w:rsidR="008B629F" w:rsidRPr="008B629F">
        <w:rPr>
          <w:rFonts w:cs="Times New Roman"/>
          <w:lang w:val="en-US"/>
        </w:rPr>
        <w:t xml:space="preserve"> a PCM–dehumidifying vest is preferred. Itani et al. </w:t>
      </w:r>
      <w:sdt>
        <w:sdtPr>
          <w:rPr>
            <w:rFonts w:cs="Times New Roman"/>
            <w:lang w:val="en-US"/>
          </w:rPr>
          <w:id w:val="1709373832"/>
          <w:citation/>
        </w:sdtPr>
        <w:sdtContent>
          <w:r w:rsidR="004B352D">
            <w:rPr>
              <w:rFonts w:cs="Times New Roman"/>
              <w:lang w:val="en-US"/>
            </w:rPr>
            <w:fldChar w:fldCharType="begin"/>
          </w:r>
          <w:r w:rsidR="004B352D" w:rsidRPr="00625AD6">
            <w:rPr>
              <w:rFonts w:cs="Times New Roman"/>
              <w:lang w:val="en-US"/>
            </w:rPr>
            <w:instrText xml:space="preserve"> CITATION Placeholder194 \l 1040 </w:instrText>
          </w:r>
          <w:r w:rsidR="004B352D">
            <w:rPr>
              <w:rFonts w:cs="Times New Roman"/>
              <w:lang w:val="en-US"/>
            </w:rPr>
            <w:fldChar w:fldCharType="separate"/>
          </w:r>
          <w:r w:rsidR="00855396" w:rsidRPr="00855396">
            <w:rPr>
              <w:rFonts w:cs="Times New Roman"/>
              <w:noProof/>
              <w:lang w:val="en-US"/>
            </w:rPr>
            <w:t>[177]</w:t>
          </w:r>
          <w:r w:rsidR="004B352D">
            <w:rPr>
              <w:rFonts w:cs="Times New Roman"/>
              <w:lang w:val="en-US"/>
            </w:rPr>
            <w:fldChar w:fldCharType="end"/>
          </w:r>
        </w:sdtContent>
      </w:sdt>
      <w:r w:rsidR="004B352D">
        <w:rPr>
          <w:rFonts w:cs="Times New Roman"/>
          <w:lang w:val="en-US"/>
        </w:rPr>
        <w:t xml:space="preserve"> </w:t>
      </w:r>
      <w:r w:rsidR="008B629F" w:rsidRPr="008B629F">
        <w:rPr>
          <w:rFonts w:cs="Times New Roman"/>
          <w:lang w:val="en-US"/>
        </w:rPr>
        <w:t xml:space="preserve">also found that PCMs with lower melting points allow for faster cooling, while those with higher melting points provide longer-lasting effects. Fabric ventilation is a key factor for breathability and thermal comfort. Lai et al. </w:t>
      </w:r>
      <w:sdt>
        <w:sdtPr>
          <w:rPr>
            <w:rFonts w:cs="Times New Roman"/>
            <w:lang w:val="en-US"/>
          </w:rPr>
          <w:id w:val="1758711832"/>
          <w:citation/>
        </w:sdtPr>
        <w:sdtContent>
          <w:r w:rsidR="004B352D">
            <w:rPr>
              <w:rFonts w:cs="Times New Roman"/>
              <w:lang w:val="en-US"/>
            </w:rPr>
            <w:fldChar w:fldCharType="begin"/>
          </w:r>
          <w:r w:rsidR="004B352D" w:rsidRPr="00625AD6">
            <w:rPr>
              <w:rFonts w:cs="Times New Roman"/>
              <w:lang w:val="en-US"/>
            </w:rPr>
            <w:instrText xml:space="preserve"> CITATION Placeholder195 \l 1040 </w:instrText>
          </w:r>
          <w:r w:rsidR="004B352D">
            <w:rPr>
              <w:rFonts w:cs="Times New Roman"/>
              <w:lang w:val="en-US"/>
            </w:rPr>
            <w:fldChar w:fldCharType="separate"/>
          </w:r>
          <w:r w:rsidR="00855396" w:rsidRPr="00855396">
            <w:rPr>
              <w:rFonts w:cs="Times New Roman"/>
              <w:noProof/>
              <w:lang w:val="en-US"/>
            </w:rPr>
            <w:t>[178]</w:t>
          </w:r>
          <w:r w:rsidR="004B352D">
            <w:rPr>
              <w:rFonts w:cs="Times New Roman"/>
              <w:lang w:val="en-US"/>
            </w:rPr>
            <w:fldChar w:fldCharType="end"/>
          </w:r>
        </w:sdtContent>
      </w:sdt>
      <w:r w:rsidR="008B629F" w:rsidRPr="008B629F">
        <w:rPr>
          <w:rFonts w:cs="Times New Roman"/>
          <w:lang w:val="en-US"/>
        </w:rPr>
        <w:t xml:space="preserve"> demonstrated that, in a hybrid PCM + Fan vest, the cooling rate is significantly higher when the fan is active, confirming the effectiveness of the combined system. Figure </w:t>
      </w:r>
      <w:r w:rsidR="004B352D">
        <w:rPr>
          <w:rFonts w:cs="Times New Roman"/>
          <w:lang w:val="en-US"/>
        </w:rPr>
        <w:t>2.2</w:t>
      </w:r>
      <w:r w:rsidR="008B629F" w:rsidRPr="008B629F">
        <w:rPr>
          <w:rFonts w:cs="Times New Roman"/>
          <w:lang w:val="en-US"/>
        </w:rPr>
        <w:t>3 illustrates three different configurations of cooling vests: (a) the PCM-only vest, (b) the hybrid PCM–desiccant vest, and (c) the hybrid PCM–Fan vest. The front and side views show the arrangement of the PCM packs, inner and outer fabric layers, desiccant material, and ventilation fans. The purpose of these configurations is to optimize heat exchange between the body and the environment, thereby enhancing cooling efficiency and improving the wearer’s thermal comfort under various climatic conditions.</w:t>
      </w:r>
    </w:p>
    <w:p w14:paraId="2436BFA2" w14:textId="52356875" w:rsidR="008B629F" w:rsidRPr="008B629F" w:rsidRDefault="008B629F" w:rsidP="004B352D">
      <w:pPr>
        <w:pStyle w:val="Heading3"/>
        <w:rPr>
          <w:lang w:val="en-US"/>
        </w:rPr>
      </w:pPr>
      <w:bookmarkStart w:id="167" w:name="_Toc213354091"/>
      <w:bookmarkStart w:id="168" w:name="_Toc214356310"/>
      <w:r w:rsidRPr="008B629F">
        <w:rPr>
          <w:lang w:val="en-US"/>
        </w:rPr>
        <w:lastRenderedPageBreak/>
        <w:t>Working Principle of PCMs in Textiles</w:t>
      </w:r>
      <w:bookmarkEnd w:id="167"/>
      <w:bookmarkEnd w:id="168"/>
    </w:p>
    <w:p w14:paraId="63626BB6" w14:textId="77777777" w:rsidR="008B629F" w:rsidRPr="008B629F" w:rsidRDefault="008B629F" w:rsidP="008B629F">
      <w:pPr>
        <w:rPr>
          <w:rFonts w:cs="Times New Roman"/>
          <w:lang w:val="nb-NO"/>
        </w:rPr>
      </w:pPr>
      <w:r w:rsidRPr="008B629F">
        <w:rPr>
          <w:rFonts w:cs="Times New Roman"/>
          <w:lang w:val="en-US"/>
        </w:rPr>
        <w:t xml:space="preserve">PCMs are typically encapsulated in very small spheres before being integrated into textile materials, in order to confine them during their liquid state. These microcapsules generally range from 1 to 30 </w:t>
      </w:r>
      <w:r w:rsidRPr="008B629F">
        <w:rPr>
          <w:rFonts w:cs="Times New Roman"/>
        </w:rPr>
        <w:t>μ</w:t>
      </w:r>
      <w:r w:rsidRPr="008B629F">
        <w:rPr>
          <w:rFonts w:cs="Times New Roman"/>
          <w:lang w:val="en-US"/>
        </w:rPr>
        <w:t xml:space="preserve">m in diameter and are produced using melamine, urea-formaldehyde, or acrylic resins. The capsule shell accounts for about 20% of the total weight, while the PCM core represents the remaining 80%. These capsules are resistant to mechanical stress, heat, and chemicals, and they respond to temperature variations by absorbing or releasing latent heat. When the ambient temperature rises, the PCM melts, absorbing heat from the surroundings and storing it within the capsule; as the temperature decreases, the PCM solidifies and releases the stored heat. </w:t>
      </w:r>
      <w:r w:rsidRPr="008B629F">
        <w:rPr>
          <w:rFonts w:cs="Times New Roman"/>
          <w:lang w:val="nb-NO"/>
        </w:rPr>
        <w:t>This provides several thermal benefits in textile structures:</w:t>
      </w:r>
    </w:p>
    <w:p w14:paraId="51CB185B" w14:textId="77777777" w:rsidR="008B629F" w:rsidRPr="008B629F" w:rsidRDefault="008B629F">
      <w:pPr>
        <w:numPr>
          <w:ilvl w:val="0"/>
          <w:numId w:val="14"/>
        </w:numPr>
        <w:spacing w:before="0" w:after="160" w:line="259" w:lineRule="auto"/>
        <w:rPr>
          <w:rFonts w:cs="Times New Roman"/>
          <w:lang w:val="en-US"/>
        </w:rPr>
      </w:pPr>
      <w:r w:rsidRPr="008B629F">
        <w:rPr>
          <w:rFonts w:cs="Times New Roman"/>
          <w:lang w:val="en-US"/>
        </w:rPr>
        <w:t>cooling effect during heat absorption;</w:t>
      </w:r>
    </w:p>
    <w:p w14:paraId="777242D5" w14:textId="77777777" w:rsidR="008B629F" w:rsidRPr="008B629F" w:rsidRDefault="008B629F">
      <w:pPr>
        <w:numPr>
          <w:ilvl w:val="0"/>
          <w:numId w:val="14"/>
        </w:numPr>
        <w:spacing w:before="0" w:after="160" w:line="259" w:lineRule="auto"/>
        <w:rPr>
          <w:rFonts w:cs="Times New Roman"/>
          <w:lang w:val="en-US"/>
        </w:rPr>
      </w:pPr>
      <w:r w:rsidRPr="008B629F">
        <w:rPr>
          <w:rFonts w:cs="Times New Roman"/>
          <w:lang w:val="en-US"/>
        </w:rPr>
        <w:t>heating effect during heat release;</w:t>
      </w:r>
    </w:p>
    <w:p w14:paraId="757AD52B" w14:textId="77777777" w:rsidR="008B629F" w:rsidRPr="008B629F" w:rsidRDefault="008B629F">
      <w:pPr>
        <w:numPr>
          <w:ilvl w:val="0"/>
          <w:numId w:val="14"/>
        </w:numPr>
        <w:spacing w:before="0" w:after="160" w:line="259" w:lineRule="auto"/>
        <w:rPr>
          <w:rFonts w:cs="Times New Roman"/>
          <w:lang w:val="en-US"/>
        </w:rPr>
      </w:pPr>
      <w:r w:rsidRPr="008B629F">
        <w:rPr>
          <w:rFonts w:cs="Times New Roman"/>
          <w:lang w:val="en-US"/>
        </w:rPr>
        <w:t>thermoregulating action maintaining an approximately constant temperature;</w:t>
      </w:r>
    </w:p>
    <w:p w14:paraId="0450D321" w14:textId="1E20A8C8" w:rsidR="008B629F" w:rsidRPr="008B629F" w:rsidRDefault="008B629F">
      <w:pPr>
        <w:numPr>
          <w:ilvl w:val="0"/>
          <w:numId w:val="14"/>
        </w:numPr>
        <w:spacing w:before="0" w:after="160" w:line="259" w:lineRule="auto"/>
        <w:rPr>
          <w:rFonts w:cs="Times New Roman"/>
          <w:lang w:val="en-US"/>
        </w:rPr>
      </w:pPr>
      <w:r w:rsidRPr="008B629F">
        <w:rPr>
          <w:rFonts w:cs="Times New Roman"/>
          <w:lang w:val="en-US"/>
        </w:rPr>
        <w:t>active heat barrier effect that regulates heat transfer between the human body and the environment</w:t>
      </w:r>
      <w:r w:rsidR="00732E1F">
        <w:rPr>
          <w:rFonts w:cs="Times New Roman"/>
          <w:lang w:val="en-US"/>
        </w:rPr>
        <w:t>,</w:t>
      </w:r>
      <w:r w:rsidRPr="008B629F">
        <w:rPr>
          <w:rFonts w:cs="Times New Roman"/>
          <w:lang w:val="en-US"/>
        </w:rPr>
        <w:t xml:space="preserve"> depending on activity level and ambient conditions.</w:t>
      </w:r>
    </w:p>
    <w:p w14:paraId="2BC039E2" w14:textId="4B5D856E" w:rsidR="008B629F" w:rsidRDefault="008B629F" w:rsidP="008B629F">
      <w:pPr>
        <w:rPr>
          <w:rFonts w:cs="Times New Roman"/>
          <w:lang w:val="en-US"/>
        </w:rPr>
      </w:pPr>
      <w:r w:rsidRPr="008B629F">
        <w:rPr>
          <w:rFonts w:cs="Times New Roman"/>
          <w:lang w:val="en-US"/>
        </w:rPr>
        <w:t xml:space="preserve">A fabric treated with 22.9% microcapsules (melamine–formaldehyde capsules containing eicosane, obtained via </w:t>
      </w:r>
      <w:r w:rsidRPr="008B629F">
        <w:rPr>
          <w:rFonts w:cs="Times New Roman"/>
          <w:i/>
          <w:iCs/>
          <w:lang w:val="en-US"/>
        </w:rPr>
        <w:t>in situ</w:t>
      </w:r>
      <w:r w:rsidRPr="008B629F">
        <w:rPr>
          <w:rFonts w:cs="Times New Roman"/>
          <w:lang w:val="en-US"/>
        </w:rPr>
        <w:t xml:space="preserve"> polymerization) can absorb up to 4.44 J/g of heat, slowing temperature rise within the clothing microclimate and improving thermophysiological comfort while preventing overheating [</w:t>
      </w:r>
      <w:r w:rsidR="00493AC3">
        <w:rPr>
          <w:rFonts w:cs="Times New Roman"/>
          <w:lang w:val="en-US"/>
        </w:rPr>
        <w:t>184</w:t>
      </w:r>
      <w:r w:rsidRPr="008B629F">
        <w:rPr>
          <w:rFonts w:cs="Times New Roman"/>
          <w:lang w:val="en-US"/>
        </w:rPr>
        <w:t xml:space="preserve">]. </w:t>
      </w:r>
      <w:r w:rsidR="00493AC3">
        <w:rPr>
          <w:rFonts w:cs="Times New Roman"/>
          <w:lang w:val="en-US"/>
        </w:rPr>
        <w:t>Pause</w:t>
      </w:r>
      <w:r w:rsidRPr="008B629F">
        <w:rPr>
          <w:rFonts w:cs="Times New Roman"/>
          <w:lang w:val="en-US"/>
        </w:rPr>
        <w:t xml:space="preserve"> et al. </w:t>
      </w:r>
      <w:sdt>
        <w:sdtPr>
          <w:rPr>
            <w:rFonts w:cs="Times New Roman"/>
            <w:lang w:val="en-US"/>
          </w:rPr>
          <w:id w:val="358251539"/>
          <w:citation/>
        </w:sdtPr>
        <w:sdtContent>
          <w:r w:rsidR="00493AC3">
            <w:rPr>
              <w:rFonts w:cs="Times New Roman"/>
              <w:lang w:val="en-US"/>
            </w:rPr>
            <w:fldChar w:fldCharType="begin"/>
          </w:r>
          <w:r w:rsidR="00493AC3" w:rsidRPr="00625AD6">
            <w:rPr>
              <w:rFonts w:cs="Times New Roman"/>
              <w:lang w:val="en-US"/>
            </w:rPr>
            <w:instrText xml:space="preserve"> CITATION Placeholder196 \l 1040 </w:instrText>
          </w:r>
          <w:r w:rsidR="00493AC3">
            <w:rPr>
              <w:rFonts w:cs="Times New Roman"/>
              <w:lang w:val="en-US"/>
            </w:rPr>
            <w:fldChar w:fldCharType="separate"/>
          </w:r>
          <w:r w:rsidR="00855396" w:rsidRPr="00855396">
            <w:rPr>
              <w:rFonts w:cs="Times New Roman"/>
              <w:noProof/>
              <w:lang w:val="en-US"/>
            </w:rPr>
            <w:t>[179]</w:t>
          </w:r>
          <w:r w:rsidR="00493AC3">
            <w:rPr>
              <w:rFonts w:cs="Times New Roman"/>
              <w:lang w:val="en-US"/>
            </w:rPr>
            <w:fldChar w:fldCharType="end"/>
          </w:r>
        </w:sdtContent>
      </w:sdt>
      <w:r w:rsidR="00493AC3">
        <w:rPr>
          <w:rFonts w:cs="Times New Roman"/>
          <w:lang w:val="en-US"/>
        </w:rPr>
        <w:t xml:space="preserve"> </w:t>
      </w:r>
      <w:r w:rsidRPr="008B629F">
        <w:rPr>
          <w:rFonts w:cs="Times New Roman"/>
          <w:lang w:val="en-US"/>
        </w:rPr>
        <w:t>investigated heat-protective garments incorporating PCMs. When the PCM temperature exceeded its melting point (28 °C), it melted and absorbed heat energy; as it cooled below 27 °C, it solidified and released the stored heat, acting as a thermal buffer. A clothing assembly consisting of PCM-coated spunbond fabric with a conductive layer consumed 30.9% less electrical energy than a similar assembly without PCM, demonstrating that conductive fabrics combined with PCMs effectively enhance thermal regulation and overall comfort. Das et al. [</w:t>
      </w:r>
      <w:r w:rsidR="00493AC3">
        <w:rPr>
          <w:rFonts w:cs="Times New Roman"/>
          <w:lang w:val="en-US"/>
        </w:rPr>
        <w:t>181</w:t>
      </w:r>
      <w:r w:rsidRPr="008B629F">
        <w:rPr>
          <w:rFonts w:cs="Times New Roman"/>
          <w:lang w:val="en-US"/>
        </w:rPr>
        <w:t xml:space="preserve">] report Table </w:t>
      </w:r>
      <w:r w:rsidR="00493AC3">
        <w:rPr>
          <w:rFonts w:cs="Times New Roman"/>
          <w:lang w:val="en-US"/>
        </w:rPr>
        <w:t>2.16</w:t>
      </w:r>
      <w:r w:rsidRPr="008B629F">
        <w:rPr>
          <w:rFonts w:cs="Times New Roman"/>
          <w:lang w:val="en-US"/>
        </w:rPr>
        <w:t>, which compares the main types of PCMs used in the textile field. The table illustrates their thermal properties, environmental impact, durability, cost, and the reasons why each type is preferred in textiles, highlighting the balance between thermal performance, sustainability, and wearer comfort.</w:t>
      </w:r>
    </w:p>
    <w:p w14:paraId="093AC8D2" w14:textId="77777777" w:rsidR="0079392D" w:rsidRDefault="0079392D" w:rsidP="008B629F">
      <w:pPr>
        <w:rPr>
          <w:rFonts w:cs="Times New Roman"/>
          <w:lang w:val="en-US"/>
        </w:rPr>
      </w:pPr>
    </w:p>
    <w:p w14:paraId="50F64E50" w14:textId="77777777" w:rsidR="00F257BA" w:rsidRPr="008B629F" w:rsidRDefault="00F257BA" w:rsidP="008B629F">
      <w:pPr>
        <w:rPr>
          <w:rFonts w:cs="Times New Roman"/>
          <w:lang w:val="en-US"/>
        </w:rPr>
      </w:pPr>
    </w:p>
    <w:tbl>
      <w:tblPr>
        <w:tblStyle w:val="TableGrid"/>
        <w:tblW w:w="0" w:type="auto"/>
        <w:jc w:val="center"/>
        <w:tblLook w:val="04A0" w:firstRow="1" w:lastRow="0" w:firstColumn="1" w:lastColumn="0" w:noHBand="0" w:noVBand="1"/>
      </w:tblPr>
      <w:tblGrid>
        <w:gridCol w:w="1728"/>
        <w:gridCol w:w="1728"/>
        <w:gridCol w:w="1728"/>
        <w:gridCol w:w="1728"/>
        <w:gridCol w:w="1728"/>
      </w:tblGrid>
      <w:tr w:rsidR="008B629F" w:rsidRPr="008B629F" w14:paraId="01740991" w14:textId="77777777" w:rsidTr="00F257BA">
        <w:trPr>
          <w:jc w:val="center"/>
        </w:trPr>
        <w:tc>
          <w:tcPr>
            <w:tcW w:w="1728" w:type="dxa"/>
            <w:shd w:val="clear" w:color="auto" w:fill="8EA5B6"/>
            <w:vAlign w:val="center"/>
          </w:tcPr>
          <w:p w14:paraId="087962FB" w14:textId="77777777" w:rsidR="008B629F" w:rsidRPr="00493AC3" w:rsidRDefault="008B629F" w:rsidP="00493AC3">
            <w:pPr>
              <w:jc w:val="center"/>
              <w:rPr>
                <w:rFonts w:cs="Times New Roman"/>
                <w:b/>
                <w:bCs/>
                <w:sz w:val="18"/>
                <w:szCs w:val="18"/>
              </w:rPr>
            </w:pPr>
            <w:r w:rsidRPr="00493AC3">
              <w:rPr>
                <w:rFonts w:cs="Times New Roman"/>
                <w:b/>
                <w:bCs/>
                <w:sz w:val="18"/>
                <w:szCs w:val="18"/>
              </w:rPr>
              <w:t>PCM Type</w:t>
            </w:r>
          </w:p>
        </w:tc>
        <w:tc>
          <w:tcPr>
            <w:tcW w:w="1728" w:type="dxa"/>
            <w:shd w:val="clear" w:color="auto" w:fill="8EA5B6"/>
            <w:vAlign w:val="center"/>
          </w:tcPr>
          <w:p w14:paraId="33D6DC6D" w14:textId="77777777" w:rsidR="008B629F" w:rsidRPr="00493AC3" w:rsidRDefault="008B629F" w:rsidP="00493AC3">
            <w:pPr>
              <w:jc w:val="center"/>
              <w:rPr>
                <w:rFonts w:cs="Times New Roman"/>
                <w:b/>
                <w:bCs/>
                <w:sz w:val="18"/>
                <w:szCs w:val="18"/>
              </w:rPr>
            </w:pPr>
            <w:r w:rsidRPr="00493AC3">
              <w:rPr>
                <w:rFonts w:cs="Times New Roman"/>
                <w:b/>
                <w:bCs/>
                <w:sz w:val="18"/>
                <w:szCs w:val="18"/>
              </w:rPr>
              <w:t>Thermal Properties</w:t>
            </w:r>
          </w:p>
        </w:tc>
        <w:tc>
          <w:tcPr>
            <w:tcW w:w="1728" w:type="dxa"/>
            <w:shd w:val="clear" w:color="auto" w:fill="8EA5B6"/>
            <w:vAlign w:val="center"/>
          </w:tcPr>
          <w:p w14:paraId="54D2FFA3" w14:textId="77777777" w:rsidR="008B629F" w:rsidRPr="00493AC3" w:rsidRDefault="008B629F" w:rsidP="00493AC3">
            <w:pPr>
              <w:jc w:val="center"/>
              <w:rPr>
                <w:rFonts w:cs="Times New Roman"/>
                <w:b/>
                <w:bCs/>
                <w:sz w:val="18"/>
                <w:szCs w:val="18"/>
              </w:rPr>
            </w:pPr>
            <w:r w:rsidRPr="00493AC3">
              <w:rPr>
                <w:rFonts w:cs="Times New Roman"/>
                <w:b/>
                <w:bCs/>
                <w:sz w:val="18"/>
                <w:szCs w:val="18"/>
              </w:rPr>
              <w:t>Environmental Impact</w:t>
            </w:r>
          </w:p>
        </w:tc>
        <w:tc>
          <w:tcPr>
            <w:tcW w:w="1728" w:type="dxa"/>
            <w:shd w:val="clear" w:color="auto" w:fill="8EA5B6"/>
            <w:vAlign w:val="center"/>
          </w:tcPr>
          <w:p w14:paraId="3DA5F957" w14:textId="77777777" w:rsidR="008B629F" w:rsidRPr="00493AC3" w:rsidRDefault="008B629F" w:rsidP="00493AC3">
            <w:pPr>
              <w:jc w:val="center"/>
              <w:rPr>
                <w:rFonts w:cs="Times New Roman"/>
                <w:b/>
                <w:bCs/>
                <w:sz w:val="18"/>
                <w:szCs w:val="18"/>
              </w:rPr>
            </w:pPr>
            <w:r w:rsidRPr="00493AC3">
              <w:rPr>
                <w:rFonts w:cs="Times New Roman"/>
                <w:b/>
                <w:bCs/>
                <w:sz w:val="18"/>
                <w:szCs w:val="18"/>
              </w:rPr>
              <w:t>Durability / Cost</w:t>
            </w:r>
          </w:p>
        </w:tc>
        <w:tc>
          <w:tcPr>
            <w:tcW w:w="1728" w:type="dxa"/>
            <w:shd w:val="clear" w:color="auto" w:fill="8EA5B6"/>
            <w:vAlign w:val="center"/>
          </w:tcPr>
          <w:p w14:paraId="235B5261" w14:textId="77777777" w:rsidR="008B629F" w:rsidRPr="00493AC3" w:rsidRDefault="008B629F" w:rsidP="00493AC3">
            <w:pPr>
              <w:jc w:val="center"/>
              <w:rPr>
                <w:rFonts w:cs="Times New Roman"/>
                <w:b/>
                <w:bCs/>
                <w:sz w:val="18"/>
                <w:szCs w:val="18"/>
              </w:rPr>
            </w:pPr>
            <w:r w:rsidRPr="00493AC3">
              <w:rPr>
                <w:rFonts w:cs="Times New Roman"/>
                <w:b/>
                <w:bCs/>
                <w:sz w:val="18"/>
                <w:szCs w:val="18"/>
              </w:rPr>
              <w:t>Why Preferred in Textiles</w:t>
            </w:r>
          </w:p>
        </w:tc>
      </w:tr>
      <w:tr w:rsidR="008B629F" w:rsidRPr="00736B36" w14:paraId="0B7B95F5" w14:textId="77777777" w:rsidTr="00F257BA">
        <w:trPr>
          <w:jc w:val="center"/>
        </w:trPr>
        <w:tc>
          <w:tcPr>
            <w:tcW w:w="1728" w:type="dxa"/>
            <w:vAlign w:val="center"/>
          </w:tcPr>
          <w:p w14:paraId="5B9FA73D" w14:textId="77777777" w:rsidR="008B629F" w:rsidRPr="008B629F" w:rsidRDefault="008B629F" w:rsidP="00493AC3">
            <w:pPr>
              <w:jc w:val="center"/>
              <w:rPr>
                <w:rFonts w:cs="Times New Roman"/>
                <w:sz w:val="18"/>
                <w:szCs w:val="18"/>
              </w:rPr>
            </w:pPr>
            <w:r w:rsidRPr="008B629F">
              <w:rPr>
                <w:rFonts w:cs="Times New Roman"/>
                <w:sz w:val="18"/>
                <w:szCs w:val="18"/>
              </w:rPr>
              <w:lastRenderedPageBreak/>
              <w:t>Polyalcohols &amp; Derivatives</w:t>
            </w:r>
          </w:p>
        </w:tc>
        <w:tc>
          <w:tcPr>
            <w:tcW w:w="1728" w:type="dxa"/>
            <w:vAlign w:val="center"/>
          </w:tcPr>
          <w:p w14:paraId="16DFA568" w14:textId="77777777" w:rsidR="008B629F" w:rsidRPr="008B629F" w:rsidRDefault="008B629F" w:rsidP="00493AC3">
            <w:pPr>
              <w:jc w:val="center"/>
              <w:rPr>
                <w:rFonts w:cs="Times New Roman"/>
                <w:sz w:val="18"/>
                <w:szCs w:val="18"/>
                <w:lang w:val="en-US"/>
              </w:rPr>
            </w:pPr>
            <w:r w:rsidRPr="008B629F">
              <w:rPr>
                <w:rFonts w:cs="Times New Roman"/>
                <w:sz w:val="18"/>
                <w:szCs w:val="18"/>
                <w:lang w:val="en-US"/>
              </w:rPr>
              <w:t>Moderate latent heat capacity; melting and freezing suitable for body temperature regulation.</w:t>
            </w:r>
          </w:p>
        </w:tc>
        <w:tc>
          <w:tcPr>
            <w:tcW w:w="1728" w:type="dxa"/>
            <w:vAlign w:val="center"/>
          </w:tcPr>
          <w:p w14:paraId="1CD94859" w14:textId="77777777" w:rsidR="008B629F" w:rsidRPr="008B629F" w:rsidRDefault="008B629F" w:rsidP="00493AC3">
            <w:pPr>
              <w:jc w:val="center"/>
              <w:rPr>
                <w:rFonts w:cs="Times New Roman"/>
                <w:sz w:val="18"/>
                <w:szCs w:val="18"/>
                <w:lang w:val="en-US"/>
              </w:rPr>
            </w:pPr>
            <w:r w:rsidRPr="008B629F">
              <w:rPr>
                <w:rFonts w:cs="Times New Roman"/>
                <w:sz w:val="18"/>
                <w:szCs w:val="18"/>
                <w:lang w:val="en-US"/>
              </w:rPr>
              <w:t>Biodegradable; low environmental impact due to natural origin.</w:t>
            </w:r>
          </w:p>
        </w:tc>
        <w:tc>
          <w:tcPr>
            <w:tcW w:w="1728" w:type="dxa"/>
            <w:vAlign w:val="center"/>
          </w:tcPr>
          <w:p w14:paraId="56B92F56" w14:textId="77777777" w:rsidR="008B629F" w:rsidRPr="008B629F" w:rsidRDefault="008B629F" w:rsidP="00493AC3">
            <w:pPr>
              <w:jc w:val="center"/>
              <w:rPr>
                <w:rFonts w:cs="Times New Roman"/>
                <w:sz w:val="18"/>
                <w:szCs w:val="18"/>
                <w:lang w:val="en-US"/>
              </w:rPr>
            </w:pPr>
            <w:r w:rsidRPr="008B629F">
              <w:rPr>
                <w:rFonts w:cs="Times New Roman"/>
                <w:sz w:val="18"/>
                <w:szCs w:val="18"/>
                <w:lang w:val="en-US"/>
              </w:rPr>
              <w:t>Moderate; has good durability but can degrade under high temperatures or chemical exposure.</w:t>
            </w:r>
          </w:p>
        </w:tc>
        <w:tc>
          <w:tcPr>
            <w:tcW w:w="1728" w:type="dxa"/>
            <w:vAlign w:val="center"/>
          </w:tcPr>
          <w:p w14:paraId="245FD503" w14:textId="6075F3E5" w:rsidR="008B629F" w:rsidRPr="008B629F" w:rsidRDefault="008B629F" w:rsidP="00493AC3">
            <w:pPr>
              <w:jc w:val="center"/>
              <w:rPr>
                <w:rFonts w:cs="Times New Roman"/>
                <w:sz w:val="18"/>
                <w:szCs w:val="18"/>
                <w:lang w:val="en-US"/>
              </w:rPr>
            </w:pPr>
            <w:r w:rsidRPr="008B629F">
              <w:rPr>
                <w:rFonts w:cs="Times New Roman"/>
                <w:sz w:val="18"/>
                <w:szCs w:val="18"/>
                <w:lang w:val="en-US"/>
              </w:rPr>
              <w:t>Preferred for their biocompatibility and regulation of body temperature; often used for wearable applications and sportswear.</w:t>
            </w:r>
          </w:p>
        </w:tc>
      </w:tr>
      <w:tr w:rsidR="008B629F" w:rsidRPr="00736B36" w14:paraId="372F7C5A" w14:textId="77777777" w:rsidTr="00F257BA">
        <w:trPr>
          <w:jc w:val="center"/>
        </w:trPr>
        <w:tc>
          <w:tcPr>
            <w:tcW w:w="1728" w:type="dxa"/>
            <w:vAlign w:val="center"/>
          </w:tcPr>
          <w:p w14:paraId="1F347E85" w14:textId="77777777" w:rsidR="008B629F" w:rsidRPr="008B629F" w:rsidRDefault="008B629F" w:rsidP="00493AC3">
            <w:pPr>
              <w:jc w:val="center"/>
              <w:rPr>
                <w:rFonts w:cs="Times New Roman"/>
                <w:sz w:val="18"/>
                <w:szCs w:val="18"/>
              </w:rPr>
            </w:pPr>
            <w:r w:rsidRPr="008B629F">
              <w:rPr>
                <w:rFonts w:cs="Times New Roman"/>
                <w:sz w:val="18"/>
                <w:szCs w:val="18"/>
              </w:rPr>
              <w:t>Fatty Acids / Mixtures</w:t>
            </w:r>
          </w:p>
        </w:tc>
        <w:tc>
          <w:tcPr>
            <w:tcW w:w="1728" w:type="dxa"/>
            <w:vAlign w:val="center"/>
          </w:tcPr>
          <w:p w14:paraId="3BE675BB" w14:textId="77777777" w:rsidR="008B629F" w:rsidRPr="008B629F" w:rsidRDefault="008B629F" w:rsidP="00493AC3">
            <w:pPr>
              <w:jc w:val="center"/>
              <w:rPr>
                <w:rFonts w:cs="Times New Roman"/>
                <w:sz w:val="18"/>
                <w:szCs w:val="18"/>
                <w:lang w:val="en-US"/>
              </w:rPr>
            </w:pPr>
            <w:r w:rsidRPr="008B629F">
              <w:rPr>
                <w:rFonts w:cs="Times New Roman"/>
                <w:sz w:val="18"/>
                <w:szCs w:val="18"/>
                <w:lang w:val="en-US"/>
              </w:rPr>
              <w:t>High latent heat and narrow melting/freezing range; good for thermal buffering.</w:t>
            </w:r>
          </w:p>
        </w:tc>
        <w:tc>
          <w:tcPr>
            <w:tcW w:w="1728" w:type="dxa"/>
            <w:vAlign w:val="center"/>
          </w:tcPr>
          <w:p w14:paraId="133F505E" w14:textId="77777777" w:rsidR="008B629F" w:rsidRPr="008B629F" w:rsidRDefault="008B629F" w:rsidP="00493AC3">
            <w:pPr>
              <w:jc w:val="center"/>
              <w:rPr>
                <w:rFonts w:cs="Times New Roman"/>
                <w:sz w:val="18"/>
                <w:szCs w:val="18"/>
                <w:lang w:val="en-US"/>
              </w:rPr>
            </w:pPr>
            <w:r w:rsidRPr="008B629F">
              <w:rPr>
                <w:rFonts w:cs="Times New Roman"/>
                <w:sz w:val="18"/>
                <w:szCs w:val="18"/>
                <w:lang w:val="en-US"/>
              </w:rPr>
              <w:t>Biodegradable and often sourced from renewable resources; low environmental impact.</w:t>
            </w:r>
          </w:p>
        </w:tc>
        <w:tc>
          <w:tcPr>
            <w:tcW w:w="1728" w:type="dxa"/>
            <w:vAlign w:val="center"/>
          </w:tcPr>
          <w:p w14:paraId="7EFAD9EC" w14:textId="77777777" w:rsidR="008B629F" w:rsidRPr="008B629F" w:rsidRDefault="008B629F" w:rsidP="00493AC3">
            <w:pPr>
              <w:jc w:val="center"/>
              <w:rPr>
                <w:rFonts w:cs="Times New Roman"/>
                <w:sz w:val="18"/>
                <w:szCs w:val="18"/>
              </w:rPr>
            </w:pPr>
            <w:r w:rsidRPr="008B629F">
              <w:rPr>
                <w:rFonts w:cs="Times New Roman"/>
                <w:sz w:val="18"/>
                <w:szCs w:val="18"/>
                <w:lang w:val="en-US"/>
              </w:rPr>
              <w:t xml:space="preserve">Generally durable but may degrade with repeated phase change cycles. </w:t>
            </w:r>
            <w:r w:rsidRPr="008B629F">
              <w:rPr>
                <w:rFonts w:cs="Times New Roman"/>
                <w:sz w:val="18"/>
                <w:szCs w:val="18"/>
              </w:rPr>
              <w:t>Cost: Moderate.</w:t>
            </w:r>
          </w:p>
        </w:tc>
        <w:tc>
          <w:tcPr>
            <w:tcW w:w="1728" w:type="dxa"/>
            <w:vAlign w:val="center"/>
          </w:tcPr>
          <w:p w14:paraId="72EE3335" w14:textId="578970FD" w:rsidR="008B629F" w:rsidRPr="008B629F" w:rsidRDefault="008B629F" w:rsidP="00493AC3">
            <w:pPr>
              <w:jc w:val="center"/>
              <w:rPr>
                <w:rFonts w:cs="Times New Roman"/>
                <w:sz w:val="18"/>
                <w:szCs w:val="18"/>
                <w:lang w:val="en-US"/>
              </w:rPr>
            </w:pPr>
            <w:r w:rsidRPr="008B629F">
              <w:rPr>
                <w:rFonts w:cs="Times New Roman"/>
                <w:sz w:val="18"/>
                <w:szCs w:val="18"/>
                <w:lang w:val="en-US"/>
              </w:rPr>
              <w:t xml:space="preserve">Frequently used due to availability, renewability, and non-toxicity; </w:t>
            </w:r>
            <w:r w:rsidR="0079392D">
              <w:rPr>
                <w:rFonts w:cs="Times New Roman"/>
                <w:sz w:val="18"/>
                <w:szCs w:val="18"/>
                <w:lang w:val="en-US"/>
              </w:rPr>
              <w:t xml:space="preserve">it </w:t>
            </w:r>
            <w:r w:rsidRPr="008B629F">
              <w:rPr>
                <w:rFonts w:cs="Times New Roman"/>
                <w:sz w:val="18"/>
                <w:szCs w:val="18"/>
                <w:lang w:val="en-US"/>
              </w:rPr>
              <w:t>provide</w:t>
            </w:r>
            <w:r w:rsidR="0079392D">
              <w:rPr>
                <w:rFonts w:cs="Times New Roman"/>
                <w:sz w:val="18"/>
                <w:szCs w:val="18"/>
                <w:lang w:val="en-US"/>
              </w:rPr>
              <w:t>s</w:t>
            </w:r>
            <w:r w:rsidRPr="008B629F">
              <w:rPr>
                <w:rFonts w:cs="Times New Roman"/>
                <w:sz w:val="18"/>
                <w:szCs w:val="18"/>
                <w:lang w:val="en-US"/>
              </w:rPr>
              <w:t xml:space="preserve"> good thermal comfort.</w:t>
            </w:r>
          </w:p>
        </w:tc>
      </w:tr>
      <w:tr w:rsidR="008B629F" w:rsidRPr="00736B36" w14:paraId="38C50A29" w14:textId="77777777" w:rsidTr="00F257BA">
        <w:trPr>
          <w:jc w:val="center"/>
        </w:trPr>
        <w:tc>
          <w:tcPr>
            <w:tcW w:w="1728" w:type="dxa"/>
            <w:vAlign w:val="center"/>
          </w:tcPr>
          <w:p w14:paraId="33C26B87" w14:textId="77777777" w:rsidR="008B629F" w:rsidRPr="008B629F" w:rsidRDefault="008B629F" w:rsidP="00493AC3">
            <w:pPr>
              <w:jc w:val="center"/>
              <w:rPr>
                <w:rFonts w:cs="Times New Roman"/>
                <w:sz w:val="18"/>
                <w:szCs w:val="18"/>
              </w:rPr>
            </w:pPr>
            <w:r w:rsidRPr="008B629F">
              <w:rPr>
                <w:rFonts w:cs="Times New Roman"/>
                <w:sz w:val="18"/>
                <w:szCs w:val="18"/>
              </w:rPr>
              <w:t>Esters from Fatty Acids</w:t>
            </w:r>
          </w:p>
        </w:tc>
        <w:tc>
          <w:tcPr>
            <w:tcW w:w="1728" w:type="dxa"/>
            <w:vAlign w:val="center"/>
          </w:tcPr>
          <w:p w14:paraId="44A3E3EC" w14:textId="77777777" w:rsidR="008B629F" w:rsidRPr="008B629F" w:rsidRDefault="008B629F" w:rsidP="00493AC3">
            <w:pPr>
              <w:jc w:val="center"/>
              <w:rPr>
                <w:rFonts w:cs="Times New Roman"/>
                <w:sz w:val="18"/>
                <w:szCs w:val="18"/>
                <w:lang w:val="en-US"/>
              </w:rPr>
            </w:pPr>
            <w:r w:rsidRPr="008B629F">
              <w:rPr>
                <w:rFonts w:cs="Times New Roman"/>
                <w:sz w:val="18"/>
                <w:szCs w:val="18"/>
                <w:lang w:val="en-US"/>
              </w:rPr>
              <w:t>Moderate thermal properties; wide range of phase change temperatures depending on formulation.</w:t>
            </w:r>
          </w:p>
        </w:tc>
        <w:tc>
          <w:tcPr>
            <w:tcW w:w="1728" w:type="dxa"/>
            <w:vAlign w:val="center"/>
          </w:tcPr>
          <w:p w14:paraId="5E6BB251" w14:textId="77777777" w:rsidR="008B629F" w:rsidRPr="008B629F" w:rsidRDefault="008B629F" w:rsidP="00493AC3">
            <w:pPr>
              <w:jc w:val="center"/>
              <w:rPr>
                <w:rFonts w:cs="Times New Roman"/>
                <w:sz w:val="18"/>
                <w:szCs w:val="18"/>
                <w:lang w:val="en-US"/>
              </w:rPr>
            </w:pPr>
            <w:r w:rsidRPr="008B629F">
              <w:rPr>
                <w:rFonts w:cs="Times New Roman"/>
                <w:sz w:val="18"/>
                <w:szCs w:val="18"/>
                <w:lang w:val="en-US"/>
              </w:rPr>
              <w:t>Derived from renewable sources; low to moderate environmental impact.</w:t>
            </w:r>
          </w:p>
        </w:tc>
        <w:tc>
          <w:tcPr>
            <w:tcW w:w="1728" w:type="dxa"/>
            <w:vAlign w:val="center"/>
          </w:tcPr>
          <w:p w14:paraId="64A4C89B" w14:textId="77777777" w:rsidR="008B629F" w:rsidRPr="008B629F" w:rsidRDefault="008B629F" w:rsidP="00493AC3">
            <w:pPr>
              <w:jc w:val="center"/>
              <w:rPr>
                <w:rFonts w:cs="Times New Roman"/>
                <w:sz w:val="18"/>
                <w:szCs w:val="18"/>
                <w:lang w:val="en-US"/>
              </w:rPr>
            </w:pPr>
            <w:r w:rsidRPr="008B629F">
              <w:rPr>
                <w:rFonts w:cs="Times New Roman"/>
                <w:sz w:val="18"/>
                <w:szCs w:val="18"/>
                <w:lang w:val="en-US"/>
              </w:rPr>
              <w:t>Typically stable under repeated phase changes, but some degradation may occur under extreme conditions.</w:t>
            </w:r>
          </w:p>
        </w:tc>
        <w:tc>
          <w:tcPr>
            <w:tcW w:w="1728" w:type="dxa"/>
            <w:vAlign w:val="center"/>
          </w:tcPr>
          <w:p w14:paraId="3ABB269C" w14:textId="4A760A82" w:rsidR="008B629F" w:rsidRPr="008B629F" w:rsidRDefault="008B629F" w:rsidP="00493AC3">
            <w:pPr>
              <w:jc w:val="center"/>
              <w:rPr>
                <w:rFonts w:cs="Times New Roman"/>
                <w:sz w:val="18"/>
                <w:szCs w:val="18"/>
                <w:lang w:val="en-US"/>
              </w:rPr>
            </w:pPr>
            <w:r w:rsidRPr="008B629F">
              <w:rPr>
                <w:rFonts w:cs="Times New Roman"/>
                <w:sz w:val="18"/>
                <w:szCs w:val="18"/>
                <w:lang w:val="en-US"/>
              </w:rPr>
              <w:t>Their renewable origin and tunable properties make them advantageous for textile applications.</w:t>
            </w:r>
          </w:p>
        </w:tc>
      </w:tr>
      <w:tr w:rsidR="008B629F" w:rsidRPr="00736B36" w14:paraId="0636E0B4" w14:textId="77777777" w:rsidTr="00F257BA">
        <w:trPr>
          <w:jc w:val="center"/>
        </w:trPr>
        <w:tc>
          <w:tcPr>
            <w:tcW w:w="1728" w:type="dxa"/>
            <w:vAlign w:val="center"/>
          </w:tcPr>
          <w:p w14:paraId="7A23986A" w14:textId="77777777" w:rsidR="008B629F" w:rsidRPr="008B629F" w:rsidRDefault="008B629F" w:rsidP="00493AC3">
            <w:pPr>
              <w:jc w:val="center"/>
              <w:rPr>
                <w:rFonts w:cs="Times New Roman"/>
                <w:sz w:val="18"/>
                <w:szCs w:val="18"/>
                <w:lang w:val="en-US"/>
              </w:rPr>
            </w:pPr>
            <w:r w:rsidRPr="008B629F">
              <w:rPr>
                <w:rFonts w:cs="Times New Roman"/>
                <w:sz w:val="18"/>
                <w:szCs w:val="18"/>
                <w:lang w:val="en-US"/>
              </w:rPr>
              <w:t>Animal &amp; Plant-based Fatty Acids</w:t>
            </w:r>
          </w:p>
        </w:tc>
        <w:tc>
          <w:tcPr>
            <w:tcW w:w="1728" w:type="dxa"/>
            <w:vAlign w:val="center"/>
          </w:tcPr>
          <w:p w14:paraId="429B0C53" w14:textId="77777777" w:rsidR="008B629F" w:rsidRPr="008B629F" w:rsidRDefault="008B629F" w:rsidP="00493AC3">
            <w:pPr>
              <w:jc w:val="center"/>
              <w:rPr>
                <w:rFonts w:cs="Times New Roman"/>
                <w:sz w:val="18"/>
                <w:szCs w:val="18"/>
                <w:lang w:val="en-US"/>
              </w:rPr>
            </w:pPr>
            <w:r w:rsidRPr="008B629F">
              <w:rPr>
                <w:rFonts w:cs="Times New Roman"/>
                <w:sz w:val="18"/>
                <w:szCs w:val="18"/>
                <w:lang w:val="en-US"/>
              </w:rPr>
              <w:t>High latent heat capacity; maintains constant temperature within a defined range.</w:t>
            </w:r>
          </w:p>
        </w:tc>
        <w:tc>
          <w:tcPr>
            <w:tcW w:w="1728" w:type="dxa"/>
            <w:vAlign w:val="center"/>
          </w:tcPr>
          <w:p w14:paraId="5134A2B2" w14:textId="77777777" w:rsidR="008B629F" w:rsidRPr="008B629F" w:rsidRDefault="008B629F" w:rsidP="00493AC3">
            <w:pPr>
              <w:jc w:val="center"/>
              <w:rPr>
                <w:rFonts w:cs="Times New Roman"/>
                <w:sz w:val="18"/>
                <w:szCs w:val="18"/>
                <w:lang w:val="en-US"/>
              </w:rPr>
            </w:pPr>
            <w:r w:rsidRPr="008B629F">
              <w:rPr>
                <w:rFonts w:cs="Times New Roman"/>
                <w:sz w:val="18"/>
                <w:szCs w:val="18"/>
                <w:lang w:val="en-US"/>
              </w:rPr>
              <w:t>Renewable, biodegradable, low carbon footprint; plant-based sources more sustainable than animal-based.</w:t>
            </w:r>
          </w:p>
        </w:tc>
        <w:tc>
          <w:tcPr>
            <w:tcW w:w="1728" w:type="dxa"/>
            <w:vAlign w:val="center"/>
          </w:tcPr>
          <w:p w14:paraId="511F341D" w14:textId="02064A27" w:rsidR="008B629F" w:rsidRPr="008B629F" w:rsidRDefault="008B629F" w:rsidP="00493AC3">
            <w:pPr>
              <w:jc w:val="center"/>
              <w:rPr>
                <w:rFonts w:cs="Times New Roman"/>
                <w:sz w:val="18"/>
                <w:szCs w:val="18"/>
                <w:lang w:val="en-US"/>
              </w:rPr>
            </w:pPr>
            <w:r w:rsidRPr="008B629F">
              <w:rPr>
                <w:rFonts w:cs="Times New Roman"/>
                <w:sz w:val="18"/>
                <w:szCs w:val="18"/>
                <w:lang w:val="en-US"/>
              </w:rPr>
              <w:t>Generally safe and stable under multiple phase cycles; some animal-based options may degrade faster.</w:t>
            </w:r>
          </w:p>
        </w:tc>
        <w:tc>
          <w:tcPr>
            <w:tcW w:w="1728" w:type="dxa"/>
            <w:vAlign w:val="center"/>
          </w:tcPr>
          <w:p w14:paraId="351F20B7" w14:textId="77777777" w:rsidR="008B629F" w:rsidRPr="008B629F" w:rsidRDefault="008B629F" w:rsidP="00493AC3">
            <w:pPr>
              <w:jc w:val="center"/>
              <w:rPr>
                <w:rFonts w:cs="Times New Roman"/>
                <w:sz w:val="18"/>
                <w:szCs w:val="18"/>
                <w:lang w:val="en-US"/>
              </w:rPr>
            </w:pPr>
            <w:r w:rsidRPr="008B629F">
              <w:rPr>
                <w:rFonts w:cs="Times New Roman"/>
                <w:sz w:val="18"/>
                <w:szCs w:val="18"/>
                <w:lang w:val="en-US"/>
              </w:rPr>
              <w:t>Preferred for sustainable textile applications where eco-friendliness is critical.</w:t>
            </w:r>
          </w:p>
        </w:tc>
      </w:tr>
      <w:tr w:rsidR="008B629F" w:rsidRPr="00736B36" w14:paraId="0F76A4E5" w14:textId="77777777" w:rsidTr="00F257BA">
        <w:trPr>
          <w:jc w:val="center"/>
        </w:trPr>
        <w:tc>
          <w:tcPr>
            <w:tcW w:w="1728" w:type="dxa"/>
            <w:vAlign w:val="center"/>
          </w:tcPr>
          <w:p w14:paraId="0257132A" w14:textId="77777777" w:rsidR="008B629F" w:rsidRPr="008B629F" w:rsidRDefault="008B629F" w:rsidP="00493AC3">
            <w:pPr>
              <w:jc w:val="center"/>
              <w:rPr>
                <w:rFonts w:cs="Times New Roman"/>
                <w:sz w:val="18"/>
                <w:szCs w:val="18"/>
              </w:rPr>
            </w:pPr>
            <w:r w:rsidRPr="008B629F">
              <w:rPr>
                <w:rFonts w:cs="Times New Roman"/>
                <w:sz w:val="18"/>
                <w:szCs w:val="18"/>
              </w:rPr>
              <w:t>Organic PCMs</w:t>
            </w:r>
          </w:p>
        </w:tc>
        <w:tc>
          <w:tcPr>
            <w:tcW w:w="1728" w:type="dxa"/>
            <w:vAlign w:val="center"/>
          </w:tcPr>
          <w:p w14:paraId="6186E775" w14:textId="77777777" w:rsidR="008B629F" w:rsidRPr="008B629F" w:rsidRDefault="008B629F" w:rsidP="00493AC3">
            <w:pPr>
              <w:jc w:val="center"/>
              <w:rPr>
                <w:rFonts w:cs="Times New Roman"/>
                <w:sz w:val="18"/>
                <w:szCs w:val="18"/>
                <w:lang w:val="en-US"/>
              </w:rPr>
            </w:pPr>
            <w:r w:rsidRPr="008B629F">
              <w:rPr>
                <w:rFonts w:cs="Times New Roman"/>
                <w:sz w:val="18"/>
                <w:szCs w:val="18"/>
                <w:lang w:val="en-US"/>
              </w:rPr>
              <w:t>Broad melting point range; excellent thermal storage properties for specific temperature ranges.</w:t>
            </w:r>
          </w:p>
        </w:tc>
        <w:tc>
          <w:tcPr>
            <w:tcW w:w="1728" w:type="dxa"/>
            <w:vAlign w:val="center"/>
          </w:tcPr>
          <w:p w14:paraId="0F6A4C00" w14:textId="489C1535" w:rsidR="008B629F" w:rsidRPr="008B629F" w:rsidRDefault="008B629F" w:rsidP="00493AC3">
            <w:pPr>
              <w:jc w:val="center"/>
              <w:rPr>
                <w:rFonts w:cs="Times New Roman"/>
                <w:sz w:val="18"/>
                <w:szCs w:val="18"/>
                <w:lang w:val="en-US"/>
              </w:rPr>
            </w:pPr>
            <w:r w:rsidRPr="008B629F">
              <w:rPr>
                <w:rFonts w:cs="Times New Roman"/>
                <w:sz w:val="18"/>
                <w:szCs w:val="18"/>
                <w:lang w:val="en-US"/>
              </w:rPr>
              <w:t xml:space="preserve">Low environmental impact when derived from natural sources; synthetic types may have </w:t>
            </w:r>
            <w:r w:rsidR="00F257BA">
              <w:rPr>
                <w:rFonts w:cs="Times New Roman"/>
                <w:sz w:val="18"/>
                <w:szCs w:val="18"/>
                <w:lang w:val="en-US"/>
              </w:rPr>
              <w:t xml:space="preserve">a </w:t>
            </w:r>
            <w:r w:rsidRPr="008B629F">
              <w:rPr>
                <w:rFonts w:cs="Times New Roman"/>
                <w:sz w:val="18"/>
                <w:szCs w:val="18"/>
                <w:lang w:val="en-US"/>
              </w:rPr>
              <w:t>higher carbon footprint.</w:t>
            </w:r>
          </w:p>
        </w:tc>
        <w:tc>
          <w:tcPr>
            <w:tcW w:w="1728" w:type="dxa"/>
            <w:vAlign w:val="center"/>
          </w:tcPr>
          <w:p w14:paraId="1A8C453C" w14:textId="70BFB73A" w:rsidR="008B629F" w:rsidRPr="008B629F" w:rsidRDefault="008B629F" w:rsidP="00493AC3">
            <w:pPr>
              <w:jc w:val="center"/>
              <w:rPr>
                <w:rFonts w:cs="Times New Roman"/>
                <w:sz w:val="18"/>
                <w:szCs w:val="18"/>
              </w:rPr>
            </w:pPr>
            <w:r w:rsidRPr="008B629F">
              <w:rPr>
                <w:rFonts w:cs="Times New Roman"/>
                <w:sz w:val="18"/>
                <w:szCs w:val="18"/>
                <w:lang w:val="en-US"/>
              </w:rPr>
              <w:t xml:space="preserve">Durable and stable over repeated cycles; performance can diminish under extreme conditions. </w:t>
            </w:r>
            <w:r w:rsidRPr="008B629F">
              <w:rPr>
                <w:rFonts w:cs="Times New Roman"/>
                <w:sz w:val="18"/>
                <w:szCs w:val="18"/>
              </w:rPr>
              <w:t>Cost: Moderate to high.</w:t>
            </w:r>
          </w:p>
        </w:tc>
        <w:tc>
          <w:tcPr>
            <w:tcW w:w="1728" w:type="dxa"/>
            <w:vAlign w:val="center"/>
          </w:tcPr>
          <w:p w14:paraId="1248D741" w14:textId="77777777" w:rsidR="008B629F" w:rsidRPr="008B629F" w:rsidRDefault="008B629F" w:rsidP="00493AC3">
            <w:pPr>
              <w:jc w:val="center"/>
              <w:rPr>
                <w:rFonts w:cs="Times New Roman"/>
                <w:sz w:val="18"/>
                <w:szCs w:val="18"/>
                <w:lang w:val="en-US"/>
              </w:rPr>
            </w:pPr>
            <w:r w:rsidRPr="008B629F">
              <w:rPr>
                <w:rFonts w:cs="Times New Roman"/>
                <w:sz w:val="18"/>
                <w:szCs w:val="18"/>
                <w:lang w:val="en-US"/>
              </w:rPr>
              <w:t>Widely used due to chemical stability and customizability; organic PCMs enable flexible textile integration.</w:t>
            </w:r>
          </w:p>
        </w:tc>
      </w:tr>
      <w:tr w:rsidR="008B629F" w:rsidRPr="00736B36" w14:paraId="7BA959D6" w14:textId="77777777" w:rsidTr="00F257BA">
        <w:trPr>
          <w:jc w:val="center"/>
        </w:trPr>
        <w:tc>
          <w:tcPr>
            <w:tcW w:w="1728" w:type="dxa"/>
            <w:vAlign w:val="center"/>
          </w:tcPr>
          <w:p w14:paraId="55A09538" w14:textId="77777777" w:rsidR="008B629F" w:rsidRPr="008B629F" w:rsidRDefault="008B629F" w:rsidP="00493AC3">
            <w:pPr>
              <w:jc w:val="center"/>
              <w:rPr>
                <w:rFonts w:cs="Times New Roman"/>
                <w:sz w:val="18"/>
                <w:szCs w:val="18"/>
              </w:rPr>
            </w:pPr>
            <w:r w:rsidRPr="008B629F">
              <w:rPr>
                <w:rFonts w:cs="Times New Roman"/>
                <w:sz w:val="18"/>
                <w:szCs w:val="18"/>
              </w:rPr>
              <w:t>Organic Paraffin</w:t>
            </w:r>
          </w:p>
        </w:tc>
        <w:tc>
          <w:tcPr>
            <w:tcW w:w="1728" w:type="dxa"/>
            <w:vAlign w:val="center"/>
          </w:tcPr>
          <w:p w14:paraId="0C896FBF" w14:textId="77777777" w:rsidR="008B629F" w:rsidRPr="008B629F" w:rsidRDefault="008B629F" w:rsidP="00493AC3">
            <w:pPr>
              <w:jc w:val="center"/>
              <w:rPr>
                <w:rFonts w:cs="Times New Roman"/>
                <w:sz w:val="18"/>
                <w:szCs w:val="18"/>
                <w:lang w:val="en-US"/>
              </w:rPr>
            </w:pPr>
            <w:r w:rsidRPr="008B629F">
              <w:rPr>
                <w:rFonts w:cs="Times New Roman"/>
                <w:sz w:val="18"/>
                <w:szCs w:val="18"/>
                <w:lang w:val="en-US"/>
              </w:rPr>
              <w:t>High latent heat with well-defined phase change temperature; efficient at storing and releasing heat.</w:t>
            </w:r>
          </w:p>
        </w:tc>
        <w:tc>
          <w:tcPr>
            <w:tcW w:w="1728" w:type="dxa"/>
            <w:vAlign w:val="center"/>
          </w:tcPr>
          <w:p w14:paraId="0F90A32B" w14:textId="77777777" w:rsidR="008B629F" w:rsidRPr="008B629F" w:rsidRDefault="008B629F" w:rsidP="00493AC3">
            <w:pPr>
              <w:jc w:val="center"/>
              <w:rPr>
                <w:rFonts w:cs="Times New Roman"/>
                <w:sz w:val="18"/>
                <w:szCs w:val="18"/>
                <w:lang w:val="en-US"/>
              </w:rPr>
            </w:pPr>
            <w:r w:rsidRPr="008B629F">
              <w:rPr>
                <w:rFonts w:cs="Times New Roman"/>
                <w:sz w:val="18"/>
                <w:szCs w:val="18"/>
                <w:lang w:val="en-US"/>
              </w:rPr>
              <w:t>Derived from petrochemicals; non-biodegradable and higher environmental impact than natural PCMs.</w:t>
            </w:r>
          </w:p>
        </w:tc>
        <w:tc>
          <w:tcPr>
            <w:tcW w:w="1728" w:type="dxa"/>
            <w:vAlign w:val="center"/>
          </w:tcPr>
          <w:p w14:paraId="3AD0659D" w14:textId="77777777" w:rsidR="008B629F" w:rsidRPr="008B629F" w:rsidRDefault="008B629F" w:rsidP="00493AC3">
            <w:pPr>
              <w:jc w:val="center"/>
              <w:rPr>
                <w:rFonts w:cs="Times New Roman"/>
                <w:sz w:val="18"/>
                <w:szCs w:val="18"/>
                <w:lang w:val="en-US"/>
              </w:rPr>
            </w:pPr>
            <w:r w:rsidRPr="008B629F">
              <w:rPr>
                <w:rFonts w:cs="Times New Roman"/>
                <w:sz w:val="18"/>
                <w:szCs w:val="18"/>
                <w:lang w:val="en-US"/>
              </w:rPr>
              <w:t>Highly durable and stable over numerous phase cycles; resistant to chemical and environmental degradation.</w:t>
            </w:r>
          </w:p>
        </w:tc>
        <w:tc>
          <w:tcPr>
            <w:tcW w:w="1728" w:type="dxa"/>
            <w:vAlign w:val="center"/>
          </w:tcPr>
          <w:p w14:paraId="4000D99E" w14:textId="28F4330A" w:rsidR="008B629F" w:rsidRPr="008B629F" w:rsidRDefault="008B629F" w:rsidP="00493AC3">
            <w:pPr>
              <w:jc w:val="center"/>
              <w:rPr>
                <w:rFonts w:cs="Times New Roman"/>
                <w:sz w:val="18"/>
                <w:szCs w:val="18"/>
                <w:lang w:val="en-US"/>
              </w:rPr>
            </w:pPr>
            <w:r w:rsidRPr="008B629F">
              <w:rPr>
                <w:rFonts w:cs="Times New Roman"/>
                <w:sz w:val="18"/>
                <w:szCs w:val="18"/>
                <w:lang w:val="en-US"/>
              </w:rPr>
              <w:t>Preferred for durability and reliability in high-performance textiles; cost-effective despite environmental concerns.</w:t>
            </w:r>
          </w:p>
        </w:tc>
      </w:tr>
      <w:tr w:rsidR="008B629F" w:rsidRPr="00736B36" w14:paraId="54A279AF" w14:textId="77777777" w:rsidTr="00F257BA">
        <w:trPr>
          <w:jc w:val="center"/>
        </w:trPr>
        <w:tc>
          <w:tcPr>
            <w:tcW w:w="1728" w:type="dxa"/>
            <w:vAlign w:val="center"/>
          </w:tcPr>
          <w:p w14:paraId="2AE865F9" w14:textId="77777777" w:rsidR="008B629F" w:rsidRPr="008B629F" w:rsidRDefault="008B629F" w:rsidP="00493AC3">
            <w:pPr>
              <w:jc w:val="center"/>
              <w:rPr>
                <w:rFonts w:cs="Times New Roman"/>
                <w:sz w:val="18"/>
                <w:szCs w:val="18"/>
              </w:rPr>
            </w:pPr>
            <w:r w:rsidRPr="008B629F">
              <w:rPr>
                <w:rFonts w:cs="Times New Roman"/>
                <w:sz w:val="18"/>
                <w:szCs w:val="18"/>
              </w:rPr>
              <w:t>Inorganic PCMs</w:t>
            </w:r>
          </w:p>
        </w:tc>
        <w:tc>
          <w:tcPr>
            <w:tcW w:w="1728" w:type="dxa"/>
            <w:vAlign w:val="center"/>
          </w:tcPr>
          <w:p w14:paraId="309CC56B" w14:textId="77777777" w:rsidR="008B629F" w:rsidRPr="008B629F" w:rsidRDefault="008B629F" w:rsidP="00493AC3">
            <w:pPr>
              <w:jc w:val="center"/>
              <w:rPr>
                <w:rFonts w:cs="Times New Roman"/>
                <w:sz w:val="18"/>
                <w:szCs w:val="18"/>
                <w:lang w:val="en-US"/>
              </w:rPr>
            </w:pPr>
            <w:r w:rsidRPr="008B629F">
              <w:rPr>
                <w:rFonts w:cs="Times New Roman"/>
                <w:sz w:val="18"/>
                <w:szCs w:val="18"/>
                <w:lang w:val="en-US"/>
              </w:rPr>
              <w:t xml:space="preserve">Very high latent heat capacity with a wide range of </w:t>
            </w:r>
            <w:r w:rsidRPr="008B629F">
              <w:rPr>
                <w:rFonts w:cs="Times New Roman"/>
                <w:sz w:val="18"/>
                <w:szCs w:val="18"/>
                <w:lang w:val="en-US"/>
              </w:rPr>
              <w:lastRenderedPageBreak/>
              <w:t>phase change temperatures (e.g., salts, salt hydrates).</w:t>
            </w:r>
          </w:p>
        </w:tc>
        <w:tc>
          <w:tcPr>
            <w:tcW w:w="1728" w:type="dxa"/>
            <w:vAlign w:val="center"/>
          </w:tcPr>
          <w:p w14:paraId="094E6A0C" w14:textId="0040CC48" w:rsidR="008B629F" w:rsidRPr="008B629F" w:rsidRDefault="008B629F" w:rsidP="00493AC3">
            <w:pPr>
              <w:jc w:val="center"/>
              <w:rPr>
                <w:rFonts w:cs="Times New Roman"/>
                <w:sz w:val="18"/>
                <w:szCs w:val="18"/>
                <w:lang w:val="en-US"/>
              </w:rPr>
            </w:pPr>
            <w:r w:rsidRPr="008B629F">
              <w:rPr>
                <w:rFonts w:cs="Times New Roman"/>
                <w:sz w:val="18"/>
                <w:szCs w:val="18"/>
                <w:lang w:val="en-US"/>
              </w:rPr>
              <w:lastRenderedPageBreak/>
              <w:t xml:space="preserve">Can have </w:t>
            </w:r>
            <w:r w:rsidR="00F257BA">
              <w:rPr>
                <w:rFonts w:cs="Times New Roman"/>
                <w:sz w:val="18"/>
                <w:szCs w:val="18"/>
                <w:lang w:val="en-US"/>
              </w:rPr>
              <w:t xml:space="preserve">a </w:t>
            </w:r>
            <w:r w:rsidRPr="008B629F">
              <w:rPr>
                <w:rFonts w:cs="Times New Roman"/>
                <w:sz w:val="18"/>
                <w:szCs w:val="18"/>
                <w:lang w:val="en-US"/>
              </w:rPr>
              <w:t xml:space="preserve">high environmental </w:t>
            </w:r>
            <w:r w:rsidRPr="008B629F">
              <w:rPr>
                <w:rFonts w:cs="Times New Roman"/>
                <w:sz w:val="18"/>
                <w:szCs w:val="18"/>
                <w:lang w:val="en-US"/>
              </w:rPr>
              <w:lastRenderedPageBreak/>
              <w:t>impact; some are non-renewable.</w:t>
            </w:r>
          </w:p>
        </w:tc>
        <w:tc>
          <w:tcPr>
            <w:tcW w:w="1728" w:type="dxa"/>
            <w:vAlign w:val="center"/>
          </w:tcPr>
          <w:p w14:paraId="20470F79" w14:textId="789FF300" w:rsidR="008B629F" w:rsidRPr="008B629F" w:rsidRDefault="008B629F" w:rsidP="00493AC3">
            <w:pPr>
              <w:jc w:val="center"/>
              <w:rPr>
                <w:rFonts w:cs="Times New Roman"/>
                <w:sz w:val="18"/>
                <w:szCs w:val="18"/>
                <w:lang w:val="en-US"/>
              </w:rPr>
            </w:pPr>
            <w:r w:rsidRPr="008B629F">
              <w:rPr>
                <w:rFonts w:cs="Times New Roman"/>
                <w:sz w:val="18"/>
                <w:szCs w:val="18"/>
                <w:lang w:val="en-US"/>
              </w:rPr>
              <w:lastRenderedPageBreak/>
              <w:t>Very durable under certain conditions</w:t>
            </w:r>
            <w:r w:rsidR="00F257BA">
              <w:rPr>
                <w:rFonts w:cs="Times New Roman"/>
                <w:sz w:val="18"/>
                <w:szCs w:val="18"/>
                <w:lang w:val="en-US"/>
              </w:rPr>
              <w:t>,</w:t>
            </w:r>
            <w:r w:rsidRPr="008B629F">
              <w:rPr>
                <w:rFonts w:cs="Times New Roman"/>
                <w:sz w:val="18"/>
                <w:szCs w:val="18"/>
                <w:lang w:val="en-US"/>
              </w:rPr>
              <w:t xml:space="preserve"> but </w:t>
            </w:r>
            <w:r w:rsidRPr="008B629F">
              <w:rPr>
                <w:rFonts w:cs="Times New Roman"/>
                <w:sz w:val="18"/>
                <w:szCs w:val="18"/>
                <w:lang w:val="en-US"/>
              </w:rPr>
              <w:lastRenderedPageBreak/>
              <w:t>can corrode or degrade if exposed to moisture or extreme conditions.</w:t>
            </w:r>
          </w:p>
        </w:tc>
        <w:tc>
          <w:tcPr>
            <w:tcW w:w="1728" w:type="dxa"/>
            <w:vAlign w:val="center"/>
          </w:tcPr>
          <w:p w14:paraId="612968E0" w14:textId="77777777" w:rsidR="008B629F" w:rsidRPr="008B629F" w:rsidRDefault="008B629F" w:rsidP="00493AC3">
            <w:pPr>
              <w:keepNext/>
              <w:jc w:val="center"/>
              <w:rPr>
                <w:rFonts w:cs="Times New Roman"/>
                <w:sz w:val="18"/>
                <w:szCs w:val="18"/>
                <w:lang w:val="en-US"/>
              </w:rPr>
            </w:pPr>
            <w:r w:rsidRPr="008B629F">
              <w:rPr>
                <w:rFonts w:cs="Times New Roman"/>
                <w:sz w:val="18"/>
                <w:szCs w:val="18"/>
                <w:lang w:val="en-US"/>
              </w:rPr>
              <w:lastRenderedPageBreak/>
              <w:t xml:space="preserve">Less common in clothing; used in industrial or </w:t>
            </w:r>
            <w:r w:rsidRPr="008B629F">
              <w:rPr>
                <w:rFonts w:cs="Times New Roman"/>
                <w:sz w:val="18"/>
                <w:szCs w:val="18"/>
                <w:lang w:val="en-US"/>
              </w:rPr>
              <w:lastRenderedPageBreak/>
              <w:t>protective textiles where high thermal storage is needed.</w:t>
            </w:r>
          </w:p>
          <w:p w14:paraId="0CA94400" w14:textId="77777777" w:rsidR="008B629F" w:rsidRPr="008B629F" w:rsidRDefault="008B629F" w:rsidP="00493AC3">
            <w:pPr>
              <w:keepNext/>
              <w:jc w:val="center"/>
              <w:rPr>
                <w:rFonts w:cs="Times New Roman"/>
                <w:sz w:val="18"/>
                <w:szCs w:val="18"/>
                <w:lang w:val="en-US"/>
              </w:rPr>
            </w:pPr>
          </w:p>
        </w:tc>
      </w:tr>
    </w:tbl>
    <w:p w14:paraId="78230590" w14:textId="44A37042" w:rsidR="008B629F" w:rsidRPr="008B629F" w:rsidRDefault="008B629F" w:rsidP="008B629F">
      <w:pPr>
        <w:pStyle w:val="Caption"/>
        <w:rPr>
          <w:rFonts w:cs="Times New Roman"/>
        </w:rPr>
      </w:pPr>
      <w:bookmarkStart w:id="169" w:name="_Toc214362644"/>
      <w:r w:rsidRPr="008B629F">
        <w:rPr>
          <w:rFonts w:cs="Times New Roman"/>
        </w:rPr>
        <w:lastRenderedPageBreak/>
        <w:t xml:space="preserve">Table </w:t>
      </w:r>
      <w:r w:rsidR="00F43E9A">
        <w:rPr>
          <w:rFonts w:cs="Times New Roman"/>
        </w:rPr>
        <w:fldChar w:fldCharType="begin"/>
      </w:r>
      <w:r w:rsidR="00F43E9A">
        <w:rPr>
          <w:rFonts w:cs="Times New Roman"/>
        </w:rPr>
        <w:instrText xml:space="preserve"> STYLEREF 1 \s </w:instrText>
      </w:r>
      <w:r w:rsidR="00F43E9A">
        <w:rPr>
          <w:rFonts w:cs="Times New Roman"/>
        </w:rPr>
        <w:fldChar w:fldCharType="separate"/>
      </w:r>
      <w:r w:rsidR="000412CE">
        <w:rPr>
          <w:rFonts w:cs="Times New Roman"/>
          <w:noProof/>
        </w:rPr>
        <w:t>2</w:t>
      </w:r>
      <w:r w:rsidR="00F43E9A">
        <w:rPr>
          <w:rFonts w:cs="Times New Roman"/>
        </w:rPr>
        <w:fldChar w:fldCharType="end"/>
      </w:r>
      <w:r w:rsidR="00F43E9A">
        <w:rPr>
          <w:rFonts w:cs="Times New Roman"/>
        </w:rPr>
        <w:t>.</w:t>
      </w:r>
      <w:r w:rsidR="00F43E9A">
        <w:rPr>
          <w:rFonts w:cs="Times New Roman"/>
        </w:rPr>
        <w:fldChar w:fldCharType="begin"/>
      </w:r>
      <w:r w:rsidR="00F43E9A">
        <w:rPr>
          <w:rFonts w:cs="Times New Roman"/>
        </w:rPr>
        <w:instrText xml:space="preserve"> SEQ Table \* ARABIC \s 1 </w:instrText>
      </w:r>
      <w:r w:rsidR="00F43E9A">
        <w:rPr>
          <w:rFonts w:cs="Times New Roman"/>
        </w:rPr>
        <w:fldChar w:fldCharType="separate"/>
      </w:r>
      <w:r w:rsidR="000412CE">
        <w:rPr>
          <w:rFonts w:cs="Times New Roman"/>
          <w:noProof/>
        </w:rPr>
        <w:t>16</w:t>
      </w:r>
      <w:r w:rsidR="00F43E9A">
        <w:rPr>
          <w:rFonts w:cs="Times New Roman"/>
        </w:rPr>
        <w:fldChar w:fldCharType="end"/>
      </w:r>
      <w:r w:rsidRPr="008B629F">
        <w:rPr>
          <w:rFonts w:cs="Times New Roman"/>
        </w:rPr>
        <w:t>. Textile PCM types with thermal properties, environmental impact, durability/cost, and reasons for preference in garments.</w:t>
      </w:r>
      <w:bookmarkEnd w:id="169"/>
    </w:p>
    <w:p w14:paraId="72996117" w14:textId="453DD9C0" w:rsidR="008B629F" w:rsidRPr="008B629F" w:rsidRDefault="008B629F" w:rsidP="00493AC3">
      <w:pPr>
        <w:pStyle w:val="Heading3"/>
        <w:rPr>
          <w:lang w:val="en-US"/>
        </w:rPr>
      </w:pPr>
      <w:bookmarkStart w:id="170" w:name="_Toc213354092"/>
      <w:bookmarkStart w:id="171" w:name="_Toc214356311"/>
      <w:r w:rsidRPr="008B629F">
        <w:rPr>
          <w:lang w:val="en-US"/>
        </w:rPr>
        <w:t>Performance evaluation of PCMs cooling garments</w:t>
      </w:r>
      <w:bookmarkEnd w:id="170"/>
      <w:bookmarkEnd w:id="171"/>
    </w:p>
    <w:p w14:paraId="012EB242" w14:textId="62DE3C77" w:rsidR="008B629F" w:rsidRPr="008B629F" w:rsidRDefault="008B629F" w:rsidP="008B629F">
      <w:pPr>
        <w:rPr>
          <w:rFonts w:cs="Times New Roman"/>
          <w:lang w:val="en-US"/>
        </w:rPr>
      </w:pPr>
      <w:r w:rsidRPr="008B629F">
        <w:rPr>
          <w:rFonts w:cs="Times New Roman"/>
          <w:lang w:val="en-US"/>
        </w:rPr>
        <w:t>Rahimi et al</w:t>
      </w:r>
      <w:r w:rsidR="00F257BA">
        <w:rPr>
          <w:rFonts w:cs="Times New Roman"/>
          <w:lang w:val="en-US"/>
        </w:rPr>
        <w:t>.</w:t>
      </w:r>
      <w:sdt>
        <w:sdtPr>
          <w:rPr>
            <w:rFonts w:cs="Times New Roman"/>
            <w:lang w:val="en-US"/>
          </w:rPr>
          <w:id w:val="-757751356"/>
          <w:citation/>
        </w:sdtPr>
        <w:sdtContent>
          <w:r w:rsidR="00493AC3">
            <w:rPr>
              <w:rFonts w:cs="Times New Roman"/>
              <w:lang w:val="en-US"/>
            </w:rPr>
            <w:fldChar w:fldCharType="begin"/>
          </w:r>
          <w:r w:rsidR="00493AC3" w:rsidRPr="00493AC3">
            <w:rPr>
              <w:rFonts w:cs="Times New Roman"/>
              <w:lang w:val="en-US"/>
            </w:rPr>
            <w:instrText xml:space="preserve"> CITATION Placeholder197 \l 1040 </w:instrText>
          </w:r>
          <w:r w:rsidR="00493AC3">
            <w:rPr>
              <w:rFonts w:cs="Times New Roman"/>
              <w:lang w:val="en-US"/>
            </w:rPr>
            <w:fldChar w:fldCharType="separate"/>
          </w:r>
          <w:r w:rsidR="00855396">
            <w:rPr>
              <w:rFonts w:cs="Times New Roman"/>
              <w:noProof/>
              <w:lang w:val="en-US"/>
            </w:rPr>
            <w:t xml:space="preserve"> </w:t>
          </w:r>
          <w:r w:rsidR="00855396" w:rsidRPr="00855396">
            <w:rPr>
              <w:rFonts w:cs="Times New Roman"/>
              <w:noProof/>
              <w:lang w:val="en-US"/>
            </w:rPr>
            <w:t>[180]</w:t>
          </w:r>
          <w:r w:rsidR="00493AC3">
            <w:rPr>
              <w:rFonts w:cs="Times New Roman"/>
              <w:lang w:val="en-US"/>
            </w:rPr>
            <w:fldChar w:fldCharType="end"/>
          </w:r>
        </w:sdtContent>
      </w:sdt>
      <w:r w:rsidRPr="008B629F">
        <w:rPr>
          <w:rFonts w:cs="Times New Roman"/>
          <w:lang w:val="en-US"/>
        </w:rPr>
        <w:t xml:space="preserve"> report that cooling systems based on PCMs are energy-efficient, portable, and impose minimal movement restrictions. In PCM-based garments, these materials are embedded in various parts of the clothing to enhance thermal comfort </w:t>
      </w:r>
      <w:sdt>
        <w:sdtPr>
          <w:rPr>
            <w:rFonts w:cs="Times New Roman"/>
            <w:lang w:val="en-US"/>
          </w:rPr>
          <w:id w:val="1325094763"/>
          <w:citation/>
        </w:sdtPr>
        <w:sdtContent>
          <w:r w:rsidR="00493AC3">
            <w:rPr>
              <w:rFonts w:cs="Times New Roman"/>
              <w:lang w:val="en-US"/>
            </w:rPr>
            <w:fldChar w:fldCharType="begin"/>
          </w:r>
          <w:r w:rsidR="00493AC3" w:rsidRPr="00493AC3">
            <w:rPr>
              <w:rFonts w:cs="Times New Roman"/>
              <w:lang w:val="en-US"/>
            </w:rPr>
            <w:instrText xml:space="preserve"> CITATION Placeholder198 \l 1040 </w:instrText>
          </w:r>
          <w:r w:rsidR="00493AC3">
            <w:rPr>
              <w:rFonts w:cs="Times New Roman"/>
              <w:lang w:val="en-US"/>
            </w:rPr>
            <w:fldChar w:fldCharType="separate"/>
          </w:r>
          <w:r w:rsidR="00855396" w:rsidRPr="00855396">
            <w:rPr>
              <w:rFonts w:cs="Times New Roman"/>
              <w:noProof/>
              <w:lang w:val="en-US"/>
            </w:rPr>
            <w:t>[181]</w:t>
          </w:r>
          <w:r w:rsidR="00493AC3">
            <w:rPr>
              <w:rFonts w:cs="Times New Roman"/>
              <w:lang w:val="en-US"/>
            </w:rPr>
            <w:fldChar w:fldCharType="end"/>
          </w:r>
        </w:sdtContent>
      </w:sdt>
      <w:r w:rsidRPr="008B629F">
        <w:rPr>
          <w:rFonts w:cs="Times New Roman"/>
          <w:lang w:val="en-US"/>
        </w:rPr>
        <w:t xml:space="preserve">. PCMs act as passive localized cooling media, typically integrated into specific areas such as collars, helmets, or upper-body garments. They are usually enclosed in separate packages distributed across the garment, with the total weight of a PCM cooling vest reaching up to 3 kg </w:t>
      </w:r>
      <w:sdt>
        <w:sdtPr>
          <w:rPr>
            <w:rFonts w:cs="Times New Roman"/>
            <w:lang w:val="en-US"/>
          </w:rPr>
          <w:id w:val="1223717784"/>
          <w:citation/>
        </w:sdtPr>
        <w:sdtContent>
          <w:r w:rsidR="00493AC3">
            <w:rPr>
              <w:rFonts w:cs="Times New Roman"/>
              <w:lang w:val="en-US"/>
            </w:rPr>
            <w:fldChar w:fldCharType="begin"/>
          </w:r>
          <w:r w:rsidR="00493AC3" w:rsidRPr="00493AC3">
            <w:rPr>
              <w:rFonts w:cs="Times New Roman"/>
              <w:lang w:val="en-US"/>
            </w:rPr>
            <w:instrText xml:space="preserve"> CITATION Placeholder199 \l 1040 </w:instrText>
          </w:r>
          <w:r w:rsidR="00493AC3">
            <w:rPr>
              <w:rFonts w:cs="Times New Roman"/>
              <w:lang w:val="en-US"/>
            </w:rPr>
            <w:fldChar w:fldCharType="separate"/>
          </w:r>
          <w:r w:rsidR="00855396" w:rsidRPr="00855396">
            <w:rPr>
              <w:rFonts w:cs="Times New Roman"/>
              <w:noProof/>
              <w:lang w:val="en-US"/>
            </w:rPr>
            <w:t>[182]</w:t>
          </w:r>
          <w:r w:rsidR="00493AC3">
            <w:rPr>
              <w:rFonts w:cs="Times New Roman"/>
              <w:lang w:val="en-US"/>
            </w:rPr>
            <w:fldChar w:fldCharType="end"/>
          </w:r>
        </w:sdtContent>
      </w:sdt>
      <w:r w:rsidRPr="008B629F">
        <w:rPr>
          <w:rFonts w:cs="Times New Roman"/>
          <w:lang w:val="en-US"/>
        </w:rPr>
        <w:t xml:space="preserve">. Figure </w:t>
      </w:r>
      <w:r w:rsidR="00493AC3">
        <w:rPr>
          <w:rFonts w:cs="Times New Roman"/>
          <w:lang w:val="en-US"/>
        </w:rPr>
        <w:t>2.2</w:t>
      </w:r>
      <w:r w:rsidRPr="008B629F">
        <w:rPr>
          <w:rFonts w:cs="Times New Roman"/>
          <w:lang w:val="en-US"/>
        </w:rPr>
        <w:t>4  shows the PCM packages and their placement within a cooling jacket, illustrating how the cooling elements are strategically positioned to maximize heat absorption and comfort.</w:t>
      </w:r>
    </w:p>
    <w:p w14:paraId="77794E0A" w14:textId="77777777" w:rsidR="008B629F" w:rsidRPr="008B629F" w:rsidRDefault="008B629F" w:rsidP="008B629F">
      <w:pPr>
        <w:keepNext/>
        <w:jc w:val="center"/>
      </w:pPr>
      <w:r w:rsidRPr="008B629F">
        <w:rPr>
          <w:rFonts w:cs="Times New Roman"/>
          <w:noProof/>
          <w:lang w:val="nb-NO"/>
        </w:rPr>
        <w:drawing>
          <wp:inline distT="0" distB="0" distL="0" distR="0" wp14:anchorId="7BA1F31D" wp14:editId="55FF5D61">
            <wp:extent cx="4057650" cy="1333534"/>
            <wp:effectExtent l="0" t="0" r="0" b="0"/>
            <wp:docPr id="1038790156" name="Immagine 1" descr="Immagine che contiene vestiti, gilet, nero, mod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8790156" name="Immagine 1" descr="Immagine che contiene vestiti, gilet, nero, moda&#10;&#10;Il contenuto generato dall'IA potrebbe non essere corretto."/>
                    <pic:cNvPicPr/>
                  </pic:nvPicPr>
                  <pic:blipFill>
                    <a:blip r:embed="rId141"/>
                    <a:stretch>
                      <a:fillRect/>
                    </a:stretch>
                  </pic:blipFill>
                  <pic:spPr>
                    <a:xfrm>
                      <a:off x="0" y="0"/>
                      <a:ext cx="4134172" cy="1358683"/>
                    </a:xfrm>
                    <a:prstGeom prst="rect">
                      <a:avLst/>
                    </a:prstGeom>
                  </pic:spPr>
                </pic:pic>
              </a:graphicData>
            </a:graphic>
          </wp:inline>
        </w:drawing>
      </w:r>
    </w:p>
    <w:p w14:paraId="03B3BB17" w14:textId="3671BE66" w:rsidR="008B629F" w:rsidRPr="008B629F" w:rsidRDefault="008B629F" w:rsidP="008B629F">
      <w:pPr>
        <w:pStyle w:val="Caption"/>
        <w:rPr>
          <w:rFonts w:cs="Times New Roman"/>
        </w:rPr>
      </w:pPr>
      <w:bookmarkStart w:id="172" w:name="_Toc214357751"/>
      <w:r w:rsidRPr="008B629F">
        <w:rPr>
          <w:rFonts w:cs="Times New Roman"/>
        </w:rPr>
        <w:t xml:space="preserve">Figure </w:t>
      </w:r>
      <w:r w:rsidR="00F824A5">
        <w:rPr>
          <w:rFonts w:cs="Times New Roman"/>
        </w:rPr>
        <w:fldChar w:fldCharType="begin"/>
      </w:r>
      <w:r w:rsidR="00F824A5">
        <w:rPr>
          <w:rFonts w:cs="Times New Roman"/>
        </w:rPr>
        <w:instrText xml:space="preserve"> STYLEREF 1 \s </w:instrText>
      </w:r>
      <w:r w:rsidR="00F824A5">
        <w:rPr>
          <w:rFonts w:cs="Times New Roman"/>
        </w:rPr>
        <w:fldChar w:fldCharType="separate"/>
      </w:r>
      <w:r w:rsidR="000412CE">
        <w:rPr>
          <w:rFonts w:cs="Times New Roman"/>
          <w:noProof/>
        </w:rPr>
        <w:t>2</w:t>
      </w:r>
      <w:r w:rsidR="00F824A5">
        <w:rPr>
          <w:rFonts w:cs="Times New Roman"/>
        </w:rPr>
        <w:fldChar w:fldCharType="end"/>
      </w:r>
      <w:r w:rsidR="00F824A5">
        <w:rPr>
          <w:rFonts w:cs="Times New Roman"/>
        </w:rPr>
        <w:t>.</w:t>
      </w:r>
      <w:r w:rsidR="00F824A5">
        <w:rPr>
          <w:rFonts w:cs="Times New Roman"/>
        </w:rPr>
        <w:fldChar w:fldCharType="begin"/>
      </w:r>
      <w:r w:rsidR="00F824A5">
        <w:rPr>
          <w:rFonts w:cs="Times New Roman"/>
        </w:rPr>
        <w:instrText xml:space="preserve"> SEQ Figure \* ARABIC \s 1 </w:instrText>
      </w:r>
      <w:r w:rsidR="00F824A5">
        <w:rPr>
          <w:rFonts w:cs="Times New Roman"/>
        </w:rPr>
        <w:fldChar w:fldCharType="separate"/>
      </w:r>
      <w:r w:rsidR="000412CE">
        <w:rPr>
          <w:rFonts w:cs="Times New Roman"/>
          <w:noProof/>
        </w:rPr>
        <w:t>23</w:t>
      </w:r>
      <w:r w:rsidR="00F824A5">
        <w:rPr>
          <w:rFonts w:cs="Times New Roman"/>
        </w:rPr>
        <w:fldChar w:fldCharType="end"/>
      </w:r>
      <w:r w:rsidRPr="008B629F">
        <w:rPr>
          <w:rFonts w:cs="Times New Roman"/>
        </w:rPr>
        <w:t>. PCM cooling vest: (a) example PCM packs and (b) front/interior views showing pack placement to maximize heat absorption and wearer comfort</w:t>
      </w:r>
      <w:r w:rsidR="00D619A3">
        <w:rPr>
          <w:rFonts w:cs="Times New Roman"/>
        </w:rPr>
        <w:t xml:space="preserve"> [180]</w:t>
      </w:r>
      <w:r w:rsidRPr="008B629F">
        <w:t>.</w:t>
      </w:r>
      <w:bookmarkEnd w:id="172"/>
    </w:p>
    <w:p w14:paraId="211D1E20" w14:textId="7566FC93" w:rsidR="008B629F" w:rsidRPr="008B629F" w:rsidRDefault="008B629F" w:rsidP="008B629F">
      <w:pPr>
        <w:rPr>
          <w:rFonts w:cs="Times New Roman"/>
          <w:lang w:val="en-US"/>
        </w:rPr>
      </w:pPr>
      <w:r w:rsidRPr="008B629F">
        <w:rPr>
          <w:rFonts w:cs="Times New Roman"/>
          <w:lang w:val="en-US"/>
        </w:rPr>
        <w:t xml:space="preserve">PCM vests are widely used due to their practicality and cost-effectiveness. Experimental and modeling studies have evaluated their physiological effects under controlled temperature and humidity conditions. Research indicates that cooling garments improve both physiological and cognitive responses in hot environments </w:t>
      </w:r>
      <w:sdt>
        <w:sdtPr>
          <w:rPr>
            <w:rFonts w:cs="Times New Roman"/>
            <w:lang w:val="en-US"/>
          </w:rPr>
          <w:id w:val="1389223697"/>
          <w:citation/>
        </w:sdtPr>
        <w:sdtContent>
          <w:r w:rsidR="00493AC3">
            <w:rPr>
              <w:rFonts w:cs="Times New Roman"/>
              <w:lang w:val="en-US"/>
            </w:rPr>
            <w:fldChar w:fldCharType="begin"/>
          </w:r>
          <w:r w:rsidR="00493AC3" w:rsidRPr="00493AC3">
            <w:rPr>
              <w:rFonts w:cs="Times New Roman"/>
              <w:lang w:val="en-US"/>
            </w:rPr>
            <w:instrText xml:space="preserve"> CITATION Placeholder200 \l 1040 </w:instrText>
          </w:r>
          <w:r w:rsidR="00493AC3">
            <w:rPr>
              <w:rFonts w:cs="Times New Roman"/>
              <w:lang w:val="en-US"/>
            </w:rPr>
            <w:fldChar w:fldCharType="separate"/>
          </w:r>
          <w:r w:rsidR="00855396" w:rsidRPr="00855396">
            <w:rPr>
              <w:rFonts w:cs="Times New Roman"/>
              <w:noProof/>
              <w:lang w:val="en-US"/>
            </w:rPr>
            <w:t>[183]</w:t>
          </w:r>
          <w:r w:rsidR="00493AC3">
            <w:rPr>
              <w:rFonts w:cs="Times New Roman"/>
              <w:lang w:val="en-US"/>
            </w:rPr>
            <w:fldChar w:fldCharType="end"/>
          </w:r>
        </w:sdtContent>
      </w:sdt>
      <w:r w:rsidR="00F257BA">
        <w:rPr>
          <w:rFonts w:cs="Times New Roman"/>
          <w:lang w:val="en-US"/>
        </w:rPr>
        <w:t xml:space="preserve"> </w:t>
      </w:r>
      <w:r w:rsidRPr="008B629F">
        <w:rPr>
          <w:rFonts w:cs="Times New Roman"/>
          <w:lang w:val="en-US"/>
        </w:rPr>
        <w:t xml:space="preserve">Chou et al. </w:t>
      </w:r>
      <w:sdt>
        <w:sdtPr>
          <w:rPr>
            <w:rFonts w:cs="Times New Roman"/>
            <w:lang w:val="en-US"/>
          </w:rPr>
          <w:id w:val="1974413069"/>
          <w:citation/>
        </w:sdtPr>
        <w:sdtContent>
          <w:r w:rsidR="00493AC3">
            <w:rPr>
              <w:rFonts w:cs="Times New Roman"/>
              <w:lang w:val="en-US"/>
            </w:rPr>
            <w:fldChar w:fldCharType="begin"/>
          </w:r>
          <w:r w:rsidR="00493AC3" w:rsidRPr="00625AD6">
            <w:rPr>
              <w:rFonts w:cs="Times New Roman"/>
              <w:lang w:val="en-US"/>
            </w:rPr>
            <w:instrText xml:space="preserve"> CITATION Placeholder201 \l 1040 </w:instrText>
          </w:r>
          <w:r w:rsidR="00493AC3">
            <w:rPr>
              <w:rFonts w:cs="Times New Roman"/>
              <w:lang w:val="en-US"/>
            </w:rPr>
            <w:fldChar w:fldCharType="separate"/>
          </w:r>
          <w:r w:rsidR="00855396" w:rsidRPr="00855396">
            <w:rPr>
              <w:rFonts w:cs="Times New Roman"/>
              <w:noProof/>
              <w:lang w:val="en-US"/>
            </w:rPr>
            <w:t>[184]</w:t>
          </w:r>
          <w:r w:rsidR="00493AC3">
            <w:rPr>
              <w:rFonts w:cs="Times New Roman"/>
              <w:lang w:val="en-US"/>
            </w:rPr>
            <w:fldChar w:fldCharType="end"/>
          </w:r>
        </w:sdtContent>
      </w:sdt>
      <w:r w:rsidRPr="008B629F">
        <w:rPr>
          <w:rFonts w:cs="Times New Roman"/>
          <w:lang w:val="en-US"/>
        </w:rPr>
        <w:t xml:space="preserve"> tested different PCMs (ice, PCM5, PCM20) during firefighter exercises and found that PCM20 offered the best performance in reducing physiological strain.. Further human trials confirmed that PCM vests containing Glauber’s salt (Na₂SO₄·10H₂O) effectively reduce core and skin temperatures during high-heat exposure, improving thermal comfort without affecting heart rate </w:t>
      </w:r>
      <w:sdt>
        <w:sdtPr>
          <w:rPr>
            <w:rFonts w:cs="Times New Roman"/>
            <w:lang w:val="en-US"/>
          </w:rPr>
          <w:id w:val="951433798"/>
          <w:citation/>
        </w:sdtPr>
        <w:sdtContent>
          <w:r w:rsidR="00493AC3">
            <w:rPr>
              <w:rFonts w:cs="Times New Roman"/>
              <w:lang w:val="en-US"/>
            </w:rPr>
            <w:fldChar w:fldCharType="begin"/>
          </w:r>
          <w:r w:rsidR="00493AC3" w:rsidRPr="00493AC3">
            <w:rPr>
              <w:rFonts w:cs="Times New Roman"/>
              <w:lang w:val="en-US"/>
            </w:rPr>
            <w:instrText xml:space="preserve"> CITATION Placeholder203 \l 1040 </w:instrText>
          </w:r>
          <w:r w:rsidR="00493AC3">
            <w:rPr>
              <w:rFonts w:cs="Times New Roman"/>
              <w:lang w:val="en-US"/>
            </w:rPr>
            <w:fldChar w:fldCharType="separate"/>
          </w:r>
          <w:r w:rsidR="00855396" w:rsidRPr="00855396">
            <w:rPr>
              <w:rFonts w:cs="Times New Roman"/>
              <w:noProof/>
              <w:lang w:val="en-US"/>
            </w:rPr>
            <w:t>[185]</w:t>
          </w:r>
          <w:r w:rsidR="00493AC3">
            <w:rPr>
              <w:rFonts w:cs="Times New Roman"/>
              <w:lang w:val="en-US"/>
            </w:rPr>
            <w:fldChar w:fldCharType="end"/>
          </w:r>
        </w:sdtContent>
      </w:sdt>
      <w:r w:rsidRPr="008B629F">
        <w:rPr>
          <w:rFonts w:cs="Times New Roman"/>
          <w:lang w:val="en-US"/>
        </w:rPr>
        <w:t>. During exercise, the rectal temperature continued to rise, but during recovery</w:t>
      </w:r>
      <w:r w:rsidR="00F257BA">
        <w:rPr>
          <w:rFonts w:cs="Times New Roman"/>
          <w:lang w:val="en-US"/>
        </w:rPr>
        <w:t>,</w:t>
      </w:r>
      <w:r w:rsidRPr="008B629F">
        <w:rPr>
          <w:rFonts w:cs="Times New Roman"/>
          <w:lang w:val="en-US"/>
        </w:rPr>
        <w:t xml:space="preserve"> it increased more slowly when wearing a PCM vest. The mean skin temperature dropped by about 1–1.5 °C, especially with the 24 °C vest, which also improved thermal sensation and reduced heart rate compared to the 28 °C model </w:t>
      </w:r>
      <w:sdt>
        <w:sdtPr>
          <w:rPr>
            <w:rFonts w:cs="Times New Roman"/>
            <w:lang w:val="en-US"/>
          </w:rPr>
          <w:id w:val="581949222"/>
          <w:citation/>
        </w:sdtPr>
        <w:sdtContent>
          <w:r w:rsidR="00493AC3">
            <w:rPr>
              <w:rFonts w:cs="Times New Roman"/>
              <w:lang w:val="en-US"/>
            </w:rPr>
            <w:fldChar w:fldCharType="begin"/>
          </w:r>
          <w:r w:rsidR="00493AC3" w:rsidRPr="00493AC3">
            <w:rPr>
              <w:rFonts w:cs="Times New Roman"/>
              <w:lang w:val="en-US"/>
            </w:rPr>
            <w:instrText xml:space="preserve"> CITATION Placeholder204 \l 1040 </w:instrText>
          </w:r>
          <w:r w:rsidR="00493AC3">
            <w:rPr>
              <w:rFonts w:cs="Times New Roman"/>
              <w:lang w:val="en-US"/>
            </w:rPr>
            <w:fldChar w:fldCharType="separate"/>
          </w:r>
          <w:r w:rsidR="00855396" w:rsidRPr="00855396">
            <w:rPr>
              <w:rFonts w:cs="Times New Roman"/>
              <w:noProof/>
              <w:lang w:val="en-US"/>
            </w:rPr>
            <w:t>[186]</w:t>
          </w:r>
          <w:r w:rsidR="00493AC3">
            <w:rPr>
              <w:rFonts w:cs="Times New Roman"/>
              <w:lang w:val="en-US"/>
            </w:rPr>
            <w:fldChar w:fldCharType="end"/>
          </w:r>
        </w:sdtContent>
      </w:sdt>
      <w:r w:rsidRPr="008B629F">
        <w:rPr>
          <w:rFonts w:cs="Times New Roman"/>
          <w:lang w:val="en-US"/>
        </w:rPr>
        <w:t xml:space="preserve">. Tests </w:t>
      </w:r>
      <w:r w:rsidRPr="008B629F">
        <w:rPr>
          <w:rFonts w:cs="Times New Roman"/>
          <w:lang w:val="en-US"/>
        </w:rPr>
        <w:lastRenderedPageBreak/>
        <w:t xml:space="preserve">with Glauber’s salt PCMs showed that lower melting points provide greater cooling under hot–humid conditions </w:t>
      </w:r>
      <w:sdt>
        <w:sdtPr>
          <w:rPr>
            <w:rFonts w:cs="Times New Roman"/>
            <w:lang w:val="en-US"/>
          </w:rPr>
          <w:id w:val="264962041"/>
          <w:citation/>
        </w:sdtPr>
        <w:sdtContent>
          <w:r w:rsidR="00493AC3">
            <w:rPr>
              <w:rFonts w:cs="Times New Roman"/>
              <w:lang w:val="en-US"/>
            </w:rPr>
            <w:fldChar w:fldCharType="begin"/>
          </w:r>
          <w:r w:rsidR="00493AC3" w:rsidRPr="00493AC3">
            <w:rPr>
              <w:rFonts w:cs="Times New Roman"/>
              <w:lang w:val="en-US"/>
            </w:rPr>
            <w:instrText xml:space="preserve"> CITATION Placeholder205 \l 1040 </w:instrText>
          </w:r>
          <w:r w:rsidR="00493AC3">
            <w:rPr>
              <w:rFonts w:cs="Times New Roman"/>
              <w:lang w:val="en-US"/>
            </w:rPr>
            <w:fldChar w:fldCharType="separate"/>
          </w:r>
          <w:r w:rsidR="00855396" w:rsidRPr="00855396">
            <w:rPr>
              <w:rFonts w:cs="Times New Roman"/>
              <w:noProof/>
              <w:lang w:val="en-US"/>
            </w:rPr>
            <w:t>[187]</w:t>
          </w:r>
          <w:r w:rsidR="00493AC3">
            <w:rPr>
              <w:rFonts w:cs="Times New Roman"/>
              <w:lang w:val="en-US"/>
            </w:rPr>
            <w:fldChar w:fldCharType="end"/>
          </w:r>
        </w:sdtContent>
      </w:sdt>
      <w:r w:rsidRPr="008B629F">
        <w:rPr>
          <w:rFonts w:cs="Times New Roman"/>
          <w:lang w:val="en-US"/>
        </w:rPr>
        <w:t xml:space="preserve">. House et al. </w:t>
      </w:r>
      <w:sdt>
        <w:sdtPr>
          <w:rPr>
            <w:rFonts w:cs="Times New Roman"/>
            <w:lang w:val="en-US"/>
          </w:rPr>
          <w:id w:val="-661382442"/>
          <w:citation/>
        </w:sdtPr>
        <w:sdtContent>
          <w:r w:rsidR="00493AC3">
            <w:rPr>
              <w:rFonts w:cs="Times New Roman"/>
              <w:lang w:val="en-US"/>
            </w:rPr>
            <w:fldChar w:fldCharType="begin"/>
          </w:r>
          <w:r w:rsidR="00493AC3" w:rsidRPr="00625AD6">
            <w:rPr>
              <w:rFonts w:cs="Times New Roman"/>
              <w:lang w:val="en-US"/>
            </w:rPr>
            <w:instrText xml:space="preserve"> CITATION Placeholder206 \l 1040 </w:instrText>
          </w:r>
          <w:r w:rsidR="00493AC3">
            <w:rPr>
              <w:rFonts w:cs="Times New Roman"/>
              <w:lang w:val="en-US"/>
            </w:rPr>
            <w:fldChar w:fldCharType="separate"/>
          </w:r>
          <w:r w:rsidR="00855396" w:rsidRPr="00855396">
            <w:rPr>
              <w:rFonts w:cs="Times New Roman"/>
              <w:noProof/>
              <w:lang w:val="en-US"/>
            </w:rPr>
            <w:t>[188]</w:t>
          </w:r>
          <w:r w:rsidR="00493AC3">
            <w:rPr>
              <w:rFonts w:cs="Times New Roman"/>
              <w:lang w:val="en-US"/>
            </w:rPr>
            <w:fldChar w:fldCharType="end"/>
          </w:r>
        </w:sdtContent>
      </w:sdt>
      <w:r w:rsidR="00493AC3">
        <w:rPr>
          <w:rFonts w:cs="Times New Roman"/>
          <w:lang w:val="en-US"/>
        </w:rPr>
        <w:t xml:space="preserve"> d</w:t>
      </w:r>
      <w:r w:rsidRPr="008B629F">
        <w:rPr>
          <w:rFonts w:cs="Times New Roman"/>
          <w:lang w:val="en-US"/>
        </w:rPr>
        <w:t xml:space="preserve">etermined that a vest melting at 10 °C offered the best balance between cooling performance and comfort. Further studies confirmed that PCM vests, particularly hybrid PCM–fan systems, effectively lower core and skin temperatures, heart rate, and perceived heat strain in both laboratory and field conditions </w:t>
      </w:r>
      <w:sdt>
        <w:sdtPr>
          <w:rPr>
            <w:rFonts w:cs="Times New Roman"/>
            <w:lang w:val="en-US"/>
          </w:rPr>
          <w:id w:val="-1522466662"/>
          <w:citation/>
        </w:sdtPr>
        <w:sdtContent>
          <w:r w:rsidR="00493AC3">
            <w:rPr>
              <w:rFonts w:cs="Times New Roman"/>
              <w:lang w:val="en-US"/>
            </w:rPr>
            <w:fldChar w:fldCharType="begin"/>
          </w:r>
          <w:r w:rsidR="00493AC3" w:rsidRPr="00493AC3">
            <w:rPr>
              <w:rFonts w:cs="Times New Roman"/>
              <w:lang w:val="en-US"/>
            </w:rPr>
            <w:instrText xml:space="preserve"> CITATION Placeholder207 \l 1040 </w:instrText>
          </w:r>
          <w:r w:rsidR="00493AC3">
            <w:rPr>
              <w:rFonts w:cs="Times New Roman"/>
              <w:lang w:val="en-US"/>
            </w:rPr>
            <w:fldChar w:fldCharType="separate"/>
          </w:r>
          <w:r w:rsidR="00855396" w:rsidRPr="00855396">
            <w:rPr>
              <w:rFonts w:cs="Times New Roman"/>
              <w:noProof/>
              <w:lang w:val="en-US"/>
            </w:rPr>
            <w:t>[189]</w:t>
          </w:r>
          <w:r w:rsidR="00493AC3">
            <w:rPr>
              <w:rFonts w:cs="Times New Roman"/>
              <w:lang w:val="en-US"/>
            </w:rPr>
            <w:fldChar w:fldCharType="end"/>
          </w:r>
        </w:sdtContent>
      </w:sdt>
      <w:r w:rsidRPr="008B629F">
        <w:rPr>
          <w:rFonts w:cs="Times New Roman"/>
          <w:lang w:val="en-US"/>
        </w:rPr>
        <w:t xml:space="preserve">. Overall, PCMs with melting points between 10 °C and 28 °C proved most suitable for maintaining thermal comfort during activity and recovery </w:t>
      </w:r>
      <w:sdt>
        <w:sdtPr>
          <w:rPr>
            <w:rFonts w:cs="Times New Roman"/>
            <w:lang w:val="en-US"/>
          </w:rPr>
          <w:id w:val="1415058950"/>
          <w:citation/>
        </w:sdtPr>
        <w:sdtContent>
          <w:r w:rsidR="00493AC3">
            <w:rPr>
              <w:rFonts w:cs="Times New Roman"/>
              <w:lang w:val="en-US"/>
            </w:rPr>
            <w:fldChar w:fldCharType="begin"/>
          </w:r>
          <w:r w:rsidR="00493AC3" w:rsidRPr="00493AC3">
            <w:rPr>
              <w:rFonts w:cs="Times New Roman"/>
              <w:lang w:val="en-US"/>
            </w:rPr>
            <w:instrText xml:space="preserve"> CITATION Placeholder208 \l 1040 </w:instrText>
          </w:r>
          <w:r w:rsidR="00493AC3">
            <w:rPr>
              <w:rFonts w:cs="Times New Roman"/>
              <w:lang w:val="en-US"/>
            </w:rPr>
            <w:fldChar w:fldCharType="separate"/>
          </w:r>
          <w:r w:rsidR="00855396" w:rsidRPr="00855396">
            <w:rPr>
              <w:rFonts w:cs="Times New Roman"/>
              <w:noProof/>
              <w:lang w:val="en-US"/>
            </w:rPr>
            <w:t>[190]</w:t>
          </w:r>
          <w:r w:rsidR="00493AC3">
            <w:rPr>
              <w:rFonts w:cs="Times New Roman"/>
              <w:lang w:val="en-US"/>
            </w:rPr>
            <w:fldChar w:fldCharType="end"/>
          </w:r>
        </w:sdtContent>
      </w:sdt>
      <w:r w:rsidRPr="008B629F">
        <w:rPr>
          <w:rFonts w:cs="Times New Roman"/>
          <w:lang w:val="en-US"/>
        </w:rPr>
        <w:t>.</w:t>
      </w:r>
    </w:p>
    <w:p w14:paraId="75197103" w14:textId="2E2E74FF" w:rsidR="008B629F" w:rsidRPr="008B629F" w:rsidRDefault="008B629F" w:rsidP="00493AC3">
      <w:pPr>
        <w:pStyle w:val="Heading3"/>
        <w:rPr>
          <w:lang w:val="en-US"/>
        </w:rPr>
      </w:pPr>
      <w:bookmarkStart w:id="173" w:name="_Toc213354093"/>
      <w:bookmarkStart w:id="174" w:name="_Toc214356312"/>
      <w:r w:rsidRPr="008B629F">
        <w:rPr>
          <w:lang w:val="en-US"/>
        </w:rPr>
        <w:t xml:space="preserve">Application of PCMs integrated </w:t>
      </w:r>
      <w:r w:rsidR="005C1C60">
        <w:rPr>
          <w:lang w:val="en-US"/>
        </w:rPr>
        <w:t xml:space="preserve">in </w:t>
      </w:r>
      <w:r w:rsidRPr="008B629F">
        <w:rPr>
          <w:lang w:val="en-US"/>
        </w:rPr>
        <w:t>clothing</w:t>
      </w:r>
      <w:bookmarkEnd w:id="173"/>
      <w:bookmarkEnd w:id="174"/>
    </w:p>
    <w:p w14:paraId="6C11738D" w14:textId="76AA9829" w:rsidR="008B629F" w:rsidRPr="008B629F" w:rsidRDefault="008B629F" w:rsidP="008B629F">
      <w:pPr>
        <w:rPr>
          <w:lang w:val="en-US"/>
        </w:rPr>
      </w:pPr>
      <w:r w:rsidRPr="008B629F">
        <w:rPr>
          <w:rFonts w:cs="Times New Roman"/>
          <w:lang w:val="en-US"/>
        </w:rPr>
        <w:t xml:space="preserve">Shaid et al </w:t>
      </w:r>
      <w:sdt>
        <w:sdtPr>
          <w:rPr>
            <w:rFonts w:cs="Times New Roman"/>
            <w:lang w:val="en-US"/>
          </w:rPr>
          <w:id w:val="-831290063"/>
          <w:citation/>
        </w:sdtPr>
        <w:sdtContent>
          <w:r w:rsidR="00493AC3">
            <w:rPr>
              <w:rFonts w:cs="Times New Roman"/>
              <w:lang w:val="en-US"/>
            </w:rPr>
            <w:fldChar w:fldCharType="begin"/>
          </w:r>
          <w:r w:rsidR="00493AC3" w:rsidRPr="00493AC3">
            <w:rPr>
              <w:rFonts w:cs="Times New Roman"/>
              <w:lang w:val="en-US"/>
            </w:rPr>
            <w:instrText xml:space="preserve"> CITATION Placeholder209 \l 1040 </w:instrText>
          </w:r>
          <w:r w:rsidR="00493AC3">
            <w:rPr>
              <w:rFonts w:cs="Times New Roman"/>
              <w:lang w:val="en-US"/>
            </w:rPr>
            <w:fldChar w:fldCharType="separate"/>
          </w:r>
          <w:r w:rsidR="00855396" w:rsidRPr="00855396">
            <w:rPr>
              <w:rFonts w:cs="Times New Roman"/>
              <w:noProof/>
              <w:lang w:val="en-US"/>
            </w:rPr>
            <w:t>[191]</w:t>
          </w:r>
          <w:r w:rsidR="00493AC3">
            <w:rPr>
              <w:rFonts w:cs="Times New Roman"/>
              <w:lang w:val="en-US"/>
            </w:rPr>
            <w:fldChar w:fldCharType="end"/>
          </w:r>
        </w:sdtContent>
      </w:sdt>
      <w:r w:rsidR="00493AC3">
        <w:rPr>
          <w:rFonts w:cs="Times New Roman"/>
          <w:lang w:val="en-US"/>
        </w:rPr>
        <w:t xml:space="preserve"> </w:t>
      </w:r>
      <w:r w:rsidRPr="008B629F">
        <w:rPr>
          <w:rFonts w:cs="Times New Roman"/>
          <w:lang w:val="en-US"/>
        </w:rPr>
        <w:t xml:space="preserve">report the application of PCM-integrated clothing (PCMIC). This application has grown significantly across multiple sectors due to its ability to regulate temperature and enhance wearer comfort. These smart textiles combine conventional fabrics with PCMs capable of absorbing, storing, and releasing heat according to environmental and body temperature variations. As a result, PCM-based garments have found widespread use in space wear, medical and protective textiles, sportswear, bedding, automotive interiors, and flame-retardant fabrics, among others. Their adaptive thermal behavior makes them particularly suitable for environments requiring controlled microclimates and protection from thermal stress, as illustrated in Figure </w:t>
      </w:r>
      <w:r w:rsidR="00493AC3">
        <w:rPr>
          <w:rFonts w:cs="Times New Roman"/>
          <w:lang w:val="en-US"/>
        </w:rPr>
        <w:t>2.2</w:t>
      </w:r>
      <w:r w:rsidRPr="008B629F">
        <w:rPr>
          <w:rFonts w:cs="Times New Roman"/>
          <w:lang w:val="en-US"/>
        </w:rPr>
        <w:t>5.</w:t>
      </w:r>
    </w:p>
    <w:p w14:paraId="748AE4FA" w14:textId="77777777" w:rsidR="008B629F" w:rsidRPr="008B629F" w:rsidRDefault="008B629F" w:rsidP="008B629F">
      <w:pPr>
        <w:keepNext/>
        <w:jc w:val="center"/>
      </w:pPr>
      <w:r w:rsidRPr="008B629F">
        <w:rPr>
          <w:rFonts w:cs="Times New Roman"/>
          <w:noProof/>
        </w:rPr>
        <w:drawing>
          <wp:inline distT="0" distB="0" distL="0" distR="0" wp14:anchorId="7103FF33" wp14:editId="4BB79E8F">
            <wp:extent cx="2162175" cy="1950463"/>
            <wp:effectExtent l="0" t="0" r="0" b="0"/>
            <wp:docPr id="1721342558" name="Immagine 1" descr="Immagine che contiene testo, clipart, disegno, cartone animat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1342558" name="Immagine 1" descr="Immagine che contiene testo, clipart, disegno, cartone animato&#10;&#10;Il contenuto generato dall'IA potrebbe non essere corretto."/>
                    <pic:cNvPicPr/>
                  </pic:nvPicPr>
                  <pic:blipFill>
                    <a:blip r:embed="rId142"/>
                    <a:stretch>
                      <a:fillRect/>
                    </a:stretch>
                  </pic:blipFill>
                  <pic:spPr>
                    <a:xfrm>
                      <a:off x="0" y="0"/>
                      <a:ext cx="2173638" cy="1960804"/>
                    </a:xfrm>
                    <a:prstGeom prst="rect">
                      <a:avLst/>
                    </a:prstGeom>
                  </pic:spPr>
                </pic:pic>
              </a:graphicData>
            </a:graphic>
          </wp:inline>
        </w:drawing>
      </w:r>
    </w:p>
    <w:p w14:paraId="0F7F354C" w14:textId="605DD10F" w:rsidR="008B629F" w:rsidRPr="008B629F" w:rsidRDefault="008B629F" w:rsidP="008B629F">
      <w:pPr>
        <w:pStyle w:val="Caption"/>
        <w:rPr>
          <w:rFonts w:cs="Times New Roman"/>
        </w:rPr>
      </w:pPr>
      <w:bookmarkStart w:id="175" w:name="_Toc214357752"/>
      <w:r w:rsidRPr="008B629F">
        <w:rPr>
          <w:rFonts w:cs="Times New Roman"/>
        </w:rPr>
        <w:t xml:space="preserve">Figure </w:t>
      </w:r>
      <w:r w:rsidR="00F824A5">
        <w:rPr>
          <w:rFonts w:cs="Times New Roman"/>
        </w:rPr>
        <w:fldChar w:fldCharType="begin"/>
      </w:r>
      <w:r w:rsidR="00F824A5">
        <w:rPr>
          <w:rFonts w:cs="Times New Roman"/>
        </w:rPr>
        <w:instrText xml:space="preserve"> STYLEREF 1 \s </w:instrText>
      </w:r>
      <w:r w:rsidR="00F824A5">
        <w:rPr>
          <w:rFonts w:cs="Times New Roman"/>
        </w:rPr>
        <w:fldChar w:fldCharType="separate"/>
      </w:r>
      <w:r w:rsidR="000412CE">
        <w:rPr>
          <w:rFonts w:cs="Times New Roman"/>
          <w:noProof/>
        </w:rPr>
        <w:t>2</w:t>
      </w:r>
      <w:r w:rsidR="00F824A5">
        <w:rPr>
          <w:rFonts w:cs="Times New Roman"/>
        </w:rPr>
        <w:fldChar w:fldCharType="end"/>
      </w:r>
      <w:r w:rsidR="00F824A5">
        <w:rPr>
          <w:rFonts w:cs="Times New Roman"/>
        </w:rPr>
        <w:t>.</w:t>
      </w:r>
      <w:r w:rsidR="00F824A5">
        <w:rPr>
          <w:rFonts w:cs="Times New Roman"/>
        </w:rPr>
        <w:fldChar w:fldCharType="begin"/>
      </w:r>
      <w:r w:rsidR="00F824A5">
        <w:rPr>
          <w:rFonts w:cs="Times New Roman"/>
        </w:rPr>
        <w:instrText xml:space="preserve"> SEQ Figure \* ARABIC \s 1 </w:instrText>
      </w:r>
      <w:r w:rsidR="00F824A5">
        <w:rPr>
          <w:rFonts w:cs="Times New Roman"/>
        </w:rPr>
        <w:fldChar w:fldCharType="separate"/>
      </w:r>
      <w:r w:rsidR="000412CE">
        <w:rPr>
          <w:rFonts w:cs="Times New Roman"/>
          <w:noProof/>
        </w:rPr>
        <w:t>24</w:t>
      </w:r>
      <w:r w:rsidR="00F824A5">
        <w:rPr>
          <w:rFonts w:cs="Times New Roman"/>
        </w:rPr>
        <w:fldChar w:fldCharType="end"/>
      </w:r>
      <w:r w:rsidRPr="008B629F">
        <w:rPr>
          <w:rFonts w:cs="Times New Roman"/>
        </w:rPr>
        <w:t xml:space="preserve">. Application of PCMs integrated </w:t>
      </w:r>
      <w:r w:rsidR="005C1C60">
        <w:rPr>
          <w:rFonts w:cs="Times New Roman"/>
        </w:rPr>
        <w:t xml:space="preserve">in </w:t>
      </w:r>
      <w:r w:rsidRPr="008B629F">
        <w:rPr>
          <w:rFonts w:cs="Times New Roman"/>
        </w:rPr>
        <w:t>clothing</w:t>
      </w:r>
      <w:r w:rsidR="00D619A3">
        <w:rPr>
          <w:rFonts w:cs="Times New Roman"/>
        </w:rPr>
        <w:t xml:space="preserve"> [191].</w:t>
      </w:r>
      <w:bookmarkEnd w:id="175"/>
    </w:p>
    <w:p w14:paraId="4888E95F" w14:textId="4F0CF572" w:rsidR="005C1C60" w:rsidRPr="008B629F" w:rsidRDefault="008B629F" w:rsidP="008B629F">
      <w:pPr>
        <w:rPr>
          <w:rFonts w:cs="Times New Roman"/>
          <w:lang w:val="en-US"/>
        </w:rPr>
      </w:pPr>
      <w:r w:rsidRPr="008B629F">
        <w:rPr>
          <w:rFonts w:cs="Times New Roman"/>
          <w:lang w:val="en-US"/>
        </w:rPr>
        <w:t xml:space="preserve">Table </w:t>
      </w:r>
      <w:r w:rsidR="00493AC3">
        <w:rPr>
          <w:rFonts w:cs="Times New Roman"/>
          <w:lang w:val="en-US"/>
        </w:rPr>
        <w:t>2.17</w:t>
      </w:r>
      <w:r w:rsidRPr="008B629F">
        <w:rPr>
          <w:rFonts w:cs="Times New Roman"/>
          <w:lang w:val="en-US"/>
        </w:rPr>
        <w:t xml:space="preserve"> summarizes the main applications of PCMs integrated into textiles, highlighting for each sector the developed products and the most active companies in the field. The applications range from space and medical wear to technical, sports, and automotive textiles, demonstrating the versatility of PCMs in enhancing thermal comfort and safety across various industrial contexts</w:t>
      </w:r>
      <w:r w:rsidR="00493AC3">
        <w:rPr>
          <w:rFonts w:cs="Times New Roman"/>
          <w:lang w:val="en-US"/>
        </w:rPr>
        <w:t>.</w:t>
      </w:r>
    </w:p>
    <w:tbl>
      <w:tblPr>
        <w:tblStyle w:val="TableGrid"/>
        <w:tblW w:w="0" w:type="auto"/>
        <w:jc w:val="center"/>
        <w:tblLook w:val="04A0" w:firstRow="1" w:lastRow="0" w:firstColumn="1" w:lastColumn="0" w:noHBand="0" w:noVBand="1"/>
      </w:tblPr>
      <w:tblGrid>
        <w:gridCol w:w="2880"/>
        <w:gridCol w:w="2880"/>
        <w:gridCol w:w="2880"/>
      </w:tblGrid>
      <w:tr w:rsidR="008B629F" w:rsidRPr="008B629F" w14:paraId="3829DE10" w14:textId="77777777" w:rsidTr="005C1C60">
        <w:trPr>
          <w:jc w:val="center"/>
        </w:trPr>
        <w:tc>
          <w:tcPr>
            <w:tcW w:w="2880" w:type="dxa"/>
            <w:shd w:val="clear" w:color="auto" w:fill="8EA5B6"/>
            <w:vAlign w:val="center"/>
          </w:tcPr>
          <w:p w14:paraId="26E2CE2A" w14:textId="77777777" w:rsidR="008B629F" w:rsidRPr="00493AC3" w:rsidRDefault="008B629F" w:rsidP="00493AC3">
            <w:pPr>
              <w:jc w:val="center"/>
              <w:rPr>
                <w:rFonts w:cs="Times New Roman"/>
                <w:b/>
                <w:bCs/>
                <w:sz w:val="18"/>
                <w:szCs w:val="18"/>
              </w:rPr>
            </w:pPr>
            <w:bookmarkStart w:id="176" w:name="_Hlk213145237"/>
            <w:r w:rsidRPr="00493AC3">
              <w:rPr>
                <w:rFonts w:cs="Times New Roman"/>
                <w:b/>
                <w:bCs/>
                <w:sz w:val="18"/>
                <w:szCs w:val="18"/>
              </w:rPr>
              <w:t>Applications area</w:t>
            </w:r>
          </w:p>
        </w:tc>
        <w:tc>
          <w:tcPr>
            <w:tcW w:w="2880" w:type="dxa"/>
            <w:shd w:val="clear" w:color="auto" w:fill="8EA5B6"/>
            <w:vAlign w:val="center"/>
          </w:tcPr>
          <w:p w14:paraId="660BF1CE" w14:textId="77777777" w:rsidR="008B629F" w:rsidRPr="00493AC3" w:rsidRDefault="008B629F" w:rsidP="00493AC3">
            <w:pPr>
              <w:jc w:val="center"/>
              <w:rPr>
                <w:rFonts w:cs="Times New Roman"/>
                <w:b/>
                <w:bCs/>
                <w:sz w:val="18"/>
                <w:szCs w:val="18"/>
              </w:rPr>
            </w:pPr>
            <w:r w:rsidRPr="00493AC3">
              <w:rPr>
                <w:rFonts w:cs="Times New Roman"/>
                <w:b/>
                <w:bCs/>
                <w:sz w:val="18"/>
                <w:szCs w:val="18"/>
              </w:rPr>
              <w:t>PCM incorporated products</w:t>
            </w:r>
          </w:p>
        </w:tc>
        <w:tc>
          <w:tcPr>
            <w:tcW w:w="2880" w:type="dxa"/>
            <w:shd w:val="clear" w:color="auto" w:fill="8EA5B6"/>
            <w:vAlign w:val="center"/>
          </w:tcPr>
          <w:p w14:paraId="73484FCA" w14:textId="77777777" w:rsidR="008B629F" w:rsidRPr="00493AC3" w:rsidRDefault="008B629F" w:rsidP="00493AC3">
            <w:pPr>
              <w:jc w:val="center"/>
              <w:rPr>
                <w:rFonts w:cs="Times New Roman"/>
                <w:b/>
                <w:bCs/>
                <w:sz w:val="18"/>
                <w:szCs w:val="18"/>
              </w:rPr>
            </w:pPr>
            <w:r w:rsidRPr="00493AC3">
              <w:rPr>
                <w:rFonts w:cs="Times New Roman"/>
                <w:b/>
                <w:bCs/>
                <w:sz w:val="18"/>
                <w:szCs w:val="18"/>
              </w:rPr>
              <w:t>Popular developers</w:t>
            </w:r>
          </w:p>
        </w:tc>
      </w:tr>
      <w:tr w:rsidR="008B629F" w:rsidRPr="008B629F" w14:paraId="243F1ABD" w14:textId="77777777" w:rsidTr="005C1C60">
        <w:trPr>
          <w:jc w:val="center"/>
        </w:trPr>
        <w:tc>
          <w:tcPr>
            <w:tcW w:w="2880" w:type="dxa"/>
            <w:vAlign w:val="center"/>
          </w:tcPr>
          <w:p w14:paraId="3938D205" w14:textId="77777777" w:rsidR="008B629F" w:rsidRPr="008B629F" w:rsidRDefault="008B629F" w:rsidP="00493AC3">
            <w:pPr>
              <w:jc w:val="center"/>
              <w:rPr>
                <w:rFonts w:cs="Times New Roman"/>
                <w:sz w:val="18"/>
                <w:szCs w:val="18"/>
              </w:rPr>
            </w:pPr>
            <w:r w:rsidRPr="008B629F">
              <w:rPr>
                <w:rFonts w:cs="Times New Roman"/>
                <w:sz w:val="18"/>
                <w:szCs w:val="18"/>
              </w:rPr>
              <w:t>Space wear</w:t>
            </w:r>
          </w:p>
        </w:tc>
        <w:tc>
          <w:tcPr>
            <w:tcW w:w="2880" w:type="dxa"/>
            <w:vAlign w:val="center"/>
          </w:tcPr>
          <w:p w14:paraId="53DDEB39" w14:textId="77777777" w:rsidR="008B629F" w:rsidRPr="008B629F" w:rsidRDefault="008B629F" w:rsidP="00493AC3">
            <w:pPr>
              <w:jc w:val="center"/>
              <w:rPr>
                <w:rFonts w:cs="Times New Roman"/>
                <w:sz w:val="18"/>
                <w:szCs w:val="18"/>
              </w:rPr>
            </w:pPr>
            <w:r w:rsidRPr="008B629F">
              <w:rPr>
                <w:rFonts w:cs="Times New Roman"/>
                <w:sz w:val="18"/>
                <w:szCs w:val="18"/>
              </w:rPr>
              <w:t>Space suits and gloves.</w:t>
            </w:r>
          </w:p>
        </w:tc>
        <w:tc>
          <w:tcPr>
            <w:tcW w:w="2880" w:type="dxa"/>
            <w:vAlign w:val="center"/>
          </w:tcPr>
          <w:p w14:paraId="0395C8A5" w14:textId="77777777" w:rsidR="008B629F" w:rsidRPr="008B629F" w:rsidRDefault="008B629F" w:rsidP="00493AC3">
            <w:pPr>
              <w:jc w:val="center"/>
              <w:rPr>
                <w:rFonts w:cs="Times New Roman"/>
                <w:sz w:val="18"/>
                <w:szCs w:val="18"/>
              </w:rPr>
            </w:pPr>
            <w:r w:rsidRPr="008B629F">
              <w:rPr>
                <w:rFonts w:cs="Times New Roman"/>
                <w:sz w:val="18"/>
                <w:szCs w:val="18"/>
              </w:rPr>
              <w:t>NASA, ESA, Roscosmos, Space X, Boeing.</w:t>
            </w:r>
          </w:p>
        </w:tc>
      </w:tr>
      <w:tr w:rsidR="008B629F" w:rsidRPr="00736B36" w14:paraId="0D93EB6D" w14:textId="77777777" w:rsidTr="005C1C60">
        <w:trPr>
          <w:jc w:val="center"/>
        </w:trPr>
        <w:tc>
          <w:tcPr>
            <w:tcW w:w="2880" w:type="dxa"/>
            <w:vAlign w:val="center"/>
          </w:tcPr>
          <w:p w14:paraId="23F1925D" w14:textId="77777777" w:rsidR="008B629F" w:rsidRPr="008B629F" w:rsidRDefault="008B629F" w:rsidP="00493AC3">
            <w:pPr>
              <w:jc w:val="center"/>
              <w:rPr>
                <w:rFonts w:cs="Times New Roman"/>
                <w:sz w:val="18"/>
                <w:szCs w:val="18"/>
              </w:rPr>
            </w:pPr>
            <w:r w:rsidRPr="008B629F">
              <w:rPr>
                <w:rFonts w:cs="Times New Roman"/>
                <w:sz w:val="18"/>
                <w:szCs w:val="18"/>
              </w:rPr>
              <w:lastRenderedPageBreak/>
              <w:t>Medical textile</w:t>
            </w:r>
          </w:p>
        </w:tc>
        <w:tc>
          <w:tcPr>
            <w:tcW w:w="2880" w:type="dxa"/>
            <w:vAlign w:val="center"/>
          </w:tcPr>
          <w:p w14:paraId="0588BB20" w14:textId="0EAA4EBD" w:rsidR="008B629F" w:rsidRPr="008B629F" w:rsidRDefault="008B629F" w:rsidP="00493AC3">
            <w:pPr>
              <w:jc w:val="center"/>
              <w:rPr>
                <w:rFonts w:cs="Times New Roman"/>
                <w:sz w:val="18"/>
                <w:szCs w:val="18"/>
                <w:lang w:val="en-US"/>
              </w:rPr>
            </w:pPr>
            <w:r w:rsidRPr="008B629F">
              <w:rPr>
                <w:rFonts w:cs="Times New Roman"/>
                <w:sz w:val="18"/>
                <w:szCs w:val="18"/>
                <w:lang w:val="en-US"/>
              </w:rPr>
              <w:t>Bandages, gown tops, bedding, gloves, blankets, nappies, and surgical g</w:t>
            </w:r>
            <w:r w:rsidR="005C1C60">
              <w:rPr>
                <w:rFonts w:cs="Times New Roman"/>
                <w:sz w:val="18"/>
                <w:szCs w:val="18"/>
                <w:lang w:val="en-US"/>
              </w:rPr>
              <w:t>own</w:t>
            </w:r>
            <w:r w:rsidRPr="008B629F">
              <w:rPr>
                <w:rFonts w:cs="Times New Roman"/>
                <w:sz w:val="18"/>
                <w:szCs w:val="18"/>
                <w:lang w:val="en-US"/>
              </w:rPr>
              <w:t>s are all available.</w:t>
            </w:r>
          </w:p>
        </w:tc>
        <w:tc>
          <w:tcPr>
            <w:tcW w:w="2880" w:type="dxa"/>
            <w:vAlign w:val="center"/>
          </w:tcPr>
          <w:p w14:paraId="5AEE9340" w14:textId="1807DE69" w:rsidR="008B629F" w:rsidRPr="008B629F" w:rsidRDefault="008B629F" w:rsidP="00493AC3">
            <w:pPr>
              <w:jc w:val="center"/>
              <w:rPr>
                <w:rFonts w:cs="Times New Roman"/>
                <w:sz w:val="18"/>
                <w:szCs w:val="18"/>
                <w:lang w:val="en-US"/>
              </w:rPr>
            </w:pPr>
            <w:r w:rsidRPr="008B629F">
              <w:rPr>
                <w:rFonts w:cs="Times New Roman"/>
                <w:sz w:val="18"/>
                <w:szCs w:val="18"/>
                <w:lang w:val="en-US"/>
              </w:rPr>
              <w:t>3M Health Care, Smith &amp; Nephew, Johnson &amp; Johnson, Paul Hartmann AG, Halyard Health.</w:t>
            </w:r>
          </w:p>
        </w:tc>
      </w:tr>
      <w:tr w:rsidR="008B629F" w:rsidRPr="00BD2ECC" w14:paraId="1DE69DEC" w14:textId="77777777" w:rsidTr="005C1C60">
        <w:trPr>
          <w:jc w:val="center"/>
        </w:trPr>
        <w:tc>
          <w:tcPr>
            <w:tcW w:w="2880" w:type="dxa"/>
            <w:vAlign w:val="center"/>
          </w:tcPr>
          <w:p w14:paraId="7EBB5AA8" w14:textId="77777777" w:rsidR="008B629F" w:rsidRPr="008B629F" w:rsidRDefault="008B629F" w:rsidP="00493AC3">
            <w:pPr>
              <w:jc w:val="center"/>
              <w:rPr>
                <w:rFonts w:cs="Times New Roman"/>
                <w:sz w:val="18"/>
                <w:szCs w:val="18"/>
              </w:rPr>
            </w:pPr>
            <w:r w:rsidRPr="008B629F">
              <w:rPr>
                <w:rFonts w:cs="Times New Roman"/>
                <w:sz w:val="18"/>
                <w:szCs w:val="18"/>
              </w:rPr>
              <w:t>Sporting goods</w:t>
            </w:r>
          </w:p>
        </w:tc>
        <w:tc>
          <w:tcPr>
            <w:tcW w:w="2880" w:type="dxa"/>
            <w:vAlign w:val="center"/>
          </w:tcPr>
          <w:p w14:paraId="1CC04071" w14:textId="39BFB2CA" w:rsidR="008B629F" w:rsidRPr="008B629F" w:rsidRDefault="008B629F" w:rsidP="00493AC3">
            <w:pPr>
              <w:jc w:val="center"/>
              <w:rPr>
                <w:rFonts w:cs="Times New Roman"/>
                <w:sz w:val="18"/>
                <w:szCs w:val="18"/>
                <w:lang w:val="en-US"/>
              </w:rPr>
            </w:pPr>
            <w:r w:rsidRPr="008B629F">
              <w:rPr>
                <w:rFonts w:cs="Times New Roman"/>
                <w:sz w:val="18"/>
                <w:szCs w:val="18"/>
                <w:lang w:val="en-US"/>
              </w:rPr>
              <w:t xml:space="preserve">Gloves for ice climbing, active wear, </w:t>
            </w:r>
            <w:r w:rsidR="005C1C60">
              <w:rPr>
                <w:rFonts w:cs="Times New Roman"/>
                <w:sz w:val="18"/>
                <w:szCs w:val="18"/>
                <w:lang w:val="en-US"/>
              </w:rPr>
              <w:t xml:space="preserve">and </w:t>
            </w:r>
            <w:r w:rsidRPr="008B629F">
              <w:rPr>
                <w:rFonts w:cs="Times New Roman"/>
                <w:sz w:val="18"/>
                <w:szCs w:val="18"/>
                <w:lang w:val="en-US"/>
              </w:rPr>
              <w:t>underwear for cycling and running.</w:t>
            </w:r>
          </w:p>
        </w:tc>
        <w:tc>
          <w:tcPr>
            <w:tcW w:w="2880" w:type="dxa"/>
            <w:vAlign w:val="center"/>
          </w:tcPr>
          <w:p w14:paraId="1674E7A0" w14:textId="77777777" w:rsidR="008B629F" w:rsidRPr="00BD2ECC" w:rsidRDefault="008B629F" w:rsidP="00493AC3">
            <w:pPr>
              <w:jc w:val="center"/>
              <w:rPr>
                <w:rFonts w:cs="Times New Roman"/>
                <w:sz w:val="18"/>
                <w:szCs w:val="18"/>
                <w:lang w:val="en-US"/>
              </w:rPr>
            </w:pPr>
            <w:r w:rsidRPr="00BD2ECC">
              <w:rPr>
                <w:rFonts w:cs="Times New Roman"/>
                <w:sz w:val="18"/>
                <w:szCs w:val="18"/>
                <w:lang w:val="en-US"/>
              </w:rPr>
              <w:t>Nike, Adidas, Puma, Reebok, Salomon.</w:t>
            </w:r>
          </w:p>
        </w:tc>
      </w:tr>
      <w:tr w:rsidR="008B629F" w:rsidRPr="00736B36" w14:paraId="4AF0ED79" w14:textId="77777777" w:rsidTr="005C1C60">
        <w:trPr>
          <w:jc w:val="center"/>
        </w:trPr>
        <w:tc>
          <w:tcPr>
            <w:tcW w:w="2880" w:type="dxa"/>
            <w:vAlign w:val="center"/>
          </w:tcPr>
          <w:p w14:paraId="33453470" w14:textId="73D89326" w:rsidR="008B629F" w:rsidRPr="008B629F" w:rsidRDefault="008B629F" w:rsidP="00493AC3">
            <w:pPr>
              <w:jc w:val="center"/>
              <w:rPr>
                <w:rFonts w:cs="Times New Roman"/>
                <w:sz w:val="18"/>
                <w:szCs w:val="18"/>
              </w:rPr>
            </w:pPr>
            <w:r w:rsidRPr="008B629F">
              <w:rPr>
                <w:rFonts w:cs="Times New Roman"/>
                <w:sz w:val="18"/>
                <w:szCs w:val="18"/>
              </w:rPr>
              <w:t>Fire</w:t>
            </w:r>
            <w:r w:rsidR="005C1C60">
              <w:rPr>
                <w:rFonts w:cs="Times New Roman"/>
                <w:sz w:val="18"/>
                <w:szCs w:val="18"/>
              </w:rPr>
              <w:t>-</w:t>
            </w:r>
            <w:r w:rsidRPr="008B629F">
              <w:rPr>
                <w:rFonts w:cs="Times New Roman"/>
                <w:sz w:val="18"/>
                <w:szCs w:val="18"/>
              </w:rPr>
              <w:t>retardant cloths</w:t>
            </w:r>
          </w:p>
        </w:tc>
        <w:tc>
          <w:tcPr>
            <w:tcW w:w="2880" w:type="dxa"/>
            <w:vAlign w:val="center"/>
          </w:tcPr>
          <w:p w14:paraId="00F96E07" w14:textId="77777777" w:rsidR="008B629F" w:rsidRPr="008B629F" w:rsidRDefault="008B629F" w:rsidP="00493AC3">
            <w:pPr>
              <w:jc w:val="center"/>
              <w:rPr>
                <w:rFonts w:cs="Times New Roman"/>
                <w:sz w:val="18"/>
                <w:szCs w:val="18"/>
                <w:lang w:val="en-US"/>
              </w:rPr>
            </w:pPr>
            <w:r w:rsidRPr="008B629F">
              <w:rPr>
                <w:rFonts w:cs="Times New Roman"/>
                <w:sz w:val="18"/>
                <w:szCs w:val="18"/>
                <w:lang w:val="en-US"/>
              </w:rPr>
              <w:t>Gloves and suits for firefighters.</w:t>
            </w:r>
          </w:p>
        </w:tc>
        <w:tc>
          <w:tcPr>
            <w:tcW w:w="2880" w:type="dxa"/>
            <w:vAlign w:val="center"/>
          </w:tcPr>
          <w:p w14:paraId="77D8959F" w14:textId="0D8C3B8B" w:rsidR="008B629F" w:rsidRPr="008B629F" w:rsidRDefault="008B629F" w:rsidP="00493AC3">
            <w:pPr>
              <w:jc w:val="center"/>
              <w:rPr>
                <w:rFonts w:cs="Times New Roman"/>
                <w:sz w:val="18"/>
                <w:szCs w:val="18"/>
                <w:lang w:val="en-US"/>
              </w:rPr>
            </w:pPr>
            <w:r w:rsidRPr="008B629F">
              <w:rPr>
                <w:rFonts w:cs="Times New Roman"/>
                <w:sz w:val="18"/>
                <w:szCs w:val="18"/>
                <w:lang w:val="en-US"/>
              </w:rPr>
              <w:t>DuPont, Milliken &amp; Company, TenCate Protective Fabrics, Teijin Aramid, Glen Raven Technical Fabrics.</w:t>
            </w:r>
          </w:p>
        </w:tc>
      </w:tr>
      <w:tr w:rsidR="008B629F" w:rsidRPr="00736B36" w14:paraId="27E4D666" w14:textId="77777777" w:rsidTr="005C1C60">
        <w:trPr>
          <w:jc w:val="center"/>
        </w:trPr>
        <w:tc>
          <w:tcPr>
            <w:tcW w:w="2880" w:type="dxa"/>
            <w:vAlign w:val="center"/>
          </w:tcPr>
          <w:p w14:paraId="17D3066A" w14:textId="77777777" w:rsidR="008B629F" w:rsidRPr="008B629F" w:rsidRDefault="008B629F" w:rsidP="00493AC3">
            <w:pPr>
              <w:jc w:val="center"/>
              <w:rPr>
                <w:rFonts w:cs="Times New Roman"/>
                <w:sz w:val="18"/>
                <w:szCs w:val="18"/>
              </w:rPr>
            </w:pPr>
            <w:r w:rsidRPr="008B629F">
              <w:rPr>
                <w:rFonts w:cs="Times New Roman"/>
                <w:sz w:val="18"/>
                <w:szCs w:val="18"/>
              </w:rPr>
              <w:t>Bedding and other accessories</w:t>
            </w:r>
          </w:p>
        </w:tc>
        <w:tc>
          <w:tcPr>
            <w:tcW w:w="2880" w:type="dxa"/>
            <w:vAlign w:val="center"/>
          </w:tcPr>
          <w:p w14:paraId="15A9C09D" w14:textId="77777777" w:rsidR="008B629F" w:rsidRPr="008B629F" w:rsidRDefault="008B629F" w:rsidP="00493AC3">
            <w:pPr>
              <w:jc w:val="center"/>
              <w:rPr>
                <w:rFonts w:cs="Times New Roman"/>
                <w:sz w:val="18"/>
                <w:szCs w:val="18"/>
                <w:lang w:val="en-US"/>
              </w:rPr>
            </w:pPr>
            <w:r w:rsidRPr="008B629F">
              <w:rPr>
                <w:rFonts w:cs="Times New Roman"/>
                <w:sz w:val="18"/>
                <w:szCs w:val="18"/>
                <w:lang w:val="en-US"/>
              </w:rPr>
              <w:t>Mattress covers, pillows, sleeping bags, and blankets.</w:t>
            </w:r>
          </w:p>
        </w:tc>
        <w:tc>
          <w:tcPr>
            <w:tcW w:w="2880" w:type="dxa"/>
            <w:vAlign w:val="center"/>
          </w:tcPr>
          <w:p w14:paraId="7073DCA7" w14:textId="190DD642" w:rsidR="008B629F" w:rsidRPr="008B629F" w:rsidRDefault="008B629F" w:rsidP="00493AC3">
            <w:pPr>
              <w:jc w:val="center"/>
              <w:rPr>
                <w:rFonts w:cs="Times New Roman"/>
                <w:sz w:val="18"/>
                <w:szCs w:val="18"/>
                <w:lang w:val="en-US"/>
              </w:rPr>
            </w:pPr>
            <w:r w:rsidRPr="008B629F">
              <w:rPr>
                <w:rFonts w:cs="Times New Roman"/>
                <w:sz w:val="18"/>
                <w:szCs w:val="18"/>
                <w:lang w:val="en-US"/>
              </w:rPr>
              <w:t>Tempur-Pedic, Sleep Number, Sealy, Serta, Simmons.</w:t>
            </w:r>
          </w:p>
        </w:tc>
      </w:tr>
      <w:tr w:rsidR="008B629F" w:rsidRPr="00736B36" w14:paraId="30141860" w14:textId="77777777" w:rsidTr="005C1C60">
        <w:trPr>
          <w:jc w:val="center"/>
        </w:trPr>
        <w:tc>
          <w:tcPr>
            <w:tcW w:w="2880" w:type="dxa"/>
            <w:vAlign w:val="center"/>
          </w:tcPr>
          <w:p w14:paraId="1101D7E8" w14:textId="77777777" w:rsidR="008B629F" w:rsidRPr="008B629F" w:rsidRDefault="008B629F" w:rsidP="00493AC3">
            <w:pPr>
              <w:jc w:val="center"/>
              <w:rPr>
                <w:rFonts w:cs="Times New Roman"/>
                <w:sz w:val="18"/>
                <w:szCs w:val="18"/>
              </w:rPr>
            </w:pPr>
            <w:r w:rsidRPr="008B629F">
              <w:rPr>
                <w:rFonts w:cs="Times New Roman"/>
                <w:sz w:val="18"/>
                <w:szCs w:val="18"/>
              </w:rPr>
              <w:t>Building textile materials</w:t>
            </w:r>
          </w:p>
        </w:tc>
        <w:tc>
          <w:tcPr>
            <w:tcW w:w="2880" w:type="dxa"/>
            <w:vAlign w:val="center"/>
          </w:tcPr>
          <w:p w14:paraId="0EC49263" w14:textId="77777777" w:rsidR="008B629F" w:rsidRPr="008B629F" w:rsidRDefault="008B629F" w:rsidP="00493AC3">
            <w:pPr>
              <w:jc w:val="center"/>
              <w:rPr>
                <w:rFonts w:cs="Times New Roman"/>
                <w:sz w:val="18"/>
                <w:szCs w:val="18"/>
                <w:lang w:val="en-US"/>
              </w:rPr>
            </w:pPr>
            <w:r w:rsidRPr="008B629F">
              <w:rPr>
                <w:rFonts w:cs="Times New Roman"/>
                <w:sz w:val="18"/>
                <w:szCs w:val="18"/>
                <w:lang w:val="en-US"/>
              </w:rPr>
              <w:t>Architecture structure embedded in concrete.</w:t>
            </w:r>
          </w:p>
        </w:tc>
        <w:tc>
          <w:tcPr>
            <w:tcW w:w="2880" w:type="dxa"/>
            <w:vAlign w:val="center"/>
          </w:tcPr>
          <w:p w14:paraId="2FE2EFBE" w14:textId="73D3DFDE" w:rsidR="008B629F" w:rsidRPr="008B629F" w:rsidRDefault="008B629F" w:rsidP="00493AC3">
            <w:pPr>
              <w:jc w:val="center"/>
              <w:rPr>
                <w:rFonts w:cs="Times New Roman"/>
                <w:sz w:val="18"/>
                <w:szCs w:val="18"/>
                <w:lang w:val="en-US"/>
              </w:rPr>
            </w:pPr>
            <w:r w:rsidRPr="008B629F">
              <w:rPr>
                <w:rFonts w:cs="Times New Roman"/>
                <w:sz w:val="18"/>
                <w:szCs w:val="18"/>
                <w:lang w:val="en-US"/>
              </w:rPr>
              <w:t>Saint-Gobain, Owens Corning, DuPont, BASF, Sika AG.</w:t>
            </w:r>
          </w:p>
        </w:tc>
      </w:tr>
      <w:tr w:rsidR="008B629F" w:rsidRPr="00736B36" w14:paraId="1D204372" w14:textId="77777777" w:rsidTr="005C1C60">
        <w:trPr>
          <w:jc w:val="center"/>
        </w:trPr>
        <w:tc>
          <w:tcPr>
            <w:tcW w:w="2880" w:type="dxa"/>
            <w:vAlign w:val="center"/>
          </w:tcPr>
          <w:p w14:paraId="0DF7F83D" w14:textId="77777777" w:rsidR="008B629F" w:rsidRPr="008B629F" w:rsidRDefault="008B629F" w:rsidP="00493AC3">
            <w:pPr>
              <w:jc w:val="center"/>
              <w:rPr>
                <w:rFonts w:cs="Times New Roman"/>
                <w:sz w:val="18"/>
                <w:szCs w:val="18"/>
              </w:rPr>
            </w:pPr>
            <w:r w:rsidRPr="008B629F">
              <w:rPr>
                <w:rFonts w:cs="Times New Roman"/>
                <w:sz w:val="18"/>
                <w:szCs w:val="18"/>
              </w:rPr>
              <w:t>Automotive textile</w:t>
            </w:r>
          </w:p>
        </w:tc>
        <w:tc>
          <w:tcPr>
            <w:tcW w:w="2880" w:type="dxa"/>
            <w:vAlign w:val="center"/>
          </w:tcPr>
          <w:p w14:paraId="7CFAFC12" w14:textId="2D2583D1" w:rsidR="008B629F" w:rsidRPr="008B629F" w:rsidRDefault="008B629F" w:rsidP="00493AC3">
            <w:pPr>
              <w:jc w:val="center"/>
              <w:rPr>
                <w:rFonts w:cs="Times New Roman"/>
                <w:sz w:val="18"/>
                <w:szCs w:val="18"/>
                <w:lang w:val="en-US"/>
              </w:rPr>
            </w:pPr>
            <w:r w:rsidRPr="008B629F">
              <w:rPr>
                <w:rFonts w:cs="Times New Roman"/>
                <w:sz w:val="18"/>
                <w:szCs w:val="18"/>
                <w:lang w:val="en-US"/>
              </w:rPr>
              <w:t>Automobile interiors and seat covers.</w:t>
            </w:r>
          </w:p>
        </w:tc>
        <w:tc>
          <w:tcPr>
            <w:tcW w:w="2880" w:type="dxa"/>
            <w:vAlign w:val="center"/>
          </w:tcPr>
          <w:p w14:paraId="350BB4B5" w14:textId="707A2E4F" w:rsidR="008B629F" w:rsidRPr="008B629F" w:rsidRDefault="008B629F" w:rsidP="00493AC3">
            <w:pPr>
              <w:jc w:val="center"/>
              <w:rPr>
                <w:rFonts w:cs="Times New Roman"/>
                <w:sz w:val="18"/>
                <w:szCs w:val="18"/>
                <w:lang w:val="en-US"/>
              </w:rPr>
            </w:pPr>
            <w:r w:rsidRPr="008B629F">
              <w:rPr>
                <w:rFonts w:cs="Times New Roman"/>
                <w:sz w:val="18"/>
                <w:szCs w:val="18"/>
                <w:lang w:val="en-US"/>
              </w:rPr>
              <w:t>Lear Corporation, Audient, Faurecia, Yanfeng Automotive Interiors, Autoneum, Sage Automotive Interiors, Seiren Co. Ltd.</w:t>
            </w:r>
          </w:p>
        </w:tc>
      </w:tr>
      <w:tr w:rsidR="008B629F" w:rsidRPr="00736B36" w14:paraId="1AF50487" w14:textId="77777777" w:rsidTr="005C1C60">
        <w:trPr>
          <w:jc w:val="center"/>
        </w:trPr>
        <w:tc>
          <w:tcPr>
            <w:tcW w:w="2880" w:type="dxa"/>
            <w:vAlign w:val="center"/>
          </w:tcPr>
          <w:p w14:paraId="79C82F06" w14:textId="77777777" w:rsidR="008B629F" w:rsidRPr="008B629F" w:rsidRDefault="008B629F" w:rsidP="00493AC3">
            <w:pPr>
              <w:jc w:val="center"/>
              <w:rPr>
                <w:rFonts w:cs="Times New Roman"/>
                <w:sz w:val="18"/>
                <w:szCs w:val="18"/>
              </w:rPr>
            </w:pPr>
            <w:r w:rsidRPr="008B629F">
              <w:rPr>
                <w:rFonts w:cs="Times New Roman"/>
                <w:sz w:val="18"/>
                <w:szCs w:val="18"/>
              </w:rPr>
              <w:t>Footwear textile</w:t>
            </w:r>
          </w:p>
        </w:tc>
        <w:tc>
          <w:tcPr>
            <w:tcW w:w="2880" w:type="dxa"/>
            <w:vAlign w:val="center"/>
          </w:tcPr>
          <w:p w14:paraId="0FC0E561" w14:textId="77777777" w:rsidR="008B629F" w:rsidRPr="008B629F" w:rsidRDefault="008B629F" w:rsidP="00493AC3">
            <w:pPr>
              <w:jc w:val="center"/>
              <w:rPr>
                <w:rFonts w:cs="Times New Roman"/>
                <w:sz w:val="18"/>
                <w:szCs w:val="18"/>
                <w:lang w:val="en-US"/>
              </w:rPr>
            </w:pPr>
            <w:r w:rsidRPr="008B629F">
              <w:rPr>
                <w:rFonts w:cs="Times New Roman"/>
                <w:sz w:val="18"/>
                <w:szCs w:val="18"/>
                <w:lang w:val="en-US"/>
              </w:rPr>
              <w:t>Hiking boots, skiing boots, golf shoes, and driver boots.</w:t>
            </w:r>
          </w:p>
        </w:tc>
        <w:tc>
          <w:tcPr>
            <w:tcW w:w="2880" w:type="dxa"/>
            <w:vAlign w:val="center"/>
          </w:tcPr>
          <w:p w14:paraId="762C78CD" w14:textId="77777777" w:rsidR="008B629F" w:rsidRPr="008B629F" w:rsidRDefault="008B629F" w:rsidP="00493AC3">
            <w:pPr>
              <w:keepNext/>
              <w:jc w:val="center"/>
              <w:rPr>
                <w:rFonts w:cs="Times New Roman"/>
                <w:sz w:val="18"/>
                <w:szCs w:val="18"/>
                <w:lang w:val="en-US"/>
              </w:rPr>
            </w:pPr>
            <w:r w:rsidRPr="008B629F">
              <w:rPr>
                <w:rFonts w:cs="Times New Roman"/>
                <w:sz w:val="18"/>
                <w:szCs w:val="18"/>
                <w:lang w:val="en-US"/>
              </w:rPr>
              <w:t>Reebok, Salomon, Asics, Hoka One One, Brooks Running.</w:t>
            </w:r>
          </w:p>
          <w:p w14:paraId="23234404" w14:textId="77777777" w:rsidR="008B629F" w:rsidRPr="008B629F" w:rsidRDefault="008B629F" w:rsidP="00493AC3">
            <w:pPr>
              <w:keepNext/>
              <w:jc w:val="center"/>
              <w:rPr>
                <w:rFonts w:cs="Times New Roman"/>
                <w:sz w:val="18"/>
                <w:szCs w:val="18"/>
                <w:lang w:val="en-US"/>
              </w:rPr>
            </w:pPr>
          </w:p>
        </w:tc>
      </w:tr>
    </w:tbl>
    <w:p w14:paraId="44BB75ED" w14:textId="51C3C441" w:rsidR="008B629F" w:rsidRPr="008B629F" w:rsidRDefault="008B629F" w:rsidP="008B629F">
      <w:pPr>
        <w:pStyle w:val="Caption"/>
        <w:rPr>
          <w:rFonts w:cs="Times New Roman"/>
        </w:rPr>
      </w:pPr>
      <w:bookmarkStart w:id="177" w:name="_Toc214362645"/>
      <w:bookmarkEnd w:id="176"/>
      <w:r w:rsidRPr="008B629F">
        <w:rPr>
          <w:rFonts w:cs="Times New Roman"/>
        </w:rPr>
        <w:t xml:space="preserve">Table </w:t>
      </w:r>
      <w:r w:rsidR="00F43E9A">
        <w:rPr>
          <w:rFonts w:cs="Times New Roman"/>
        </w:rPr>
        <w:fldChar w:fldCharType="begin"/>
      </w:r>
      <w:r w:rsidR="00F43E9A">
        <w:rPr>
          <w:rFonts w:cs="Times New Roman"/>
        </w:rPr>
        <w:instrText xml:space="preserve"> STYLEREF 1 \s </w:instrText>
      </w:r>
      <w:r w:rsidR="00F43E9A">
        <w:rPr>
          <w:rFonts w:cs="Times New Roman"/>
        </w:rPr>
        <w:fldChar w:fldCharType="separate"/>
      </w:r>
      <w:r w:rsidR="000412CE">
        <w:rPr>
          <w:rFonts w:cs="Times New Roman"/>
          <w:noProof/>
        </w:rPr>
        <w:t>2</w:t>
      </w:r>
      <w:r w:rsidR="00F43E9A">
        <w:rPr>
          <w:rFonts w:cs="Times New Roman"/>
        </w:rPr>
        <w:fldChar w:fldCharType="end"/>
      </w:r>
      <w:r w:rsidR="00F43E9A">
        <w:rPr>
          <w:rFonts w:cs="Times New Roman"/>
        </w:rPr>
        <w:t>.</w:t>
      </w:r>
      <w:r w:rsidR="00F43E9A">
        <w:rPr>
          <w:rFonts w:cs="Times New Roman"/>
        </w:rPr>
        <w:fldChar w:fldCharType="begin"/>
      </w:r>
      <w:r w:rsidR="00F43E9A">
        <w:rPr>
          <w:rFonts w:cs="Times New Roman"/>
        </w:rPr>
        <w:instrText xml:space="preserve"> SEQ Table \* ARABIC \s 1 </w:instrText>
      </w:r>
      <w:r w:rsidR="00F43E9A">
        <w:rPr>
          <w:rFonts w:cs="Times New Roman"/>
        </w:rPr>
        <w:fldChar w:fldCharType="separate"/>
      </w:r>
      <w:r w:rsidR="000412CE">
        <w:rPr>
          <w:rFonts w:cs="Times New Roman"/>
          <w:noProof/>
        </w:rPr>
        <w:t>17</w:t>
      </w:r>
      <w:r w:rsidR="00F43E9A">
        <w:rPr>
          <w:rFonts w:cs="Times New Roman"/>
        </w:rPr>
        <w:fldChar w:fldCharType="end"/>
      </w:r>
      <w:r w:rsidRPr="008B629F">
        <w:rPr>
          <w:rFonts w:cs="Times New Roman"/>
        </w:rPr>
        <w:t>. Application area of integrated clot</w:t>
      </w:r>
      <w:r w:rsidR="005C1C60">
        <w:rPr>
          <w:rFonts w:cs="Times New Roman"/>
        </w:rPr>
        <w:t>h</w:t>
      </w:r>
      <w:r w:rsidRPr="008B629F">
        <w:rPr>
          <w:rFonts w:cs="Times New Roman"/>
        </w:rPr>
        <w:t>ing, products</w:t>
      </w:r>
      <w:r w:rsidR="005C1C60">
        <w:rPr>
          <w:rFonts w:cs="Times New Roman"/>
        </w:rPr>
        <w:t>,</w:t>
      </w:r>
      <w:r w:rsidRPr="008B629F">
        <w:rPr>
          <w:rFonts w:cs="Times New Roman"/>
        </w:rPr>
        <w:t xml:space="preserve"> and developers of PCMs</w:t>
      </w:r>
      <w:r w:rsidR="00A165BA">
        <w:rPr>
          <w:rFonts w:cs="Times New Roman"/>
        </w:rPr>
        <w:t>.</w:t>
      </w:r>
      <w:bookmarkEnd w:id="177"/>
    </w:p>
    <w:p w14:paraId="66A7D87E" w14:textId="77777777" w:rsidR="008B629F" w:rsidRPr="008B629F" w:rsidRDefault="008B629F" w:rsidP="008B629F">
      <w:pPr>
        <w:rPr>
          <w:rFonts w:cs="Times New Roman"/>
          <w:lang w:val="en-US"/>
        </w:rPr>
      </w:pPr>
      <w:r w:rsidRPr="008B629F">
        <w:rPr>
          <w:rFonts w:cs="Times New Roman"/>
          <w:u w:val="single"/>
          <w:lang w:val="en-US"/>
        </w:rPr>
        <w:t>Space wear</w:t>
      </w:r>
      <w:r w:rsidRPr="008B629F">
        <w:rPr>
          <w:rFonts w:cs="Times New Roman"/>
          <w:lang w:val="en-US"/>
        </w:rPr>
        <w:t>. PCM-integrated space suits can significantly improve astronaut comfort and performance by regulating temperature and reducing fatigue during long missions. These garments offer high thermal storage without compromising mobility, enhancing both physical and mental well-being in extreme conditions. Future designs will focus on ergonomics, moisture control, and customization, making PCMIC suits essential for extended space exploration once material reliability and integration challenges are addressed.</w:t>
      </w:r>
    </w:p>
    <w:p w14:paraId="502939FB" w14:textId="77777777" w:rsidR="008B629F" w:rsidRPr="008B629F" w:rsidRDefault="008B629F" w:rsidP="008B629F">
      <w:pPr>
        <w:rPr>
          <w:rFonts w:cs="Times New Roman"/>
          <w:lang w:val="en-US"/>
        </w:rPr>
      </w:pPr>
      <w:r w:rsidRPr="008B629F">
        <w:rPr>
          <w:rFonts w:cs="Times New Roman"/>
          <w:u w:val="single"/>
          <w:lang w:val="en-US"/>
        </w:rPr>
        <w:t>Medical textile</w:t>
      </w:r>
      <w:r w:rsidRPr="008B629F">
        <w:rPr>
          <w:rFonts w:cs="Times New Roman"/>
          <w:lang w:val="en-US"/>
        </w:rPr>
        <w:t>. PCM-integrated medical textiles offer advanced thermal regulation, maintaining comfortable skin temperature for applications such as bandages, surgical garments, and patient bedding. Ongoing research focuses on improving washability, durability, and thermal efficiency. These smart materials show strong potential in healthcare, rehabilitation, and wearable monitoring, where integration with sensors could enable personalized heat management and real-time health tracking.</w:t>
      </w:r>
    </w:p>
    <w:p w14:paraId="58A234B7" w14:textId="77777777" w:rsidR="008B629F" w:rsidRPr="008B629F" w:rsidRDefault="008B629F" w:rsidP="008B629F">
      <w:pPr>
        <w:rPr>
          <w:rFonts w:cs="Times New Roman"/>
          <w:lang w:val="en-US"/>
        </w:rPr>
      </w:pPr>
      <w:r w:rsidRPr="008B629F">
        <w:rPr>
          <w:rFonts w:cs="Times New Roman"/>
          <w:u w:val="single"/>
          <w:lang w:val="en-US"/>
        </w:rPr>
        <w:t>Sporting goods</w:t>
      </w:r>
      <w:r w:rsidRPr="008B629F">
        <w:rPr>
          <w:rFonts w:cs="Times New Roman"/>
          <w:lang w:val="en-US"/>
        </w:rPr>
        <w:t xml:space="preserve">. PCM-integrated sportswear helps regulate athletes’ body temperature, preventing overheating or overcooling. Research focuses on improving durability, breathability, and moisture control while maintaining thermal efficiency. </w:t>
      </w:r>
      <w:r w:rsidRPr="008B629F">
        <w:rPr>
          <w:rFonts w:cs="Times New Roman"/>
          <w:lang w:val="en-US"/>
        </w:rPr>
        <w:lastRenderedPageBreak/>
        <w:t>Despite challenges in cost and large-scale production, advances in coating and weaving technologies, along with smart sensors for adaptive thermal regulation, are enhancing performance and comfort.</w:t>
      </w:r>
    </w:p>
    <w:p w14:paraId="61CD24D9" w14:textId="7B671389" w:rsidR="008B629F" w:rsidRPr="008B629F" w:rsidRDefault="008B629F" w:rsidP="008B629F">
      <w:pPr>
        <w:rPr>
          <w:rFonts w:cs="Times New Roman"/>
          <w:lang w:val="en-US"/>
        </w:rPr>
      </w:pPr>
      <w:r w:rsidRPr="008B629F">
        <w:rPr>
          <w:rFonts w:cs="Times New Roman"/>
          <w:u w:val="single"/>
          <w:lang w:val="en-US"/>
        </w:rPr>
        <w:t>Bedding</w:t>
      </w:r>
      <w:r w:rsidRPr="008B629F">
        <w:rPr>
          <w:rFonts w:cs="Times New Roman"/>
          <w:lang w:val="en-US"/>
        </w:rPr>
        <w:t>. PCM-integrated bedding, such as duvets, pillows, and mattress covers, enables active thermal regulation by absorbing excess body heat and releasing it as the temperature drops, maintaining comfort during sleep. Recent developments focus on improving temperature control and durability, with applications also extending to hospital bedding for enhanced patient comfort</w:t>
      </w:r>
      <w:r w:rsidR="005C1C60">
        <w:rPr>
          <w:rFonts w:cs="Times New Roman"/>
          <w:lang w:val="en-US"/>
        </w:rPr>
        <w:t>.</w:t>
      </w:r>
    </w:p>
    <w:p w14:paraId="160B86E8" w14:textId="2E678BB1" w:rsidR="008B629F" w:rsidRPr="008B629F" w:rsidRDefault="008B629F" w:rsidP="008B629F">
      <w:pPr>
        <w:rPr>
          <w:rFonts w:cs="Times New Roman"/>
          <w:b/>
          <w:bCs/>
          <w:lang w:val="en-US"/>
        </w:rPr>
      </w:pPr>
      <w:r w:rsidRPr="008B629F">
        <w:rPr>
          <w:rFonts w:cs="Times New Roman"/>
          <w:u w:val="single"/>
          <w:lang w:val="en-US"/>
        </w:rPr>
        <w:t>Fire</w:t>
      </w:r>
      <w:r w:rsidR="005C1C60">
        <w:rPr>
          <w:rFonts w:cs="Times New Roman"/>
          <w:u w:val="single"/>
          <w:lang w:val="en-US"/>
        </w:rPr>
        <w:t>-</w:t>
      </w:r>
      <w:r w:rsidRPr="008B629F">
        <w:rPr>
          <w:rFonts w:cs="Times New Roman"/>
          <w:u w:val="single"/>
          <w:lang w:val="en-US"/>
        </w:rPr>
        <w:t>retardant clothes</w:t>
      </w:r>
      <w:r w:rsidRPr="008B629F">
        <w:rPr>
          <w:rFonts w:cs="Times New Roman"/>
          <w:lang w:val="en-US"/>
        </w:rPr>
        <w:t>. PCM-integrated fire-retardant fabrics (PCMIC) help maintain a safe internal temperature, improving comfort and protection in extreme heat. Advances in PCM technology and fabric engineering have enhanced flame resistance, durability, and wearer comfort, making these materials particularly effective for firefighting and thermal protective clothing.</w:t>
      </w:r>
    </w:p>
    <w:p w14:paraId="51124066" w14:textId="41EF3C9F" w:rsidR="008B629F" w:rsidRPr="008B629F" w:rsidRDefault="008B629F" w:rsidP="008B629F">
      <w:pPr>
        <w:rPr>
          <w:rFonts w:cs="Times New Roman"/>
          <w:lang w:val="en-US"/>
        </w:rPr>
      </w:pPr>
      <w:r w:rsidRPr="008B629F">
        <w:rPr>
          <w:rFonts w:cs="Times New Roman"/>
          <w:u w:val="single"/>
          <w:lang w:val="en-US"/>
        </w:rPr>
        <w:t>Automotive textiles</w:t>
      </w:r>
      <w:r w:rsidRPr="008B629F">
        <w:rPr>
          <w:rFonts w:cs="Times New Roman"/>
          <w:lang w:val="en-US"/>
        </w:rPr>
        <w:t>. In the automotive sector, PCMICs are used to regulate cabin temperature by storing and releasing heat, improving passenger comfort and thermal management efficiency. Recent advancements include optimized PCM compositions, fabric engineering, and smart integration for enhanced performance.</w:t>
      </w:r>
    </w:p>
    <w:p w14:paraId="443D6FB5" w14:textId="15E27B84" w:rsidR="008B629F" w:rsidRPr="008B629F" w:rsidRDefault="008B629F" w:rsidP="00493AC3">
      <w:pPr>
        <w:pStyle w:val="Heading3"/>
        <w:rPr>
          <w:lang w:val="en-US"/>
        </w:rPr>
      </w:pPr>
      <w:bookmarkStart w:id="178" w:name="_Toc213354094"/>
      <w:bookmarkStart w:id="179" w:name="_Toc214356313"/>
      <w:r w:rsidRPr="008B629F">
        <w:rPr>
          <w:lang w:val="en-US"/>
        </w:rPr>
        <w:t>Environmental impact and safety of PCMs</w:t>
      </w:r>
      <w:bookmarkEnd w:id="178"/>
      <w:bookmarkEnd w:id="179"/>
    </w:p>
    <w:p w14:paraId="03F346C1" w14:textId="366F3ADC" w:rsidR="008B629F" w:rsidRPr="008B629F" w:rsidRDefault="008B629F" w:rsidP="008B629F">
      <w:pPr>
        <w:rPr>
          <w:rFonts w:cs="Times New Roman"/>
          <w:lang w:val="en-US"/>
        </w:rPr>
      </w:pPr>
      <w:r w:rsidRPr="008B629F">
        <w:rPr>
          <w:rFonts w:cs="Times New Roman"/>
          <w:lang w:val="en-US"/>
        </w:rPr>
        <w:t xml:space="preserve">PCMs used in textiles for thermal regulation differ in environmental impact depending on their composition. Organic PCMs, derived from renewable plant or animal sources, are more sustainable and emit fewer greenhouse gases </w:t>
      </w:r>
      <w:sdt>
        <w:sdtPr>
          <w:rPr>
            <w:rFonts w:cs="Times New Roman"/>
            <w:lang w:val="en-US"/>
          </w:rPr>
          <w:id w:val="-1973200479"/>
          <w:citation/>
        </w:sdtPr>
        <w:sdtContent>
          <w:r w:rsidR="00493AC3">
            <w:rPr>
              <w:rFonts w:cs="Times New Roman"/>
              <w:lang w:val="en-US"/>
            </w:rPr>
            <w:fldChar w:fldCharType="begin"/>
          </w:r>
          <w:r w:rsidR="00493AC3" w:rsidRPr="00493AC3">
            <w:rPr>
              <w:rFonts w:cs="Times New Roman"/>
              <w:lang w:val="en-US"/>
            </w:rPr>
            <w:instrText xml:space="preserve"> CITATION Placeholder210 \l 1040 </w:instrText>
          </w:r>
          <w:r w:rsidR="00493AC3">
            <w:rPr>
              <w:rFonts w:cs="Times New Roman"/>
              <w:lang w:val="en-US"/>
            </w:rPr>
            <w:fldChar w:fldCharType="separate"/>
          </w:r>
          <w:r w:rsidR="00855396" w:rsidRPr="00855396">
            <w:rPr>
              <w:rFonts w:cs="Times New Roman"/>
              <w:noProof/>
              <w:lang w:val="en-US"/>
            </w:rPr>
            <w:t>[192]</w:t>
          </w:r>
          <w:r w:rsidR="00493AC3">
            <w:rPr>
              <w:rFonts w:cs="Times New Roman"/>
              <w:lang w:val="en-US"/>
            </w:rPr>
            <w:fldChar w:fldCharType="end"/>
          </w:r>
        </w:sdtContent>
      </w:sdt>
      <w:r w:rsidRPr="008B629F">
        <w:rPr>
          <w:rFonts w:cs="Times New Roman"/>
          <w:lang w:val="en-US"/>
        </w:rPr>
        <w:t xml:space="preserve">, while inorganic and synthetic PCMs, often petrochemical-based, have higher emissions and are non-biodegradable </w:t>
      </w:r>
      <w:sdt>
        <w:sdtPr>
          <w:rPr>
            <w:rFonts w:cs="Times New Roman"/>
            <w:lang w:val="en-US"/>
          </w:rPr>
          <w:id w:val="-1891800779"/>
          <w:citation/>
        </w:sdtPr>
        <w:sdtContent>
          <w:r w:rsidR="00493AC3">
            <w:rPr>
              <w:rFonts w:cs="Times New Roman"/>
              <w:lang w:val="en-US"/>
            </w:rPr>
            <w:fldChar w:fldCharType="begin"/>
          </w:r>
          <w:r w:rsidR="00493AC3" w:rsidRPr="00493AC3">
            <w:rPr>
              <w:rFonts w:cs="Times New Roman"/>
              <w:lang w:val="en-US"/>
            </w:rPr>
            <w:instrText xml:space="preserve"> CITATION Placeholder211 \l 1040 </w:instrText>
          </w:r>
          <w:r w:rsidR="00493AC3">
            <w:rPr>
              <w:rFonts w:cs="Times New Roman"/>
              <w:lang w:val="en-US"/>
            </w:rPr>
            <w:fldChar w:fldCharType="separate"/>
          </w:r>
          <w:r w:rsidR="00855396" w:rsidRPr="00855396">
            <w:rPr>
              <w:rFonts w:cs="Times New Roman"/>
              <w:noProof/>
              <w:lang w:val="en-US"/>
            </w:rPr>
            <w:t>[193]</w:t>
          </w:r>
          <w:r w:rsidR="00493AC3">
            <w:rPr>
              <w:rFonts w:cs="Times New Roman"/>
              <w:lang w:val="en-US"/>
            </w:rPr>
            <w:fldChar w:fldCharType="end"/>
          </w:r>
        </w:sdtContent>
      </w:sdt>
      <w:r w:rsidRPr="008B629F">
        <w:rPr>
          <w:rFonts w:cs="Times New Roman"/>
          <w:lang w:val="en-US"/>
        </w:rPr>
        <w:t xml:space="preserve">. Recycling PCM textiles remains difficult due to the inseparability of materials </w:t>
      </w:r>
      <w:sdt>
        <w:sdtPr>
          <w:rPr>
            <w:rFonts w:cs="Times New Roman"/>
            <w:lang w:val="en-US"/>
          </w:rPr>
          <w:id w:val="262426990"/>
          <w:citation/>
        </w:sdtPr>
        <w:sdtContent>
          <w:r w:rsidR="00493AC3">
            <w:rPr>
              <w:rFonts w:cs="Times New Roman"/>
              <w:lang w:val="en-US"/>
            </w:rPr>
            <w:fldChar w:fldCharType="begin"/>
          </w:r>
          <w:r w:rsidR="00493AC3" w:rsidRPr="00493AC3">
            <w:rPr>
              <w:rFonts w:cs="Times New Roman"/>
              <w:lang w:val="en-US"/>
            </w:rPr>
            <w:instrText xml:space="preserve"> CITATION Placeholder212 \l 1040 </w:instrText>
          </w:r>
          <w:r w:rsidR="00493AC3">
            <w:rPr>
              <w:rFonts w:cs="Times New Roman"/>
              <w:lang w:val="en-US"/>
            </w:rPr>
            <w:fldChar w:fldCharType="separate"/>
          </w:r>
          <w:r w:rsidR="00855396" w:rsidRPr="00855396">
            <w:rPr>
              <w:rFonts w:cs="Times New Roman"/>
              <w:noProof/>
              <w:lang w:val="en-US"/>
            </w:rPr>
            <w:t>[194]</w:t>
          </w:r>
          <w:r w:rsidR="00493AC3">
            <w:rPr>
              <w:rFonts w:cs="Times New Roman"/>
              <w:lang w:val="en-US"/>
            </w:rPr>
            <w:fldChar w:fldCharType="end"/>
          </w:r>
        </w:sdtContent>
      </w:sdt>
      <w:r w:rsidRPr="008B629F">
        <w:rPr>
          <w:rFonts w:cs="Times New Roman"/>
          <w:lang w:val="en-US"/>
        </w:rPr>
        <w:t xml:space="preserve">. Recent advances include the development of bio-based and recyclable PCMs </w:t>
      </w:r>
      <w:sdt>
        <w:sdtPr>
          <w:rPr>
            <w:rFonts w:cs="Times New Roman"/>
            <w:lang w:val="en-US"/>
          </w:rPr>
          <w:id w:val="1107077689"/>
          <w:citation/>
        </w:sdtPr>
        <w:sdtContent>
          <w:r w:rsidR="00493AC3">
            <w:rPr>
              <w:rFonts w:cs="Times New Roman"/>
              <w:lang w:val="en-US"/>
            </w:rPr>
            <w:fldChar w:fldCharType="begin"/>
          </w:r>
          <w:r w:rsidR="00493AC3" w:rsidRPr="00493AC3">
            <w:rPr>
              <w:rFonts w:cs="Times New Roman"/>
              <w:lang w:val="en-US"/>
            </w:rPr>
            <w:instrText xml:space="preserve"> CITATION Placeholder213 \l 1040 </w:instrText>
          </w:r>
          <w:r w:rsidR="00493AC3">
            <w:rPr>
              <w:rFonts w:cs="Times New Roman"/>
              <w:lang w:val="en-US"/>
            </w:rPr>
            <w:fldChar w:fldCharType="separate"/>
          </w:r>
          <w:r w:rsidR="00855396" w:rsidRPr="00855396">
            <w:rPr>
              <w:rFonts w:cs="Times New Roman"/>
              <w:noProof/>
              <w:lang w:val="en-US"/>
            </w:rPr>
            <w:t>[195]</w:t>
          </w:r>
          <w:r w:rsidR="00493AC3">
            <w:rPr>
              <w:rFonts w:cs="Times New Roman"/>
              <w:lang w:val="en-US"/>
            </w:rPr>
            <w:fldChar w:fldCharType="end"/>
          </w:r>
        </w:sdtContent>
      </w:sdt>
      <w:r w:rsidRPr="008B629F">
        <w:rPr>
          <w:rFonts w:cs="Times New Roman"/>
          <w:lang w:val="en-US"/>
        </w:rPr>
        <w:t xml:space="preserve">, which help reduce fossil fuel dependency and emissions, as well as energy savings during use through improved heating and cooling efficiency </w:t>
      </w:r>
      <w:sdt>
        <w:sdtPr>
          <w:rPr>
            <w:rFonts w:cs="Times New Roman"/>
            <w:lang w:val="en-US"/>
          </w:rPr>
          <w:id w:val="1132588542"/>
          <w:citation/>
        </w:sdtPr>
        <w:sdtContent>
          <w:r w:rsidR="00493AC3">
            <w:rPr>
              <w:rFonts w:cs="Times New Roman"/>
              <w:lang w:val="en-US"/>
            </w:rPr>
            <w:fldChar w:fldCharType="begin"/>
          </w:r>
          <w:r w:rsidR="00493AC3" w:rsidRPr="00493AC3">
            <w:rPr>
              <w:rFonts w:cs="Times New Roman"/>
              <w:lang w:val="en-US"/>
            </w:rPr>
            <w:instrText xml:space="preserve"> CITATION Placeholder214 \l 1040 </w:instrText>
          </w:r>
          <w:r w:rsidR="00493AC3">
            <w:rPr>
              <w:rFonts w:cs="Times New Roman"/>
              <w:lang w:val="en-US"/>
            </w:rPr>
            <w:fldChar w:fldCharType="separate"/>
          </w:r>
          <w:r w:rsidR="00855396" w:rsidRPr="00855396">
            <w:rPr>
              <w:rFonts w:cs="Times New Roman"/>
              <w:noProof/>
              <w:lang w:val="en-US"/>
            </w:rPr>
            <w:t>[196]</w:t>
          </w:r>
          <w:r w:rsidR="00493AC3">
            <w:rPr>
              <w:rFonts w:cs="Times New Roman"/>
              <w:lang w:val="en-US"/>
            </w:rPr>
            <w:fldChar w:fldCharType="end"/>
          </w:r>
        </w:sdtContent>
      </w:sdt>
      <w:r w:rsidRPr="008B629F">
        <w:rPr>
          <w:rFonts w:cs="Times New Roman"/>
          <w:lang w:val="en-US"/>
        </w:rPr>
        <w:t xml:space="preserve">. However, achieving full sustainability will require further progress in recycling technologies and green manufacturing processes. The integration of PCMs into textiles, especially those in direct contact with the skin, raises important safety concerns. In general, microencapsulated PCMs are considered safe for skin contact, since the active material is enclosed in protective shells that prevent leakage or degradation during normal use. Organic PCMs, such as bio-based fatty acids or paraffins, are generally harmless when properly encapsulated, whereas inorganic PCMs, such as salt hydrates, may cause skin irritation and are therefore mainly used in applications with limited skin contact, such as industrial workwear or insulating materials </w:t>
      </w:r>
      <w:sdt>
        <w:sdtPr>
          <w:rPr>
            <w:rFonts w:cs="Times New Roman"/>
            <w:lang w:val="en-US"/>
          </w:rPr>
          <w:id w:val="1045641867"/>
          <w:citation/>
        </w:sdtPr>
        <w:sdtContent>
          <w:r w:rsidR="00493AC3">
            <w:rPr>
              <w:rFonts w:cs="Times New Roman"/>
              <w:lang w:val="en-US"/>
            </w:rPr>
            <w:fldChar w:fldCharType="begin"/>
          </w:r>
          <w:r w:rsidR="00493AC3" w:rsidRPr="00493AC3">
            <w:rPr>
              <w:rFonts w:cs="Times New Roman"/>
              <w:lang w:val="en-US"/>
            </w:rPr>
            <w:instrText xml:space="preserve"> CITATION Placeholder215 \l 1040 </w:instrText>
          </w:r>
          <w:r w:rsidR="00493AC3">
            <w:rPr>
              <w:rFonts w:cs="Times New Roman"/>
              <w:lang w:val="en-US"/>
            </w:rPr>
            <w:fldChar w:fldCharType="separate"/>
          </w:r>
          <w:r w:rsidR="00855396" w:rsidRPr="00855396">
            <w:rPr>
              <w:rFonts w:cs="Times New Roman"/>
              <w:noProof/>
              <w:lang w:val="en-US"/>
            </w:rPr>
            <w:t>[197]</w:t>
          </w:r>
          <w:r w:rsidR="00493AC3">
            <w:rPr>
              <w:rFonts w:cs="Times New Roman"/>
              <w:lang w:val="en-US"/>
            </w:rPr>
            <w:fldChar w:fldCharType="end"/>
          </w:r>
        </w:sdtContent>
      </w:sdt>
      <w:r w:rsidRPr="008B629F">
        <w:rPr>
          <w:rFonts w:cs="Times New Roman"/>
          <w:lang w:val="en-US"/>
        </w:rPr>
        <w:t xml:space="preserve">. A major concern relates to the durability of the encapsulation, which may degrade over time due to repeated washing or environmental stress, potentially leading to PCM leakage and skin irritation. For this reason, manufacturers perform </w:t>
      </w:r>
      <w:r w:rsidRPr="008B629F">
        <w:rPr>
          <w:rFonts w:cs="Times New Roman"/>
          <w:lang w:val="en-US"/>
        </w:rPr>
        <w:lastRenderedPageBreak/>
        <w:t xml:space="preserve">stability and durability tests to ensure material safety under long-term usage conditions </w:t>
      </w:r>
      <w:sdt>
        <w:sdtPr>
          <w:rPr>
            <w:rFonts w:cs="Times New Roman"/>
            <w:lang w:val="en-US"/>
          </w:rPr>
          <w:id w:val="643635960"/>
          <w:citation/>
        </w:sdtPr>
        <w:sdtContent>
          <w:r w:rsidR="00493AC3">
            <w:rPr>
              <w:rFonts w:cs="Times New Roman"/>
              <w:lang w:val="en-US"/>
            </w:rPr>
            <w:fldChar w:fldCharType="begin"/>
          </w:r>
          <w:r w:rsidR="00493AC3" w:rsidRPr="00493AC3">
            <w:rPr>
              <w:rFonts w:cs="Times New Roman"/>
              <w:lang w:val="en-US"/>
            </w:rPr>
            <w:instrText xml:space="preserve"> CITATION Placeholder216 \l 1040 </w:instrText>
          </w:r>
          <w:r w:rsidR="00493AC3">
            <w:rPr>
              <w:rFonts w:cs="Times New Roman"/>
              <w:lang w:val="en-US"/>
            </w:rPr>
            <w:fldChar w:fldCharType="separate"/>
          </w:r>
          <w:r w:rsidR="00855396" w:rsidRPr="00855396">
            <w:rPr>
              <w:rFonts w:cs="Times New Roman"/>
              <w:noProof/>
              <w:lang w:val="en-US"/>
            </w:rPr>
            <w:t>[198]</w:t>
          </w:r>
          <w:r w:rsidR="00493AC3">
            <w:rPr>
              <w:rFonts w:cs="Times New Roman"/>
              <w:lang w:val="en-US"/>
            </w:rPr>
            <w:fldChar w:fldCharType="end"/>
          </w:r>
        </w:sdtContent>
      </w:sdt>
      <w:r w:rsidRPr="008B629F">
        <w:rPr>
          <w:rFonts w:cs="Times New Roman"/>
          <w:lang w:val="en-US"/>
        </w:rPr>
        <w:t>.</w:t>
      </w:r>
    </w:p>
    <w:p w14:paraId="26EDFEFB" w14:textId="6209A675" w:rsidR="008B629F" w:rsidRPr="008B629F" w:rsidRDefault="008B629F" w:rsidP="00625AD6">
      <w:pPr>
        <w:pStyle w:val="Heading3"/>
        <w:rPr>
          <w:lang w:val="en-US"/>
        </w:rPr>
      </w:pPr>
      <w:bookmarkStart w:id="180" w:name="_Toc213354095"/>
      <w:bookmarkStart w:id="181" w:name="_Toc214356314"/>
      <w:r w:rsidRPr="008B629F">
        <w:rPr>
          <w:lang w:val="en-US"/>
        </w:rPr>
        <w:t xml:space="preserve">Future </w:t>
      </w:r>
      <w:bookmarkEnd w:id="180"/>
      <w:r w:rsidR="00CF7E04">
        <w:rPr>
          <w:lang w:val="en-US"/>
        </w:rPr>
        <w:t>reasearch directions</w:t>
      </w:r>
      <w:bookmarkEnd w:id="181"/>
      <w:r w:rsidR="00CF7E04">
        <w:rPr>
          <w:lang w:val="en-US"/>
        </w:rPr>
        <w:t xml:space="preserve"> </w:t>
      </w:r>
    </w:p>
    <w:p w14:paraId="0F8D0F7B" w14:textId="77777777" w:rsidR="006E2BF9" w:rsidRDefault="008B629F" w:rsidP="008B629F">
      <w:pPr>
        <w:rPr>
          <w:rFonts w:cs="Times New Roman"/>
          <w:lang w:val="en-US"/>
        </w:rPr>
      </w:pPr>
      <w:r w:rsidRPr="008B629F">
        <w:rPr>
          <w:rFonts w:cs="Times New Roman"/>
          <w:lang w:val="en-US"/>
        </w:rPr>
        <w:t>From the analysis of the reviews by Shahid et al. [</w:t>
      </w:r>
      <w:r w:rsidR="00493AC3">
        <w:rPr>
          <w:rFonts w:cs="Times New Roman"/>
          <w:lang w:val="en-US"/>
        </w:rPr>
        <w:t>19</w:t>
      </w:r>
      <w:r w:rsidRPr="008B629F">
        <w:rPr>
          <w:rFonts w:cs="Times New Roman"/>
          <w:lang w:val="en-US"/>
        </w:rPr>
        <w:t>9] and Das et al. [</w:t>
      </w:r>
      <w:r w:rsidR="00625AD6">
        <w:rPr>
          <w:rFonts w:cs="Times New Roman"/>
          <w:lang w:val="en-US"/>
        </w:rPr>
        <w:t>181</w:t>
      </w:r>
      <w:r w:rsidRPr="008B629F">
        <w:rPr>
          <w:rFonts w:cs="Times New Roman"/>
          <w:lang w:val="en-US"/>
        </w:rPr>
        <w:t>], it can be understood that PCM-Integrated Clothes (PCMIC) and Personal Phase Change Garments (PPCGs) represent a rapidly evolving field with significant potential for improving personal thermal comfort, energy efficiency, and environmental sustainability. Future research should primarily focus on the development of novel composite PCMs with higher energy storage density and improved heat absorption efficiency, as well as on the optimization of PCM pack design, taking into account key parameters such as PCM mass, coverage area, and layer thickness. Another promising direction involves the combined use of PCMs with different melting temperatures to meet the specific cooling needs of different body areas, and the integration of active cooling and dehumidification systems to create portable, efficient, and durable garments. Market prospects are also highly promising: according to Strategic Market Research</w:t>
      </w:r>
      <w:r w:rsidR="00625AD6">
        <w:rPr>
          <w:rFonts w:cs="Times New Roman"/>
          <w:lang w:val="en-US"/>
        </w:rPr>
        <w:t xml:space="preserve"> </w:t>
      </w:r>
      <w:sdt>
        <w:sdtPr>
          <w:rPr>
            <w:rFonts w:cs="Times New Roman"/>
            <w:lang w:val="en-US"/>
          </w:rPr>
          <w:id w:val="-611363583"/>
          <w:citation/>
        </w:sdtPr>
        <w:sdtContent>
          <w:r w:rsidR="00625AD6">
            <w:rPr>
              <w:rFonts w:cs="Times New Roman"/>
              <w:lang w:val="en-US"/>
            </w:rPr>
            <w:fldChar w:fldCharType="begin"/>
          </w:r>
          <w:r w:rsidR="00625AD6" w:rsidRPr="00625AD6">
            <w:rPr>
              <w:rFonts w:cs="Times New Roman"/>
              <w:lang w:val="en-US"/>
            </w:rPr>
            <w:instrText xml:space="preserve"> CITATION Placeholder217 \l 1040 </w:instrText>
          </w:r>
          <w:r w:rsidR="00625AD6">
            <w:rPr>
              <w:rFonts w:cs="Times New Roman"/>
              <w:lang w:val="en-US"/>
            </w:rPr>
            <w:fldChar w:fldCharType="separate"/>
          </w:r>
          <w:r w:rsidR="00855396" w:rsidRPr="00855396">
            <w:rPr>
              <w:rFonts w:cs="Times New Roman"/>
              <w:noProof/>
              <w:lang w:val="en-US"/>
            </w:rPr>
            <w:t>[199]</w:t>
          </w:r>
          <w:r w:rsidR="00625AD6">
            <w:rPr>
              <w:rFonts w:cs="Times New Roman"/>
              <w:lang w:val="en-US"/>
            </w:rPr>
            <w:fldChar w:fldCharType="end"/>
          </w:r>
        </w:sdtContent>
      </w:sdt>
      <w:r w:rsidRPr="008B629F">
        <w:rPr>
          <w:rFonts w:cs="Times New Roman"/>
          <w:lang w:val="en-US"/>
        </w:rPr>
        <w:t>, the global PCM market, valued at USD 1.66 billion in 2021, is expected to reach USD 5.1 billion by 2030, representing a compound annual growth rate (CAGR) of 15%. Companies such as Outlast Technologies LLC, Cocona Inc., and Phase Change Energy Solutions Inc. are leading innovation in PCM-coated textiles, providing advanced solutions for thermal regulation and energy efficiency, with strong potential for expansion into emerging marke</w:t>
      </w:r>
      <w:r w:rsidR="00F43E9A">
        <w:rPr>
          <w:rFonts w:cs="Times New Roman"/>
          <w:lang w:val="en-US"/>
        </w:rPr>
        <w:t>t.</w:t>
      </w:r>
    </w:p>
    <w:p w14:paraId="003B869F" w14:textId="77777777" w:rsidR="00F43E9A" w:rsidRDefault="00F43E9A">
      <w:pPr>
        <w:spacing w:before="0" w:after="160" w:line="259" w:lineRule="auto"/>
        <w:jc w:val="left"/>
        <w:rPr>
          <w:rFonts w:cs="Times New Roman"/>
          <w:lang w:val="en-US"/>
        </w:rPr>
      </w:pPr>
      <w:r>
        <w:rPr>
          <w:rFonts w:cs="Times New Roman"/>
          <w:lang w:val="en-US"/>
        </w:rPr>
        <w:br w:type="page"/>
      </w:r>
    </w:p>
    <w:p w14:paraId="1507B3E6" w14:textId="77777777" w:rsidR="00BA6D44" w:rsidRDefault="00F43E9A" w:rsidP="00BA6D44">
      <w:pPr>
        <w:pStyle w:val="Heading2"/>
        <w:rPr>
          <w:lang w:val="en-US"/>
        </w:rPr>
      </w:pPr>
      <w:bookmarkStart w:id="182" w:name="_Toc214356315"/>
      <w:r>
        <w:rPr>
          <w:lang w:val="en-US"/>
        </w:rPr>
        <w:lastRenderedPageBreak/>
        <w:t>Patents review</w:t>
      </w:r>
      <w:bookmarkEnd w:id="182"/>
    </w:p>
    <w:p w14:paraId="46D9A9A4" w14:textId="77777777" w:rsidR="00BA6D44" w:rsidRPr="00BA6D44" w:rsidRDefault="00BA6D44" w:rsidP="00BA6D44">
      <w:pPr>
        <w:rPr>
          <w:lang w:val="en-US"/>
        </w:rPr>
      </w:pPr>
      <w:r w:rsidRPr="00BA6D44">
        <w:rPr>
          <w:lang w:val="en-US"/>
        </w:rPr>
        <w:t>To complete the analysis of phase change material applications, the study was extended to include a patent search. For this purpose, the Google Patents platform was used with the following search query:</w:t>
      </w:r>
    </w:p>
    <w:p w14:paraId="274DDDE2" w14:textId="0249B3B8" w:rsidR="00BA6D44" w:rsidRPr="00BA6D44" w:rsidRDefault="00BA6D44" w:rsidP="00BA6D44">
      <w:pPr>
        <w:jc w:val="center"/>
        <w:rPr>
          <w:b/>
          <w:bCs/>
          <w:i/>
          <w:iCs/>
          <w:lang w:val="en-US"/>
        </w:rPr>
      </w:pPr>
      <w:r>
        <w:rPr>
          <w:b/>
          <w:bCs/>
          <w:i/>
          <w:iCs/>
          <w:lang w:val="en-US"/>
        </w:rPr>
        <w:t>“</w:t>
      </w:r>
      <w:r w:rsidRPr="00BA6D44">
        <w:rPr>
          <w:b/>
          <w:bCs/>
          <w:i/>
          <w:iCs/>
          <w:lang w:val="en-US"/>
        </w:rPr>
        <w:t>(Phase change material) AND energy status:GRANT language:ENGLISH type:PATENT</w:t>
      </w:r>
      <w:r>
        <w:rPr>
          <w:b/>
          <w:bCs/>
          <w:i/>
          <w:iCs/>
          <w:lang w:val="en-US"/>
        </w:rPr>
        <w:t>”</w:t>
      </w:r>
    </w:p>
    <w:p w14:paraId="0948B34C" w14:textId="77777777" w:rsidR="00954228" w:rsidRDefault="00BA6D44" w:rsidP="00BA6D44">
      <w:pPr>
        <w:rPr>
          <w:lang w:val="en-US"/>
        </w:rPr>
      </w:pPr>
      <w:r w:rsidRPr="00BA6D44">
        <w:rPr>
          <w:lang w:val="en-US"/>
        </w:rPr>
        <w:t>The results were then filtered by considering only patents granted in the period 2015–2025 and were ordered by relevance. A systematic reading of the abstracts was subsequently carried out to assess their actual relevance to PCM energy applications and to select only the most significant cases.</w:t>
      </w:r>
      <w:r>
        <w:rPr>
          <w:lang w:val="en-US"/>
        </w:rPr>
        <w:t xml:space="preserve"> </w:t>
      </w:r>
      <w:r w:rsidRPr="00BA6D44">
        <w:rPr>
          <w:lang w:val="en-US"/>
        </w:rPr>
        <w:t>Table 2.18 summarises the main patents identified, reporting for each one the assignee, inventors, patent number and year of publication, title, a brief summary of the invention, and a representative image of the invention layout.</w:t>
      </w:r>
    </w:p>
    <w:p w14:paraId="509DD266" w14:textId="77777777" w:rsidR="00954228" w:rsidRDefault="00954228" w:rsidP="00954228">
      <w:pPr>
        <w:rPr>
          <w:lang w:val="en-US"/>
        </w:rPr>
      </w:pPr>
      <w:r w:rsidRPr="00954228">
        <w:rPr>
          <w:lang w:val="en-US"/>
        </w:rPr>
        <w:t>By analysing the patents, it becomes clear how phase change materials are deployed across different fields – thermal and electrochemical batteries, photovoltaics, buildings, packaging and even electronics – and what the genuinely innovative elements are in each case.</w:t>
      </w:r>
    </w:p>
    <w:p w14:paraId="4FAEDD89" w14:textId="095D08A7" w:rsidR="00954228" w:rsidRPr="00954228" w:rsidRDefault="00954228" w:rsidP="00954228">
      <w:pPr>
        <w:rPr>
          <w:lang w:val="en-US"/>
        </w:rPr>
      </w:pPr>
      <w:r w:rsidRPr="00954228">
        <w:rPr>
          <w:lang w:val="en-US"/>
        </w:rPr>
        <w:t>For thermal batteries, PCM is no longer conceived as a simple “heat tank”, but as part of advanced energy management systems. The invention by John Field and co-authors introduces a network of “heat batteries”, consisting of multiple storage banks with different operating temperature ranges, connected as nodes and edges of a thermal graph. In this perspective, PCM becomes the key to exploiting excess or low-grade waste heat, stored in “cold” banks and, when needed, transferred to hotter banks via heat pumps, while a central controller selects, at each step, the most efficient exchange configuration. Andrew John Bissell et al. (Sunamp) focus instead on the internal control of the battery, systematically linking case pressure and temperature to the solid/liquid fraction of the PCM: these quantities become true indicators of state of charge, supported by specific design solutions for expansion management and by stackable casings with optimised heat exchangers, so as to obtain robust, sealed and “measurable” modules, ready to be integrated into complex systems.</w:t>
      </w:r>
      <w:r>
        <w:rPr>
          <w:lang w:val="en-US"/>
        </w:rPr>
        <w:t xml:space="preserve"> </w:t>
      </w:r>
      <w:r w:rsidRPr="00954228">
        <w:rPr>
          <w:lang w:val="en-US"/>
        </w:rPr>
        <w:t xml:space="preserve">Still in the area of thermal storage, but at the building–grid scale, Xiaobing Liu and co-authors propose a system in which a “battery” tank is placed inside an underground “reservoir” tank, separated by a wall that contains PCM with a critical temperature chosen close to the undisturbed ground temperature. The phase boundary thus moves within the thickness of the wall during charge and discharge, stabilising the system temperature and exploiting the ground as a source/sink. The system is designed to operate in different daily modes (charging with a heat pump off-peak, discharging during peak hours, combined use of the reservoir in the evening), with the explicit aim of flattening the electrical load profile and mitigating the “duck curve” using a shallow, low-cost </w:t>
      </w:r>
      <w:r w:rsidRPr="00954228">
        <w:rPr>
          <w:lang w:val="en-US"/>
        </w:rPr>
        <w:lastRenderedPageBreak/>
        <w:t>geothermal reservoir. In the automotive field, David Karl Bidner et al. tackle the problem of correctly estimating the state of charge of a thermal battery integrated into the cooling circuit: the refrigerant flow is temporarily stopped to allow thermal equilibrium between PCM, structure and fluid, and only then is the outlet temperature used – together with the known properties of the PCM – to infer the state of charge. This scheme, embedded in a complete thermal management circuit with exhaust heat recovery, enables a more reliable control of the stored energy. Alongside thermal batteries, Jie Liu proposes an original use of PCM in Li-ion batteries: the central mandrel of cylindrical cells is turned into a sealed metal mandrel filled with PCM, placing the storage material directly inside the cell, close to the hottest regions, without substantially changing the manufacturing process. The reported results show reduced peak temperatures and improved temperature uniformity compared to solutions with external PCM, with less cooling material and the possibility of using multiple PCMs with different melting points to “tune” the thermal response of the battery pack.</w:t>
      </w:r>
    </w:p>
    <w:p w14:paraId="7A692E73" w14:textId="77777777" w:rsidR="00954228" w:rsidRPr="00954228" w:rsidRDefault="00954228" w:rsidP="00954228">
      <w:pPr>
        <w:rPr>
          <w:lang w:val="en-US"/>
        </w:rPr>
      </w:pPr>
      <w:r w:rsidRPr="00954228">
        <w:rPr>
          <w:lang w:val="en-US"/>
        </w:rPr>
        <w:t>In the photovoltaic sector, the patents examined shift the focus from simple module cooling to a functional integration between PCM and the PV system. Reyad I. Sawafta et al. (Phase Change Energy Solutions) propose composite building panels that act as an active underlayment for roofing membranes and PV modules: PCM is distributed in multi-region mats and can be combined in layers with different transition temperatures to obtain synergistic effects. The spacers define air channels that may be passive, ventilated, or sealed, and the same structure integrates flame-retardant materials and extinguishing agents, up to filling hollow spacers with PCM or fire-fighting media. The result is a building envelope component that combines thermal control, mechanical support for PV modules, air-flow management and safety functions. Irshad and co-authors go one step further by defining a hybrid PV–PCM–TEG module: a tailored composite PCM (PEG–MgCaCO₃ with a melting range in the typical operating temperature band of PV modules) is contained in a copper housing, coupled to a full-area aluminium plate that evens out the heat flux at the back of the panel, while the cold side hosts thermoelectric generators and a water-cooled heat sink with coil, fins and fan. The device is built as a modular cartridge, with a dual junction box for PV power and thermoelectric power, designed for both new installations and retrofit; the reported experimental results, in terms of temperature reduction and efficiency gain, are consistent with the material and system-level design choices.</w:t>
      </w:r>
    </w:p>
    <w:p w14:paraId="04AF5324" w14:textId="77777777" w:rsidR="00954228" w:rsidRPr="00954228" w:rsidRDefault="00954228" w:rsidP="00954228">
      <w:pPr>
        <w:rPr>
          <w:lang w:val="en-US"/>
        </w:rPr>
      </w:pPr>
      <w:r w:rsidRPr="00954228">
        <w:rPr>
          <w:lang w:val="en-US"/>
        </w:rPr>
        <w:t xml:space="preserve">In the building sector, the patents highlight both the development of new PCM composites and their integration into construction systems. Zhengguo Zhang, Xiaoming Fang and Lulu Fu directly address the limitations of hydrated salt PCMs (supercooling, phase separation, leakage) by proposing composites in which the salt is adsorbed in porous carriers, combined with nucleating agents and coated with light-cured, fire-resistant and corrosion-resistant resins. The resulting boards are inserted into complete wall build-ups, and tests in experimental rooms show a significant </w:t>
      </w:r>
      <w:r w:rsidRPr="00954228">
        <w:rPr>
          <w:lang w:val="en-US"/>
        </w:rPr>
        <w:lastRenderedPageBreak/>
        <w:t>reduction in indoor temperature swings and a phase shift of the peak compared to traditional walls. Sheldon Q. Shi, Weihuan Zhao and Liping Cai (US 11,352,783) instead propose a technological framework to impregnate molten PCM under pressure into porous insulating materials, in particular bio-based supports such as kenaf/hemp woody core, obtaining standard panels (e.g. SIPs) that combine insulation and latent storage with an effective R-value higher than conventional foams. The patent explicitly addresses leakage and fire performance through binders, surface coatings and flame-retardant additives, and shows how the same approach can be applied both to the building envelope and to refrigerated compartments. In this context, the composite panel by Sawafta et al., although conceived as a PV underlayment, is in all respects a building envelope component with integrated thermal, mechanical and safety functions.</w:t>
      </w:r>
    </w:p>
    <w:p w14:paraId="295F7157" w14:textId="77777777" w:rsidR="00954228" w:rsidRPr="00954228" w:rsidRDefault="00954228" w:rsidP="00954228">
      <w:pPr>
        <w:rPr>
          <w:lang w:val="en-US"/>
        </w:rPr>
      </w:pPr>
      <w:r w:rsidRPr="00954228">
        <w:rPr>
          <w:lang w:val="en-US"/>
        </w:rPr>
        <w:t>In thermal packaging and the cold chain, the patent by Byron Craig Owens and Reyad I. Sawafta (Vesture LLC) illustrates how PCM can be incorporated into containers for transporting foodstuffs and medical products, with a combined focus on thermal performance and logistical constraints. Thermoformed non-woven walls provide insulation, breathability and dimensional stability, limiting condensation problems; PCM, integrated into the fabric or placed in pouches/liners, is selected with different transition temperatures to cover both hot and cold applications. The system is designed to operate even in fully passive mode, using heat exchange with the product to bring the PCM into the desired range, while the foldable geometry and reversible closures make the containers reusable and compatible with handling and storage requirements.</w:t>
      </w:r>
    </w:p>
    <w:p w14:paraId="1E44FAF3" w14:textId="09B15854" w:rsidR="00F43E9A" w:rsidRPr="00BA6D44" w:rsidRDefault="00954228" w:rsidP="00954228">
      <w:pPr>
        <w:rPr>
          <w:lang w:val="en-US"/>
        </w:rPr>
      </w:pPr>
      <w:r w:rsidRPr="00954228">
        <w:rPr>
          <w:lang w:val="en-US"/>
        </w:rPr>
        <w:t>Finally, the invention by Didier Belot et al. (CEA) is a significant example of PCM application in RF electronics. Here the PCM is not used for heat storage, but as the active element of a radio-frequency switch: the material is laid out in a continuous, elongated portion, heated locally by currents flowing transversely between distributed electrodes, so as to ensure a uniform phase transition and thus good ON and OFF performance. The heating currents are kept separate from the RF path, and control through MOS current sources driven by a single signal makes it possible to optimise the trade-off between resistance, parasitic capacitance and line losses. This example shows how the logic of PCM use is extending beyond thermal storage, towards reconfigurable devices in high-frequency electronics.</w:t>
      </w:r>
      <w:r w:rsidR="00F43E9A" w:rsidRPr="00BA6D44">
        <w:rPr>
          <w:lang w:val="en-US"/>
        </w:rPr>
        <w:br w:type="page"/>
      </w:r>
    </w:p>
    <w:p w14:paraId="7C96F44D" w14:textId="77777777" w:rsidR="00F43E9A" w:rsidRPr="00F43E9A" w:rsidRDefault="00F43E9A" w:rsidP="00F43E9A">
      <w:pPr>
        <w:spacing w:before="0" w:after="160" w:line="259" w:lineRule="auto"/>
        <w:jc w:val="left"/>
        <w:rPr>
          <w:rFonts w:cs="Times New Roman"/>
          <w:lang w:val="en-US"/>
        </w:rPr>
        <w:sectPr w:rsidR="00F43E9A" w:rsidRPr="00F43E9A" w:rsidSect="00D9600F">
          <w:type w:val="oddPage"/>
          <w:pgSz w:w="11906" w:h="16838" w:code="9"/>
          <w:pgMar w:top="1701" w:right="1418" w:bottom="1418" w:left="1418" w:header="851" w:footer="851" w:gutter="0"/>
          <w:cols w:space="708"/>
          <w:titlePg/>
          <w:docGrid w:linePitch="360"/>
        </w:sectPr>
      </w:pPr>
    </w:p>
    <w:p w14:paraId="0D78A5C5" w14:textId="77777777" w:rsidR="00D9600F" w:rsidRDefault="00D9600F" w:rsidP="008B629F">
      <w:pPr>
        <w:rPr>
          <w:lang w:val="en-US"/>
        </w:rPr>
      </w:pPr>
    </w:p>
    <w:p w14:paraId="300139C3" w14:textId="77777777" w:rsidR="00D9600F" w:rsidRDefault="00D9600F" w:rsidP="00D9600F">
      <w:pPr>
        <w:rPr>
          <w:lang w:val="en-US"/>
        </w:rPr>
      </w:pPr>
    </w:p>
    <w:tbl>
      <w:tblPr>
        <w:tblStyle w:val="TableGrid"/>
        <w:tblW w:w="0" w:type="auto"/>
        <w:tblLook w:val="04A0" w:firstRow="1" w:lastRow="0" w:firstColumn="1" w:lastColumn="0" w:noHBand="0" w:noVBand="1"/>
      </w:tblPr>
      <w:tblGrid>
        <w:gridCol w:w="2165"/>
        <w:gridCol w:w="1369"/>
        <w:gridCol w:w="708"/>
        <w:gridCol w:w="1486"/>
        <w:gridCol w:w="3481"/>
        <w:gridCol w:w="4500"/>
      </w:tblGrid>
      <w:tr w:rsidR="00BA6D44" w:rsidRPr="00F35BFA" w14:paraId="022D0D85" w14:textId="77777777" w:rsidTr="1DCE42CA">
        <w:tc>
          <w:tcPr>
            <w:tcW w:w="2165" w:type="dxa"/>
            <w:shd w:val="clear" w:color="auto" w:fill="8EA5B6"/>
            <w:vAlign w:val="center"/>
          </w:tcPr>
          <w:p w14:paraId="3A11BAB8" w14:textId="77777777" w:rsidR="00D9600F" w:rsidRPr="00F35BFA" w:rsidRDefault="00D9600F" w:rsidP="002A10A8">
            <w:pPr>
              <w:jc w:val="center"/>
              <w:rPr>
                <w:b/>
                <w:bCs/>
                <w:sz w:val="22"/>
                <w:lang w:val="en-US"/>
              </w:rPr>
            </w:pPr>
            <w:r w:rsidRPr="00F35BFA">
              <w:rPr>
                <w:b/>
                <w:bCs/>
                <w:sz w:val="22"/>
                <w:lang w:val="en-US"/>
              </w:rPr>
              <w:t>Assignee/Inventors</w:t>
            </w:r>
          </w:p>
        </w:tc>
        <w:tc>
          <w:tcPr>
            <w:tcW w:w="1369" w:type="dxa"/>
            <w:shd w:val="clear" w:color="auto" w:fill="8EA5B6"/>
            <w:vAlign w:val="center"/>
          </w:tcPr>
          <w:p w14:paraId="5534E641" w14:textId="77777777" w:rsidR="00D9600F" w:rsidRPr="00F35BFA" w:rsidRDefault="00D9600F" w:rsidP="002A10A8">
            <w:pPr>
              <w:jc w:val="center"/>
              <w:rPr>
                <w:b/>
                <w:bCs/>
                <w:sz w:val="22"/>
                <w:lang w:val="en-US"/>
              </w:rPr>
            </w:pPr>
            <w:r w:rsidRPr="00F35BFA">
              <w:rPr>
                <w:b/>
                <w:bCs/>
                <w:sz w:val="22"/>
                <w:lang w:val="en-US"/>
              </w:rPr>
              <w:t>Patent No.</w:t>
            </w:r>
          </w:p>
        </w:tc>
        <w:tc>
          <w:tcPr>
            <w:tcW w:w="708" w:type="dxa"/>
            <w:shd w:val="clear" w:color="auto" w:fill="8EA5B6"/>
            <w:vAlign w:val="center"/>
          </w:tcPr>
          <w:p w14:paraId="69723B67" w14:textId="77777777" w:rsidR="00D9600F" w:rsidRPr="00F35BFA" w:rsidRDefault="00D9600F" w:rsidP="002A10A8">
            <w:pPr>
              <w:jc w:val="center"/>
              <w:rPr>
                <w:b/>
                <w:bCs/>
                <w:sz w:val="22"/>
                <w:lang w:val="en-US"/>
              </w:rPr>
            </w:pPr>
            <w:r w:rsidRPr="00F35BFA">
              <w:rPr>
                <w:b/>
                <w:bCs/>
                <w:sz w:val="22"/>
                <w:lang w:val="en-US"/>
              </w:rPr>
              <w:t>Date</w:t>
            </w:r>
          </w:p>
        </w:tc>
        <w:tc>
          <w:tcPr>
            <w:tcW w:w="1486" w:type="dxa"/>
            <w:shd w:val="clear" w:color="auto" w:fill="8EA5B6"/>
            <w:vAlign w:val="center"/>
          </w:tcPr>
          <w:p w14:paraId="5E5DDEEB" w14:textId="77777777" w:rsidR="00D9600F" w:rsidRPr="00F35BFA" w:rsidRDefault="00D9600F" w:rsidP="002A10A8">
            <w:pPr>
              <w:jc w:val="center"/>
              <w:rPr>
                <w:b/>
                <w:bCs/>
                <w:sz w:val="22"/>
                <w:lang w:val="en-US"/>
              </w:rPr>
            </w:pPr>
            <w:r w:rsidRPr="00F35BFA">
              <w:rPr>
                <w:b/>
                <w:bCs/>
                <w:sz w:val="22"/>
                <w:lang w:val="en-US"/>
              </w:rPr>
              <w:t>Title</w:t>
            </w:r>
          </w:p>
        </w:tc>
        <w:tc>
          <w:tcPr>
            <w:tcW w:w="3481" w:type="dxa"/>
            <w:shd w:val="clear" w:color="auto" w:fill="8EA5B6"/>
            <w:vAlign w:val="center"/>
          </w:tcPr>
          <w:p w14:paraId="523DCAEA" w14:textId="77777777" w:rsidR="00D9600F" w:rsidRPr="00F35BFA" w:rsidRDefault="00D9600F" w:rsidP="002A10A8">
            <w:pPr>
              <w:jc w:val="center"/>
              <w:rPr>
                <w:b/>
                <w:bCs/>
                <w:sz w:val="22"/>
                <w:lang w:val="en-US"/>
              </w:rPr>
            </w:pPr>
            <w:r w:rsidRPr="00F35BFA">
              <w:rPr>
                <w:b/>
                <w:bCs/>
                <w:sz w:val="22"/>
                <w:lang w:val="en-US"/>
              </w:rPr>
              <w:t xml:space="preserve">Brief </w:t>
            </w:r>
            <w:r>
              <w:rPr>
                <w:b/>
                <w:bCs/>
                <w:sz w:val="22"/>
                <w:lang w:val="en-US"/>
              </w:rPr>
              <w:t xml:space="preserve">Invention </w:t>
            </w:r>
            <w:r w:rsidRPr="00F35BFA">
              <w:rPr>
                <w:b/>
                <w:bCs/>
                <w:sz w:val="22"/>
                <w:lang w:val="en-US"/>
              </w:rPr>
              <w:t>Summary</w:t>
            </w:r>
          </w:p>
        </w:tc>
        <w:tc>
          <w:tcPr>
            <w:tcW w:w="4500" w:type="dxa"/>
            <w:shd w:val="clear" w:color="auto" w:fill="8EA5B6"/>
            <w:vAlign w:val="center"/>
          </w:tcPr>
          <w:p w14:paraId="279E6247" w14:textId="2AD27472" w:rsidR="00D9600F" w:rsidRPr="00F35BFA" w:rsidRDefault="00CA6C21" w:rsidP="002A10A8">
            <w:pPr>
              <w:jc w:val="center"/>
              <w:rPr>
                <w:b/>
                <w:bCs/>
                <w:sz w:val="22"/>
                <w:lang w:val="en-US"/>
              </w:rPr>
            </w:pPr>
            <w:r>
              <w:rPr>
                <w:b/>
                <w:bCs/>
                <w:sz w:val="22"/>
                <w:lang w:val="en-US"/>
              </w:rPr>
              <w:t>Invention Layout</w:t>
            </w:r>
          </w:p>
        </w:tc>
      </w:tr>
      <w:tr w:rsidR="00BA6D44" w:rsidRPr="00736B36" w14:paraId="00D29B41" w14:textId="77777777" w:rsidTr="1DCE42CA">
        <w:tc>
          <w:tcPr>
            <w:tcW w:w="2165" w:type="dxa"/>
            <w:vAlign w:val="center"/>
          </w:tcPr>
          <w:p w14:paraId="156C64FC" w14:textId="77777777" w:rsidR="00D9600F" w:rsidRPr="00F35BFA" w:rsidRDefault="00D9600F" w:rsidP="002A10A8">
            <w:pPr>
              <w:jc w:val="center"/>
              <w:rPr>
                <w:sz w:val="22"/>
                <w:lang w:val="en-US"/>
              </w:rPr>
            </w:pPr>
            <w:r w:rsidRPr="00F35BFA">
              <w:rPr>
                <w:sz w:val="22"/>
                <w:lang w:val="en-US"/>
              </w:rPr>
              <w:t>Sunamp Limited (GB)/  J. Field,</w:t>
            </w:r>
            <w:r>
              <w:rPr>
                <w:sz w:val="22"/>
                <w:lang w:val="en-US"/>
              </w:rPr>
              <w:t xml:space="preserve"> </w:t>
            </w:r>
            <w:r w:rsidRPr="00F35BFA">
              <w:rPr>
                <w:sz w:val="22"/>
                <w:lang w:val="en-US"/>
              </w:rPr>
              <w:t>A. Bissell</w:t>
            </w:r>
          </w:p>
        </w:tc>
        <w:tc>
          <w:tcPr>
            <w:tcW w:w="1369" w:type="dxa"/>
            <w:vAlign w:val="center"/>
          </w:tcPr>
          <w:p w14:paraId="7A6ADDD4" w14:textId="77777777" w:rsidR="00D9600F" w:rsidRPr="00F35BFA" w:rsidRDefault="00D9600F" w:rsidP="002A10A8">
            <w:pPr>
              <w:jc w:val="center"/>
              <w:rPr>
                <w:sz w:val="22"/>
                <w:lang w:val="en-US"/>
              </w:rPr>
            </w:pPr>
            <w:r w:rsidRPr="00F35BFA">
              <w:rPr>
                <w:sz w:val="22"/>
              </w:rPr>
              <w:t>US 11,378,282 B2</w:t>
            </w:r>
          </w:p>
        </w:tc>
        <w:tc>
          <w:tcPr>
            <w:tcW w:w="708" w:type="dxa"/>
            <w:vAlign w:val="center"/>
          </w:tcPr>
          <w:p w14:paraId="70CD0D64" w14:textId="77777777" w:rsidR="00D9600F" w:rsidRPr="00F35BFA" w:rsidRDefault="00D9600F" w:rsidP="002A10A8">
            <w:pPr>
              <w:jc w:val="center"/>
              <w:rPr>
                <w:sz w:val="22"/>
                <w:lang w:val="en-US"/>
              </w:rPr>
            </w:pPr>
            <w:r w:rsidRPr="00F35BFA">
              <w:rPr>
                <w:sz w:val="22"/>
                <w:lang w:val="en-US"/>
              </w:rPr>
              <w:t>2022</w:t>
            </w:r>
          </w:p>
        </w:tc>
        <w:tc>
          <w:tcPr>
            <w:tcW w:w="1486" w:type="dxa"/>
            <w:vAlign w:val="center"/>
          </w:tcPr>
          <w:p w14:paraId="0587AD71" w14:textId="77777777" w:rsidR="00D9600F" w:rsidRPr="00F35BFA" w:rsidRDefault="00D9600F" w:rsidP="002A10A8">
            <w:pPr>
              <w:jc w:val="center"/>
              <w:rPr>
                <w:sz w:val="22"/>
                <w:lang w:val="en-US"/>
              </w:rPr>
            </w:pPr>
            <w:r w:rsidRPr="00F35BFA">
              <w:rPr>
                <w:sz w:val="22"/>
                <w:lang w:val="en-US"/>
              </w:rPr>
              <w:t>Energy storage system</w:t>
            </w:r>
          </w:p>
        </w:tc>
        <w:tc>
          <w:tcPr>
            <w:tcW w:w="3481" w:type="dxa"/>
            <w:vAlign w:val="center"/>
          </w:tcPr>
          <w:p w14:paraId="4115821F" w14:textId="77777777" w:rsidR="00D9600F" w:rsidRPr="00F35BFA" w:rsidRDefault="00D9600F" w:rsidP="002A10A8">
            <w:pPr>
              <w:rPr>
                <w:sz w:val="22"/>
                <w:lang w:val="en-US"/>
              </w:rPr>
            </w:pPr>
            <w:r w:rsidRPr="00F35BFA">
              <w:rPr>
                <w:sz w:val="22"/>
                <w:lang w:val="en-US"/>
              </w:rPr>
              <w:t xml:space="preserve">Thermal energy storage system using modular banks filled with </w:t>
            </w:r>
            <w:r>
              <w:rPr>
                <w:sz w:val="22"/>
                <w:lang w:val="en-US"/>
              </w:rPr>
              <w:t>PCMs</w:t>
            </w:r>
            <w:r w:rsidRPr="00F35BFA">
              <w:rPr>
                <w:sz w:val="22"/>
                <w:lang w:val="en-US"/>
              </w:rPr>
              <w:t>, designed to store heat or</w:t>
            </w:r>
            <w:r>
              <w:rPr>
                <w:sz w:val="22"/>
                <w:lang w:val="en-US"/>
              </w:rPr>
              <w:t xml:space="preserve"> </w:t>
            </w:r>
            <w:r w:rsidRPr="00F35BFA">
              <w:rPr>
                <w:sz w:val="22"/>
                <w:lang w:val="en-US"/>
              </w:rPr>
              <w:t>cold from various sources at different temperature levels and supply heating and/or cooling on demand, especially in buildings and domestic hot-water systems.</w:t>
            </w:r>
          </w:p>
        </w:tc>
        <w:tc>
          <w:tcPr>
            <w:tcW w:w="4500" w:type="dxa"/>
            <w:vAlign w:val="center"/>
          </w:tcPr>
          <w:p w14:paraId="2C9ADB7E" w14:textId="77777777" w:rsidR="005B3C62" w:rsidRDefault="00BA6D44" w:rsidP="005B3C62">
            <w:pPr>
              <w:keepNext/>
              <w:jc w:val="center"/>
            </w:pPr>
            <w:r w:rsidRPr="00BA6D44">
              <w:rPr>
                <w:noProof/>
                <w:sz w:val="22"/>
                <w:lang w:val="en-US"/>
              </w:rPr>
              <w:drawing>
                <wp:inline distT="0" distB="0" distL="0" distR="0" wp14:anchorId="66DDD7C6" wp14:editId="077B3E06">
                  <wp:extent cx="1493520" cy="1564771"/>
                  <wp:effectExtent l="0" t="0" r="0" b="0"/>
                  <wp:docPr id="13850773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5077339" name=""/>
                          <pic:cNvPicPr/>
                        </pic:nvPicPr>
                        <pic:blipFill>
                          <a:blip r:embed="rId143"/>
                          <a:stretch>
                            <a:fillRect/>
                          </a:stretch>
                        </pic:blipFill>
                        <pic:spPr>
                          <a:xfrm>
                            <a:off x="0" y="0"/>
                            <a:ext cx="1510031" cy="1582069"/>
                          </a:xfrm>
                          <a:prstGeom prst="rect">
                            <a:avLst/>
                          </a:prstGeom>
                        </pic:spPr>
                      </pic:pic>
                    </a:graphicData>
                  </a:graphic>
                </wp:inline>
              </w:drawing>
            </w:r>
          </w:p>
          <w:p w14:paraId="712DB055" w14:textId="4E189A61" w:rsidR="00D9600F" w:rsidRPr="00F35BFA" w:rsidRDefault="005B3C62" w:rsidP="005B3C62">
            <w:pPr>
              <w:pStyle w:val="Caption"/>
            </w:pPr>
            <w:bookmarkStart w:id="183" w:name="_Toc214357753"/>
            <w:r>
              <w:t xml:space="preserve">Figure </w:t>
            </w:r>
            <w:r w:rsidR="00F824A5">
              <w:fldChar w:fldCharType="begin"/>
            </w:r>
            <w:r w:rsidR="00F824A5">
              <w:instrText xml:space="preserve"> STYLEREF 1 \s </w:instrText>
            </w:r>
            <w:r w:rsidR="00F824A5">
              <w:fldChar w:fldCharType="separate"/>
            </w:r>
            <w:r w:rsidR="000412CE">
              <w:rPr>
                <w:noProof/>
              </w:rPr>
              <w:t>2</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25</w:t>
            </w:r>
            <w:r w:rsidR="00F824A5">
              <w:fldChar w:fldCharType="end"/>
            </w:r>
            <w:r>
              <w:t xml:space="preserve">. </w:t>
            </w:r>
            <w:r w:rsidRPr="00E31879">
              <w:t>Schematic representation of an energy storage  system according to a first embodiment of the present invention</w:t>
            </w:r>
            <w:r>
              <w:t>.</w:t>
            </w:r>
            <w:bookmarkEnd w:id="183"/>
          </w:p>
        </w:tc>
      </w:tr>
      <w:tr w:rsidR="00BA6D44" w:rsidRPr="00736B36" w14:paraId="39382FAC" w14:textId="77777777" w:rsidTr="1DCE42CA">
        <w:tc>
          <w:tcPr>
            <w:tcW w:w="2165" w:type="dxa"/>
            <w:vAlign w:val="center"/>
          </w:tcPr>
          <w:p w14:paraId="2A9AAF28" w14:textId="77777777" w:rsidR="00D9600F" w:rsidRPr="00F35BFA" w:rsidRDefault="00D9600F" w:rsidP="1DCE42CA">
            <w:pPr>
              <w:jc w:val="center"/>
              <w:rPr>
                <w:sz w:val="22"/>
                <w:lang w:val="en-US"/>
              </w:rPr>
            </w:pPr>
            <w:r w:rsidRPr="1DCE42CA">
              <w:rPr>
                <w:sz w:val="22"/>
                <w:lang w:val="en-US"/>
              </w:rPr>
              <w:t>Sunamp Limited (GB)/  A. John ,S.S. Gataora, ,M. Zaglio</w:t>
            </w:r>
          </w:p>
        </w:tc>
        <w:tc>
          <w:tcPr>
            <w:tcW w:w="1369" w:type="dxa"/>
            <w:vAlign w:val="center"/>
          </w:tcPr>
          <w:p w14:paraId="0B3E6142" w14:textId="77777777" w:rsidR="00D9600F" w:rsidRPr="00F35BFA" w:rsidRDefault="00D9600F" w:rsidP="002A10A8">
            <w:pPr>
              <w:jc w:val="center"/>
              <w:rPr>
                <w:sz w:val="22"/>
                <w:lang w:val="en-US"/>
              </w:rPr>
            </w:pPr>
            <w:r w:rsidRPr="00F35BFA">
              <w:rPr>
                <w:sz w:val="22"/>
              </w:rPr>
              <w:t>US 11,428,477 B2</w:t>
            </w:r>
          </w:p>
        </w:tc>
        <w:tc>
          <w:tcPr>
            <w:tcW w:w="708" w:type="dxa"/>
            <w:vAlign w:val="center"/>
          </w:tcPr>
          <w:p w14:paraId="7325EA24" w14:textId="77777777" w:rsidR="00D9600F" w:rsidRPr="00F35BFA" w:rsidRDefault="00D9600F" w:rsidP="002A10A8">
            <w:pPr>
              <w:jc w:val="center"/>
              <w:rPr>
                <w:sz w:val="22"/>
                <w:lang w:val="en-US"/>
              </w:rPr>
            </w:pPr>
            <w:r w:rsidRPr="00F35BFA">
              <w:rPr>
                <w:sz w:val="22"/>
                <w:lang w:val="en-US"/>
              </w:rPr>
              <w:t>2022</w:t>
            </w:r>
          </w:p>
        </w:tc>
        <w:tc>
          <w:tcPr>
            <w:tcW w:w="1486" w:type="dxa"/>
            <w:vAlign w:val="center"/>
          </w:tcPr>
          <w:p w14:paraId="10946260" w14:textId="77777777" w:rsidR="00D9600F" w:rsidRPr="00F35BFA" w:rsidRDefault="00D9600F" w:rsidP="002A10A8">
            <w:pPr>
              <w:jc w:val="center"/>
              <w:rPr>
                <w:sz w:val="22"/>
                <w:lang w:val="en-US"/>
              </w:rPr>
            </w:pPr>
            <w:r w:rsidRPr="00F35BFA">
              <w:rPr>
                <w:sz w:val="22"/>
                <w:lang w:val="en-US"/>
              </w:rPr>
              <w:t>Heat battery assemblies and monitoring system therefor</w:t>
            </w:r>
          </w:p>
        </w:tc>
        <w:tc>
          <w:tcPr>
            <w:tcW w:w="3481" w:type="dxa"/>
            <w:vAlign w:val="center"/>
          </w:tcPr>
          <w:p w14:paraId="278EBF57" w14:textId="77777777" w:rsidR="00D9600F" w:rsidRPr="00F35BFA" w:rsidRDefault="00D9600F" w:rsidP="002A10A8">
            <w:pPr>
              <w:rPr>
                <w:sz w:val="22"/>
                <w:lang w:val="en-US"/>
              </w:rPr>
            </w:pPr>
            <w:r w:rsidRPr="00F35BFA">
              <w:rPr>
                <w:sz w:val="22"/>
                <w:lang w:val="en-US"/>
              </w:rPr>
              <w:t xml:space="preserve">Heat battery system comprising one or more phase-change-material (PCM) heat battery assemblies with internal heat exchangers, combined with a monitoring and control system that uses temperature, pressure and flow sensors to estimate state of charge and stored thermal energy and to protect the batteries </w:t>
            </w:r>
            <w:r w:rsidRPr="00F35BFA">
              <w:rPr>
                <w:sz w:val="22"/>
                <w:lang w:val="en-US"/>
              </w:rPr>
              <w:lastRenderedPageBreak/>
              <w:t>from over-pressure and unsafe operating conditions.</w:t>
            </w:r>
          </w:p>
        </w:tc>
        <w:tc>
          <w:tcPr>
            <w:tcW w:w="4500" w:type="dxa"/>
            <w:vAlign w:val="center"/>
          </w:tcPr>
          <w:p w14:paraId="7A6C2930" w14:textId="77777777" w:rsidR="005B3C62" w:rsidRDefault="005B3C62" w:rsidP="005B3C62">
            <w:pPr>
              <w:keepNext/>
              <w:jc w:val="center"/>
            </w:pPr>
            <w:r w:rsidRPr="008532A8">
              <w:rPr>
                <w:noProof/>
              </w:rPr>
              <w:lastRenderedPageBreak/>
              <w:drawing>
                <wp:inline distT="0" distB="0" distL="0" distR="0" wp14:anchorId="5F7E1B62" wp14:editId="1D1CD405">
                  <wp:extent cx="1043889" cy="1341120"/>
                  <wp:effectExtent l="0" t="0" r="4445" b="0"/>
                  <wp:docPr id="2805041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0504145" name=""/>
                          <pic:cNvPicPr/>
                        </pic:nvPicPr>
                        <pic:blipFill>
                          <a:blip r:embed="rId144"/>
                          <a:stretch>
                            <a:fillRect/>
                          </a:stretch>
                        </pic:blipFill>
                        <pic:spPr>
                          <a:xfrm>
                            <a:off x="0" y="0"/>
                            <a:ext cx="1053207" cy="1353091"/>
                          </a:xfrm>
                          <a:prstGeom prst="rect">
                            <a:avLst/>
                          </a:prstGeom>
                        </pic:spPr>
                      </pic:pic>
                    </a:graphicData>
                  </a:graphic>
                </wp:inline>
              </w:drawing>
            </w:r>
          </w:p>
          <w:p w14:paraId="2A4F2481" w14:textId="4C049559" w:rsidR="00D9600F" w:rsidRPr="00F35BFA" w:rsidRDefault="005B3C62" w:rsidP="005B3C62">
            <w:pPr>
              <w:pStyle w:val="Caption"/>
            </w:pPr>
            <w:bookmarkStart w:id="184" w:name="_Toc214357754"/>
            <w:r>
              <w:t xml:space="preserve">Figure </w:t>
            </w:r>
            <w:r w:rsidR="00F824A5">
              <w:fldChar w:fldCharType="begin"/>
            </w:r>
            <w:r w:rsidR="00F824A5">
              <w:instrText xml:space="preserve"> STYLEREF 1 \s </w:instrText>
            </w:r>
            <w:r w:rsidR="00F824A5">
              <w:fldChar w:fldCharType="separate"/>
            </w:r>
            <w:r w:rsidR="000412CE">
              <w:rPr>
                <w:noProof/>
              </w:rPr>
              <w:t>2</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26</w:t>
            </w:r>
            <w:r w:rsidR="00F824A5">
              <w:fldChar w:fldCharType="end"/>
            </w:r>
            <w:r>
              <w:t xml:space="preserve">. </w:t>
            </w:r>
            <w:r w:rsidR="001F2B15">
              <w:t>S</w:t>
            </w:r>
            <w:r w:rsidRPr="00EA0804">
              <w:t>chematic view of a thermal storage system</w:t>
            </w:r>
            <w:r>
              <w:t xml:space="preserve"> according to John's patent.</w:t>
            </w:r>
            <w:bookmarkEnd w:id="184"/>
          </w:p>
        </w:tc>
      </w:tr>
      <w:tr w:rsidR="00BA6D44" w:rsidRPr="00736B36" w14:paraId="1C959FB5" w14:textId="77777777" w:rsidTr="1DCE42CA">
        <w:tc>
          <w:tcPr>
            <w:tcW w:w="2165" w:type="dxa"/>
            <w:vAlign w:val="center"/>
          </w:tcPr>
          <w:p w14:paraId="3B89A5E9" w14:textId="77777777" w:rsidR="00D9600F" w:rsidRPr="00F35BFA" w:rsidRDefault="00D9600F" w:rsidP="1DCE42CA">
            <w:pPr>
              <w:jc w:val="center"/>
              <w:rPr>
                <w:sz w:val="22"/>
                <w:lang w:val="en-US"/>
              </w:rPr>
            </w:pPr>
            <w:r w:rsidRPr="1DCE42CA">
              <w:rPr>
                <w:sz w:val="22"/>
                <w:lang w:val="en-US"/>
              </w:rPr>
              <w:t>U T -Battelle, LLC   (US ), University of Tennessee Research Foundation (US)/ X.Liu, M. Qu, J.K. Warner, L.Shi</w:t>
            </w:r>
          </w:p>
        </w:tc>
        <w:tc>
          <w:tcPr>
            <w:tcW w:w="1369" w:type="dxa"/>
            <w:vAlign w:val="center"/>
          </w:tcPr>
          <w:p w14:paraId="2AAEBFFA" w14:textId="77777777" w:rsidR="00D9600F" w:rsidRPr="00F35BFA" w:rsidRDefault="00D9600F" w:rsidP="002A10A8">
            <w:pPr>
              <w:jc w:val="center"/>
              <w:rPr>
                <w:sz w:val="22"/>
                <w:lang w:val="en-US"/>
              </w:rPr>
            </w:pPr>
            <w:r w:rsidRPr="00F35BFA">
              <w:rPr>
                <w:sz w:val="22"/>
              </w:rPr>
              <w:t>US 11,421,914 B2</w:t>
            </w:r>
          </w:p>
        </w:tc>
        <w:tc>
          <w:tcPr>
            <w:tcW w:w="708" w:type="dxa"/>
            <w:vAlign w:val="center"/>
          </w:tcPr>
          <w:p w14:paraId="0D07959E" w14:textId="77777777" w:rsidR="00D9600F" w:rsidRPr="00F35BFA" w:rsidRDefault="00D9600F" w:rsidP="002A10A8">
            <w:pPr>
              <w:jc w:val="center"/>
              <w:rPr>
                <w:sz w:val="22"/>
                <w:lang w:val="en-US"/>
              </w:rPr>
            </w:pPr>
            <w:r w:rsidRPr="00F35BFA">
              <w:rPr>
                <w:sz w:val="22"/>
                <w:lang w:val="en-US"/>
              </w:rPr>
              <w:t>2022</w:t>
            </w:r>
          </w:p>
        </w:tc>
        <w:tc>
          <w:tcPr>
            <w:tcW w:w="1486" w:type="dxa"/>
            <w:vAlign w:val="center"/>
          </w:tcPr>
          <w:p w14:paraId="77037FEC" w14:textId="77777777" w:rsidR="00D9600F" w:rsidRPr="00F35BFA" w:rsidRDefault="00D9600F" w:rsidP="002A10A8">
            <w:pPr>
              <w:jc w:val="center"/>
              <w:rPr>
                <w:sz w:val="22"/>
                <w:lang w:val="en-US"/>
              </w:rPr>
            </w:pPr>
            <w:r w:rsidRPr="00F35BFA">
              <w:rPr>
                <w:sz w:val="22"/>
                <w:lang w:val="en-US"/>
              </w:rPr>
              <w:t>Thermal storage system with coupled tanks</w:t>
            </w:r>
          </w:p>
        </w:tc>
        <w:tc>
          <w:tcPr>
            <w:tcW w:w="3481" w:type="dxa"/>
            <w:vAlign w:val="center"/>
          </w:tcPr>
          <w:p w14:paraId="5C4F8368" w14:textId="77777777" w:rsidR="00D9600F" w:rsidRPr="00F35BFA" w:rsidRDefault="00D9600F" w:rsidP="002A10A8">
            <w:pPr>
              <w:rPr>
                <w:sz w:val="22"/>
                <w:lang w:val="en-US"/>
              </w:rPr>
            </w:pPr>
            <w:r w:rsidRPr="00F35BFA">
              <w:rPr>
                <w:sz w:val="22"/>
                <w:lang w:val="en-US"/>
              </w:rPr>
              <w:t xml:space="preserve">Thermal storage system with a fluid-filled “battery” tank placed inside an underground fluid-filled “reservoir” tank and connected to a heat pump and a building by configurable fluid loops, so that heating or cooling can be stored and supplied in different operating modes to shift electricity demand and improve overall efficiency; </w:t>
            </w:r>
            <w:r>
              <w:rPr>
                <w:sz w:val="22"/>
                <w:lang w:val="en-US"/>
              </w:rPr>
              <w:t>PCMs</w:t>
            </w:r>
            <w:r w:rsidRPr="00F35BFA">
              <w:rPr>
                <w:sz w:val="22"/>
                <w:lang w:val="en-US"/>
              </w:rPr>
              <w:t xml:space="preserve"> can be integrated in the tanks or tank wall to regulate temperature</w:t>
            </w:r>
            <w:r>
              <w:rPr>
                <w:sz w:val="22"/>
                <w:lang w:val="en-US"/>
              </w:rPr>
              <w:t>.</w:t>
            </w:r>
          </w:p>
        </w:tc>
        <w:tc>
          <w:tcPr>
            <w:tcW w:w="4500" w:type="dxa"/>
            <w:vAlign w:val="center"/>
          </w:tcPr>
          <w:p w14:paraId="2513D489" w14:textId="77777777" w:rsidR="00F77BE5" w:rsidRDefault="00F77BE5" w:rsidP="00F77BE5">
            <w:pPr>
              <w:keepNext/>
              <w:jc w:val="center"/>
            </w:pPr>
            <w:r w:rsidRPr="00F77BE5">
              <w:rPr>
                <w:noProof/>
                <w:sz w:val="22"/>
                <w:lang w:val="en-US"/>
              </w:rPr>
              <w:drawing>
                <wp:inline distT="0" distB="0" distL="0" distR="0" wp14:anchorId="50AC642D" wp14:editId="12E4DB5D">
                  <wp:extent cx="1473327" cy="1612265"/>
                  <wp:effectExtent l="0" t="0" r="0" b="6985"/>
                  <wp:docPr id="11378733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7873338" name=""/>
                          <pic:cNvPicPr/>
                        </pic:nvPicPr>
                        <pic:blipFill>
                          <a:blip r:embed="rId145"/>
                          <a:stretch>
                            <a:fillRect/>
                          </a:stretch>
                        </pic:blipFill>
                        <pic:spPr>
                          <a:xfrm>
                            <a:off x="0" y="0"/>
                            <a:ext cx="1481549" cy="1621262"/>
                          </a:xfrm>
                          <a:prstGeom prst="rect">
                            <a:avLst/>
                          </a:prstGeom>
                        </pic:spPr>
                      </pic:pic>
                    </a:graphicData>
                  </a:graphic>
                </wp:inline>
              </w:drawing>
            </w:r>
          </w:p>
          <w:p w14:paraId="71712497" w14:textId="16DC7107" w:rsidR="00D9600F" w:rsidRPr="00F35BFA" w:rsidRDefault="00F77BE5" w:rsidP="00F77BE5">
            <w:pPr>
              <w:pStyle w:val="Caption"/>
            </w:pPr>
            <w:bookmarkStart w:id="185" w:name="_Toc214357755"/>
            <w:r>
              <w:t xml:space="preserve">Figure </w:t>
            </w:r>
            <w:r w:rsidR="00F824A5">
              <w:fldChar w:fldCharType="begin"/>
            </w:r>
            <w:r w:rsidR="00F824A5">
              <w:instrText xml:space="preserve"> STYLEREF 1 \s </w:instrText>
            </w:r>
            <w:r w:rsidR="00F824A5">
              <w:fldChar w:fldCharType="separate"/>
            </w:r>
            <w:r w:rsidR="000412CE">
              <w:rPr>
                <w:noProof/>
              </w:rPr>
              <w:t>2</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27</w:t>
            </w:r>
            <w:r w:rsidR="00F824A5">
              <w:fldChar w:fldCharType="end"/>
            </w:r>
            <w:r>
              <w:t xml:space="preserve">. </w:t>
            </w:r>
            <w:r w:rsidRPr="001B421C">
              <w:t>Cutaway view of an example dual tank  embodiment of the disclosed technologies.</w:t>
            </w:r>
            <w:bookmarkEnd w:id="185"/>
          </w:p>
        </w:tc>
      </w:tr>
      <w:tr w:rsidR="00BA6D44" w:rsidRPr="00736B36" w14:paraId="2AE05FF5" w14:textId="77777777" w:rsidTr="1DCE42CA">
        <w:tc>
          <w:tcPr>
            <w:tcW w:w="2165" w:type="dxa"/>
            <w:vAlign w:val="center"/>
          </w:tcPr>
          <w:p w14:paraId="331C9721" w14:textId="77777777" w:rsidR="00D9600F" w:rsidRPr="00F35BFA" w:rsidRDefault="00D9600F" w:rsidP="002A10A8">
            <w:pPr>
              <w:jc w:val="center"/>
              <w:rPr>
                <w:sz w:val="22"/>
                <w:lang w:val="en-US"/>
              </w:rPr>
            </w:pPr>
            <w:r w:rsidRPr="00F35BFA">
              <w:rPr>
                <w:sz w:val="22"/>
                <w:lang w:val="en-US"/>
              </w:rPr>
              <w:t>Phase Change Energy Solutions, Inc. (US)/ R.I. Sawafta, K. Farrish, B.C. Owens, P.F. Horwath, J.D. Thornsberry</w:t>
            </w:r>
          </w:p>
        </w:tc>
        <w:tc>
          <w:tcPr>
            <w:tcW w:w="1369" w:type="dxa"/>
            <w:vAlign w:val="center"/>
          </w:tcPr>
          <w:p w14:paraId="6ADEA58D" w14:textId="77777777" w:rsidR="00D9600F" w:rsidRPr="00F35BFA" w:rsidRDefault="00D9600F" w:rsidP="002A10A8">
            <w:pPr>
              <w:jc w:val="center"/>
              <w:rPr>
                <w:sz w:val="22"/>
                <w:lang w:val="en-US"/>
              </w:rPr>
            </w:pPr>
            <w:r w:rsidRPr="00F35BFA">
              <w:rPr>
                <w:sz w:val="22"/>
                <w:lang w:val="en-US"/>
              </w:rPr>
              <w:t>US 11,519,171 B2</w:t>
            </w:r>
          </w:p>
        </w:tc>
        <w:tc>
          <w:tcPr>
            <w:tcW w:w="708" w:type="dxa"/>
            <w:vAlign w:val="center"/>
          </w:tcPr>
          <w:p w14:paraId="7A8206E2" w14:textId="77777777" w:rsidR="00D9600F" w:rsidRPr="00F35BFA" w:rsidRDefault="00D9600F" w:rsidP="002A10A8">
            <w:pPr>
              <w:jc w:val="center"/>
              <w:rPr>
                <w:sz w:val="22"/>
                <w:lang w:val="en-US"/>
              </w:rPr>
            </w:pPr>
            <w:r w:rsidRPr="00F35BFA">
              <w:rPr>
                <w:sz w:val="22"/>
                <w:lang w:val="en-US"/>
              </w:rPr>
              <w:t>2022</w:t>
            </w:r>
          </w:p>
        </w:tc>
        <w:tc>
          <w:tcPr>
            <w:tcW w:w="1486" w:type="dxa"/>
            <w:vAlign w:val="center"/>
          </w:tcPr>
          <w:p w14:paraId="694F0542" w14:textId="77777777" w:rsidR="00D9600F" w:rsidRPr="00F35BFA" w:rsidRDefault="00D9600F" w:rsidP="002A10A8">
            <w:pPr>
              <w:jc w:val="center"/>
              <w:rPr>
                <w:sz w:val="22"/>
                <w:lang w:val="en-US"/>
              </w:rPr>
            </w:pPr>
            <w:r w:rsidRPr="00F35BFA">
              <w:rPr>
                <w:sz w:val="22"/>
                <w:lang w:val="en-US"/>
              </w:rPr>
              <w:t xml:space="preserve">Composite </w:t>
            </w:r>
            <w:r>
              <w:rPr>
                <w:sz w:val="22"/>
                <w:lang w:val="en-US"/>
              </w:rPr>
              <w:t>c</w:t>
            </w:r>
            <w:r w:rsidRPr="00F35BFA">
              <w:rPr>
                <w:sz w:val="22"/>
                <w:lang w:val="en-US"/>
              </w:rPr>
              <w:t>onstruction</w:t>
            </w:r>
            <w:r>
              <w:rPr>
                <w:sz w:val="22"/>
                <w:lang w:val="en-US"/>
              </w:rPr>
              <w:t xml:space="preserve"> p</w:t>
            </w:r>
            <w:r w:rsidRPr="00F35BFA">
              <w:rPr>
                <w:sz w:val="22"/>
                <w:lang w:val="en-US"/>
              </w:rPr>
              <w:t>anels and applications therof</w:t>
            </w:r>
          </w:p>
        </w:tc>
        <w:tc>
          <w:tcPr>
            <w:tcW w:w="3481" w:type="dxa"/>
            <w:vAlign w:val="center"/>
          </w:tcPr>
          <w:p w14:paraId="1789AA3E" w14:textId="77777777" w:rsidR="00D9600F" w:rsidRPr="00F35BFA" w:rsidRDefault="00D9600F" w:rsidP="002A10A8">
            <w:pPr>
              <w:rPr>
                <w:sz w:val="22"/>
                <w:lang w:val="en-US"/>
              </w:rPr>
            </w:pPr>
            <w:r w:rsidRPr="00725480">
              <w:rPr>
                <w:sz w:val="22"/>
                <w:lang w:val="en-US"/>
              </w:rPr>
              <w:t>Composite construction panels containing mats with multiple PCM regions or pouches, arranged between substrate and cover layers, to provide thermal regulation for roofs, ceilings or underlayments, optionally using different PCMs with different phase transition temperatures.</w:t>
            </w:r>
          </w:p>
        </w:tc>
        <w:tc>
          <w:tcPr>
            <w:tcW w:w="4500" w:type="dxa"/>
            <w:vAlign w:val="center"/>
          </w:tcPr>
          <w:p w14:paraId="5032FAAC" w14:textId="77777777" w:rsidR="00147045" w:rsidRDefault="00147045" w:rsidP="00147045">
            <w:pPr>
              <w:keepNext/>
              <w:jc w:val="center"/>
            </w:pPr>
            <w:r w:rsidRPr="0019536B">
              <w:rPr>
                <w:noProof/>
              </w:rPr>
              <w:drawing>
                <wp:inline distT="0" distB="0" distL="0" distR="0" wp14:anchorId="70D650E2" wp14:editId="68E9D055">
                  <wp:extent cx="1071355" cy="1955483"/>
                  <wp:effectExtent l="0" t="3810" r="0" b="0"/>
                  <wp:docPr id="421973722" name="Picture 1" descr="A diagram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1973722" name="Picture 1" descr="A diagram of a graph&#10;&#10;AI-generated content may be incorrect."/>
                          <pic:cNvPicPr/>
                        </pic:nvPicPr>
                        <pic:blipFill>
                          <a:blip r:embed="rId146"/>
                          <a:stretch>
                            <a:fillRect/>
                          </a:stretch>
                        </pic:blipFill>
                        <pic:spPr>
                          <a:xfrm rot="5400000">
                            <a:off x="0" y="0"/>
                            <a:ext cx="1078363" cy="1968275"/>
                          </a:xfrm>
                          <a:prstGeom prst="rect">
                            <a:avLst/>
                          </a:prstGeom>
                        </pic:spPr>
                      </pic:pic>
                    </a:graphicData>
                  </a:graphic>
                </wp:inline>
              </w:drawing>
            </w:r>
          </w:p>
          <w:p w14:paraId="1754CA44" w14:textId="0F815AB9" w:rsidR="00D9600F" w:rsidRPr="00725480" w:rsidRDefault="00147045" w:rsidP="00147045">
            <w:pPr>
              <w:pStyle w:val="Caption"/>
            </w:pPr>
            <w:bookmarkStart w:id="186" w:name="_Toc214357756"/>
            <w:r>
              <w:t xml:space="preserve">Figure </w:t>
            </w:r>
            <w:r w:rsidR="00F824A5">
              <w:fldChar w:fldCharType="begin"/>
            </w:r>
            <w:r w:rsidR="00F824A5">
              <w:instrText xml:space="preserve"> STYLEREF 1 \s </w:instrText>
            </w:r>
            <w:r w:rsidR="00F824A5">
              <w:fldChar w:fldCharType="separate"/>
            </w:r>
            <w:r w:rsidR="000412CE">
              <w:rPr>
                <w:noProof/>
              </w:rPr>
              <w:t>2</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28</w:t>
            </w:r>
            <w:r w:rsidR="00F824A5">
              <w:fldChar w:fldCharType="end"/>
            </w:r>
            <w:r>
              <w:t xml:space="preserve">. </w:t>
            </w:r>
            <w:r w:rsidRPr="00817D4F">
              <w:t>Top view of a composite panel according to a first example embodiment according to Sawafta's patent</w:t>
            </w:r>
            <w:r>
              <w:t>.</w:t>
            </w:r>
            <w:bookmarkEnd w:id="186"/>
          </w:p>
        </w:tc>
      </w:tr>
      <w:tr w:rsidR="00BA6D44" w:rsidRPr="00736B36" w14:paraId="6CB235F7" w14:textId="77777777" w:rsidTr="1DCE42CA">
        <w:tc>
          <w:tcPr>
            <w:tcW w:w="2165" w:type="dxa"/>
            <w:vAlign w:val="center"/>
          </w:tcPr>
          <w:p w14:paraId="7CCDF7E4" w14:textId="77777777" w:rsidR="00D9600F" w:rsidRPr="00F35BFA" w:rsidRDefault="00D9600F" w:rsidP="002A10A8">
            <w:pPr>
              <w:jc w:val="center"/>
              <w:rPr>
                <w:sz w:val="22"/>
                <w:lang w:val="en-US"/>
              </w:rPr>
            </w:pPr>
            <w:r w:rsidRPr="00F35BFA">
              <w:rPr>
                <w:sz w:val="22"/>
                <w:lang w:val="en-US"/>
              </w:rPr>
              <w:lastRenderedPageBreak/>
              <w:t>Commissariat a l’energie atomique et aux energies alternatives (FR)/ D. Belot, A. Larie, B. Martineau</w:t>
            </w:r>
          </w:p>
        </w:tc>
        <w:tc>
          <w:tcPr>
            <w:tcW w:w="1369" w:type="dxa"/>
            <w:vAlign w:val="center"/>
          </w:tcPr>
          <w:p w14:paraId="04ABE762" w14:textId="77777777" w:rsidR="00D9600F" w:rsidRPr="00F35BFA" w:rsidRDefault="00D9600F" w:rsidP="002A10A8">
            <w:pPr>
              <w:jc w:val="center"/>
              <w:rPr>
                <w:sz w:val="22"/>
                <w:lang w:val="en-US"/>
              </w:rPr>
            </w:pPr>
            <w:r w:rsidRPr="00F35BFA">
              <w:rPr>
                <w:sz w:val="22"/>
              </w:rPr>
              <w:t>US 10,164,608 B2</w:t>
            </w:r>
          </w:p>
        </w:tc>
        <w:tc>
          <w:tcPr>
            <w:tcW w:w="708" w:type="dxa"/>
            <w:vAlign w:val="center"/>
          </w:tcPr>
          <w:p w14:paraId="51D85053" w14:textId="77777777" w:rsidR="00D9600F" w:rsidRPr="00F35BFA" w:rsidRDefault="00D9600F" w:rsidP="002A10A8">
            <w:pPr>
              <w:jc w:val="center"/>
              <w:rPr>
                <w:sz w:val="22"/>
                <w:lang w:val="en-US"/>
              </w:rPr>
            </w:pPr>
            <w:r w:rsidRPr="00F35BFA">
              <w:rPr>
                <w:sz w:val="22"/>
                <w:lang w:val="en-US"/>
              </w:rPr>
              <w:t>2018</w:t>
            </w:r>
          </w:p>
        </w:tc>
        <w:tc>
          <w:tcPr>
            <w:tcW w:w="1486" w:type="dxa"/>
            <w:vAlign w:val="center"/>
          </w:tcPr>
          <w:p w14:paraId="728E630E" w14:textId="77777777" w:rsidR="00D9600F" w:rsidRPr="00F35BFA" w:rsidRDefault="00D9600F" w:rsidP="002A10A8">
            <w:pPr>
              <w:jc w:val="center"/>
              <w:rPr>
                <w:sz w:val="22"/>
                <w:lang w:val="en-US"/>
              </w:rPr>
            </w:pPr>
            <w:r w:rsidRPr="00F35BFA">
              <w:rPr>
                <w:sz w:val="22"/>
                <w:lang w:val="en-US"/>
              </w:rPr>
              <w:t>Switch with phase change material</w:t>
            </w:r>
          </w:p>
        </w:tc>
        <w:tc>
          <w:tcPr>
            <w:tcW w:w="3481" w:type="dxa"/>
            <w:vAlign w:val="center"/>
          </w:tcPr>
          <w:p w14:paraId="5B7B074C" w14:textId="77777777" w:rsidR="00D9600F" w:rsidRPr="00725480" w:rsidRDefault="00D9600F" w:rsidP="002A10A8">
            <w:pPr>
              <w:rPr>
                <w:sz w:val="22"/>
                <w:lang w:val="en-US"/>
              </w:rPr>
            </w:pPr>
            <w:r w:rsidRPr="00725480">
              <w:rPr>
                <w:sz w:val="22"/>
                <w:lang w:val="en-US"/>
              </w:rPr>
              <w:t xml:space="preserve">RF switch using a continuous </w:t>
            </w:r>
            <w:r>
              <w:rPr>
                <w:sz w:val="22"/>
                <w:lang w:val="en-US"/>
              </w:rPr>
              <w:t>PCM</w:t>
            </w:r>
            <w:r w:rsidRPr="00725480">
              <w:rPr>
                <w:sz w:val="22"/>
                <w:lang w:val="en-US"/>
              </w:rPr>
              <w:t xml:space="preserve"> portion whose amorphous or crystalline state determines the ON/OFF state of the switch, with a control circuit that drives heating currents through the PCM to induce phase changes while keeping good RF performance.</w:t>
            </w:r>
          </w:p>
        </w:tc>
        <w:tc>
          <w:tcPr>
            <w:tcW w:w="4500" w:type="dxa"/>
            <w:vAlign w:val="center"/>
          </w:tcPr>
          <w:p w14:paraId="1C50E1BC" w14:textId="77777777" w:rsidR="00147045" w:rsidRDefault="00147045" w:rsidP="00147045">
            <w:pPr>
              <w:keepNext/>
              <w:jc w:val="center"/>
            </w:pPr>
            <w:r w:rsidRPr="00147045">
              <w:rPr>
                <w:noProof/>
                <w:sz w:val="22"/>
                <w:lang w:val="en-US"/>
              </w:rPr>
              <w:drawing>
                <wp:inline distT="0" distB="0" distL="0" distR="0" wp14:anchorId="0BFFA2E2" wp14:editId="69186BF3">
                  <wp:extent cx="2162477" cy="1381318"/>
                  <wp:effectExtent l="0" t="0" r="9525" b="9525"/>
                  <wp:docPr id="11141128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4112874" name=""/>
                          <pic:cNvPicPr/>
                        </pic:nvPicPr>
                        <pic:blipFill>
                          <a:blip r:embed="rId147"/>
                          <a:stretch>
                            <a:fillRect/>
                          </a:stretch>
                        </pic:blipFill>
                        <pic:spPr>
                          <a:xfrm>
                            <a:off x="0" y="0"/>
                            <a:ext cx="2162477" cy="1381318"/>
                          </a:xfrm>
                          <a:prstGeom prst="rect">
                            <a:avLst/>
                          </a:prstGeom>
                        </pic:spPr>
                      </pic:pic>
                    </a:graphicData>
                  </a:graphic>
                </wp:inline>
              </w:drawing>
            </w:r>
          </w:p>
          <w:p w14:paraId="19D3C827" w14:textId="2522A6F9" w:rsidR="00D9600F" w:rsidRPr="00725480" w:rsidRDefault="00147045" w:rsidP="00147045">
            <w:pPr>
              <w:pStyle w:val="Caption"/>
            </w:pPr>
            <w:bookmarkStart w:id="187" w:name="_Toc214357757"/>
            <w:r>
              <w:t xml:space="preserve">Figure </w:t>
            </w:r>
            <w:r w:rsidR="00F824A5">
              <w:fldChar w:fldCharType="begin"/>
            </w:r>
            <w:r w:rsidR="00F824A5">
              <w:instrText xml:space="preserve"> STYLEREF 1 \s </w:instrText>
            </w:r>
            <w:r w:rsidR="00F824A5">
              <w:fldChar w:fldCharType="separate"/>
            </w:r>
            <w:r w:rsidR="000412CE">
              <w:rPr>
                <w:noProof/>
              </w:rPr>
              <w:t>2</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29</w:t>
            </w:r>
            <w:r w:rsidR="00F824A5">
              <w:fldChar w:fldCharType="end"/>
            </w:r>
            <w:r>
              <w:t xml:space="preserve">. </w:t>
            </w:r>
            <w:r w:rsidRPr="0092330E">
              <w:t>PCM portion of a switch  according to one particular embodiment.</w:t>
            </w:r>
            <w:bookmarkEnd w:id="187"/>
          </w:p>
        </w:tc>
      </w:tr>
      <w:tr w:rsidR="00BA6D44" w:rsidRPr="00736B36" w14:paraId="614A8876" w14:textId="77777777" w:rsidTr="1DCE42CA">
        <w:tc>
          <w:tcPr>
            <w:tcW w:w="2165" w:type="dxa"/>
            <w:vAlign w:val="center"/>
          </w:tcPr>
          <w:p w14:paraId="0BCD2E9C" w14:textId="77777777" w:rsidR="00D9600F" w:rsidRPr="00F35BFA" w:rsidRDefault="00D9600F" w:rsidP="002A10A8">
            <w:pPr>
              <w:jc w:val="center"/>
              <w:rPr>
                <w:sz w:val="22"/>
                <w:lang w:val="en-US"/>
              </w:rPr>
            </w:pPr>
            <w:r w:rsidRPr="00F35BFA">
              <w:rPr>
                <w:sz w:val="22"/>
                <w:lang w:val="en-US"/>
              </w:rPr>
              <w:t>Vesture LLC (US)/ B.C. Owens, R.I. Sawafta</w:t>
            </w:r>
          </w:p>
        </w:tc>
        <w:tc>
          <w:tcPr>
            <w:tcW w:w="1369" w:type="dxa"/>
            <w:vAlign w:val="center"/>
          </w:tcPr>
          <w:p w14:paraId="5981BD1C" w14:textId="77777777" w:rsidR="00D9600F" w:rsidRPr="00F35BFA" w:rsidRDefault="00D9600F" w:rsidP="002A10A8">
            <w:pPr>
              <w:jc w:val="center"/>
              <w:rPr>
                <w:sz w:val="22"/>
                <w:lang w:val="en-US"/>
              </w:rPr>
            </w:pPr>
            <w:r w:rsidRPr="00F35BFA">
              <w:rPr>
                <w:sz w:val="22"/>
              </w:rPr>
              <w:t>US 11,549,745 B2</w:t>
            </w:r>
          </w:p>
        </w:tc>
        <w:tc>
          <w:tcPr>
            <w:tcW w:w="708" w:type="dxa"/>
            <w:vAlign w:val="center"/>
          </w:tcPr>
          <w:p w14:paraId="6140BBFA" w14:textId="77777777" w:rsidR="00D9600F" w:rsidRPr="00F35BFA" w:rsidRDefault="00D9600F" w:rsidP="002A10A8">
            <w:pPr>
              <w:jc w:val="center"/>
              <w:rPr>
                <w:sz w:val="22"/>
                <w:lang w:val="en-US"/>
              </w:rPr>
            </w:pPr>
            <w:r w:rsidRPr="00F35BFA">
              <w:rPr>
                <w:sz w:val="22"/>
                <w:lang w:val="en-US"/>
              </w:rPr>
              <w:t>2023</w:t>
            </w:r>
          </w:p>
        </w:tc>
        <w:tc>
          <w:tcPr>
            <w:tcW w:w="1486" w:type="dxa"/>
            <w:vAlign w:val="center"/>
          </w:tcPr>
          <w:p w14:paraId="0B7859BD" w14:textId="77777777" w:rsidR="00D9600F" w:rsidRPr="00F35BFA" w:rsidRDefault="00D9600F" w:rsidP="002A10A8">
            <w:pPr>
              <w:jc w:val="center"/>
              <w:rPr>
                <w:sz w:val="22"/>
                <w:lang w:val="en-US"/>
              </w:rPr>
            </w:pPr>
            <w:r w:rsidRPr="00F35BFA">
              <w:rPr>
                <w:sz w:val="22"/>
              </w:rPr>
              <w:t>Product transport containers</w:t>
            </w:r>
          </w:p>
        </w:tc>
        <w:tc>
          <w:tcPr>
            <w:tcW w:w="3481" w:type="dxa"/>
            <w:vAlign w:val="center"/>
          </w:tcPr>
          <w:p w14:paraId="23175B10" w14:textId="77777777" w:rsidR="00D9600F" w:rsidRPr="00F35BFA" w:rsidRDefault="00D9600F" w:rsidP="002A10A8">
            <w:pPr>
              <w:rPr>
                <w:sz w:val="22"/>
                <w:lang w:val="en-US"/>
              </w:rPr>
            </w:pPr>
            <w:r w:rsidRPr="00725480">
              <w:rPr>
                <w:sz w:val="22"/>
                <w:lang w:val="en-US"/>
              </w:rPr>
              <w:t>Product transport containers made of thermoformed non-woven fabric, in which the fabric and/or internal pouches incorporate PCMs with selected phase transition temperatures, so that food or medical products can be kept hot or cold for extended periods without active heating or cooling.</w:t>
            </w:r>
          </w:p>
        </w:tc>
        <w:tc>
          <w:tcPr>
            <w:tcW w:w="4500" w:type="dxa"/>
            <w:vAlign w:val="center"/>
          </w:tcPr>
          <w:p w14:paraId="20D86762" w14:textId="77777777" w:rsidR="00CA7CF1" w:rsidRDefault="00147045" w:rsidP="00CA7CF1">
            <w:pPr>
              <w:keepNext/>
              <w:jc w:val="center"/>
            </w:pPr>
            <w:r w:rsidRPr="00147045">
              <w:rPr>
                <w:noProof/>
                <w:sz w:val="22"/>
                <w:lang w:val="en-US"/>
              </w:rPr>
              <w:drawing>
                <wp:inline distT="0" distB="0" distL="0" distR="0" wp14:anchorId="28CFADB0" wp14:editId="523EB6EE">
                  <wp:extent cx="1173480" cy="1067006"/>
                  <wp:effectExtent l="0" t="0" r="7620" b="0"/>
                  <wp:docPr id="18265364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6536411" name=""/>
                          <pic:cNvPicPr/>
                        </pic:nvPicPr>
                        <pic:blipFill>
                          <a:blip r:embed="rId148"/>
                          <a:stretch>
                            <a:fillRect/>
                          </a:stretch>
                        </pic:blipFill>
                        <pic:spPr>
                          <a:xfrm>
                            <a:off x="0" y="0"/>
                            <a:ext cx="1190163" cy="1082175"/>
                          </a:xfrm>
                          <a:prstGeom prst="rect">
                            <a:avLst/>
                          </a:prstGeom>
                        </pic:spPr>
                      </pic:pic>
                    </a:graphicData>
                  </a:graphic>
                </wp:inline>
              </w:drawing>
            </w:r>
          </w:p>
          <w:p w14:paraId="520D3F84" w14:textId="5832ED65" w:rsidR="00D9600F" w:rsidRPr="00725480" w:rsidRDefault="00CA7CF1" w:rsidP="00CA7CF1">
            <w:pPr>
              <w:pStyle w:val="Caption"/>
            </w:pPr>
            <w:bookmarkStart w:id="188" w:name="_Toc214357758"/>
            <w:r>
              <w:t xml:space="preserve">Figure </w:t>
            </w:r>
            <w:r w:rsidR="00F824A5">
              <w:fldChar w:fldCharType="begin"/>
            </w:r>
            <w:r w:rsidR="00F824A5">
              <w:instrText xml:space="preserve"> STYLEREF 1 \s </w:instrText>
            </w:r>
            <w:r w:rsidR="00F824A5">
              <w:fldChar w:fldCharType="separate"/>
            </w:r>
            <w:r w:rsidR="000412CE">
              <w:rPr>
                <w:noProof/>
              </w:rPr>
              <w:t>2</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30</w:t>
            </w:r>
            <w:r w:rsidR="00F824A5">
              <w:fldChar w:fldCharType="end"/>
            </w:r>
            <w:r>
              <w:t xml:space="preserve">. </w:t>
            </w:r>
            <w:r w:rsidRPr="0045269D">
              <w:t>perspective view of a product transport container according to one embodiment described herein wherein the container is illustrated in an open position.</w:t>
            </w:r>
            <w:bookmarkEnd w:id="188"/>
          </w:p>
        </w:tc>
      </w:tr>
      <w:tr w:rsidR="00BA6D44" w:rsidRPr="00736B36" w14:paraId="1A87D04B" w14:textId="77777777" w:rsidTr="1DCE42CA">
        <w:tc>
          <w:tcPr>
            <w:tcW w:w="2165" w:type="dxa"/>
            <w:vAlign w:val="center"/>
          </w:tcPr>
          <w:p w14:paraId="03620B16" w14:textId="77777777" w:rsidR="00D9600F" w:rsidRPr="00F35BFA" w:rsidRDefault="00D9600F" w:rsidP="002A10A8">
            <w:pPr>
              <w:jc w:val="center"/>
              <w:rPr>
                <w:sz w:val="22"/>
                <w:lang w:val="nb-NO"/>
              </w:rPr>
            </w:pPr>
            <w:r w:rsidRPr="00F35BFA">
              <w:rPr>
                <w:sz w:val="22"/>
                <w:lang w:val="nb-NO"/>
              </w:rPr>
              <w:lastRenderedPageBreak/>
              <w:t>J.Liu (CA)/ J. Liu</w:t>
            </w:r>
          </w:p>
        </w:tc>
        <w:tc>
          <w:tcPr>
            <w:tcW w:w="1369" w:type="dxa"/>
            <w:vAlign w:val="center"/>
          </w:tcPr>
          <w:p w14:paraId="634FF3E7" w14:textId="77777777" w:rsidR="00D9600F" w:rsidRPr="00F35BFA" w:rsidRDefault="00D9600F" w:rsidP="002A10A8">
            <w:pPr>
              <w:jc w:val="center"/>
              <w:rPr>
                <w:sz w:val="22"/>
                <w:lang w:val="nb-NO"/>
              </w:rPr>
            </w:pPr>
            <w:r w:rsidRPr="00F35BFA">
              <w:rPr>
                <w:sz w:val="22"/>
              </w:rPr>
              <w:t>US 10,916,816 B2</w:t>
            </w:r>
          </w:p>
        </w:tc>
        <w:tc>
          <w:tcPr>
            <w:tcW w:w="708" w:type="dxa"/>
            <w:vAlign w:val="center"/>
          </w:tcPr>
          <w:p w14:paraId="0D4CC581" w14:textId="77777777" w:rsidR="00D9600F" w:rsidRPr="00F35BFA" w:rsidRDefault="00D9600F" w:rsidP="002A10A8">
            <w:pPr>
              <w:jc w:val="center"/>
              <w:rPr>
                <w:sz w:val="22"/>
                <w:lang w:val="nb-NO"/>
              </w:rPr>
            </w:pPr>
            <w:r w:rsidRPr="00F35BFA">
              <w:rPr>
                <w:sz w:val="22"/>
                <w:lang w:val="nb-NO"/>
              </w:rPr>
              <w:t>2021</w:t>
            </w:r>
          </w:p>
        </w:tc>
        <w:tc>
          <w:tcPr>
            <w:tcW w:w="1486" w:type="dxa"/>
            <w:vAlign w:val="center"/>
          </w:tcPr>
          <w:p w14:paraId="55419E82" w14:textId="77777777" w:rsidR="00D9600F" w:rsidRPr="00F35BFA" w:rsidRDefault="00D9600F" w:rsidP="002A10A8">
            <w:pPr>
              <w:jc w:val="center"/>
              <w:rPr>
                <w:sz w:val="22"/>
                <w:lang w:val="en-US"/>
              </w:rPr>
            </w:pPr>
            <w:r>
              <w:rPr>
                <w:sz w:val="22"/>
                <w:lang w:val="en-US"/>
              </w:rPr>
              <w:t>I</w:t>
            </w:r>
            <w:r w:rsidRPr="00F35BFA">
              <w:rPr>
                <w:sz w:val="22"/>
                <w:lang w:val="en-US"/>
              </w:rPr>
              <w:t>nternal battery thermal management system for secondary batteries</w:t>
            </w:r>
          </w:p>
        </w:tc>
        <w:tc>
          <w:tcPr>
            <w:tcW w:w="3481" w:type="dxa"/>
            <w:vAlign w:val="center"/>
          </w:tcPr>
          <w:p w14:paraId="516AC75A" w14:textId="77777777" w:rsidR="00D9600F" w:rsidRPr="00F35BFA" w:rsidRDefault="00D9600F" w:rsidP="002A10A8">
            <w:pPr>
              <w:rPr>
                <w:sz w:val="22"/>
                <w:lang w:val="en-US"/>
              </w:rPr>
            </w:pPr>
            <w:r w:rsidRPr="00725480">
              <w:rPr>
                <w:sz w:val="22"/>
                <w:lang w:val="en-US"/>
              </w:rPr>
              <w:t>Rechargeable battery and battery pack with an internal battery thermal management system based on a sealed mandrel filled with PCM, placed inside the Li-ion cell to absorb heat and improve temperature uniformity, achieving lower peak temperature with less PCM and without expensive graphite matrices compared to external PCM.</w:t>
            </w:r>
          </w:p>
        </w:tc>
        <w:tc>
          <w:tcPr>
            <w:tcW w:w="4500" w:type="dxa"/>
            <w:vAlign w:val="center"/>
          </w:tcPr>
          <w:p w14:paraId="57284742" w14:textId="77777777" w:rsidR="00CA7CF1" w:rsidRDefault="00CA7CF1" w:rsidP="00CA7CF1">
            <w:pPr>
              <w:keepNext/>
              <w:jc w:val="center"/>
            </w:pPr>
            <w:r w:rsidRPr="00CA7CF1">
              <w:rPr>
                <w:noProof/>
                <w:sz w:val="22"/>
                <w:lang w:val="en-US"/>
              </w:rPr>
              <w:drawing>
                <wp:inline distT="0" distB="0" distL="0" distR="0" wp14:anchorId="24765534" wp14:editId="37EFADE0">
                  <wp:extent cx="1777034" cy="1355090"/>
                  <wp:effectExtent l="0" t="0" r="0" b="0"/>
                  <wp:docPr id="3824191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2419118" name=""/>
                          <pic:cNvPicPr/>
                        </pic:nvPicPr>
                        <pic:blipFill>
                          <a:blip r:embed="rId149"/>
                          <a:stretch>
                            <a:fillRect/>
                          </a:stretch>
                        </pic:blipFill>
                        <pic:spPr>
                          <a:xfrm>
                            <a:off x="0" y="0"/>
                            <a:ext cx="1784016" cy="1360414"/>
                          </a:xfrm>
                          <a:prstGeom prst="rect">
                            <a:avLst/>
                          </a:prstGeom>
                        </pic:spPr>
                      </pic:pic>
                    </a:graphicData>
                  </a:graphic>
                </wp:inline>
              </w:drawing>
            </w:r>
          </w:p>
          <w:p w14:paraId="3F42A1C4" w14:textId="67779674" w:rsidR="00CA7CF1" w:rsidRDefault="00CA7CF1" w:rsidP="00CA7CF1">
            <w:pPr>
              <w:pStyle w:val="Caption"/>
            </w:pPr>
            <w:bookmarkStart w:id="189" w:name="_Toc214357759"/>
            <w:r>
              <w:t xml:space="preserve">Figure </w:t>
            </w:r>
            <w:r w:rsidR="00F824A5">
              <w:fldChar w:fldCharType="begin"/>
            </w:r>
            <w:r w:rsidR="00F824A5">
              <w:instrText xml:space="preserve"> STYLEREF 1 \s </w:instrText>
            </w:r>
            <w:r w:rsidR="00F824A5">
              <w:fldChar w:fldCharType="separate"/>
            </w:r>
            <w:r w:rsidR="000412CE">
              <w:rPr>
                <w:noProof/>
              </w:rPr>
              <w:t>2</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31</w:t>
            </w:r>
            <w:r w:rsidR="00F824A5">
              <w:fldChar w:fldCharType="end"/>
            </w:r>
            <w:r>
              <w:t xml:space="preserve">. </w:t>
            </w:r>
            <w:r w:rsidRPr="00851665">
              <w:t>Three-dimensional (3D)  perspective cross-section of a cylindrical Li-ion battery exploiting a PCM based internal BTM system according to an embodiment of the invention.</w:t>
            </w:r>
            <w:bookmarkEnd w:id="189"/>
          </w:p>
          <w:p w14:paraId="086EB7A4" w14:textId="462A1303" w:rsidR="00D9600F" w:rsidRPr="00725480" w:rsidRDefault="00D9600F" w:rsidP="002A10A8">
            <w:pPr>
              <w:jc w:val="center"/>
              <w:rPr>
                <w:sz w:val="22"/>
                <w:lang w:val="en-US"/>
              </w:rPr>
            </w:pPr>
          </w:p>
        </w:tc>
      </w:tr>
      <w:tr w:rsidR="00BA6D44" w:rsidRPr="00736B36" w14:paraId="54E10BB4" w14:textId="77777777" w:rsidTr="1DCE42CA">
        <w:tc>
          <w:tcPr>
            <w:tcW w:w="2165" w:type="dxa"/>
            <w:vAlign w:val="center"/>
          </w:tcPr>
          <w:p w14:paraId="674E8C2F" w14:textId="77777777" w:rsidR="00D9600F" w:rsidRPr="00F35BFA" w:rsidRDefault="00D9600F" w:rsidP="002A10A8">
            <w:pPr>
              <w:jc w:val="center"/>
              <w:rPr>
                <w:sz w:val="22"/>
                <w:lang w:val="en-US"/>
              </w:rPr>
            </w:pPr>
            <w:r>
              <w:rPr>
                <w:sz w:val="22"/>
                <w:lang w:val="en-US"/>
              </w:rPr>
              <w:t>King Fahd University of Petroleum and Minerals (SA)/  K.Irshad, H.Zahir</w:t>
            </w:r>
          </w:p>
        </w:tc>
        <w:tc>
          <w:tcPr>
            <w:tcW w:w="1369" w:type="dxa"/>
            <w:vAlign w:val="center"/>
          </w:tcPr>
          <w:p w14:paraId="4B64D717" w14:textId="77777777" w:rsidR="00D9600F" w:rsidRPr="00F35BFA" w:rsidRDefault="00D9600F" w:rsidP="002A10A8">
            <w:pPr>
              <w:jc w:val="center"/>
              <w:rPr>
                <w:sz w:val="22"/>
                <w:lang w:val="en-US"/>
              </w:rPr>
            </w:pPr>
            <w:r>
              <w:rPr>
                <w:sz w:val="22"/>
                <w:lang w:val="en-US"/>
              </w:rPr>
              <w:t>US 12,113,143 B2</w:t>
            </w:r>
          </w:p>
        </w:tc>
        <w:tc>
          <w:tcPr>
            <w:tcW w:w="708" w:type="dxa"/>
            <w:vAlign w:val="center"/>
          </w:tcPr>
          <w:p w14:paraId="769C7C65" w14:textId="77777777" w:rsidR="00D9600F" w:rsidRPr="00F35BFA" w:rsidRDefault="00D9600F" w:rsidP="002A10A8">
            <w:pPr>
              <w:jc w:val="center"/>
              <w:rPr>
                <w:sz w:val="22"/>
                <w:lang w:val="en-US"/>
              </w:rPr>
            </w:pPr>
            <w:r>
              <w:rPr>
                <w:sz w:val="22"/>
                <w:lang w:val="en-US"/>
              </w:rPr>
              <w:t>2024</w:t>
            </w:r>
          </w:p>
        </w:tc>
        <w:tc>
          <w:tcPr>
            <w:tcW w:w="1486" w:type="dxa"/>
            <w:vAlign w:val="center"/>
          </w:tcPr>
          <w:p w14:paraId="6C5D363C" w14:textId="77777777" w:rsidR="00D9600F" w:rsidRPr="00F35BFA" w:rsidRDefault="00D9600F" w:rsidP="002A10A8">
            <w:pPr>
              <w:jc w:val="center"/>
              <w:rPr>
                <w:sz w:val="22"/>
                <w:lang w:val="en-US"/>
              </w:rPr>
            </w:pPr>
            <w:r>
              <w:rPr>
                <w:sz w:val="22"/>
                <w:lang w:val="en-US"/>
              </w:rPr>
              <w:t>Phase change photovoltaic thermal management device</w:t>
            </w:r>
          </w:p>
        </w:tc>
        <w:tc>
          <w:tcPr>
            <w:tcW w:w="3481" w:type="dxa"/>
            <w:vAlign w:val="center"/>
          </w:tcPr>
          <w:p w14:paraId="4EF68C43" w14:textId="77777777" w:rsidR="00D9600F" w:rsidRPr="00F35BFA" w:rsidRDefault="00D9600F" w:rsidP="002A10A8">
            <w:pPr>
              <w:rPr>
                <w:sz w:val="22"/>
                <w:lang w:val="en-US"/>
              </w:rPr>
            </w:pPr>
            <w:r w:rsidRPr="00725480">
              <w:rPr>
                <w:sz w:val="22"/>
                <w:lang w:val="en-US"/>
              </w:rPr>
              <w:t>Thermal management device for a photovoltaic panel using a PCM layer attached to the back of the panel, combined with a thermoelectric generator and a water-cooled heat sink, to store heat, convert part of it into electricity and reduce panel temperature, thereby increasing overall PV efficiency.</w:t>
            </w:r>
          </w:p>
        </w:tc>
        <w:tc>
          <w:tcPr>
            <w:tcW w:w="4500" w:type="dxa"/>
            <w:vAlign w:val="center"/>
          </w:tcPr>
          <w:p w14:paraId="5552CFD0" w14:textId="77777777" w:rsidR="00CA7CF1" w:rsidRDefault="00CA7CF1" w:rsidP="00CA7CF1">
            <w:pPr>
              <w:keepNext/>
              <w:jc w:val="center"/>
            </w:pPr>
            <w:r w:rsidRPr="001A1F43">
              <w:rPr>
                <w:noProof/>
              </w:rPr>
              <w:drawing>
                <wp:inline distT="0" distB="0" distL="0" distR="0" wp14:anchorId="19B80793" wp14:editId="05B2B29B">
                  <wp:extent cx="1143000" cy="1368033"/>
                  <wp:effectExtent l="0" t="0" r="0" b="3810"/>
                  <wp:docPr id="1862076652" name="Picture 1" descr="A diagram of a solar panel&#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2076652" name="Picture 1" descr="A diagram of a solar panel&#10;&#10;AI-generated content may be incorrect."/>
                          <pic:cNvPicPr/>
                        </pic:nvPicPr>
                        <pic:blipFill>
                          <a:blip r:embed="rId150"/>
                          <a:stretch>
                            <a:fillRect/>
                          </a:stretch>
                        </pic:blipFill>
                        <pic:spPr>
                          <a:xfrm>
                            <a:off x="0" y="0"/>
                            <a:ext cx="1163544" cy="1392621"/>
                          </a:xfrm>
                          <a:prstGeom prst="rect">
                            <a:avLst/>
                          </a:prstGeom>
                        </pic:spPr>
                      </pic:pic>
                    </a:graphicData>
                  </a:graphic>
                </wp:inline>
              </w:drawing>
            </w:r>
          </w:p>
          <w:p w14:paraId="64FB3939" w14:textId="2E953699" w:rsidR="00CA7CF1" w:rsidRDefault="00CA7CF1" w:rsidP="00CA7CF1">
            <w:pPr>
              <w:pStyle w:val="Caption"/>
            </w:pPr>
            <w:bookmarkStart w:id="190" w:name="_Toc214357760"/>
            <w:r>
              <w:t xml:space="preserve">Figure </w:t>
            </w:r>
            <w:r w:rsidR="00F824A5">
              <w:fldChar w:fldCharType="begin"/>
            </w:r>
            <w:r w:rsidR="00F824A5">
              <w:instrText xml:space="preserve"> STYLEREF 1 \s </w:instrText>
            </w:r>
            <w:r w:rsidR="00F824A5">
              <w:fldChar w:fldCharType="separate"/>
            </w:r>
            <w:r w:rsidR="000412CE">
              <w:rPr>
                <w:noProof/>
              </w:rPr>
              <w:t>2</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32</w:t>
            </w:r>
            <w:r w:rsidR="00F824A5">
              <w:fldChar w:fldCharType="end"/>
            </w:r>
            <w:r>
              <w:t xml:space="preserve">. </w:t>
            </w:r>
            <w:r w:rsidRPr="0059192A">
              <w:t>Perspective exploded diagram of the thermal management device, according to certain embodiments.</w:t>
            </w:r>
            <w:bookmarkEnd w:id="190"/>
          </w:p>
          <w:p w14:paraId="636FD8E7" w14:textId="10CE4C53" w:rsidR="00D9600F" w:rsidRPr="00725480" w:rsidRDefault="00D9600F" w:rsidP="002A10A8">
            <w:pPr>
              <w:jc w:val="center"/>
              <w:rPr>
                <w:sz w:val="22"/>
                <w:lang w:val="en-US"/>
              </w:rPr>
            </w:pPr>
          </w:p>
        </w:tc>
      </w:tr>
      <w:tr w:rsidR="00BA6D44" w:rsidRPr="00736B36" w14:paraId="0B37AAA4" w14:textId="77777777" w:rsidTr="1DCE42CA">
        <w:tc>
          <w:tcPr>
            <w:tcW w:w="2165" w:type="dxa"/>
            <w:vAlign w:val="center"/>
          </w:tcPr>
          <w:p w14:paraId="588AE6E9" w14:textId="77777777" w:rsidR="00D9600F" w:rsidRPr="00725480" w:rsidRDefault="00D9600F" w:rsidP="002A10A8">
            <w:pPr>
              <w:jc w:val="center"/>
              <w:rPr>
                <w:sz w:val="22"/>
                <w:lang w:val="en-US"/>
              </w:rPr>
            </w:pPr>
            <w:r w:rsidRPr="00725480">
              <w:rPr>
                <w:sz w:val="22"/>
                <w:lang w:val="en-US"/>
              </w:rPr>
              <w:lastRenderedPageBreak/>
              <w:t>Ford Global Technologies LLC (US) / D. K. Bidner, W. C. Cole, P. Bonkoski, S. Katragadda, M. Levin</w:t>
            </w:r>
          </w:p>
        </w:tc>
        <w:tc>
          <w:tcPr>
            <w:tcW w:w="1369" w:type="dxa"/>
            <w:vAlign w:val="center"/>
          </w:tcPr>
          <w:p w14:paraId="63C94F69" w14:textId="77777777" w:rsidR="00D9600F" w:rsidRPr="00F35BFA" w:rsidRDefault="00D9600F" w:rsidP="002A10A8">
            <w:pPr>
              <w:jc w:val="center"/>
              <w:rPr>
                <w:sz w:val="22"/>
                <w:lang w:val="en-US"/>
              </w:rPr>
            </w:pPr>
            <w:r w:rsidRPr="000121CD">
              <w:rPr>
                <w:sz w:val="22"/>
              </w:rPr>
              <w:t>US 1</w:t>
            </w:r>
            <w:r>
              <w:rPr>
                <w:sz w:val="22"/>
              </w:rPr>
              <w:t>1</w:t>
            </w:r>
            <w:r w:rsidRPr="000121CD">
              <w:rPr>
                <w:sz w:val="22"/>
              </w:rPr>
              <w:t>,</w:t>
            </w:r>
            <w:r>
              <w:rPr>
                <w:sz w:val="22"/>
              </w:rPr>
              <w:t>518</w:t>
            </w:r>
            <w:r w:rsidRPr="000121CD">
              <w:rPr>
                <w:sz w:val="22"/>
              </w:rPr>
              <w:t>,</w:t>
            </w:r>
            <w:r>
              <w:rPr>
                <w:sz w:val="22"/>
              </w:rPr>
              <w:t>212</w:t>
            </w:r>
            <w:r w:rsidRPr="000121CD">
              <w:rPr>
                <w:sz w:val="22"/>
              </w:rPr>
              <w:t xml:space="preserve"> B2</w:t>
            </w:r>
          </w:p>
        </w:tc>
        <w:tc>
          <w:tcPr>
            <w:tcW w:w="708" w:type="dxa"/>
            <w:vAlign w:val="center"/>
          </w:tcPr>
          <w:p w14:paraId="3CF85606" w14:textId="77777777" w:rsidR="00D9600F" w:rsidRPr="00F35BFA" w:rsidRDefault="00D9600F" w:rsidP="002A10A8">
            <w:pPr>
              <w:jc w:val="center"/>
              <w:rPr>
                <w:sz w:val="22"/>
                <w:lang w:val="en-US"/>
              </w:rPr>
            </w:pPr>
            <w:r>
              <w:rPr>
                <w:sz w:val="22"/>
                <w:lang w:val="en-US"/>
              </w:rPr>
              <w:t>2022</w:t>
            </w:r>
          </w:p>
        </w:tc>
        <w:tc>
          <w:tcPr>
            <w:tcW w:w="1486" w:type="dxa"/>
            <w:vAlign w:val="center"/>
          </w:tcPr>
          <w:p w14:paraId="1E08E6B8" w14:textId="77777777" w:rsidR="00D9600F" w:rsidRPr="00F35BFA" w:rsidRDefault="00D9600F" w:rsidP="002A10A8">
            <w:pPr>
              <w:jc w:val="center"/>
              <w:rPr>
                <w:sz w:val="22"/>
                <w:lang w:val="en-US"/>
              </w:rPr>
            </w:pPr>
            <w:r>
              <w:rPr>
                <w:sz w:val="22"/>
                <w:lang w:val="en-US"/>
              </w:rPr>
              <w:t>Systems and methods for thermal battery control</w:t>
            </w:r>
          </w:p>
        </w:tc>
        <w:tc>
          <w:tcPr>
            <w:tcW w:w="3481" w:type="dxa"/>
            <w:vAlign w:val="center"/>
          </w:tcPr>
          <w:p w14:paraId="5687DFB5" w14:textId="77777777" w:rsidR="00D9600F" w:rsidRPr="000121CD" w:rsidRDefault="00D9600F" w:rsidP="002A10A8">
            <w:pPr>
              <w:rPr>
                <w:sz w:val="22"/>
                <w:lang w:val="en-US"/>
              </w:rPr>
            </w:pPr>
            <w:r w:rsidRPr="000121CD">
              <w:rPr>
                <w:sz w:val="22"/>
                <w:lang w:val="en-US"/>
              </w:rPr>
              <w:t>Vehicle thermal battery system including a thermal storage device with two PCMs having different melting points, and control methods that estimate battery state of charge from coolant temperature and PCM properties to more accurately store and release heat for warming engine, cabin and other vehicle components</w:t>
            </w:r>
          </w:p>
        </w:tc>
        <w:tc>
          <w:tcPr>
            <w:tcW w:w="4500" w:type="dxa"/>
            <w:vAlign w:val="center"/>
          </w:tcPr>
          <w:p w14:paraId="7B5A344B" w14:textId="77777777" w:rsidR="00CA7CF1" w:rsidRDefault="00CA7CF1" w:rsidP="00CA7CF1">
            <w:pPr>
              <w:keepNext/>
              <w:jc w:val="center"/>
            </w:pPr>
            <w:r w:rsidRPr="00184A86">
              <w:rPr>
                <w:noProof/>
              </w:rPr>
              <w:drawing>
                <wp:inline distT="0" distB="0" distL="0" distR="0" wp14:anchorId="66B5CED3" wp14:editId="67CC717B">
                  <wp:extent cx="1278372" cy="1556279"/>
                  <wp:effectExtent l="0" t="5397" r="0" b="0"/>
                  <wp:docPr id="1975597050" name="Picture 1" descr="A diagram of a devi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5597050" name="Picture 1" descr="A diagram of a device&#10;&#10;AI-generated content may be incorrect."/>
                          <pic:cNvPicPr/>
                        </pic:nvPicPr>
                        <pic:blipFill>
                          <a:blip r:embed="rId151"/>
                          <a:stretch>
                            <a:fillRect/>
                          </a:stretch>
                        </pic:blipFill>
                        <pic:spPr>
                          <a:xfrm rot="5400000">
                            <a:off x="0" y="0"/>
                            <a:ext cx="1290545" cy="1571098"/>
                          </a:xfrm>
                          <a:prstGeom prst="rect">
                            <a:avLst/>
                          </a:prstGeom>
                        </pic:spPr>
                      </pic:pic>
                    </a:graphicData>
                  </a:graphic>
                </wp:inline>
              </w:drawing>
            </w:r>
          </w:p>
          <w:p w14:paraId="4E951BFA" w14:textId="4637A2D9" w:rsidR="00CA7CF1" w:rsidRDefault="00CA7CF1" w:rsidP="00CA7CF1">
            <w:pPr>
              <w:pStyle w:val="Caption"/>
            </w:pPr>
            <w:bookmarkStart w:id="191" w:name="_Toc214357761"/>
            <w:r>
              <w:t xml:space="preserve">Figure </w:t>
            </w:r>
            <w:r w:rsidR="00F824A5">
              <w:fldChar w:fldCharType="begin"/>
            </w:r>
            <w:r w:rsidR="00F824A5">
              <w:instrText xml:space="preserve"> STYLEREF 1 \s </w:instrText>
            </w:r>
            <w:r w:rsidR="00F824A5">
              <w:fldChar w:fldCharType="separate"/>
            </w:r>
            <w:r w:rsidR="000412CE">
              <w:rPr>
                <w:noProof/>
              </w:rPr>
              <w:t>2</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33</w:t>
            </w:r>
            <w:r w:rsidR="00F824A5">
              <w:fldChar w:fldCharType="end"/>
            </w:r>
            <w:r>
              <w:t xml:space="preserve">. </w:t>
            </w:r>
            <w:r w:rsidRPr="003A2AF3">
              <w:t>Example of the thermal storage device of vehicle's thermal management system</w:t>
            </w:r>
            <w:r>
              <w:t>.</w:t>
            </w:r>
            <w:bookmarkEnd w:id="191"/>
          </w:p>
          <w:p w14:paraId="359E0BCE" w14:textId="52D97494" w:rsidR="00D9600F" w:rsidRPr="000121CD" w:rsidRDefault="00D9600F" w:rsidP="002A10A8">
            <w:pPr>
              <w:jc w:val="center"/>
              <w:rPr>
                <w:sz w:val="22"/>
                <w:lang w:val="en-US"/>
              </w:rPr>
            </w:pPr>
          </w:p>
        </w:tc>
      </w:tr>
      <w:tr w:rsidR="00BA6D44" w:rsidRPr="00736B36" w14:paraId="04A9F05A" w14:textId="77777777" w:rsidTr="1DCE42CA">
        <w:tc>
          <w:tcPr>
            <w:tcW w:w="2165" w:type="dxa"/>
            <w:vAlign w:val="center"/>
          </w:tcPr>
          <w:p w14:paraId="719A1005" w14:textId="77777777" w:rsidR="00D9600F" w:rsidRPr="000121CD" w:rsidRDefault="00D9600F" w:rsidP="002A10A8">
            <w:pPr>
              <w:jc w:val="center"/>
              <w:rPr>
                <w:sz w:val="22"/>
                <w:lang w:val="en-US"/>
              </w:rPr>
            </w:pPr>
            <w:r w:rsidRPr="000121CD">
              <w:rPr>
                <w:sz w:val="22"/>
                <w:lang w:val="en-US"/>
              </w:rPr>
              <w:t>South China University of Technology (CN) / Z. Zhang, X. Fang, L. Fu</w:t>
            </w:r>
          </w:p>
        </w:tc>
        <w:tc>
          <w:tcPr>
            <w:tcW w:w="1369" w:type="dxa"/>
            <w:vAlign w:val="center"/>
          </w:tcPr>
          <w:p w14:paraId="3E6583BB" w14:textId="77777777" w:rsidR="00D9600F" w:rsidRPr="00F35BFA" w:rsidRDefault="00D9600F" w:rsidP="002A10A8">
            <w:pPr>
              <w:jc w:val="center"/>
              <w:rPr>
                <w:sz w:val="22"/>
                <w:lang w:val="en-US"/>
              </w:rPr>
            </w:pPr>
            <w:r w:rsidRPr="000121CD">
              <w:rPr>
                <w:sz w:val="22"/>
              </w:rPr>
              <w:t>US 11,530,880 B2</w:t>
            </w:r>
          </w:p>
        </w:tc>
        <w:tc>
          <w:tcPr>
            <w:tcW w:w="708" w:type="dxa"/>
            <w:vAlign w:val="center"/>
          </w:tcPr>
          <w:p w14:paraId="577B76C6" w14:textId="77777777" w:rsidR="00D9600F" w:rsidRPr="00F35BFA" w:rsidRDefault="00D9600F" w:rsidP="002A10A8">
            <w:pPr>
              <w:jc w:val="center"/>
              <w:rPr>
                <w:sz w:val="22"/>
                <w:lang w:val="en-US"/>
              </w:rPr>
            </w:pPr>
            <w:r>
              <w:rPr>
                <w:sz w:val="22"/>
                <w:lang w:val="en-US"/>
              </w:rPr>
              <w:t>2022</w:t>
            </w:r>
          </w:p>
        </w:tc>
        <w:tc>
          <w:tcPr>
            <w:tcW w:w="1486" w:type="dxa"/>
            <w:vAlign w:val="center"/>
          </w:tcPr>
          <w:p w14:paraId="36885B9A" w14:textId="77777777" w:rsidR="00D9600F" w:rsidRPr="000121CD" w:rsidRDefault="00D9600F" w:rsidP="002A10A8">
            <w:pPr>
              <w:jc w:val="center"/>
              <w:rPr>
                <w:sz w:val="22"/>
                <w:lang w:val="en-US"/>
              </w:rPr>
            </w:pPr>
            <w:r w:rsidRPr="000121CD">
              <w:rPr>
                <w:sz w:val="22"/>
                <w:lang w:val="en-US"/>
              </w:rPr>
              <w:t>Phase-change energy-storage structure for building insulation</w:t>
            </w:r>
          </w:p>
        </w:tc>
        <w:tc>
          <w:tcPr>
            <w:tcW w:w="3481" w:type="dxa"/>
            <w:vAlign w:val="center"/>
          </w:tcPr>
          <w:p w14:paraId="282EFC56" w14:textId="77777777" w:rsidR="00D9600F" w:rsidRPr="000121CD" w:rsidRDefault="00D9600F" w:rsidP="002A10A8">
            <w:pPr>
              <w:rPr>
                <w:sz w:val="22"/>
                <w:lang w:val="en-US"/>
              </w:rPr>
            </w:pPr>
            <w:r w:rsidRPr="000121CD">
              <w:rPr>
                <w:sz w:val="22"/>
                <w:lang w:val="en-US"/>
              </w:rPr>
              <w:t>Building wall structure incorporating a shaped phase-change energy-storage insulation board made of an inorganic hydrated-salt composite PCM in a porous carrier, encapsulated in a fire-resistant resin and packaging sheet, to store coolness from outdoor night air and release it indoors during the day, improving thermal inertia and reducing</w:t>
            </w:r>
            <w:r>
              <w:rPr>
                <w:sz w:val="22"/>
                <w:lang w:val="en-US"/>
              </w:rPr>
              <w:t xml:space="preserve"> </w:t>
            </w:r>
            <w:r w:rsidRPr="000121CD">
              <w:rPr>
                <w:sz w:val="22"/>
                <w:lang w:val="en-US"/>
              </w:rPr>
              <w:t>energy use.</w:t>
            </w:r>
          </w:p>
        </w:tc>
        <w:tc>
          <w:tcPr>
            <w:tcW w:w="4500" w:type="dxa"/>
            <w:vAlign w:val="center"/>
          </w:tcPr>
          <w:p w14:paraId="4F4AE309" w14:textId="77777777" w:rsidR="00F824A5" w:rsidRDefault="00F824A5" w:rsidP="00F824A5">
            <w:pPr>
              <w:keepNext/>
              <w:jc w:val="center"/>
            </w:pPr>
            <w:r w:rsidRPr="00FB178F">
              <w:rPr>
                <w:noProof/>
              </w:rPr>
              <w:drawing>
                <wp:inline distT="0" distB="0" distL="0" distR="0" wp14:anchorId="6E296899" wp14:editId="459EB0FD">
                  <wp:extent cx="1837266" cy="925506"/>
                  <wp:effectExtent l="0" t="0" r="0" b="8255"/>
                  <wp:docPr id="264442299" name="Picture 1" descr="A diagram of a wooden boar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442299" name="Picture 1" descr="A diagram of a wooden board&#10;&#10;AI-generated content may be incorrect."/>
                          <pic:cNvPicPr/>
                        </pic:nvPicPr>
                        <pic:blipFill>
                          <a:blip r:embed="rId152"/>
                          <a:stretch>
                            <a:fillRect/>
                          </a:stretch>
                        </pic:blipFill>
                        <pic:spPr>
                          <a:xfrm>
                            <a:off x="0" y="0"/>
                            <a:ext cx="1853141" cy="933503"/>
                          </a:xfrm>
                          <a:prstGeom prst="rect">
                            <a:avLst/>
                          </a:prstGeom>
                        </pic:spPr>
                      </pic:pic>
                    </a:graphicData>
                  </a:graphic>
                </wp:inline>
              </w:drawing>
            </w:r>
          </w:p>
          <w:p w14:paraId="06F4A5FE" w14:textId="26D70F0A" w:rsidR="00F824A5" w:rsidRDefault="00F824A5" w:rsidP="00F824A5">
            <w:pPr>
              <w:pStyle w:val="Caption"/>
            </w:pPr>
            <w:bookmarkStart w:id="192" w:name="_Toc214357762"/>
            <w:r>
              <w:t xml:space="preserve">Figure </w:t>
            </w:r>
            <w:r>
              <w:fldChar w:fldCharType="begin"/>
            </w:r>
            <w:r>
              <w:instrText xml:space="preserve"> STYLEREF 1 \s </w:instrText>
            </w:r>
            <w:r>
              <w:fldChar w:fldCharType="separate"/>
            </w:r>
            <w:r w:rsidR="000412CE">
              <w:rPr>
                <w:noProof/>
              </w:rPr>
              <w:t>2</w:t>
            </w:r>
            <w:r>
              <w:fldChar w:fldCharType="end"/>
            </w:r>
            <w:r>
              <w:t>.</w:t>
            </w:r>
            <w:r>
              <w:fldChar w:fldCharType="begin"/>
            </w:r>
            <w:r>
              <w:instrText xml:space="preserve"> SEQ Figure \* ARABIC \s 1 </w:instrText>
            </w:r>
            <w:r>
              <w:fldChar w:fldCharType="separate"/>
            </w:r>
            <w:r w:rsidR="000412CE">
              <w:rPr>
                <w:noProof/>
              </w:rPr>
              <w:t>34</w:t>
            </w:r>
            <w:r>
              <w:fldChar w:fldCharType="end"/>
            </w:r>
            <w:r>
              <w:t xml:space="preserve">. </w:t>
            </w:r>
            <w:r w:rsidRPr="00A40877">
              <w:t>Diagram of the phase-change energy-storage structure for building insulation and of the shaped phase-change energy-storage insulation board.</w:t>
            </w:r>
            <w:bookmarkEnd w:id="192"/>
          </w:p>
          <w:p w14:paraId="2D933D78" w14:textId="4319C943" w:rsidR="00D9600F" w:rsidRPr="000121CD" w:rsidRDefault="00D9600F" w:rsidP="002A10A8">
            <w:pPr>
              <w:jc w:val="center"/>
              <w:rPr>
                <w:sz w:val="22"/>
                <w:lang w:val="en-US"/>
              </w:rPr>
            </w:pPr>
          </w:p>
        </w:tc>
      </w:tr>
      <w:tr w:rsidR="00BA6D44" w:rsidRPr="00736B36" w14:paraId="1063500C" w14:textId="77777777" w:rsidTr="1DCE42CA">
        <w:tc>
          <w:tcPr>
            <w:tcW w:w="2165" w:type="dxa"/>
            <w:vAlign w:val="center"/>
          </w:tcPr>
          <w:p w14:paraId="06765250" w14:textId="77777777" w:rsidR="00D9600F" w:rsidRPr="00F35BFA" w:rsidRDefault="00D9600F" w:rsidP="002A10A8">
            <w:pPr>
              <w:jc w:val="center"/>
              <w:rPr>
                <w:sz w:val="22"/>
                <w:lang w:val="en-US"/>
              </w:rPr>
            </w:pPr>
            <w:r>
              <w:rPr>
                <w:sz w:val="22"/>
                <w:lang w:val="en-US"/>
              </w:rPr>
              <w:lastRenderedPageBreak/>
              <w:t>University of North Texas (US)/ S.Q. Shi, W.Zhao, L.Cai</w:t>
            </w:r>
          </w:p>
        </w:tc>
        <w:tc>
          <w:tcPr>
            <w:tcW w:w="1369" w:type="dxa"/>
            <w:vAlign w:val="center"/>
          </w:tcPr>
          <w:p w14:paraId="04408196" w14:textId="77777777" w:rsidR="00D9600F" w:rsidRPr="00F35BFA" w:rsidRDefault="00D9600F" w:rsidP="002A10A8">
            <w:pPr>
              <w:jc w:val="center"/>
              <w:rPr>
                <w:sz w:val="22"/>
                <w:lang w:val="en-US"/>
              </w:rPr>
            </w:pPr>
            <w:r w:rsidRPr="000121CD">
              <w:rPr>
                <w:sz w:val="22"/>
              </w:rPr>
              <w:t>US 11,352,783 B2</w:t>
            </w:r>
          </w:p>
        </w:tc>
        <w:tc>
          <w:tcPr>
            <w:tcW w:w="708" w:type="dxa"/>
            <w:vAlign w:val="center"/>
          </w:tcPr>
          <w:p w14:paraId="39B805A6" w14:textId="77777777" w:rsidR="00D9600F" w:rsidRPr="00F35BFA" w:rsidRDefault="00D9600F" w:rsidP="002A10A8">
            <w:pPr>
              <w:jc w:val="center"/>
              <w:rPr>
                <w:sz w:val="22"/>
                <w:lang w:val="en-US"/>
              </w:rPr>
            </w:pPr>
            <w:r>
              <w:rPr>
                <w:sz w:val="22"/>
                <w:lang w:val="en-US"/>
              </w:rPr>
              <w:t>2022</w:t>
            </w:r>
          </w:p>
        </w:tc>
        <w:tc>
          <w:tcPr>
            <w:tcW w:w="1486" w:type="dxa"/>
            <w:vAlign w:val="center"/>
          </w:tcPr>
          <w:p w14:paraId="63BD86F2" w14:textId="77777777" w:rsidR="00D9600F" w:rsidRPr="00F35BFA" w:rsidRDefault="00D9600F" w:rsidP="002A10A8">
            <w:pPr>
              <w:jc w:val="center"/>
              <w:rPr>
                <w:sz w:val="22"/>
                <w:lang w:val="en-US"/>
              </w:rPr>
            </w:pPr>
            <w:r>
              <w:rPr>
                <w:sz w:val="22"/>
                <w:lang w:val="en-US"/>
              </w:rPr>
              <w:t>Fabrication of a phase change material (PCM) integrated insulation</w:t>
            </w:r>
          </w:p>
        </w:tc>
        <w:tc>
          <w:tcPr>
            <w:tcW w:w="3481" w:type="dxa"/>
            <w:vAlign w:val="center"/>
          </w:tcPr>
          <w:p w14:paraId="78EEE35A" w14:textId="391D1758" w:rsidR="00D9600F" w:rsidRPr="000121CD" w:rsidRDefault="00D9600F" w:rsidP="002A10A8">
            <w:pPr>
              <w:keepNext/>
              <w:rPr>
                <w:sz w:val="22"/>
                <w:lang w:val="en-US"/>
              </w:rPr>
            </w:pPr>
            <w:r>
              <w:rPr>
                <w:sz w:val="22"/>
                <w:lang w:val="en-US"/>
              </w:rPr>
              <w:t>M</w:t>
            </w:r>
            <w:r w:rsidRPr="000121CD">
              <w:rPr>
                <w:sz w:val="22"/>
                <w:lang w:val="en-US"/>
              </w:rPr>
              <w:t>ethod of fabricating composite insulation in which a melted</w:t>
            </w:r>
            <w:r w:rsidR="00F824A5">
              <w:rPr>
                <w:sz w:val="22"/>
                <w:lang w:val="en-US"/>
              </w:rPr>
              <w:t xml:space="preserve"> </w:t>
            </w:r>
            <w:r w:rsidRPr="000121CD">
              <w:rPr>
                <w:sz w:val="22"/>
                <w:lang w:val="en-US"/>
              </w:rPr>
              <w:t>PCM is impregnated into porous insulating materials (e.g. biomass fibers, foams) or stored in containers to form panels that combine conventional insulation with latent heat storage, increasing effective R-value and improving energy performance in building envelopes and refrigerated compartments.</w:t>
            </w:r>
          </w:p>
        </w:tc>
        <w:tc>
          <w:tcPr>
            <w:tcW w:w="4500" w:type="dxa"/>
            <w:vAlign w:val="center"/>
          </w:tcPr>
          <w:p w14:paraId="4C6FA03F" w14:textId="77777777" w:rsidR="00F824A5" w:rsidRDefault="00F824A5" w:rsidP="00F824A5">
            <w:pPr>
              <w:keepNext/>
              <w:jc w:val="center"/>
            </w:pPr>
            <w:r w:rsidRPr="00FB178F">
              <w:rPr>
                <w:noProof/>
              </w:rPr>
              <w:drawing>
                <wp:inline distT="0" distB="0" distL="0" distR="0" wp14:anchorId="1C8ADD38" wp14:editId="0F1EACD8">
                  <wp:extent cx="1549853" cy="1447800"/>
                  <wp:effectExtent l="0" t="0" r="0" b="0"/>
                  <wp:docPr id="1094461868" name="Picture 1" descr="A drawing of a rectangular objec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4461868" name="Picture 1" descr="A drawing of a rectangular object&#10;&#10;AI-generated content may be incorrect."/>
                          <pic:cNvPicPr/>
                        </pic:nvPicPr>
                        <pic:blipFill rotWithShape="1">
                          <a:blip r:embed="rId153"/>
                          <a:srcRect t="1579" r="2097"/>
                          <a:stretch>
                            <a:fillRect/>
                          </a:stretch>
                        </pic:blipFill>
                        <pic:spPr bwMode="auto">
                          <a:xfrm>
                            <a:off x="0" y="0"/>
                            <a:ext cx="1558821" cy="1456177"/>
                          </a:xfrm>
                          <a:prstGeom prst="rect">
                            <a:avLst/>
                          </a:prstGeom>
                          <a:ln>
                            <a:noFill/>
                          </a:ln>
                          <a:extLst>
                            <a:ext uri="{53640926-AAD7-44D8-BBD7-CCE9431645EC}">
                              <a14:shadowObscured xmlns:a14="http://schemas.microsoft.com/office/drawing/2010/main"/>
                            </a:ext>
                          </a:extLst>
                        </pic:spPr>
                      </pic:pic>
                    </a:graphicData>
                  </a:graphic>
                </wp:inline>
              </w:drawing>
            </w:r>
          </w:p>
          <w:p w14:paraId="71637643" w14:textId="520B7FB6" w:rsidR="00F824A5" w:rsidRDefault="00F824A5" w:rsidP="00F824A5">
            <w:pPr>
              <w:pStyle w:val="Caption"/>
            </w:pPr>
            <w:bookmarkStart w:id="193" w:name="_Toc214357763"/>
            <w:r>
              <w:t xml:space="preserve">Figure </w:t>
            </w:r>
            <w:r>
              <w:fldChar w:fldCharType="begin"/>
            </w:r>
            <w:r>
              <w:instrText xml:space="preserve"> STYLEREF 1 \s </w:instrText>
            </w:r>
            <w:r>
              <w:fldChar w:fldCharType="separate"/>
            </w:r>
            <w:r w:rsidR="000412CE">
              <w:rPr>
                <w:noProof/>
              </w:rPr>
              <w:t>2</w:t>
            </w:r>
            <w:r>
              <w:fldChar w:fldCharType="end"/>
            </w:r>
            <w:r>
              <w:t>.</w:t>
            </w:r>
            <w:r>
              <w:fldChar w:fldCharType="begin"/>
            </w:r>
            <w:r>
              <w:instrText xml:space="preserve"> SEQ Figure \* ARABIC \s 1 </w:instrText>
            </w:r>
            <w:r>
              <w:fldChar w:fldCharType="separate"/>
            </w:r>
            <w:r w:rsidR="000412CE">
              <w:rPr>
                <w:noProof/>
              </w:rPr>
              <w:t>35</w:t>
            </w:r>
            <w:r>
              <w:fldChar w:fldCharType="end"/>
            </w:r>
            <w:r>
              <w:t xml:space="preserve">. </w:t>
            </w:r>
            <w:r w:rsidRPr="00E26FA6">
              <w:t>Illustration of an embodiment of a microencapsulated PCM honeycomb wallboard.</w:t>
            </w:r>
            <w:bookmarkEnd w:id="193"/>
          </w:p>
          <w:p w14:paraId="7F94F40B" w14:textId="424E2F0B" w:rsidR="00D9600F" w:rsidRDefault="00D9600F" w:rsidP="00F43E9A">
            <w:pPr>
              <w:keepNext/>
              <w:jc w:val="center"/>
              <w:rPr>
                <w:sz w:val="22"/>
                <w:lang w:val="en-US"/>
              </w:rPr>
            </w:pPr>
          </w:p>
        </w:tc>
      </w:tr>
    </w:tbl>
    <w:p w14:paraId="4D028E30" w14:textId="705C2F91" w:rsidR="00D9600F" w:rsidRPr="00F35BFA" w:rsidRDefault="00F43E9A" w:rsidP="00F43E9A">
      <w:pPr>
        <w:pStyle w:val="Caption"/>
        <w:sectPr w:rsidR="00D9600F" w:rsidRPr="00F35BFA" w:rsidSect="006E2BF9">
          <w:pgSz w:w="16838" w:h="11906" w:orient="landscape" w:code="9"/>
          <w:pgMar w:top="1418" w:right="1701" w:bottom="1418" w:left="1418" w:header="851" w:footer="851" w:gutter="0"/>
          <w:cols w:space="708"/>
          <w:titlePg/>
          <w:docGrid w:linePitch="360"/>
        </w:sectPr>
      </w:pPr>
      <w:bookmarkStart w:id="194" w:name="_Toc214362646"/>
      <w:r>
        <w:t xml:space="preserve">Table </w:t>
      </w:r>
      <w:r>
        <w:fldChar w:fldCharType="begin"/>
      </w:r>
      <w:r>
        <w:instrText xml:space="preserve"> STYLEREF 1 \s </w:instrText>
      </w:r>
      <w:r>
        <w:fldChar w:fldCharType="separate"/>
      </w:r>
      <w:r w:rsidR="000412CE">
        <w:rPr>
          <w:noProof/>
        </w:rPr>
        <w:t>2</w:t>
      </w:r>
      <w:r>
        <w:fldChar w:fldCharType="end"/>
      </w:r>
      <w:r>
        <w:t>.</w:t>
      </w:r>
      <w:r>
        <w:fldChar w:fldCharType="begin"/>
      </w:r>
      <w:r>
        <w:instrText xml:space="preserve"> SEQ Table \* ARABIC \s 1 </w:instrText>
      </w:r>
      <w:r>
        <w:fldChar w:fldCharType="separate"/>
      </w:r>
      <w:r w:rsidR="000412CE">
        <w:rPr>
          <w:noProof/>
        </w:rPr>
        <w:t>18</w:t>
      </w:r>
      <w:r>
        <w:fldChar w:fldCharType="end"/>
      </w:r>
      <w:r>
        <w:t xml:space="preserve">. </w:t>
      </w:r>
      <w:r w:rsidRPr="001B08DA">
        <w:t>Selection of recent patents on PCM for energy applications</w:t>
      </w:r>
      <w:r>
        <w:t>.</w:t>
      </w:r>
      <w:bookmarkEnd w:id="194"/>
    </w:p>
    <w:p w14:paraId="5386DAA4" w14:textId="0DDC7EFE" w:rsidR="00625AD6" w:rsidRPr="00625AD6" w:rsidRDefault="00BD2ECC" w:rsidP="00625AD6">
      <w:pPr>
        <w:pStyle w:val="Heading1"/>
        <w:rPr>
          <w:lang w:val="en-US"/>
        </w:rPr>
      </w:pPr>
      <w:bookmarkStart w:id="195" w:name="_Toc213354096"/>
      <w:bookmarkStart w:id="196" w:name="_Toc214356316"/>
      <w:r>
        <w:rPr>
          <w:lang w:val="en-US"/>
        </w:rPr>
        <w:lastRenderedPageBreak/>
        <w:t xml:space="preserve">PCM </w:t>
      </w:r>
      <w:r w:rsidR="00625AD6" w:rsidRPr="00625AD6">
        <w:rPr>
          <w:lang w:val="en-US"/>
        </w:rPr>
        <w:t>Models</w:t>
      </w:r>
      <w:bookmarkEnd w:id="195"/>
      <w:bookmarkEnd w:id="196"/>
    </w:p>
    <w:p w14:paraId="777EAFE6" w14:textId="2957A672" w:rsidR="00625AD6" w:rsidRPr="00625AD6" w:rsidRDefault="00625AD6" w:rsidP="00625AD6">
      <w:pPr>
        <w:pStyle w:val="Heading2"/>
        <w:rPr>
          <w:lang w:val="en-US"/>
        </w:rPr>
      </w:pPr>
      <w:bookmarkStart w:id="197" w:name="_Toc213354097"/>
      <w:bookmarkStart w:id="198" w:name="_Toc214356317"/>
      <w:r w:rsidRPr="00625AD6">
        <w:rPr>
          <w:lang w:val="en-US"/>
        </w:rPr>
        <w:t>Introduction to the Stefan problem</w:t>
      </w:r>
      <w:bookmarkEnd w:id="197"/>
      <w:bookmarkEnd w:id="198"/>
    </w:p>
    <w:p w14:paraId="522F0117" w14:textId="77777777" w:rsidR="00625AD6" w:rsidRPr="00625AD6" w:rsidRDefault="00625AD6" w:rsidP="00625AD6">
      <w:pPr>
        <w:rPr>
          <w:rFonts w:cs="Times New Roman"/>
          <w:lang w:val="en-US"/>
        </w:rPr>
      </w:pPr>
      <w:r w:rsidRPr="00625AD6">
        <w:rPr>
          <w:rFonts w:cs="Times New Roman"/>
          <w:lang w:val="en-US"/>
        </w:rPr>
        <w:t>A Stefan problem is a specific type of boundary value problem for a partial differential equation that describes heat distribution in a medium undergoing a phase change. Since the evolving interface is a priori unknown, part of the solution consists precisely in determining its position. A classical example is the diffusion of heat during the melting of ice: as melting progresses, the boundary between ice and water changes its position. To obtain a unique solution for a Stefan problem, two boundary conditions are required: one to determine the a priori unknown interface and another to define an appropriate condition on the fixed boundary. Although it is not possible to provide a single, general formulation of this type of problem, some common characteristics can be identified:</w:t>
      </w:r>
    </w:p>
    <w:p w14:paraId="7049B6FB" w14:textId="77777777" w:rsidR="00625AD6" w:rsidRPr="00625AD6" w:rsidRDefault="00625AD6">
      <w:pPr>
        <w:numPr>
          <w:ilvl w:val="0"/>
          <w:numId w:val="11"/>
        </w:numPr>
        <w:spacing w:before="0" w:after="160" w:line="259" w:lineRule="auto"/>
        <w:rPr>
          <w:rFonts w:cs="Times New Roman"/>
          <w:lang w:val="en-US"/>
        </w:rPr>
      </w:pPr>
      <w:r w:rsidRPr="00625AD6">
        <w:rPr>
          <w:rFonts w:cs="Times New Roman"/>
          <w:lang w:val="en-US"/>
        </w:rPr>
        <w:t>heat distribution and heat transfer are described by differential equations;</w:t>
      </w:r>
    </w:p>
    <w:p w14:paraId="56FD9D0A" w14:textId="77777777" w:rsidR="00625AD6" w:rsidRPr="00625AD6" w:rsidRDefault="00625AD6">
      <w:pPr>
        <w:numPr>
          <w:ilvl w:val="0"/>
          <w:numId w:val="11"/>
        </w:numPr>
        <w:spacing w:before="0" w:after="160" w:line="259" w:lineRule="auto"/>
        <w:rPr>
          <w:rFonts w:cs="Times New Roman"/>
          <w:lang w:val="en-US"/>
        </w:rPr>
      </w:pPr>
      <w:r w:rsidRPr="00625AD6">
        <w:rPr>
          <w:rFonts w:cs="Times New Roman"/>
          <w:lang w:val="en-US"/>
        </w:rPr>
        <w:t>there exists a well-defined interface (or phase-change boundary) between two or more distinguishable phases;</w:t>
      </w:r>
    </w:p>
    <w:p w14:paraId="5A7E6B2A" w14:textId="77777777" w:rsidR="00625AD6" w:rsidRPr="00625AD6" w:rsidRDefault="00625AD6">
      <w:pPr>
        <w:numPr>
          <w:ilvl w:val="0"/>
          <w:numId w:val="11"/>
        </w:numPr>
        <w:spacing w:before="0" w:after="160" w:line="259" w:lineRule="auto"/>
        <w:rPr>
          <w:rFonts w:cs="Times New Roman"/>
          <w:lang w:val="en-US"/>
        </w:rPr>
      </w:pPr>
      <w:r w:rsidRPr="00625AD6">
        <w:rPr>
          <w:rFonts w:cs="Times New Roman"/>
          <w:lang w:val="en-US"/>
        </w:rPr>
        <w:t>the temperature of the interface is a priori known.</w:t>
      </w:r>
    </w:p>
    <w:p w14:paraId="3EE1FEA1" w14:textId="15A823AB" w:rsidR="00625AD6" w:rsidRPr="00625AD6" w:rsidRDefault="00625AD6" w:rsidP="00625AD6">
      <w:pPr>
        <w:rPr>
          <w:rFonts w:cs="Times New Roman"/>
          <w:lang w:val="en-US"/>
        </w:rPr>
      </w:pPr>
      <w:r w:rsidRPr="00625AD6">
        <w:rPr>
          <w:rFonts w:cs="Times New Roman"/>
          <w:lang w:val="en-US"/>
        </w:rPr>
        <w:t xml:space="preserve">The first known study on heat diffusion in a medium undergoing a phase change was published in 1831 by the French mathematicians Gabriel Lamé and Benoît Paul Émile Clapeyron. The problem considered involved the cooling of a liquid occupying the half-space </w:t>
      </w:r>
      <m:oMath>
        <m:r>
          <m:rPr>
            <m:sty m:val="p"/>
          </m:rPr>
          <w:rPr>
            <w:rFonts w:ascii="Cambria Math" w:hAnsi="Cambria Math" w:cs="Times New Roman"/>
            <w:lang w:val="en-US"/>
          </w:rPr>
          <m:t>x&gt;0</m:t>
        </m:r>
      </m:oMath>
      <w:r w:rsidRPr="00625AD6">
        <w:rPr>
          <w:rFonts w:cs="Times New Roman"/>
          <w:lang w:val="en-US"/>
        </w:rPr>
        <w:t xml:space="preserve">and the determination of the thickness of the solid crust formed, with a constant boundary condition at </w:t>
      </w:r>
      <m:oMath>
        <m:r>
          <m:rPr>
            <m:sty m:val="p"/>
          </m:rPr>
          <w:rPr>
            <w:rFonts w:ascii="Cambria Math" w:hAnsi="Cambria Math" w:cs="Times New Roman"/>
            <w:lang w:val="en-US"/>
          </w:rPr>
          <m:t>x=0</m:t>
        </m:r>
      </m:oMath>
      <w:r w:rsidRPr="00625AD6">
        <w:rPr>
          <w:rFonts w:cs="Times New Roman"/>
          <w:lang w:val="en-US"/>
        </w:rPr>
        <w:t xml:space="preserve">. Almost sixty years later, in 1889, the issue was revisited and formulated in a more general way by the Austrian physicist and mathematician Joseph Stefan, who published four papers describing mathematical models for real physical problems involving phase change. This was the first systematic study of such problems, and since then, equations involving a moving or free interface during melting or solidification have been known as Stefan problems. Among the four papers published by Stefan, the one that attracted the most attention was dedicated to the formation of ice in polar seas. However, the mathematical solution he presented had already been found in 1860 by the German physicist and mathematician Franz Ernst Neumann, and it is now known as the Neumann solution. During a phase change (melting or solidification), a discontinuous change occurs in the material’s properties, and a latent heat appears; energy is exchanged without a </w:t>
      </w:r>
      <w:r w:rsidRPr="00625AD6">
        <w:rPr>
          <w:rFonts w:cs="Times New Roman"/>
          <w:lang w:val="en-US"/>
        </w:rPr>
        <w:lastRenderedPageBreak/>
        <w:t>temperature change. By applying the conservation of energy</w:t>
      </w:r>
      <w:r w:rsidR="005C1C60">
        <w:rPr>
          <w:rFonts w:cs="Times New Roman"/>
          <w:lang w:val="en-US"/>
        </w:rPr>
        <w:t>,</w:t>
      </w:r>
      <w:r w:rsidRPr="00625AD6">
        <w:rPr>
          <w:rFonts w:cs="Times New Roman"/>
          <w:lang w:val="en-US"/>
        </w:rPr>
        <w:t xml:space="preserve"> Eq. (29)</w:t>
      </w:r>
      <w:r w:rsidR="005C1C60">
        <w:rPr>
          <w:rFonts w:cs="Times New Roman"/>
          <w:lang w:val="en-US"/>
        </w:rPr>
        <w:t>,</w:t>
      </w:r>
      <w:r w:rsidRPr="00625AD6">
        <w:rPr>
          <w:rFonts w:cs="Times New Roman"/>
          <w:lang w:val="en-US"/>
        </w:rPr>
        <w:t xml:space="preserve"> to a control volume</w:t>
      </w:r>
    </w:p>
    <w:p w14:paraId="7EF22E31" w14:textId="77777777" w:rsidR="00625AD6" w:rsidRPr="00625AD6" w:rsidRDefault="00000000" w:rsidP="00625AD6">
      <w:pPr>
        <w:rPr>
          <w:rFonts w:eastAsiaTheme="minorEastAsia" w:cs="Times New Roman"/>
        </w:rPr>
      </w:pPr>
      <m:oMathPara>
        <m:oMathParaPr>
          <m:jc m:val="right"/>
        </m:oMathParaPr>
        <m:oMath>
          <m:f>
            <m:fPr>
              <m:ctrlPr>
                <w:rPr>
                  <w:rFonts w:ascii="Cambria Math" w:hAnsi="Cambria Math" w:cs="Times New Roman"/>
                  <w:i/>
                </w:rPr>
              </m:ctrlPr>
            </m:fPr>
            <m:num>
              <m:r>
                <w:rPr>
                  <w:rFonts w:ascii="Cambria Math" w:hAnsi="Cambria Math" w:cs="Times New Roman"/>
                </w:rPr>
                <m:t>d</m:t>
              </m:r>
            </m:num>
            <m:den>
              <m:r>
                <w:rPr>
                  <w:rFonts w:ascii="Cambria Math" w:hAnsi="Cambria Math" w:cs="Times New Roman"/>
                </w:rPr>
                <m:t>dt</m:t>
              </m:r>
            </m:den>
          </m:f>
          <m:r>
            <w:rPr>
              <w:rFonts w:ascii="Cambria Math" w:hAnsi="Cambria Math" w:cs="Times New Roman"/>
            </w:rPr>
            <m:t>​</m:t>
          </m:r>
          <m:nary>
            <m:naryPr>
              <m:limLoc m:val="undOvr"/>
              <m:subHide m:val="1"/>
              <m:supHide m:val="1"/>
              <m:ctrlPr>
                <w:rPr>
                  <w:rFonts w:ascii="Cambria Math" w:hAnsi="Cambria Math" w:cs="Times New Roman"/>
                  <w:i/>
                </w:rPr>
              </m:ctrlPr>
            </m:naryPr>
            <m:sub/>
            <m:sup/>
            <m:e>
              <m:r>
                <w:rPr>
                  <w:rFonts w:ascii="Cambria Math" w:hAnsi="Cambria Math" w:cs="Times New Roman"/>
                </w:rPr>
                <m:t>udV</m:t>
              </m:r>
            </m:e>
          </m:nary>
          <m:r>
            <w:rPr>
              <w:rFonts w:ascii="Cambria Math" w:hAnsi="Cambria Math" w:cs="Times New Roman"/>
            </w:rPr>
            <m:t>=-</m:t>
          </m:r>
          <m:nary>
            <m:naryPr>
              <m:limLoc m:val="undOvr"/>
              <m:subHide m:val="1"/>
              <m:supHide m:val="1"/>
              <m:ctrlPr>
                <w:rPr>
                  <w:rFonts w:ascii="Cambria Math" w:hAnsi="Cambria Math" w:cs="Times New Roman"/>
                  <w:i/>
                </w:rPr>
              </m:ctrlPr>
            </m:naryPr>
            <m:sub/>
            <m:sup/>
            <m:e>
              <m:r>
                <w:rPr>
                  <w:rFonts w:ascii="Cambria Math" w:hAnsi="Cambria Math" w:cs="Times New Roman"/>
                </w:rPr>
                <m:t>div F</m:t>
              </m:r>
            </m:e>
          </m:nary>
          <m:r>
            <w:rPr>
              <w:rFonts w:ascii="Cambria Math" w:eastAsiaTheme="minorEastAsia" w:hAnsi="Cambria Math" w:cs="Times New Roman"/>
            </w:rPr>
            <m:t xml:space="preserve">                                                                         (29)</m:t>
          </m:r>
        </m:oMath>
      </m:oMathPara>
    </w:p>
    <w:p w14:paraId="2BE3077C" w14:textId="77777777" w:rsidR="00625AD6" w:rsidRPr="00625AD6" w:rsidRDefault="00625AD6" w:rsidP="00625AD6">
      <w:pPr>
        <w:rPr>
          <w:rFonts w:eastAsiaTheme="minorEastAsia" w:cs="Times New Roman"/>
          <w:lang w:val="en-US"/>
        </w:rPr>
      </w:pPr>
      <w:r w:rsidRPr="00625AD6">
        <w:rPr>
          <w:rFonts w:eastAsiaTheme="minorEastAsia" w:cs="Times New Roman"/>
          <w:lang w:val="en-US"/>
        </w:rPr>
        <w:t>The result is Eq. (30)</w:t>
      </w:r>
    </w:p>
    <w:p w14:paraId="3FA2F949" w14:textId="77777777" w:rsidR="00625AD6" w:rsidRPr="00625AD6" w:rsidRDefault="00000000" w:rsidP="00625AD6">
      <w:pPr>
        <w:rPr>
          <w:rFonts w:cs="Times New Roman"/>
          <w:lang w:val="en-US"/>
        </w:rPr>
      </w:pPr>
      <m:oMathPara>
        <m:oMathParaPr>
          <m:jc m:val="right"/>
        </m:oMathParaPr>
        <m:oMath>
          <m:sSub>
            <m:sSubPr>
              <m:ctrlPr>
                <w:rPr>
                  <w:rFonts w:ascii="Cambria Math" w:hAnsi="Cambria Math" w:cs="Times New Roman"/>
                  <w:i/>
                </w:rPr>
              </m:ctrlPr>
            </m:sSubPr>
            <m:e>
              <m:r>
                <w:rPr>
                  <w:rFonts w:ascii="Cambria Math" w:hAnsi="Cambria Math" w:cs="Times New Roman"/>
                </w:rPr>
                <m:t>u</m:t>
              </m:r>
            </m:e>
            <m:sub>
              <m:r>
                <w:rPr>
                  <w:rFonts w:ascii="Cambria Math" w:hAnsi="Cambria Math" w:cs="Times New Roman"/>
                </w:rPr>
                <m:t>t</m:t>
              </m:r>
            </m:sub>
          </m:sSub>
          <m:r>
            <w:rPr>
              <w:rFonts w:ascii="Cambria Math" w:hAnsi="Cambria Math" w:cs="Times New Roman"/>
              <w:lang w:val="en-US"/>
            </w:rPr>
            <m:t>=-</m:t>
          </m:r>
          <m:r>
            <w:rPr>
              <w:rFonts w:ascii="Cambria Math" w:hAnsi="Cambria Math" w:cs="Times New Roman"/>
            </w:rPr>
            <m:t>div</m:t>
          </m:r>
          <m:r>
            <w:rPr>
              <w:rFonts w:ascii="Cambria Math" w:hAnsi="Cambria Math" w:cs="Times New Roman"/>
              <w:lang w:val="en-US"/>
            </w:rPr>
            <m:t xml:space="preserve"> </m:t>
          </m:r>
          <m:r>
            <w:rPr>
              <w:rFonts w:ascii="Cambria Math" w:hAnsi="Cambria Math" w:cs="Times New Roman"/>
            </w:rPr>
            <m:t>F                                                                                     (30)</m:t>
          </m:r>
        </m:oMath>
      </m:oMathPara>
    </w:p>
    <w:p w14:paraId="6A424C2B" w14:textId="26B75A33" w:rsidR="00625AD6" w:rsidRPr="00625AD6" w:rsidRDefault="005C1C60" w:rsidP="00625AD6">
      <w:pPr>
        <w:rPr>
          <w:rFonts w:cs="Times New Roman"/>
          <w:lang w:val="en-US"/>
        </w:rPr>
      </w:pPr>
      <w:r>
        <w:rPr>
          <w:rFonts w:cs="Times New Roman"/>
          <w:lang w:val="en-US"/>
        </w:rPr>
        <w:t>I</w:t>
      </w:r>
      <w:r w:rsidR="00625AD6" w:rsidRPr="00625AD6">
        <w:rPr>
          <w:rFonts w:cs="Times New Roman"/>
          <w:lang w:val="en-US"/>
        </w:rPr>
        <w:t xml:space="preserve">t follows that the time variation of the heat density equals the net outgoing heat flux. The heat flux </w:t>
      </w:r>
      <m:oMath>
        <m:r>
          <m:rPr>
            <m:sty m:val="p"/>
          </m:rPr>
          <w:rPr>
            <w:rFonts w:ascii="Cambria Math" w:hAnsi="Cambria Math" w:cs="Times New Roman"/>
            <w:lang w:val="en-US"/>
          </w:rPr>
          <m:t xml:space="preserve">F </m:t>
        </m:r>
      </m:oMath>
      <w:r w:rsidR="00625AD6" w:rsidRPr="00625AD6">
        <w:rPr>
          <w:rFonts w:cs="Times New Roman"/>
          <w:lang w:val="en-US"/>
        </w:rPr>
        <w:t>is proportional to the negative temperature gradient</w:t>
      </w:r>
      <w:r>
        <w:rPr>
          <w:rFonts w:cs="Times New Roman"/>
          <w:lang w:val="en-US"/>
        </w:rPr>
        <w:t>,</w:t>
      </w:r>
      <w:r w:rsidR="00625AD6" w:rsidRPr="00625AD6">
        <w:rPr>
          <w:rFonts w:cs="Times New Roman"/>
          <w:lang w:val="en-US"/>
        </w:rPr>
        <w:t xml:space="preserve"> Eq. (31)</w:t>
      </w:r>
    </w:p>
    <w:p w14:paraId="0C7107FC" w14:textId="77777777" w:rsidR="00625AD6" w:rsidRPr="00625AD6" w:rsidRDefault="00625AD6" w:rsidP="00625AD6">
      <w:pPr>
        <w:jc w:val="center"/>
        <w:rPr>
          <w:rFonts w:cs="Times New Roman"/>
        </w:rPr>
      </w:pPr>
      <m:oMathPara>
        <m:oMathParaPr>
          <m:jc m:val="right"/>
        </m:oMathParaPr>
        <m:oMath>
          <m:r>
            <m:rPr>
              <m:sty m:val="p"/>
            </m:rPr>
            <w:rPr>
              <w:rFonts w:ascii="Cambria Math" w:hAnsi="Cambria Math" w:cs="Times New Roman"/>
            </w:rPr>
            <m:t>F=-α∇u                                                                                     (31)</m:t>
          </m:r>
        </m:oMath>
      </m:oMathPara>
    </w:p>
    <w:p w14:paraId="674BF369" w14:textId="7F778D81" w:rsidR="00625AD6" w:rsidRPr="00625AD6" w:rsidRDefault="00625AD6" w:rsidP="00625AD6">
      <w:pPr>
        <w:rPr>
          <w:rFonts w:cs="Times New Roman"/>
          <w:lang w:val="en-US"/>
        </w:rPr>
      </w:pPr>
      <w:r w:rsidRPr="00625AD6">
        <w:rPr>
          <w:rFonts w:cs="Times New Roman"/>
          <w:lang w:val="en-US"/>
        </w:rPr>
        <w:t xml:space="preserve">where </w:t>
      </w:r>
      <m:oMath>
        <m:r>
          <m:rPr>
            <m:sty m:val="p"/>
          </m:rPr>
          <w:rPr>
            <w:rFonts w:ascii="Cambria Math" w:hAnsi="Cambria Math" w:cs="Times New Roman"/>
          </w:rPr>
          <m:t>α</m:t>
        </m:r>
        <m:r>
          <m:rPr>
            <m:sty m:val="p"/>
          </m:rPr>
          <w:rPr>
            <w:rFonts w:ascii="Cambria Math" w:hAnsi="Cambria Math" w:cs="Times New Roman"/>
            <w:lang w:val="en-US"/>
          </w:rPr>
          <m:t xml:space="preserve"> </m:t>
        </m:r>
      </m:oMath>
      <w:r w:rsidRPr="00625AD6">
        <w:rPr>
          <w:rFonts w:cs="Times New Roman"/>
          <w:lang w:val="en-US"/>
        </w:rPr>
        <w:t>is the thermal diffusivity. Combining these relations gives the differential form of the heat equation</w:t>
      </w:r>
      <w:r w:rsidR="005C1C60">
        <w:rPr>
          <w:rFonts w:cs="Times New Roman"/>
          <w:lang w:val="en-US"/>
        </w:rPr>
        <w:t>,</w:t>
      </w:r>
      <w:r w:rsidRPr="00625AD6">
        <w:rPr>
          <w:rFonts w:cs="Times New Roman"/>
          <w:lang w:val="en-US"/>
        </w:rPr>
        <w:t xml:space="preserve"> Eq. (32):</w:t>
      </w:r>
    </w:p>
    <w:p w14:paraId="67C5EB11" w14:textId="77777777" w:rsidR="00625AD6" w:rsidRPr="00625AD6" w:rsidRDefault="00000000" w:rsidP="00625AD6">
      <w:pPr>
        <w:rPr>
          <w:rFonts w:cs="Times New Roman"/>
        </w:rPr>
      </w:pPr>
      <m:oMathPara>
        <m:oMathParaPr>
          <m:jc m:val="right"/>
        </m:oMathParaPr>
        <m:oMath>
          <m:sSub>
            <m:sSubPr>
              <m:ctrlPr>
                <w:rPr>
                  <w:rFonts w:ascii="Cambria Math" w:hAnsi="Cambria Math" w:cs="Times New Roman"/>
                </w:rPr>
              </m:ctrlPr>
            </m:sSubPr>
            <m:e>
              <m:r>
                <m:rPr>
                  <m:sty m:val="p"/>
                </m:rPr>
                <w:rPr>
                  <w:rFonts w:ascii="Cambria Math" w:hAnsi="Cambria Math" w:cs="Times New Roman"/>
                </w:rPr>
                <m:t>u</m:t>
              </m:r>
            </m:e>
            <m:sub>
              <m:r>
                <m:rPr>
                  <m:sty m:val="p"/>
                </m:rPr>
                <w:rPr>
                  <w:rFonts w:ascii="Cambria Math" w:hAnsi="Cambria Math" w:cs="Times New Roman"/>
                </w:rPr>
                <m:t>t</m:t>
              </m:r>
            </m:sub>
          </m:sSub>
          <m:r>
            <m:rPr>
              <m:sty m:val="p"/>
            </m:rPr>
            <w:rPr>
              <w:rFonts w:ascii="Cambria Math" w:hAnsi="Cambria Math" w:cs="Times New Roman"/>
            </w:rPr>
            <m:t>=αΔu                                                                                       (32)</m:t>
          </m:r>
          <m:r>
            <m:rPr>
              <m:sty m:val="p"/>
            </m:rPr>
            <w:rPr>
              <w:rFonts w:ascii="Cambria Math" w:hAnsi="Cambria Math" w:cs="Times New Roman"/>
            </w:rPr>
            <w:br/>
          </m:r>
        </m:oMath>
      </m:oMathPara>
    </w:p>
    <w:p w14:paraId="2ED7E8E8" w14:textId="77777777" w:rsidR="00625AD6" w:rsidRPr="00625AD6" w:rsidRDefault="00625AD6" w:rsidP="00625AD6">
      <w:pPr>
        <w:rPr>
          <w:rFonts w:cs="Times New Roman"/>
          <w:lang w:val="en-US"/>
        </w:rPr>
      </w:pPr>
      <w:r w:rsidRPr="00625AD6">
        <w:rPr>
          <w:rFonts w:cs="Times New Roman"/>
          <w:lang w:val="en-US"/>
        </w:rPr>
        <w:t xml:space="preserve">which describes thermal diffusion and forms the mathematical basis of the Stefan problem. </w:t>
      </w:r>
    </w:p>
    <w:p w14:paraId="1833BCB7" w14:textId="3474BFFD" w:rsidR="00625AD6" w:rsidRPr="00625AD6" w:rsidRDefault="00625AD6" w:rsidP="003A65E5">
      <w:pPr>
        <w:pStyle w:val="Heading2"/>
      </w:pPr>
      <w:bookmarkStart w:id="199" w:name="_Toc213354098"/>
      <w:bookmarkStart w:id="200" w:name="_Toc214356318"/>
      <w:r w:rsidRPr="003A65E5">
        <w:t>Stefan</w:t>
      </w:r>
      <w:r w:rsidRPr="00625AD6">
        <w:t xml:space="preserve"> problem</w:t>
      </w:r>
      <w:bookmarkEnd w:id="199"/>
      <w:bookmarkEnd w:id="200"/>
    </w:p>
    <w:p w14:paraId="7F3B6E8B" w14:textId="77777777" w:rsidR="001C6FAB" w:rsidRDefault="00625AD6" w:rsidP="001C6FAB">
      <w:pPr>
        <w:keepNext/>
        <w:jc w:val="center"/>
      </w:pPr>
      <w:r w:rsidRPr="00625AD6">
        <w:rPr>
          <w:noProof/>
        </w:rPr>
        <w:drawing>
          <wp:inline distT="0" distB="0" distL="0" distR="0" wp14:anchorId="42DD604D" wp14:editId="41C430B5">
            <wp:extent cx="2324424" cy="1400370"/>
            <wp:effectExtent l="0" t="0" r="0" b="9525"/>
            <wp:docPr id="393496382" name="Immagine 1" descr="Immagine che contiene testo, linea, schermat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3496382" name="Immagine 1" descr="Immagine che contiene testo, linea, schermata, diagramma&#10;&#10;Il contenuto generato dall'IA potrebbe non essere corretto."/>
                    <pic:cNvPicPr/>
                  </pic:nvPicPr>
                  <pic:blipFill>
                    <a:blip r:embed="rId154"/>
                    <a:stretch>
                      <a:fillRect/>
                    </a:stretch>
                  </pic:blipFill>
                  <pic:spPr>
                    <a:xfrm>
                      <a:off x="0" y="0"/>
                      <a:ext cx="2324424" cy="1400370"/>
                    </a:xfrm>
                    <a:prstGeom prst="rect">
                      <a:avLst/>
                    </a:prstGeom>
                  </pic:spPr>
                </pic:pic>
              </a:graphicData>
            </a:graphic>
          </wp:inline>
        </w:drawing>
      </w:r>
    </w:p>
    <w:p w14:paraId="6B81436B" w14:textId="3DC8D780" w:rsidR="001C6FAB" w:rsidRDefault="001C6FAB" w:rsidP="00F43E9A">
      <w:pPr>
        <w:pStyle w:val="Caption"/>
      </w:pPr>
      <w:bookmarkStart w:id="201" w:name="_Toc214357764"/>
      <w:r>
        <w:t xml:space="preserve">Figure </w:t>
      </w:r>
      <w:r w:rsidR="00F43E9A">
        <w:t>3</w:t>
      </w:r>
      <w:r w:rsidR="00F824A5">
        <w:t>.</w:t>
      </w:r>
      <w:r w:rsidR="00F824A5">
        <w:fldChar w:fldCharType="begin"/>
      </w:r>
      <w:r w:rsidR="00F824A5">
        <w:instrText xml:space="preserve"> SEQ Figure \* ARABIC \s 1 </w:instrText>
      </w:r>
      <w:r w:rsidR="00F824A5">
        <w:fldChar w:fldCharType="separate"/>
      </w:r>
      <w:r w:rsidR="000412CE">
        <w:rPr>
          <w:noProof/>
        </w:rPr>
        <w:t>1</w:t>
      </w:r>
      <w:r w:rsidR="00F824A5">
        <w:fldChar w:fldCharType="end"/>
      </w:r>
      <w:r w:rsidR="00C058AA">
        <w:t>.</w:t>
      </w:r>
      <w:r>
        <w:t xml:space="preserve"> Stefan Problem control volume.</w:t>
      </w:r>
      <w:bookmarkEnd w:id="201"/>
    </w:p>
    <w:p w14:paraId="5FC420E6" w14:textId="1FEBDBA3" w:rsidR="00625AD6" w:rsidRPr="00625AD6" w:rsidRDefault="00F43E9A" w:rsidP="00625AD6">
      <w:pPr>
        <w:rPr>
          <w:rFonts w:cs="Times New Roman"/>
          <w:lang w:val="en-US"/>
        </w:rPr>
      </w:pPr>
      <w:r>
        <w:rPr>
          <w:rFonts w:cs="Times New Roman"/>
          <w:lang w:val="en-US"/>
        </w:rPr>
        <w:t>Figure 3</w:t>
      </w:r>
      <w:r w:rsidR="00625AD6">
        <w:rPr>
          <w:rFonts w:cs="Times New Roman"/>
          <w:lang w:val="en-US"/>
        </w:rPr>
        <w:t>.1</w:t>
      </w:r>
      <w:r w:rsidR="00625AD6" w:rsidRPr="00625AD6">
        <w:rPr>
          <w:rFonts w:cs="Times New Roman"/>
          <w:lang w:val="en-US"/>
        </w:rPr>
        <w:t xml:space="preserve"> shows the control volume. The interface is denoted by </w:t>
      </w:r>
      <m:oMath>
        <m:r>
          <w:rPr>
            <w:rFonts w:ascii="Cambria Math" w:hAnsi="Cambria Math" w:cs="Times New Roman"/>
            <w:lang w:val="nb-NO"/>
          </w:rPr>
          <m:t>x</m:t>
        </m:r>
        <m:r>
          <w:rPr>
            <w:rFonts w:ascii="Cambria Math" w:hAnsi="Cambria Math" w:cs="Times New Roman"/>
            <w:lang w:val="en-US"/>
          </w:rPr>
          <m:t>=</m:t>
        </m:r>
        <m:r>
          <w:rPr>
            <w:rFonts w:ascii="Cambria Math" w:hAnsi="Cambria Math" w:cs="Times New Roman"/>
            <w:lang w:val="nb-NO"/>
          </w:rPr>
          <m:t>s</m:t>
        </m:r>
        <m:d>
          <m:dPr>
            <m:ctrlPr>
              <w:rPr>
                <w:rFonts w:ascii="Cambria Math" w:hAnsi="Cambria Math" w:cs="Times New Roman"/>
                <w:i/>
                <w:lang w:val="nb-NO"/>
              </w:rPr>
            </m:ctrlPr>
          </m:dPr>
          <m:e>
            <m:r>
              <w:rPr>
                <w:rFonts w:ascii="Cambria Math" w:hAnsi="Cambria Math" w:cs="Times New Roman"/>
                <w:lang w:val="nb-NO"/>
              </w:rPr>
              <m:t>t</m:t>
            </m:r>
          </m:e>
        </m:d>
      </m:oMath>
      <w:r w:rsidR="00625AD6" w:rsidRPr="00625AD6">
        <w:rPr>
          <w:rFonts w:cs="Times New Roman"/>
          <w:lang w:val="en-US"/>
        </w:rPr>
        <w:t xml:space="preserve">, and the temperature at this boundary is constant, equal to the phase-change temperature </w:t>
      </w:r>
      <m:oMath>
        <m:sSub>
          <m:sSubPr>
            <m:ctrlPr>
              <w:rPr>
                <w:rFonts w:ascii="Cambria Math" w:hAnsi="Cambria Math" w:cs="Times New Roman"/>
              </w:rPr>
            </m:ctrlPr>
          </m:sSubPr>
          <m:e>
            <m:r>
              <m:rPr>
                <m:sty m:val="p"/>
              </m:rPr>
              <w:rPr>
                <w:rFonts w:ascii="Cambria Math" w:hAnsi="Cambria Math" w:cs="Times New Roman"/>
                <w:lang w:val="en-US"/>
              </w:rPr>
              <m:t>u</m:t>
            </m:r>
          </m:e>
          <m:sub>
            <m:r>
              <m:rPr>
                <m:sty m:val="p"/>
              </m:rPr>
              <w:rPr>
                <w:rFonts w:ascii="Cambria Math" w:hAnsi="Cambria Math" w:cs="Times New Roman"/>
                <w:lang w:val="en-US"/>
              </w:rPr>
              <m:t>m</m:t>
            </m:r>
          </m:sub>
        </m:sSub>
      </m:oMath>
      <w:r w:rsidR="00625AD6" w:rsidRPr="00625AD6">
        <w:rPr>
          <w:rFonts w:cs="Times New Roman"/>
          <w:lang w:val="en-US"/>
        </w:rPr>
        <w:t>. The two regions, liquid (</w:t>
      </w:r>
      <m:oMath>
        <m:sSub>
          <m:sSubPr>
            <m:ctrlPr>
              <w:rPr>
                <w:rFonts w:ascii="Cambria Math" w:hAnsi="Cambria Math" w:cs="Times New Roman"/>
              </w:rPr>
            </m:ctrlPr>
          </m:sSubPr>
          <m:e>
            <m:r>
              <m:rPr>
                <m:sty m:val="p"/>
              </m:rPr>
              <w:rPr>
                <w:rFonts w:ascii="Cambria Math" w:hAnsi="Cambria Math" w:cs="Times New Roman"/>
              </w:rPr>
              <m:t>Ω</m:t>
            </m:r>
          </m:e>
          <m:sub>
            <m:r>
              <m:rPr>
                <m:sty m:val="p"/>
              </m:rPr>
              <w:rPr>
                <w:rFonts w:ascii="Cambria Math" w:hAnsi="Cambria Math" w:cs="Times New Roman"/>
                <w:lang w:val="en-US"/>
              </w:rPr>
              <m:t>1</m:t>
            </m:r>
          </m:sub>
        </m:sSub>
      </m:oMath>
      <w:r w:rsidR="00625AD6" w:rsidRPr="00625AD6">
        <w:rPr>
          <w:rFonts w:cs="Times New Roman"/>
          <w:lang w:val="en-US"/>
        </w:rPr>
        <w:t>) and solid (</w:t>
      </w:r>
      <m:oMath>
        <m:sSub>
          <m:sSubPr>
            <m:ctrlPr>
              <w:rPr>
                <w:rFonts w:ascii="Cambria Math" w:hAnsi="Cambria Math" w:cs="Times New Roman"/>
              </w:rPr>
            </m:ctrlPr>
          </m:sSubPr>
          <m:e>
            <m:r>
              <m:rPr>
                <m:sty m:val="p"/>
              </m:rPr>
              <w:rPr>
                <w:rFonts w:ascii="Cambria Math" w:hAnsi="Cambria Math" w:cs="Times New Roman"/>
              </w:rPr>
              <m:t>Ω</m:t>
            </m:r>
          </m:e>
          <m:sub>
            <m:r>
              <m:rPr>
                <m:sty m:val="p"/>
              </m:rPr>
              <w:rPr>
                <w:rFonts w:ascii="Cambria Math" w:hAnsi="Cambria Math" w:cs="Times New Roman"/>
                <w:lang w:val="en-US"/>
              </w:rPr>
              <m:t>2</m:t>
            </m:r>
          </m:sub>
        </m:sSub>
      </m:oMath>
      <w:r w:rsidR="00625AD6" w:rsidRPr="00625AD6">
        <w:rPr>
          <w:rFonts w:cs="Times New Roman"/>
          <w:lang w:val="en-US"/>
        </w:rPr>
        <w:t>), are separated by this interface, whose position varies with time. During melting (interface moving to the right), the heat absorbed in the phase change is written as follows</w:t>
      </w:r>
      <w:r w:rsidR="005C1C60">
        <w:rPr>
          <w:rFonts w:cs="Times New Roman"/>
          <w:lang w:val="en-US"/>
        </w:rPr>
        <w:t>,</w:t>
      </w:r>
      <w:r w:rsidR="00625AD6" w:rsidRPr="00625AD6">
        <w:rPr>
          <w:rFonts w:cs="Times New Roman"/>
          <w:lang w:val="en-US"/>
        </w:rPr>
        <w:t xml:space="preserve"> Eq. (33):</w:t>
      </w:r>
    </w:p>
    <w:p w14:paraId="022F051B" w14:textId="77777777" w:rsidR="00625AD6" w:rsidRPr="00625AD6" w:rsidRDefault="00625AD6" w:rsidP="00625AD6">
      <w:pPr>
        <w:rPr>
          <w:rFonts w:cs="Times New Roman"/>
          <w:i/>
          <w:iCs/>
          <w:lang w:val="nb-NO"/>
        </w:rPr>
      </w:pPr>
      <m:oMathPara>
        <m:oMathParaPr>
          <m:jc m:val="right"/>
        </m:oMathParaPr>
        <m:oMath>
          <m:r>
            <w:rPr>
              <w:rFonts w:ascii="Cambria Math" w:hAnsi="Cambria Math" w:cs="Times New Roman"/>
              <w:lang w:val="nb-NO"/>
            </w:rPr>
            <m:t>Q=S</m:t>
          </m:r>
          <m:d>
            <m:dPr>
              <m:begChr m:val="["/>
              <m:endChr m:val="]"/>
              <m:ctrlPr>
                <w:rPr>
                  <w:rFonts w:ascii="Cambria Math" w:hAnsi="Cambria Math" w:cs="Times New Roman"/>
                  <w:i/>
                  <w:iCs/>
                  <w:lang w:val="nb-NO"/>
                </w:rPr>
              </m:ctrlPr>
            </m:dPr>
            <m:e>
              <m:r>
                <w:rPr>
                  <w:rFonts w:ascii="Cambria Math" w:hAnsi="Cambria Math" w:cs="Times New Roman"/>
                  <w:lang w:val="nb-NO"/>
                </w:rPr>
                <m:t>s</m:t>
              </m:r>
              <m:d>
                <m:dPr>
                  <m:ctrlPr>
                    <w:rPr>
                      <w:rFonts w:ascii="Cambria Math" w:hAnsi="Cambria Math" w:cs="Times New Roman"/>
                      <w:i/>
                      <w:iCs/>
                      <w:lang w:val="nb-NO"/>
                    </w:rPr>
                  </m:ctrlPr>
                </m:dPr>
                <m:e>
                  <m:sSub>
                    <m:sSubPr>
                      <m:ctrlPr>
                        <w:rPr>
                          <w:rFonts w:ascii="Cambria Math" w:hAnsi="Cambria Math" w:cs="Times New Roman"/>
                          <w:i/>
                          <w:iCs/>
                        </w:rPr>
                      </m:ctrlPr>
                    </m:sSubPr>
                    <m:e>
                      <m:r>
                        <w:rPr>
                          <w:rFonts w:ascii="Cambria Math" w:hAnsi="Cambria Math" w:cs="Times New Roman"/>
                          <w:lang w:val="nb-NO"/>
                        </w:rPr>
                        <m:t>t</m:t>
                      </m:r>
                    </m:e>
                    <m:sub>
                      <m:r>
                        <w:rPr>
                          <w:rFonts w:ascii="Cambria Math" w:hAnsi="Cambria Math" w:cs="Times New Roman"/>
                          <w:lang w:val="nb-NO"/>
                        </w:rPr>
                        <m:t>1</m:t>
                      </m:r>
                    </m:sub>
                  </m:sSub>
                </m:e>
              </m:d>
              <m:r>
                <w:rPr>
                  <w:rFonts w:ascii="Cambria Math" w:hAnsi="Cambria Math" w:cs="Times New Roman"/>
                  <w:lang w:val="nb-NO"/>
                </w:rPr>
                <m:t>-s</m:t>
              </m:r>
              <m:d>
                <m:dPr>
                  <m:ctrlPr>
                    <w:rPr>
                      <w:rFonts w:ascii="Cambria Math" w:hAnsi="Cambria Math" w:cs="Times New Roman"/>
                      <w:i/>
                      <w:iCs/>
                      <w:lang w:val="nb-NO"/>
                    </w:rPr>
                  </m:ctrlPr>
                </m:dPr>
                <m:e>
                  <m:sSub>
                    <m:sSubPr>
                      <m:ctrlPr>
                        <w:rPr>
                          <w:rFonts w:ascii="Cambria Math" w:hAnsi="Cambria Math" w:cs="Times New Roman"/>
                          <w:i/>
                          <w:iCs/>
                        </w:rPr>
                      </m:ctrlPr>
                    </m:sSubPr>
                    <m:e>
                      <m:r>
                        <w:rPr>
                          <w:rFonts w:ascii="Cambria Math" w:hAnsi="Cambria Math" w:cs="Times New Roman"/>
                          <w:lang w:val="nb-NO"/>
                        </w:rPr>
                        <m:t>t</m:t>
                      </m:r>
                    </m:e>
                    <m:sub>
                      <m:r>
                        <w:rPr>
                          <w:rFonts w:ascii="Cambria Math" w:hAnsi="Cambria Math" w:cs="Times New Roman"/>
                          <w:lang w:val="nb-NO"/>
                        </w:rPr>
                        <m:t>0</m:t>
                      </m:r>
                    </m:sub>
                  </m:sSub>
                </m:e>
              </m:d>
            </m:e>
          </m:d>
          <m:r>
            <w:rPr>
              <w:rFonts w:ascii="Cambria Math" w:hAnsi="Cambria Math" w:cs="Times New Roman"/>
            </w:rPr>
            <m:t>ρ</m:t>
          </m:r>
          <m:sSub>
            <m:sSubPr>
              <m:ctrlPr>
                <w:rPr>
                  <w:rFonts w:ascii="Cambria Math" w:hAnsi="Cambria Math" w:cs="Times New Roman"/>
                  <w:i/>
                  <w:lang w:val="nb-NO"/>
                </w:rPr>
              </m:ctrlPr>
            </m:sSubPr>
            <m:e>
              <m:r>
                <w:rPr>
                  <w:rFonts w:ascii="Cambria Math" w:hAnsi="Cambria Math" w:cs="Times New Roman"/>
                  <w:lang w:val="nb-NO"/>
                </w:rPr>
                <m:t>H</m:t>
              </m:r>
            </m:e>
            <m:sub>
              <m:r>
                <w:rPr>
                  <w:rFonts w:ascii="Cambria Math" w:hAnsi="Cambria Math" w:cs="Times New Roman"/>
                  <w:lang w:val="nb-NO"/>
                </w:rPr>
                <m:t>F</m:t>
              </m:r>
            </m:sub>
          </m:sSub>
          <m:r>
            <m:rPr>
              <m:sty m:val="p"/>
            </m:rPr>
            <w:rPr>
              <w:rFonts w:ascii="Cambria Math" w:hAnsi="Cambria Math" w:cs="Times New Roman"/>
              <w:lang w:val="nb-NO"/>
            </w:rPr>
            <m:t xml:space="preserve">                                                                    (33)</m:t>
          </m:r>
          <m:r>
            <m:rPr>
              <m:sty m:val="p"/>
            </m:rPr>
            <w:rPr>
              <w:rFonts w:ascii="Cambria Math" w:hAnsi="Cambria Math" w:cs="Times New Roman"/>
              <w:lang w:val="nb-NO"/>
            </w:rPr>
            <w:br/>
          </m:r>
        </m:oMath>
      </m:oMathPara>
    </w:p>
    <w:p w14:paraId="60E37F59" w14:textId="77777777" w:rsidR="00625AD6" w:rsidRPr="00625AD6" w:rsidRDefault="00625AD6" w:rsidP="00625AD6">
      <w:pPr>
        <w:rPr>
          <w:rFonts w:cs="Times New Roman"/>
          <w:lang w:val="en-US"/>
        </w:rPr>
      </w:pPr>
      <w:r w:rsidRPr="00625AD6">
        <w:rPr>
          <w:rFonts w:cs="Times New Roman"/>
          <w:lang w:val="en-US"/>
        </w:rPr>
        <w:t xml:space="preserve">Where S is the surface area, </w:t>
      </w:r>
      <m:oMath>
        <m:r>
          <m:rPr>
            <m:sty m:val="p"/>
          </m:rPr>
          <w:rPr>
            <w:rFonts w:ascii="Cambria Math" w:hAnsi="Cambria Math" w:cs="Times New Roman"/>
          </w:rPr>
          <m:t>ρ</m:t>
        </m:r>
        <m:r>
          <m:rPr>
            <m:sty m:val="p"/>
          </m:rPr>
          <w:rPr>
            <w:rFonts w:ascii="Cambria Math" w:hAnsi="Cambria Math" w:cs="Times New Roman"/>
            <w:lang w:val="en-US"/>
          </w:rPr>
          <m:t xml:space="preserve"> </m:t>
        </m:r>
      </m:oMath>
      <w:r w:rsidRPr="00625AD6">
        <w:rPr>
          <w:rFonts w:cs="Times New Roman"/>
          <w:lang w:val="en-US"/>
        </w:rPr>
        <w:t xml:space="preserve">is the density, and </w:t>
      </w:r>
      <m:oMath>
        <m:sSub>
          <m:sSubPr>
            <m:ctrlPr>
              <w:rPr>
                <w:rFonts w:ascii="Cambria Math" w:hAnsi="Cambria Math" w:cs="Times New Roman"/>
                <w:lang w:val="nb-NO"/>
              </w:rPr>
            </m:ctrlPr>
          </m:sSubPr>
          <m:e>
            <m:r>
              <m:rPr>
                <m:sty m:val="p"/>
              </m:rPr>
              <w:rPr>
                <w:rFonts w:ascii="Cambria Math" w:hAnsi="Cambria Math" w:cs="Times New Roman"/>
                <w:lang w:val="en-US"/>
              </w:rPr>
              <m:t>H</m:t>
            </m:r>
          </m:e>
          <m:sub>
            <m:r>
              <m:rPr>
                <m:sty m:val="p"/>
              </m:rPr>
              <w:rPr>
                <w:rFonts w:ascii="Cambria Math" w:hAnsi="Cambria Math" w:cs="Times New Roman"/>
                <w:lang w:val="en-US"/>
              </w:rPr>
              <m:t>F</m:t>
            </m:r>
          </m:sub>
        </m:sSub>
        <m:r>
          <m:rPr>
            <m:sty m:val="p"/>
          </m:rPr>
          <w:rPr>
            <w:rFonts w:ascii="Cambria Math" w:hAnsi="Cambria Math" w:cs="Times New Roman"/>
            <w:lang w:val="en-US"/>
          </w:rPr>
          <m:t xml:space="preserve"> </m:t>
        </m:r>
      </m:oMath>
      <w:r w:rsidRPr="00625AD6">
        <w:rPr>
          <w:rFonts w:cs="Times New Roman"/>
          <w:lang w:val="en-US"/>
        </w:rPr>
        <w:t xml:space="preserve">the specific latent heat. By energy conservation, this heat must equal the net heat flux entering and leaving the two phases, expressed in terms of the spatial temperature gradients and the thermal conductivities </w:t>
      </w:r>
      <m:oMath>
        <m:sSub>
          <m:sSubPr>
            <m:ctrlPr>
              <w:rPr>
                <w:rFonts w:ascii="Cambria Math" w:hAnsi="Cambria Math" w:cs="Times New Roman"/>
              </w:rPr>
            </m:ctrlPr>
          </m:sSubPr>
          <m:e>
            <m:r>
              <m:rPr>
                <m:sty m:val="p"/>
              </m:rPr>
              <w:rPr>
                <w:rFonts w:ascii="Cambria Math" w:hAnsi="Cambria Math" w:cs="Times New Roman"/>
                <w:lang w:val="en-US"/>
              </w:rPr>
              <m:t>K</m:t>
            </m:r>
          </m:e>
          <m:sub>
            <m:r>
              <m:rPr>
                <m:sty m:val="p"/>
              </m:rPr>
              <w:rPr>
                <w:rFonts w:ascii="Cambria Math" w:hAnsi="Cambria Math" w:cs="Times New Roman"/>
                <w:lang w:val="en-US"/>
              </w:rPr>
              <m:t>L</m:t>
            </m:r>
          </m:sub>
        </m:sSub>
      </m:oMath>
      <w:r w:rsidRPr="00625AD6">
        <w:rPr>
          <w:rFonts w:cs="Times New Roman"/>
          <w:lang w:val="en-US"/>
        </w:rPr>
        <w:t xml:space="preserve">and </w:t>
      </w:r>
      <m:oMath>
        <m:sSub>
          <m:sSubPr>
            <m:ctrlPr>
              <w:rPr>
                <w:rFonts w:ascii="Cambria Math" w:hAnsi="Cambria Math" w:cs="Times New Roman"/>
              </w:rPr>
            </m:ctrlPr>
          </m:sSubPr>
          <m:e>
            <m:r>
              <m:rPr>
                <m:sty m:val="p"/>
              </m:rPr>
              <w:rPr>
                <w:rFonts w:ascii="Cambria Math" w:hAnsi="Cambria Math" w:cs="Times New Roman"/>
                <w:lang w:val="en-US"/>
              </w:rPr>
              <m:t>K</m:t>
            </m:r>
          </m:e>
          <m:sub>
            <m:r>
              <m:rPr>
                <m:sty m:val="p"/>
              </m:rPr>
              <w:rPr>
                <w:rFonts w:ascii="Cambria Math" w:hAnsi="Cambria Math" w:cs="Times New Roman"/>
                <w:lang w:val="en-US"/>
              </w:rPr>
              <m:t>S</m:t>
            </m:r>
          </m:sub>
        </m:sSub>
      </m:oMath>
      <w:r w:rsidRPr="00625AD6">
        <w:rPr>
          <w:rFonts w:cs="Times New Roman"/>
          <w:lang w:val="en-US"/>
        </w:rPr>
        <w:t xml:space="preserve">. Applying the Mean Value Theorem for integrals and taking the limit for infinitesimal time intervals yields the differential relation Eq. (34) linking </w:t>
      </w:r>
      <w:r w:rsidRPr="00625AD6">
        <w:rPr>
          <w:rFonts w:cs="Times New Roman"/>
          <w:lang w:val="en-US"/>
        </w:rPr>
        <w:lastRenderedPageBreak/>
        <w:t>the velocity of the interface to the difference between the temperature gradients in the two phases:</w:t>
      </w:r>
    </w:p>
    <w:p w14:paraId="12996F6D" w14:textId="77777777" w:rsidR="00625AD6" w:rsidRPr="00625AD6" w:rsidRDefault="00000000" w:rsidP="00625AD6">
      <w:pPr>
        <w:rPr>
          <w:rFonts w:cs="Times New Roman"/>
          <w:i/>
          <w:iCs/>
        </w:rPr>
      </w:pPr>
      <m:oMathPara>
        <m:oMathParaPr>
          <m:jc m:val="right"/>
        </m:oMathParaPr>
        <m:oMath>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F</m:t>
              </m:r>
            </m:sub>
          </m:sSub>
          <m:r>
            <w:rPr>
              <w:rFonts w:ascii="Cambria Math" w:hAnsi="Cambria Math" w:cs="Times New Roman"/>
            </w:rPr>
            <m:t>ρ</m:t>
          </m:r>
          <m:f>
            <m:fPr>
              <m:ctrlPr>
                <w:rPr>
                  <w:rFonts w:ascii="Cambria Math" w:hAnsi="Cambria Math" w:cs="Times New Roman"/>
                  <w:i/>
                  <w:iCs/>
                </w:rPr>
              </m:ctrlPr>
            </m:fPr>
            <m:num>
              <m:r>
                <w:rPr>
                  <w:rFonts w:ascii="Cambria Math" w:hAnsi="Cambria Math" w:cs="Times New Roman"/>
                </w:rPr>
                <m:t>ds</m:t>
              </m:r>
            </m:num>
            <m:den>
              <m:r>
                <w:rPr>
                  <w:rFonts w:ascii="Cambria Math" w:hAnsi="Cambria Math" w:cs="Times New Roman"/>
                </w:rPr>
                <m:t>dt</m:t>
              </m:r>
            </m:den>
          </m:f>
          <m:r>
            <w:rPr>
              <w:rFonts w:ascii="Cambria Math" w:hAnsi="Cambria Math" w:cs="Times New Roman"/>
            </w:rPr>
            <m:t>=</m:t>
          </m:r>
          <m:sSub>
            <m:sSubPr>
              <m:ctrlPr>
                <w:rPr>
                  <w:rFonts w:ascii="Cambria Math" w:hAnsi="Cambria Math" w:cs="Times New Roman"/>
                  <w:i/>
                  <w:iCs/>
                </w:rPr>
              </m:ctrlPr>
            </m:sSubPr>
            <m:e>
              <m:r>
                <w:rPr>
                  <w:rFonts w:ascii="Cambria Math" w:hAnsi="Cambria Math" w:cs="Times New Roman"/>
                </w:rPr>
                <m:t>K</m:t>
              </m:r>
            </m:e>
            <m:sub>
              <m:r>
                <w:rPr>
                  <w:rFonts w:ascii="Cambria Math" w:hAnsi="Cambria Math" w:cs="Times New Roman"/>
                </w:rPr>
                <m:t>S</m:t>
              </m:r>
            </m:sub>
          </m:sSub>
          <m:f>
            <m:fPr>
              <m:ctrlPr>
                <w:rPr>
                  <w:rFonts w:ascii="Cambria Math" w:hAnsi="Cambria Math" w:cs="Times New Roman"/>
                  <w:i/>
                  <w:iCs/>
                </w:rPr>
              </m:ctrlPr>
            </m:fPr>
            <m:num>
              <m:r>
                <w:rPr>
                  <w:rFonts w:ascii="Cambria Math" w:hAnsi="Cambria Math" w:cs="Times New Roman"/>
                </w:rPr>
                <m:t>∂</m:t>
              </m:r>
              <m:sSub>
                <m:sSubPr>
                  <m:ctrlPr>
                    <w:rPr>
                      <w:rFonts w:ascii="Cambria Math" w:hAnsi="Cambria Math" w:cs="Times New Roman"/>
                      <w:i/>
                      <w:iCs/>
                    </w:rPr>
                  </m:ctrlPr>
                </m:sSubPr>
                <m:e>
                  <m:r>
                    <w:rPr>
                      <w:rFonts w:ascii="Cambria Math" w:hAnsi="Cambria Math" w:cs="Times New Roman"/>
                    </w:rPr>
                    <m:t>u</m:t>
                  </m:r>
                </m:e>
                <m:sub>
                  <m:r>
                    <w:rPr>
                      <w:rFonts w:ascii="Cambria Math" w:hAnsi="Cambria Math" w:cs="Times New Roman"/>
                    </w:rPr>
                    <m:t>S</m:t>
                  </m:r>
                </m:sub>
              </m:sSub>
            </m:num>
            <m:den>
              <m:r>
                <w:rPr>
                  <w:rFonts w:ascii="Cambria Math" w:hAnsi="Cambria Math" w:cs="Times New Roman"/>
                </w:rPr>
                <m:t>∂x</m:t>
              </m:r>
            </m:den>
          </m:f>
          <m:d>
            <m:dPr>
              <m:ctrlPr>
                <w:rPr>
                  <w:rFonts w:ascii="Cambria Math" w:hAnsi="Cambria Math" w:cs="Times New Roman"/>
                  <w:i/>
                  <w:iCs/>
                </w:rPr>
              </m:ctrlPr>
            </m:dPr>
            <m:e>
              <m:r>
                <w:rPr>
                  <w:rFonts w:ascii="Cambria Math" w:hAnsi="Cambria Math" w:cs="Times New Roman"/>
                </w:rPr>
                <m:t>s</m:t>
              </m:r>
              <m:d>
                <m:dPr>
                  <m:ctrlPr>
                    <w:rPr>
                      <w:rFonts w:ascii="Cambria Math" w:hAnsi="Cambria Math" w:cs="Times New Roman"/>
                      <w:i/>
                      <w:iCs/>
                    </w:rPr>
                  </m:ctrlPr>
                </m:dPr>
                <m:e>
                  <m:r>
                    <w:rPr>
                      <w:rFonts w:ascii="Cambria Math" w:hAnsi="Cambria Math" w:cs="Times New Roman"/>
                    </w:rPr>
                    <m:t>t</m:t>
                  </m:r>
                </m:e>
              </m:d>
              <m:r>
                <w:rPr>
                  <w:rFonts w:ascii="Cambria Math" w:hAnsi="Cambria Math" w:cs="Times New Roman"/>
                </w:rPr>
                <m:t>,t</m:t>
              </m:r>
            </m:e>
          </m:d>
          <m:r>
            <w:rPr>
              <w:rFonts w:ascii="Cambria Math" w:hAnsi="Cambria Math" w:cs="Times New Roman"/>
            </w:rPr>
            <m:t>-</m:t>
          </m:r>
          <m:sSub>
            <m:sSubPr>
              <m:ctrlPr>
                <w:rPr>
                  <w:rFonts w:ascii="Cambria Math" w:hAnsi="Cambria Math" w:cs="Times New Roman"/>
                  <w:i/>
                  <w:iCs/>
                </w:rPr>
              </m:ctrlPr>
            </m:sSubPr>
            <m:e>
              <m:r>
                <w:rPr>
                  <w:rFonts w:ascii="Cambria Math" w:hAnsi="Cambria Math" w:cs="Times New Roman"/>
                </w:rPr>
                <m:t>K</m:t>
              </m:r>
            </m:e>
            <m:sub>
              <m:r>
                <w:rPr>
                  <w:rFonts w:ascii="Cambria Math" w:hAnsi="Cambria Math" w:cs="Times New Roman"/>
                </w:rPr>
                <m:t>L</m:t>
              </m:r>
            </m:sub>
          </m:sSub>
          <m:f>
            <m:fPr>
              <m:ctrlPr>
                <w:rPr>
                  <w:rFonts w:ascii="Cambria Math" w:hAnsi="Cambria Math" w:cs="Times New Roman"/>
                  <w:i/>
                  <w:iCs/>
                </w:rPr>
              </m:ctrlPr>
            </m:fPr>
            <m:num>
              <m:r>
                <w:rPr>
                  <w:rFonts w:ascii="Cambria Math" w:hAnsi="Cambria Math" w:cs="Times New Roman"/>
                </w:rPr>
                <m:t>∂</m:t>
              </m:r>
              <m:sSub>
                <m:sSubPr>
                  <m:ctrlPr>
                    <w:rPr>
                      <w:rFonts w:ascii="Cambria Math" w:hAnsi="Cambria Math" w:cs="Times New Roman"/>
                      <w:i/>
                      <w:iCs/>
                    </w:rPr>
                  </m:ctrlPr>
                </m:sSubPr>
                <m:e>
                  <m:r>
                    <w:rPr>
                      <w:rFonts w:ascii="Cambria Math" w:hAnsi="Cambria Math" w:cs="Times New Roman"/>
                    </w:rPr>
                    <m:t>u</m:t>
                  </m:r>
                </m:e>
                <m:sub>
                  <m:r>
                    <w:rPr>
                      <w:rFonts w:ascii="Cambria Math" w:hAnsi="Cambria Math" w:cs="Times New Roman"/>
                    </w:rPr>
                    <m:t>L</m:t>
                  </m:r>
                </m:sub>
              </m:sSub>
            </m:num>
            <m:den>
              <m:r>
                <w:rPr>
                  <w:rFonts w:ascii="Cambria Math" w:hAnsi="Cambria Math" w:cs="Times New Roman"/>
                </w:rPr>
                <m:t>∂x</m:t>
              </m:r>
            </m:den>
          </m:f>
          <m:d>
            <m:dPr>
              <m:ctrlPr>
                <w:rPr>
                  <w:rFonts w:ascii="Cambria Math" w:hAnsi="Cambria Math" w:cs="Times New Roman"/>
                  <w:i/>
                  <w:iCs/>
                </w:rPr>
              </m:ctrlPr>
            </m:dPr>
            <m:e>
              <m:r>
                <w:rPr>
                  <w:rFonts w:ascii="Cambria Math" w:hAnsi="Cambria Math" w:cs="Times New Roman"/>
                </w:rPr>
                <m:t>s</m:t>
              </m:r>
              <m:d>
                <m:dPr>
                  <m:ctrlPr>
                    <w:rPr>
                      <w:rFonts w:ascii="Cambria Math" w:hAnsi="Cambria Math" w:cs="Times New Roman"/>
                      <w:i/>
                      <w:iCs/>
                    </w:rPr>
                  </m:ctrlPr>
                </m:dPr>
                <m:e>
                  <m:r>
                    <w:rPr>
                      <w:rFonts w:ascii="Cambria Math" w:hAnsi="Cambria Math" w:cs="Times New Roman"/>
                    </w:rPr>
                    <m:t>t</m:t>
                  </m:r>
                </m:e>
              </m:d>
              <m:r>
                <w:rPr>
                  <w:rFonts w:ascii="Cambria Math" w:hAnsi="Cambria Math" w:cs="Times New Roman"/>
                </w:rPr>
                <m:t>,t</m:t>
              </m:r>
            </m:e>
          </m:d>
          <m:r>
            <m:rPr>
              <m:sty m:val="p"/>
            </m:rPr>
            <w:rPr>
              <w:rFonts w:ascii="Cambria Math" w:hAnsi="Cambria Math" w:cs="Times New Roman"/>
            </w:rPr>
            <m:t xml:space="preserve">                                                (34)</m:t>
          </m:r>
          <m:r>
            <m:rPr>
              <m:sty m:val="p"/>
            </m:rPr>
            <w:rPr>
              <w:rFonts w:ascii="Cambria Math" w:hAnsi="Cambria Math" w:cs="Times New Roman"/>
            </w:rPr>
            <w:br/>
          </m:r>
        </m:oMath>
      </m:oMathPara>
    </w:p>
    <w:p w14:paraId="235456E8" w14:textId="34EF2B36" w:rsidR="00625AD6" w:rsidRPr="00625AD6" w:rsidRDefault="001C6FAB" w:rsidP="00625AD6">
      <w:pPr>
        <w:rPr>
          <w:rFonts w:cs="Times New Roman"/>
          <w:lang w:val="en-US"/>
        </w:rPr>
      </w:pPr>
      <w:r w:rsidRPr="00625AD6">
        <w:rPr>
          <w:rFonts w:cs="Times New Roman"/>
          <w:noProof/>
        </w:rPr>
        <mc:AlternateContent>
          <mc:Choice Requires="wps">
            <w:drawing>
              <wp:anchor distT="45720" distB="45720" distL="114300" distR="114300" simplePos="0" relativeHeight="251737088" behindDoc="0" locked="0" layoutInCell="1" allowOverlap="1" wp14:anchorId="377E743B" wp14:editId="7DFD0E38">
                <wp:simplePos x="0" y="0"/>
                <wp:positionH relativeFrom="margin">
                  <wp:align>left</wp:align>
                </wp:positionH>
                <wp:positionV relativeFrom="paragraph">
                  <wp:posOffset>2757170</wp:posOffset>
                </wp:positionV>
                <wp:extent cx="2959100" cy="1870075"/>
                <wp:effectExtent l="0" t="0" r="0" b="0"/>
                <wp:wrapSquare wrapText="bothSides"/>
                <wp:docPr id="1007150224"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9100" cy="1870075"/>
                        </a:xfrm>
                        <a:prstGeom prst="rect">
                          <a:avLst/>
                        </a:prstGeom>
                        <a:solidFill>
                          <a:srgbClr val="FFFFFF"/>
                        </a:solidFill>
                        <a:ln w="9525">
                          <a:noFill/>
                          <a:miter lim="800000"/>
                          <a:headEnd/>
                          <a:tailEnd/>
                        </a:ln>
                      </wps:spPr>
                      <wps:txbx>
                        <w:txbxContent>
                          <w:p w14:paraId="2B8DD754" w14:textId="77777777" w:rsidR="00625AD6" w:rsidRPr="00AC6DA0" w:rsidRDefault="00625AD6" w:rsidP="00625AD6">
                            <w:pPr>
                              <w:rPr>
                                <w:rFonts w:ascii="Times New Roman" w:eastAsiaTheme="minorEastAsia" w:hAnsi="Times New Roman" w:cs="Times New Roman"/>
                                <w:lang w:val="en-US"/>
                              </w:rPr>
                            </w:pPr>
                            <w:r w:rsidRPr="00AC6DA0">
                              <w:rPr>
                                <w:rFonts w:ascii="Times New Roman" w:hAnsi="Times New Roman" w:cs="Times New Roman"/>
                                <w:lang w:val="en-US"/>
                              </w:rPr>
                              <w:t xml:space="preserve">LIQUID REGION </w:t>
                            </w:r>
                            <m:oMath>
                              <m:r>
                                <w:rPr>
                                  <w:rFonts w:ascii="Cambria Math" w:hAnsi="Cambria Math" w:cs="Times New Roman"/>
                                  <w:lang w:val="en-US"/>
                                </w:rPr>
                                <m:t>0≤</m:t>
                              </m:r>
                              <m:r>
                                <w:rPr>
                                  <w:rFonts w:ascii="Cambria Math" w:hAnsi="Cambria Math" w:cs="Times New Roman"/>
                                </w:rPr>
                                <m:t>x</m:t>
                              </m:r>
                              <m:r>
                                <w:rPr>
                                  <w:rFonts w:ascii="Cambria Math" w:hAnsi="Cambria Math" w:cs="Times New Roman"/>
                                  <w:lang w:val="en-US"/>
                                </w:rPr>
                                <m:t>&lt;</m:t>
                              </m:r>
                              <m:r>
                                <w:rPr>
                                  <w:rFonts w:ascii="Cambria Math" w:hAnsi="Cambria Math" w:cs="Times New Roman"/>
                                </w:rPr>
                                <m:t>s</m:t>
                              </m:r>
                              <m:d>
                                <m:dPr>
                                  <m:ctrlPr>
                                    <w:rPr>
                                      <w:rFonts w:ascii="Cambria Math" w:hAnsi="Cambria Math" w:cs="Times New Roman"/>
                                      <w:i/>
                                    </w:rPr>
                                  </m:ctrlPr>
                                </m:dPr>
                                <m:e>
                                  <m:r>
                                    <w:rPr>
                                      <w:rFonts w:ascii="Cambria Math" w:hAnsi="Cambria Math" w:cs="Times New Roman"/>
                                    </w:rPr>
                                    <m:t>t</m:t>
                                  </m:r>
                                </m:e>
                              </m:d>
                            </m:oMath>
                            <w:r w:rsidRPr="00AC6DA0">
                              <w:rPr>
                                <w:rFonts w:ascii="Times New Roman" w:eastAsiaTheme="minorEastAsia" w:hAnsi="Times New Roman" w:cs="Times New Roman"/>
                                <w:lang w:val="en-US"/>
                              </w:rPr>
                              <w:br/>
                            </w:r>
                            <m:oMath>
                              <m:f>
                                <m:fPr>
                                  <m:ctrlPr>
                                    <w:rPr>
                                      <w:rFonts w:ascii="Cambria Math" w:hAnsi="Cambria Math" w:cs="Times New Roman"/>
                                      <w:i/>
                                      <w:szCs w:val="24"/>
                                    </w:rPr>
                                  </m:ctrlPr>
                                </m:fPr>
                                <m:num>
                                  <m:r>
                                    <w:rPr>
                                      <w:rFonts w:ascii="Cambria Math" w:hAnsi="Cambria Math" w:cs="Times New Roman"/>
                                      <w:szCs w:val="24"/>
                                    </w:rPr>
                                    <m:t>∂u</m:t>
                                  </m:r>
                                </m:num>
                                <m:den>
                                  <m:r>
                                    <w:rPr>
                                      <w:rFonts w:ascii="Cambria Math" w:hAnsi="Cambria Math" w:cs="Times New Roman"/>
                                      <w:szCs w:val="24"/>
                                    </w:rPr>
                                    <m:t>∂t</m:t>
                                  </m:r>
                                </m:den>
                              </m:f>
                              <m:r>
                                <w:rPr>
                                  <w:rFonts w:ascii="Cambria Math" w:hAnsi="Cambria Math" w:cs="Times New Roman"/>
                                  <w:szCs w:val="24"/>
                                  <w:lang w:val="en-US"/>
                                </w:rPr>
                                <m:t>=</m:t>
                              </m:r>
                              <m:f>
                                <m:fPr>
                                  <m:ctrlPr>
                                    <w:rPr>
                                      <w:rFonts w:ascii="Cambria Math" w:hAnsi="Cambria Math" w:cs="Times New Roman"/>
                                      <w:i/>
                                      <w:szCs w:val="24"/>
                                    </w:rPr>
                                  </m:ctrlPr>
                                </m:fPr>
                                <m:num>
                                  <m:sSub>
                                    <m:sSubPr>
                                      <m:ctrlPr>
                                        <w:rPr>
                                          <w:rFonts w:ascii="Cambria Math" w:hAnsi="Cambria Math" w:cs="Times New Roman"/>
                                          <w:i/>
                                          <w:szCs w:val="24"/>
                                        </w:rPr>
                                      </m:ctrlPr>
                                    </m:sSubPr>
                                    <m:e>
                                      <m:r>
                                        <w:rPr>
                                          <w:rFonts w:ascii="Cambria Math" w:hAnsi="Cambria Math" w:cs="Times New Roman"/>
                                          <w:szCs w:val="24"/>
                                        </w:rPr>
                                        <m:t>K</m:t>
                                      </m:r>
                                    </m:e>
                                    <m:sub>
                                      <m:r>
                                        <w:rPr>
                                          <w:rFonts w:ascii="Cambria Math" w:hAnsi="Cambria Math" w:cs="Times New Roman"/>
                                          <w:szCs w:val="24"/>
                                        </w:rPr>
                                        <m:t>L</m:t>
                                      </m:r>
                                    </m:sub>
                                  </m:sSub>
                                </m:num>
                                <m:den>
                                  <m:sSub>
                                    <m:sSubPr>
                                      <m:ctrlPr>
                                        <w:rPr>
                                          <w:rFonts w:ascii="Cambria Math" w:hAnsi="Cambria Math" w:cs="Times New Roman"/>
                                          <w:i/>
                                          <w:szCs w:val="24"/>
                                        </w:rPr>
                                      </m:ctrlPr>
                                    </m:sSubPr>
                                    <m:e>
                                      <m:r>
                                        <w:rPr>
                                          <w:rFonts w:ascii="Cambria Math" w:hAnsi="Cambria Math" w:cs="Times New Roman"/>
                                          <w:szCs w:val="24"/>
                                        </w:rPr>
                                        <m:t>C</m:t>
                                      </m:r>
                                    </m:e>
                                    <m:sub>
                                      <m:r>
                                        <w:rPr>
                                          <w:rFonts w:ascii="Cambria Math" w:hAnsi="Cambria Math" w:cs="Times New Roman"/>
                                          <w:szCs w:val="24"/>
                                        </w:rPr>
                                        <m:t>L</m:t>
                                      </m:r>
                                    </m:sub>
                                  </m:sSub>
                                  <m:r>
                                    <w:rPr>
                                      <w:rFonts w:ascii="Cambria Math" w:hAnsi="Cambria Math" w:cs="Times New Roman"/>
                                      <w:szCs w:val="24"/>
                                    </w:rPr>
                                    <m:t>ρ</m:t>
                                  </m:r>
                                </m:den>
                              </m:f>
                              <m:f>
                                <m:fPr>
                                  <m:ctrlPr>
                                    <w:rPr>
                                      <w:rFonts w:ascii="Cambria Math" w:hAnsi="Cambria Math" w:cs="Times New Roman"/>
                                      <w:i/>
                                      <w:szCs w:val="24"/>
                                    </w:rPr>
                                  </m:ctrlPr>
                                </m:fPr>
                                <m:num>
                                  <m:sSup>
                                    <m:sSupPr>
                                      <m:ctrlPr>
                                        <w:rPr>
                                          <w:rFonts w:ascii="Cambria Math" w:hAnsi="Cambria Math" w:cs="Times New Roman"/>
                                          <w:i/>
                                          <w:szCs w:val="24"/>
                                        </w:rPr>
                                      </m:ctrlPr>
                                    </m:sSupPr>
                                    <m:e>
                                      <m:r>
                                        <w:rPr>
                                          <w:rFonts w:ascii="Cambria Math" w:hAnsi="Cambria Math" w:cs="Times New Roman"/>
                                          <w:szCs w:val="24"/>
                                        </w:rPr>
                                        <m:t>∂</m:t>
                                      </m:r>
                                    </m:e>
                                    <m:sup>
                                      <m:r>
                                        <w:rPr>
                                          <w:rFonts w:ascii="Cambria Math" w:hAnsi="Cambria Math" w:cs="Times New Roman"/>
                                          <w:szCs w:val="24"/>
                                          <w:lang w:val="en-US"/>
                                        </w:rPr>
                                        <m:t>2</m:t>
                                      </m:r>
                                    </m:sup>
                                  </m:sSup>
                                  <m:r>
                                    <w:rPr>
                                      <w:rFonts w:ascii="Cambria Math" w:hAnsi="Cambria Math" w:cs="Times New Roman"/>
                                      <w:szCs w:val="24"/>
                                    </w:rPr>
                                    <m:t>u</m:t>
                                  </m:r>
                                </m:num>
                                <m:den>
                                  <m:r>
                                    <w:rPr>
                                      <w:rFonts w:ascii="Cambria Math" w:hAnsi="Cambria Math" w:cs="Times New Roman"/>
                                      <w:szCs w:val="24"/>
                                    </w:rPr>
                                    <m:t>∂</m:t>
                                  </m:r>
                                  <m:sSup>
                                    <m:sSupPr>
                                      <m:ctrlPr>
                                        <w:rPr>
                                          <w:rFonts w:ascii="Cambria Math" w:hAnsi="Cambria Math" w:cs="Times New Roman"/>
                                          <w:i/>
                                          <w:szCs w:val="24"/>
                                        </w:rPr>
                                      </m:ctrlPr>
                                    </m:sSupPr>
                                    <m:e>
                                      <m:r>
                                        <w:rPr>
                                          <w:rFonts w:ascii="Cambria Math" w:hAnsi="Cambria Math" w:cs="Times New Roman"/>
                                          <w:szCs w:val="24"/>
                                        </w:rPr>
                                        <m:t>x</m:t>
                                      </m:r>
                                    </m:e>
                                    <m:sup>
                                      <m:r>
                                        <w:rPr>
                                          <w:rFonts w:ascii="Cambria Math" w:hAnsi="Cambria Math" w:cs="Times New Roman"/>
                                          <w:szCs w:val="24"/>
                                          <w:lang w:val="en-US"/>
                                        </w:rPr>
                                        <m:t>2</m:t>
                                      </m:r>
                                    </m:sup>
                                  </m:sSup>
                                </m:den>
                              </m:f>
                              <m:r>
                                <w:rPr>
                                  <w:rFonts w:ascii="Cambria Math" w:hAnsi="Cambria Math" w:cs="Times New Roman"/>
                                  <w:szCs w:val="24"/>
                                  <w:lang w:val="en-US"/>
                                </w:rPr>
                                <m:t>=</m:t>
                              </m:r>
                              <m:sSub>
                                <m:sSubPr>
                                  <m:ctrlPr>
                                    <w:rPr>
                                      <w:rFonts w:ascii="Cambria Math" w:hAnsi="Cambria Math" w:cs="Times New Roman"/>
                                      <w:i/>
                                      <w:szCs w:val="24"/>
                                    </w:rPr>
                                  </m:ctrlPr>
                                </m:sSubPr>
                                <m:e>
                                  <m:r>
                                    <w:rPr>
                                      <w:rFonts w:ascii="Cambria Math" w:hAnsi="Cambria Math" w:cs="Times New Roman"/>
                                      <w:szCs w:val="24"/>
                                    </w:rPr>
                                    <m:t>α</m:t>
                                  </m:r>
                                </m:e>
                                <m:sub>
                                  <m:r>
                                    <w:rPr>
                                      <w:rFonts w:ascii="Cambria Math" w:hAnsi="Cambria Math" w:cs="Times New Roman"/>
                                      <w:szCs w:val="24"/>
                                    </w:rPr>
                                    <m:t>L</m:t>
                                  </m:r>
                                </m:sub>
                              </m:sSub>
                              <m:f>
                                <m:fPr>
                                  <m:ctrlPr>
                                    <w:rPr>
                                      <w:rFonts w:ascii="Cambria Math" w:hAnsi="Cambria Math" w:cs="Times New Roman"/>
                                      <w:i/>
                                      <w:szCs w:val="24"/>
                                    </w:rPr>
                                  </m:ctrlPr>
                                </m:fPr>
                                <m:num>
                                  <m:sSup>
                                    <m:sSupPr>
                                      <m:ctrlPr>
                                        <w:rPr>
                                          <w:rFonts w:ascii="Cambria Math" w:hAnsi="Cambria Math" w:cs="Times New Roman"/>
                                          <w:i/>
                                          <w:szCs w:val="24"/>
                                        </w:rPr>
                                      </m:ctrlPr>
                                    </m:sSupPr>
                                    <m:e>
                                      <m:r>
                                        <w:rPr>
                                          <w:rFonts w:ascii="Cambria Math" w:hAnsi="Cambria Math" w:cs="Times New Roman"/>
                                          <w:szCs w:val="24"/>
                                        </w:rPr>
                                        <m:t>∂</m:t>
                                      </m:r>
                                    </m:e>
                                    <m:sup>
                                      <m:r>
                                        <w:rPr>
                                          <w:rFonts w:ascii="Cambria Math" w:hAnsi="Cambria Math" w:cs="Times New Roman"/>
                                          <w:szCs w:val="24"/>
                                          <w:lang w:val="en-US"/>
                                        </w:rPr>
                                        <m:t>2</m:t>
                                      </m:r>
                                    </m:sup>
                                  </m:sSup>
                                  <m:r>
                                    <w:rPr>
                                      <w:rFonts w:ascii="Cambria Math" w:hAnsi="Cambria Math" w:cs="Times New Roman"/>
                                      <w:szCs w:val="24"/>
                                    </w:rPr>
                                    <m:t>u</m:t>
                                  </m:r>
                                </m:num>
                                <m:den>
                                  <m:r>
                                    <w:rPr>
                                      <w:rFonts w:ascii="Cambria Math" w:hAnsi="Cambria Math" w:cs="Times New Roman"/>
                                      <w:szCs w:val="24"/>
                                    </w:rPr>
                                    <m:t>∂</m:t>
                                  </m:r>
                                  <m:sSup>
                                    <m:sSupPr>
                                      <m:ctrlPr>
                                        <w:rPr>
                                          <w:rFonts w:ascii="Cambria Math" w:hAnsi="Cambria Math" w:cs="Times New Roman"/>
                                          <w:i/>
                                          <w:szCs w:val="24"/>
                                        </w:rPr>
                                      </m:ctrlPr>
                                    </m:sSupPr>
                                    <m:e>
                                      <m:r>
                                        <w:rPr>
                                          <w:rFonts w:ascii="Cambria Math" w:hAnsi="Cambria Math" w:cs="Times New Roman"/>
                                          <w:szCs w:val="24"/>
                                        </w:rPr>
                                        <m:t>x</m:t>
                                      </m:r>
                                    </m:e>
                                    <m:sup>
                                      <m:r>
                                        <w:rPr>
                                          <w:rFonts w:ascii="Cambria Math" w:hAnsi="Cambria Math" w:cs="Times New Roman"/>
                                          <w:szCs w:val="24"/>
                                          <w:lang w:val="en-US"/>
                                        </w:rPr>
                                        <m:t>2</m:t>
                                      </m:r>
                                    </m:sup>
                                  </m:sSup>
                                </m:den>
                              </m:f>
                            </m:oMath>
                            <w:r w:rsidRPr="00AC6DA0">
                              <w:rPr>
                                <w:rFonts w:ascii="Times New Roman" w:eastAsiaTheme="minorEastAsia" w:hAnsi="Times New Roman" w:cs="Times New Roman"/>
                                <w:lang w:val="en-US"/>
                              </w:rPr>
                              <w:t xml:space="preserve">   The heat equation </w:t>
                            </w:r>
                            <m:oMath>
                              <m:r>
                                <w:rPr>
                                  <w:rFonts w:ascii="Cambria Math" w:eastAsiaTheme="minorEastAsia" w:hAnsi="Cambria Math" w:cs="Times New Roman"/>
                                  <w:sz w:val="18"/>
                                  <w:szCs w:val="18"/>
                                  <w:lang w:val="en-US"/>
                                </w:rPr>
                                <m:t>0≤</m:t>
                              </m:r>
                              <m:r>
                                <w:rPr>
                                  <w:rFonts w:ascii="Cambria Math" w:eastAsiaTheme="minorEastAsia" w:hAnsi="Cambria Math" w:cs="Times New Roman"/>
                                  <w:sz w:val="18"/>
                                  <w:szCs w:val="18"/>
                                </w:rPr>
                                <m:t>x</m:t>
                              </m:r>
                              <m:r>
                                <w:rPr>
                                  <w:rFonts w:ascii="Cambria Math" w:eastAsiaTheme="minorEastAsia" w:hAnsi="Cambria Math" w:cs="Times New Roman"/>
                                  <w:sz w:val="18"/>
                                  <w:szCs w:val="18"/>
                                  <w:lang w:val="en-US"/>
                                </w:rPr>
                                <m:t>&lt;</m:t>
                              </m:r>
                              <m:r>
                                <w:rPr>
                                  <w:rFonts w:ascii="Cambria Math" w:eastAsiaTheme="minorEastAsia" w:hAnsi="Cambria Math" w:cs="Times New Roman"/>
                                  <w:sz w:val="18"/>
                                  <w:szCs w:val="18"/>
                                </w:rPr>
                                <m:t>s</m:t>
                              </m:r>
                              <m:r>
                                <w:rPr>
                                  <w:rFonts w:ascii="Cambria Math" w:eastAsiaTheme="minorEastAsia" w:hAnsi="Cambria Math" w:cs="Times New Roman"/>
                                  <w:sz w:val="18"/>
                                  <w:szCs w:val="18"/>
                                  <w:lang w:val="en-US"/>
                                </w:rPr>
                                <m:t>(</m:t>
                              </m:r>
                              <m:r>
                                <w:rPr>
                                  <w:rFonts w:ascii="Cambria Math" w:eastAsiaTheme="minorEastAsia" w:hAnsi="Cambria Math" w:cs="Times New Roman"/>
                                  <w:sz w:val="18"/>
                                  <w:szCs w:val="18"/>
                                </w:rPr>
                                <m:t>t</m:t>
                              </m:r>
                              <m:r>
                                <w:rPr>
                                  <w:rFonts w:ascii="Cambria Math" w:eastAsiaTheme="minorEastAsia" w:hAnsi="Cambria Math" w:cs="Times New Roman"/>
                                  <w:sz w:val="18"/>
                                  <w:szCs w:val="18"/>
                                  <w:lang w:val="en-US"/>
                                </w:rPr>
                                <m:t>)</m:t>
                              </m:r>
                            </m:oMath>
                          </w:p>
                          <w:p w14:paraId="7B8A69C9" w14:textId="625B8E3D" w:rsidR="00625AD6" w:rsidRPr="00AC6DA0" w:rsidRDefault="00625AD6" w:rsidP="00625AD6">
                            <w:pPr>
                              <w:rPr>
                                <w:rFonts w:ascii="Times New Roman" w:eastAsiaTheme="minorEastAsia" w:hAnsi="Times New Roman" w:cs="Times New Roman"/>
                                <w:lang w:val="en-US"/>
                              </w:rPr>
                            </w:pPr>
                            <m:oMath>
                              <m:r>
                                <w:rPr>
                                  <w:rFonts w:ascii="Cambria Math" w:eastAsiaTheme="minorEastAsia" w:hAnsi="Cambria Math" w:cs="Times New Roman"/>
                                  <w:szCs w:val="24"/>
                                </w:rPr>
                                <m:t>u</m:t>
                              </m:r>
                              <m:d>
                                <m:dPr>
                                  <m:ctrlPr>
                                    <w:rPr>
                                      <w:rFonts w:ascii="Cambria Math" w:eastAsiaTheme="minorEastAsia" w:hAnsi="Cambria Math" w:cs="Times New Roman"/>
                                      <w:i/>
                                      <w:szCs w:val="24"/>
                                    </w:rPr>
                                  </m:ctrlPr>
                                </m:dPr>
                                <m:e>
                                  <m:r>
                                    <w:rPr>
                                      <w:rFonts w:ascii="Cambria Math" w:eastAsiaTheme="minorEastAsia" w:hAnsi="Cambria Math" w:cs="Times New Roman"/>
                                      <w:szCs w:val="24"/>
                                      <w:lang w:val="en-US"/>
                                    </w:rPr>
                                    <m:t>0,</m:t>
                                  </m:r>
                                  <m:r>
                                    <w:rPr>
                                      <w:rFonts w:ascii="Cambria Math" w:eastAsiaTheme="minorEastAsia" w:hAnsi="Cambria Math" w:cs="Times New Roman"/>
                                      <w:szCs w:val="24"/>
                                    </w:rPr>
                                    <m:t>t</m:t>
                                  </m:r>
                                </m:e>
                              </m:d>
                              <m:r>
                                <w:rPr>
                                  <w:rFonts w:ascii="Cambria Math" w:eastAsiaTheme="minorEastAsia" w:hAnsi="Cambria Math" w:cs="Times New Roman"/>
                                  <w:szCs w:val="24"/>
                                  <w:lang w:val="en-US"/>
                                </w:rPr>
                                <m:t>=</m:t>
                              </m:r>
                              <m:r>
                                <w:rPr>
                                  <w:rFonts w:ascii="Cambria Math" w:eastAsiaTheme="minorEastAsia" w:hAnsi="Cambria Math" w:cs="Times New Roman"/>
                                  <w:szCs w:val="24"/>
                                </w:rPr>
                                <m:t>f</m:t>
                              </m:r>
                              <m:r>
                                <w:rPr>
                                  <w:rFonts w:ascii="Cambria Math" w:eastAsiaTheme="minorEastAsia" w:hAnsi="Cambria Math" w:cs="Times New Roman"/>
                                  <w:szCs w:val="24"/>
                                  <w:lang w:val="en-US"/>
                                </w:rPr>
                                <m:t>(</m:t>
                              </m:r>
                              <m:r>
                                <w:rPr>
                                  <w:rFonts w:ascii="Cambria Math" w:eastAsiaTheme="minorEastAsia" w:hAnsi="Cambria Math" w:cs="Times New Roman"/>
                                  <w:szCs w:val="24"/>
                                </w:rPr>
                                <m:t>t</m:t>
                              </m:r>
                              <m:r>
                                <w:rPr>
                                  <w:rFonts w:ascii="Cambria Math" w:eastAsiaTheme="minorEastAsia" w:hAnsi="Cambria Math" w:cs="Times New Roman"/>
                                  <w:szCs w:val="24"/>
                                  <w:lang w:val="en-US"/>
                                </w:rPr>
                                <m:t>)</m:t>
                              </m:r>
                            </m:oMath>
                            <w:r w:rsidRPr="00AC6DA0">
                              <w:rPr>
                                <w:rFonts w:ascii="Times New Roman" w:eastAsiaTheme="minorEastAsia" w:hAnsi="Times New Roman" w:cs="Times New Roman"/>
                                <w:lang w:val="en-US"/>
                              </w:rPr>
                              <w:tab/>
                              <w:t xml:space="preserve">   B</w:t>
                            </w:r>
                            <w:r w:rsidR="0027222B">
                              <w:rPr>
                                <w:rFonts w:ascii="Times New Roman" w:eastAsiaTheme="minorEastAsia" w:hAnsi="Times New Roman" w:cs="Times New Roman"/>
                                <w:lang w:val="en-US"/>
                              </w:rPr>
                              <w:t>ou</w:t>
                            </w:r>
                            <w:r w:rsidRPr="00AC6DA0">
                              <w:rPr>
                                <w:rFonts w:ascii="Times New Roman" w:eastAsiaTheme="minorEastAsia" w:hAnsi="Times New Roman" w:cs="Times New Roman"/>
                                <w:lang w:val="en-US"/>
                              </w:rPr>
                              <w:t>ndary condition</w:t>
                            </w:r>
                          </w:p>
                          <w:p w14:paraId="08092DAC" w14:textId="77777777" w:rsidR="00625AD6" w:rsidRPr="00AC6DA0" w:rsidRDefault="00625AD6" w:rsidP="00625AD6">
                            <w:pPr>
                              <w:rPr>
                                <w:rFonts w:ascii="Times New Roman" w:eastAsiaTheme="minorEastAsia" w:hAnsi="Times New Roman" w:cs="Times New Roman"/>
                                <w:lang w:val="en-US"/>
                              </w:rPr>
                            </w:pPr>
                            <m:oMath>
                              <m:r>
                                <w:rPr>
                                  <w:rFonts w:ascii="Cambria Math" w:eastAsiaTheme="minorEastAsia" w:hAnsi="Cambria Math" w:cs="Times New Roman"/>
                                  <w:szCs w:val="24"/>
                                </w:rPr>
                                <m:t>u</m:t>
                              </m:r>
                              <m:d>
                                <m:dPr>
                                  <m:ctrlPr>
                                    <w:rPr>
                                      <w:rFonts w:ascii="Cambria Math" w:eastAsiaTheme="minorEastAsia" w:hAnsi="Cambria Math" w:cs="Times New Roman"/>
                                      <w:i/>
                                      <w:szCs w:val="24"/>
                                    </w:rPr>
                                  </m:ctrlPr>
                                </m:dPr>
                                <m:e>
                                  <m:r>
                                    <w:rPr>
                                      <w:rFonts w:ascii="Cambria Math" w:eastAsiaTheme="minorEastAsia" w:hAnsi="Cambria Math" w:cs="Times New Roman"/>
                                      <w:szCs w:val="24"/>
                                    </w:rPr>
                                    <m:t>x</m:t>
                                  </m:r>
                                  <m:r>
                                    <w:rPr>
                                      <w:rFonts w:ascii="Cambria Math" w:eastAsiaTheme="minorEastAsia" w:hAnsi="Cambria Math" w:cs="Times New Roman"/>
                                      <w:szCs w:val="24"/>
                                      <w:lang w:val="en-US"/>
                                    </w:rPr>
                                    <m:t>,0</m:t>
                                  </m:r>
                                </m:e>
                              </m:d>
                              <m:r>
                                <w:rPr>
                                  <w:rFonts w:ascii="Cambria Math" w:eastAsiaTheme="minorEastAsia" w:hAnsi="Cambria Math" w:cs="Times New Roman"/>
                                  <w:szCs w:val="24"/>
                                  <w:lang w:val="en-US"/>
                                </w:rPr>
                                <m:t>=0</m:t>
                              </m:r>
                            </m:oMath>
                            <w:r w:rsidRPr="00AC6DA0">
                              <w:rPr>
                                <w:rFonts w:ascii="Times New Roman" w:eastAsiaTheme="minorEastAsia" w:hAnsi="Times New Roman" w:cs="Times New Roman"/>
                                <w:lang w:val="en-US"/>
                              </w:rPr>
                              <w:tab/>
                            </w:r>
                            <w:r w:rsidRPr="00AC6DA0">
                              <w:rPr>
                                <w:rFonts w:ascii="Times New Roman" w:eastAsiaTheme="minorEastAsia" w:hAnsi="Times New Roman" w:cs="Times New Roman"/>
                                <w:lang w:val="en-US"/>
                              </w:rPr>
                              <w:tab/>
                              <w:t xml:space="preserve">   Initial condition</w:t>
                            </w:r>
                          </w:p>
                          <w:p w14:paraId="6329D774" w14:textId="77777777" w:rsidR="00625AD6" w:rsidRPr="00AC6DA0" w:rsidRDefault="00625AD6" w:rsidP="00625AD6">
                            <w:pPr>
                              <w:rPr>
                                <w:rFonts w:ascii="Times New Roman" w:eastAsiaTheme="minorEastAsia" w:hAnsi="Times New Roman" w:cs="Times New Roman"/>
                                <w:lang w:val="en-US"/>
                              </w:rPr>
                            </w:pPr>
                            <w:r w:rsidRPr="00AC6DA0">
                              <w:rPr>
                                <w:rFonts w:ascii="Times New Roman" w:eastAsiaTheme="minorEastAsia" w:hAnsi="Times New Roman" w:cs="Times New Roman"/>
                                <w:lang w:val="en-US"/>
                              </w:rPr>
                              <w:t>THE SOLID REGION</w:t>
                            </w:r>
                          </w:p>
                          <w:p w14:paraId="1E759F77" w14:textId="4BC735B8" w:rsidR="00625AD6" w:rsidRPr="005C1C60" w:rsidRDefault="00625AD6" w:rsidP="00625AD6">
                            <w:pPr>
                              <w:rPr>
                                <w:rFonts w:ascii="Times New Roman" w:eastAsiaTheme="minorEastAsia" w:hAnsi="Times New Roman" w:cs="Times New Roman"/>
                                <w:lang w:val="nb-NO"/>
                              </w:rPr>
                            </w:pPr>
                            <m:oMath>
                              <m:r>
                                <w:rPr>
                                  <w:rFonts w:ascii="Cambria Math" w:eastAsiaTheme="minorEastAsia" w:hAnsi="Cambria Math" w:cs="Times New Roman"/>
                                  <w:szCs w:val="24"/>
                                </w:rPr>
                                <m:t>u</m:t>
                              </m:r>
                              <m:d>
                                <m:dPr>
                                  <m:ctrlPr>
                                    <w:rPr>
                                      <w:rFonts w:ascii="Cambria Math" w:eastAsiaTheme="minorEastAsia" w:hAnsi="Cambria Math" w:cs="Times New Roman"/>
                                      <w:i/>
                                      <w:szCs w:val="24"/>
                                    </w:rPr>
                                  </m:ctrlPr>
                                </m:dPr>
                                <m:e>
                                  <m:r>
                                    <w:rPr>
                                      <w:rFonts w:ascii="Cambria Math" w:eastAsiaTheme="minorEastAsia" w:hAnsi="Cambria Math" w:cs="Times New Roman"/>
                                      <w:szCs w:val="24"/>
                                    </w:rPr>
                                    <m:t>x</m:t>
                                  </m:r>
                                  <m:r>
                                    <w:rPr>
                                      <w:rFonts w:ascii="Cambria Math" w:eastAsiaTheme="minorEastAsia" w:hAnsi="Cambria Math" w:cs="Times New Roman"/>
                                      <w:szCs w:val="24"/>
                                      <w:lang w:val="nb-NO"/>
                                    </w:rPr>
                                    <m:t>,</m:t>
                                  </m:r>
                                  <m:r>
                                    <w:rPr>
                                      <w:rFonts w:ascii="Cambria Math" w:eastAsiaTheme="minorEastAsia" w:hAnsi="Cambria Math" w:cs="Times New Roman"/>
                                      <w:szCs w:val="24"/>
                                    </w:rPr>
                                    <m:t>t</m:t>
                                  </m:r>
                                </m:e>
                              </m:d>
                              <m:r>
                                <w:rPr>
                                  <w:rFonts w:ascii="Cambria Math" w:eastAsiaTheme="minorEastAsia" w:hAnsi="Cambria Math" w:cs="Times New Roman"/>
                                  <w:szCs w:val="24"/>
                                  <w:lang w:val="nb-NO"/>
                                </w:rPr>
                                <m:t>=0</m:t>
                              </m:r>
                            </m:oMath>
                            <w:r w:rsidRPr="007D77BD">
                              <w:rPr>
                                <w:rFonts w:ascii="Times New Roman" w:eastAsiaTheme="minorEastAsia" w:hAnsi="Times New Roman" w:cs="Times New Roman"/>
                                <w:szCs w:val="24"/>
                                <w:lang w:val="nb-NO"/>
                              </w:rPr>
                              <w:t xml:space="preserve"> </w:t>
                            </w:r>
                            <w:r>
                              <w:rPr>
                                <w:rFonts w:ascii="Times New Roman" w:eastAsiaTheme="minorEastAsia" w:hAnsi="Times New Roman" w:cs="Times New Roman"/>
                                <w:szCs w:val="24"/>
                                <w:lang w:val="nb-NO"/>
                              </w:rPr>
                              <w:tab/>
                            </w:r>
                            <w:r w:rsidRPr="007D77BD">
                              <w:rPr>
                                <w:rFonts w:ascii="Times New Roman" w:eastAsiaTheme="minorEastAsia" w:hAnsi="Times New Roman" w:cs="Times New Roman"/>
                                <w:lang w:val="nb-NO"/>
                              </w:rPr>
                              <w:t>for all t</w:t>
                            </w:r>
                            <w:r>
                              <w:rPr>
                                <w:rFonts w:ascii="Times New Roman" w:eastAsiaTheme="minorEastAsia" w:hAnsi="Times New Roman" w:cs="Times New Roman"/>
                                <w:lang w:val="nb-NO"/>
                              </w:rPr>
                              <w:t xml:space="preserve">, </w:t>
                            </w:r>
                            <m:oMath>
                              <m:r>
                                <w:rPr>
                                  <w:rFonts w:ascii="Cambria Math" w:eastAsiaTheme="minorEastAsia" w:hAnsi="Cambria Math" w:cs="Times New Roman"/>
                                  <w:lang w:val="nb-NO"/>
                                </w:rPr>
                                <m:t>x≥s(t)</m:t>
                              </m:r>
                            </m:oMath>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77E743B" id="_x0000_s1056" type="#_x0000_t202" style="position:absolute;left:0;text-align:left;margin-left:0;margin-top:217.1pt;width:233pt;height:147.25pt;z-index:25173708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" stroked="f">
                <v:textbox>
                  <w:txbxContent>
                    <w:p w14:paraId="2B8DD754" w14:textId="77777777" w:rsidR="00625AD6" w:rsidRPr="00AC6DA0" w:rsidRDefault="00625AD6" w:rsidP="00625AD6">
                      <w:pPr>
                        <w:rPr>
                          <w:rFonts w:ascii="Times New Roman" w:eastAsiaTheme="minorEastAsia" w:hAnsi="Times New Roman" w:cs="Times New Roman"/>
                          <w:lang w:val="en-US"/>
                        </w:rPr>
                      </w:pPr>
                      <w:r w:rsidRPr="00AC6DA0">
                        <w:rPr>
                          <w:rFonts w:ascii="Times New Roman" w:hAnsi="Times New Roman" w:cs="Times New Roman"/>
                          <w:lang w:val="en-US"/>
                        </w:rPr>
                        <w:t xml:space="preserve">LIQUID REGION </w:t>
                      </w:r>
                      <m:oMath>
                        <m:r>
                          <w:rPr>
                            <w:rFonts w:ascii="Cambria Math" w:hAnsi="Cambria Math" w:cs="Times New Roman"/>
                            <w:lang w:val="en-US"/>
                          </w:rPr>
                          <m:t>0≤</m:t>
                        </m:r>
                        <m:r>
                          <w:rPr>
                            <w:rFonts w:ascii="Cambria Math" w:hAnsi="Cambria Math" w:cs="Times New Roman"/>
                          </w:rPr>
                          <m:t>x</m:t>
                        </m:r>
                        <m:r>
                          <w:rPr>
                            <w:rFonts w:ascii="Cambria Math" w:hAnsi="Cambria Math" w:cs="Times New Roman"/>
                            <w:lang w:val="en-US"/>
                          </w:rPr>
                          <m:t>&lt;</m:t>
                        </m:r>
                        <m:r>
                          <w:rPr>
                            <w:rFonts w:ascii="Cambria Math" w:hAnsi="Cambria Math" w:cs="Times New Roman"/>
                          </w:rPr>
                          <m:t>s</m:t>
                        </m:r>
                        <m:d>
                          <m:dPr>
                            <m:ctrlPr>
                              <w:rPr>
                                <w:rFonts w:ascii="Cambria Math" w:hAnsi="Cambria Math" w:cs="Times New Roman"/>
                                <w:i/>
                              </w:rPr>
                            </m:ctrlPr>
                          </m:dPr>
                          <m:e>
                            <m:r>
                              <w:rPr>
                                <w:rFonts w:ascii="Cambria Math" w:hAnsi="Cambria Math" w:cs="Times New Roman"/>
                              </w:rPr>
                              <m:t>t</m:t>
                            </m:r>
                          </m:e>
                        </m:d>
                      </m:oMath>
                      <w:r w:rsidRPr="00AC6DA0">
                        <w:rPr>
                          <w:rFonts w:ascii="Times New Roman" w:eastAsiaTheme="minorEastAsia" w:hAnsi="Times New Roman" w:cs="Times New Roman"/>
                          <w:lang w:val="en-US"/>
                        </w:rPr>
                        <w:br/>
                      </w:r>
                      <m:oMath>
                        <m:f>
                          <m:fPr>
                            <m:ctrlPr>
                              <w:rPr>
                                <w:rFonts w:ascii="Cambria Math" w:hAnsi="Cambria Math" w:cs="Times New Roman"/>
                                <w:i/>
                                <w:szCs w:val="24"/>
                              </w:rPr>
                            </m:ctrlPr>
                          </m:fPr>
                          <m:num>
                            <m:r>
                              <w:rPr>
                                <w:rFonts w:ascii="Cambria Math" w:hAnsi="Cambria Math" w:cs="Times New Roman"/>
                                <w:szCs w:val="24"/>
                              </w:rPr>
                              <m:t>∂u</m:t>
                            </m:r>
                          </m:num>
                          <m:den>
                            <m:r>
                              <w:rPr>
                                <w:rFonts w:ascii="Cambria Math" w:hAnsi="Cambria Math" w:cs="Times New Roman"/>
                                <w:szCs w:val="24"/>
                              </w:rPr>
                              <m:t>∂t</m:t>
                            </m:r>
                          </m:den>
                        </m:f>
                        <m:r>
                          <w:rPr>
                            <w:rFonts w:ascii="Cambria Math" w:hAnsi="Cambria Math" w:cs="Times New Roman"/>
                            <w:szCs w:val="24"/>
                            <w:lang w:val="en-US"/>
                          </w:rPr>
                          <m:t>=</m:t>
                        </m:r>
                        <m:f>
                          <m:fPr>
                            <m:ctrlPr>
                              <w:rPr>
                                <w:rFonts w:ascii="Cambria Math" w:hAnsi="Cambria Math" w:cs="Times New Roman"/>
                                <w:i/>
                                <w:szCs w:val="24"/>
                              </w:rPr>
                            </m:ctrlPr>
                          </m:fPr>
                          <m:num>
                            <m:sSub>
                              <m:sSubPr>
                                <m:ctrlPr>
                                  <w:rPr>
                                    <w:rFonts w:ascii="Cambria Math" w:hAnsi="Cambria Math" w:cs="Times New Roman"/>
                                    <w:i/>
                                    <w:szCs w:val="24"/>
                                  </w:rPr>
                                </m:ctrlPr>
                              </m:sSubPr>
                              <m:e>
                                <m:r>
                                  <w:rPr>
                                    <w:rFonts w:ascii="Cambria Math" w:hAnsi="Cambria Math" w:cs="Times New Roman"/>
                                    <w:szCs w:val="24"/>
                                  </w:rPr>
                                  <m:t>K</m:t>
                                </m:r>
                              </m:e>
                              <m:sub>
                                <m:r>
                                  <w:rPr>
                                    <w:rFonts w:ascii="Cambria Math" w:hAnsi="Cambria Math" w:cs="Times New Roman"/>
                                    <w:szCs w:val="24"/>
                                  </w:rPr>
                                  <m:t>L</m:t>
                                </m:r>
                              </m:sub>
                            </m:sSub>
                          </m:num>
                          <m:den>
                            <m:sSub>
                              <m:sSubPr>
                                <m:ctrlPr>
                                  <w:rPr>
                                    <w:rFonts w:ascii="Cambria Math" w:hAnsi="Cambria Math" w:cs="Times New Roman"/>
                                    <w:i/>
                                    <w:szCs w:val="24"/>
                                  </w:rPr>
                                </m:ctrlPr>
                              </m:sSubPr>
                              <m:e>
                                <m:r>
                                  <w:rPr>
                                    <w:rFonts w:ascii="Cambria Math" w:hAnsi="Cambria Math" w:cs="Times New Roman"/>
                                    <w:szCs w:val="24"/>
                                  </w:rPr>
                                  <m:t>C</m:t>
                                </m:r>
                              </m:e>
                              <m:sub>
                                <m:r>
                                  <w:rPr>
                                    <w:rFonts w:ascii="Cambria Math" w:hAnsi="Cambria Math" w:cs="Times New Roman"/>
                                    <w:szCs w:val="24"/>
                                  </w:rPr>
                                  <m:t>L</m:t>
                                </m:r>
                              </m:sub>
                            </m:sSub>
                            <m:r>
                              <w:rPr>
                                <w:rFonts w:ascii="Cambria Math" w:hAnsi="Cambria Math" w:cs="Times New Roman"/>
                                <w:szCs w:val="24"/>
                              </w:rPr>
                              <m:t>ρ</m:t>
                            </m:r>
                          </m:den>
                        </m:f>
                        <m:f>
                          <m:fPr>
                            <m:ctrlPr>
                              <w:rPr>
                                <w:rFonts w:ascii="Cambria Math" w:hAnsi="Cambria Math" w:cs="Times New Roman"/>
                                <w:i/>
                                <w:szCs w:val="24"/>
                              </w:rPr>
                            </m:ctrlPr>
                          </m:fPr>
                          <m:num>
                            <m:sSup>
                              <m:sSupPr>
                                <m:ctrlPr>
                                  <w:rPr>
                                    <w:rFonts w:ascii="Cambria Math" w:hAnsi="Cambria Math" w:cs="Times New Roman"/>
                                    <w:i/>
                                    <w:szCs w:val="24"/>
                                  </w:rPr>
                                </m:ctrlPr>
                              </m:sSupPr>
                              <m:e>
                                <m:r>
                                  <w:rPr>
                                    <w:rFonts w:ascii="Cambria Math" w:hAnsi="Cambria Math" w:cs="Times New Roman"/>
                                    <w:szCs w:val="24"/>
                                  </w:rPr>
                                  <m:t>∂</m:t>
                                </m:r>
                              </m:e>
                              <m:sup>
                                <m:r>
                                  <w:rPr>
                                    <w:rFonts w:ascii="Cambria Math" w:hAnsi="Cambria Math" w:cs="Times New Roman"/>
                                    <w:szCs w:val="24"/>
                                    <w:lang w:val="en-US"/>
                                  </w:rPr>
                                  <m:t>2</m:t>
                                </m:r>
                              </m:sup>
                            </m:sSup>
                            <m:r>
                              <w:rPr>
                                <w:rFonts w:ascii="Cambria Math" w:hAnsi="Cambria Math" w:cs="Times New Roman"/>
                                <w:szCs w:val="24"/>
                              </w:rPr>
                              <m:t>u</m:t>
                            </m:r>
                          </m:num>
                          <m:den>
                            <m:r>
                              <w:rPr>
                                <w:rFonts w:ascii="Cambria Math" w:hAnsi="Cambria Math" w:cs="Times New Roman"/>
                                <w:szCs w:val="24"/>
                              </w:rPr>
                              <m:t>∂</m:t>
                            </m:r>
                            <m:sSup>
                              <m:sSupPr>
                                <m:ctrlPr>
                                  <w:rPr>
                                    <w:rFonts w:ascii="Cambria Math" w:hAnsi="Cambria Math" w:cs="Times New Roman"/>
                                    <w:i/>
                                    <w:szCs w:val="24"/>
                                  </w:rPr>
                                </m:ctrlPr>
                              </m:sSupPr>
                              <m:e>
                                <m:r>
                                  <w:rPr>
                                    <w:rFonts w:ascii="Cambria Math" w:hAnsi="Cambria Math" w:cs="Times New Roman"/>
                                    <w:szCs w:val="24"/>
                                  </w:rPr>
                                  <m:t>x</m:t>
                                </m:r>
                              </m:e>
                              <m:sup>
                                <m:r>
                                  <w:rPr>
                                    <w:rFonts w:ascii="Cambria Math" w:hAnsi="Cambria Math" w:cs="Times New Roman"/>
                                    <w:szCs w:val="24"/>
                                    <w:lang w:val="en-US"/>
                                  </w:rPr>
                                  <m:t>2</m:t>
                                </m:r>
                              </m:sup>
                            </m:sSup>
                          </m:den>
                        </m:f>
                        <m:r>
                          <w:rPr>
                            <w:rFonts w:ascii="Cambria Math" w:hAnsi="Cambria Math" w:cs="Times New Roman"/>
                            <w:szCs w:val="24"/>
                            <w:lang w:val="en-US"/>
                          </w:rPr>
                          <m:t>=</m:t>
                        </m:r>
                        <m:sSub>
                          <m:sSubPr>
                            <m:ctrlPr>
                              <w:rPr>
                                <w:rFonts w:ascii="Cambria Math" w:hAnsi="Cambria Math" w:cs="Times New Roman"/>
                                <w:i/>
                                <w:szCs w:val="24"/>
                              </w:rPr>
                            </m:ctrlPr>
                          </m:sSubPr>
                          <m:e>
                            <m:r>
                              <w:rPr>
                                <w:rFonts w:ascii="Cambria Math" w:hAnsi="Cambria Math" w:cs="Times New Roman"/>
                                <w:szCs w:val="24"/>
                              </w:rPr>
                              <m:t>α</m:t>
                            </m:r>
                          </m:e>
                          <m:sub>
                            <m:r>
                              <w:rPr>
                                <w:rFonts w:ascii="Cambria Math" w:hAnsi="Cambria Math" w:cs="Times New Roman"/>
                                <w:szCs w:val="24"/>
                              </w:rPr>
                              <m:t>L</m:t>
                            </m:r>
                          </m:sub>
                        </m:sSub>
                        <m:f>
                          <m:fPr>
                            <m:ctrlPr>
                              <w:rPr>
                                <w:rFonts w:ascii="Cambria Math" w:hAnsi="Cambria Math" w:cs="Times New Roman"/>
                                <w:i/>
                                <w:szCs w:val="24"/>
                              </w:rPr>
                            </m:ctrlPr>
                          </m:fPr>
                          <m:num>
                            <m:sSup>
                              <m:sSupPr>
                                <m:ctrlPr>
                                  <w:rPr>
                                    <w:rFonts w:ascii="Cambria Math" w:hAnsi="Cambria Math" w:cs="Times New Roman"/>
                                    <w:i/>
                                    <w:szCs w:val="24"/>
                                  </w:rPr>
                                </m:ctrlPr>
                              </m:sSupPr>
                              <m:e>
                                <m:r>
                                  <w:rPr>
                                    <w:rFonts w:ascii="Cambria Math" w:hAnsi="Cambria Math" w:cs="Times New Roman"/>
                                    <w:szCs w:val="24"/>
                                  </w:rPr>
                                  <m:t>∂</m:t>
                                </m:r>
                              </m:e>
                              <m:sup>
                                <m:r>
                                  <w:rPr>
                                    <w:rFonts w:ascii="Cambria Math" w:hAnsi="Cambria Math" w:cs="Times New Roman"/>
                                    <w:szCs w:val="24"/>
                                    <w:lang w:val="en-US"/>
                                  </w:rPr>
                                  <m:t>2</m:t>
                                </m:r>
                              </m:sup>
                            </m:sSup>
                            <m:r>
                              <w:rPr>
                                <w:rFonts w:ascii="Cambria Math" w:hAnsi="Cambria Math" w:cs="Times New Roman"/>
                                <w:szCs w:val="24"/>
                              </w:rPr>
                              <m:t>u</m:t>
                            </m:r>
                          </m:num>
                          <m:den>
                            <m:r>
                              <w:rPr>
                                <w:rFonts w:ascii="Cambria Math" w:hAnsi="Cambria Math" w:cs="Times New Roman"/>
                                <w:szCs w:val="24"/>
                              </w:rPr>
                              <m:t>∂</m:t>
                            </m:r>
                            <m:sSup>
                              <m:sSupPr>
                                <m:ctrlPr>
                                  <w:rPr>
                                    <w:rFonts w:ascii="Cambria Math" w:hAnsi="Cambria Math" w:cs="Times New Roman"/>
                                    <w:i/>
                                    <w:szCs w:val="24"/>
                                  </w:rPr>
                                </m:ctrlPr>
                              </m:sSupPr>
                              <m:e>
                                <m:r>
                                  <w:rPr>
                                    <w:rFonts w:ascii="Cambria Math" w:hAnsi="Cambria Math" w:cs="Times New Roman"/>
                                    <w:szCs w:val="24"/>
                                  </w:rPr>
                                  <m:t>x</m:t>
                                </m:r>
                              </m:e>
                              <m:sup>
                                <m:r>
                                  <w:rPr>
                                    <w:rFonts w:ascii="Cambria Math" w:hAnsi="Cambria Math" w:cs="Times New Roman"/>
                                    <w:szCs w:val="24"/>
                                    <w:lang w:val="en-US"/>
                                  </w:rPr>
                                  <m:t>2</m:t>
                                </m:r>
                              </m:sup>
                            </m:sSup>
                          </m:den>
                        </m:f>
                      </m:oMath>
                      <w:r w:rsidRPr="00AC6DA0">
                        <w:rPr>
                          <w:rFonts w:ascii="Times New Roman" w:eastAsiaTheme="minorEastAsia" w:hAnsi="Times New Roman" w:cs="Times New Roman"/>
                          <w:lang w:val="en-US"/>
                        </w:rPr>
                        <w:t xml:space="preserve">   The heat equation </w:t>
                      </w:r>
                      <m:oMath>
                        <m:r>
                          <w:rPr>
                            <w:rFonts w:ascii="Cambria Math" w:eastAsiaTheme="minorEastAsia" w:hAnsi="Cambria Math" w:cs="Times New Roman"/>
                            <w:sz w:val="18"/>
                            <w:szCs w:val="18"/>
                            <w:lang w:val="en-US"/>
                          </w:rPr>
                          <m:t>0≤</m:t>
                        </m:r>
                        <m:r>
                          <w:rPr>
                            <w:rFonts w:ascii="Cambria Math" w:eastAsiaTheme="minorEastAsia" w:hAnsi="Cambria Math" w:cs="Times New Roman"/>
                            <w:sz w:val="18"/>
                            <w:szCs w:val="18"/>
                          </w:rPr>
                          <m:t>x</m:t>
                        </m:r>
                        <m:r>
                          <w:rPr>
                            <w:rFonts w:ascii="Cambria Math" w:eastAsiaTheme="minorEastAsia" w:hAnsi="Cambria Math" w:cs="Times New Roman"/>
                            <w:sz w:val="18"/>
                            <w:szCs w:val="18"/>
                            <w:lang w:val="en-US"/>
                          </w:rPr>
                          <m:t>&lt;</m:t>
                        </m:r>
                        <m:r>
                          <w:rPr>
                            <w:rFonts w:ascii="Cambria Math" w:eastAsiaTheme="minorEastAsia" w:hAnsi="Cambria Math" w:cs="Times New Roman"/>
                            <w:sz w:val="18"/>
                            <w:szCs w:val="18"/>
                          </w:rPr>
                          <m:t>s</m:t>
                        </m:r>
                        <m:r>
                          <w:rPr>
                            <w:rFonts w:ascii="Cambria Math" w:eastAsiaTheme="minorEastAsia" w:hAnsi="Cambria Math" w:cs="Times New Roman"/>
                            <w:sz w:val="18"/>
                            <w:szCs w:val="18"/>
                            <w:lang w:val="en-US"/>
                          </w:rPr>
                          <m:t>(</m:t>
                        </m:r>
                        <m:r>
                          <w:rPr>
                            <w:rFonts w:ascii="Cambria Math" w:eastAsiaTheme="minorEastAsia" w:hAnsi="Cambria Math" w:cs="Times New Roman"/>
                            <w:sz w:val="18"/>
                            <w:szCs w:val="18"/>
                          </w:rPr>
                          <m:t>t</m:t>
                        </m:r>
                        <m:r>
                          <w:rPr>
                            <w:rFonts w:ascii="Cambria Math" w:eastAsiaTheme="minorEastAsia" w:hAnsi="Cambria Math" w:cs="Times New Roman"/>
                            <w:sz w:val="18"/>
                            <w:szCs w:val="18"/>
                            <w:lang w:val="en-US"/>
                          </w:rPr>
                          <m:t>)</m:t>
                        </m:r>
                      </m:oMath>
                    </w:p>
                    <w:p w14:paraId="7B8A69C9" w14:textId="625B8E3D" w:rsidR="00625AD6" w:rsidRPr="00AC6DA0" w:rsidRDefault="00625AD6" w:rsidP="00625AD6">
                      <w:pPr>
                        <w:rPr>
                          <w:rFonts w:ascii="Times New Roman" w:eastAsiaTheme="minorEastAsia" w:hAnsi="Times New Roman" w:cs="Times New Roman"/>
                          <w:lang w:val="en-US"/>
                        </w:rPr>
                      </w:pPr>
                      <m:oMath>
                        <m:r>
                          <w:rPr>
                            <w:rFonts w:ascii="Cambria Math" w:eastAsiaTheme="minorEastAsia" w:hAnsi="Cambria Math" w:cs="Times New Roman"/>
                            <w:szCs w:val="24"/>
                          </w:rPr>
                          <m:t>u</m:t>
                        </m:r>
                        <m:d>
                          <m:dPr>
                            <m:ctrlPr>
                              <w:rPr>
                                <w:rFonts w:ascii="Cambria Math" w:eastAsiaTheme="minorEastAsia" w:hAnsi="Cambria Math" w:cs="Times New Roman"/>
                                <w:i/>
                                <w:szCs w:val="24"/>
                              </w:rPr>
                            </m:ctrlPr>
                          </m:dPr>
                          <m:e>
                            <m:r>
                              <w:rPr>
                                <w:rFonts w:ascii="Cambria Math" w:eastAsiaTheme="minorEastAsia" w:hAnsi="Cambria Math" w:cs="Times New Roman"/>
                                <w:szCs w:val="24"/>
                                <w:lang w:val="en-US"/>
                              </w:rPr>
                              <m:t>0,</m:t>
                            </m:r>
                            <m:r>
                              <w:rPr>
                                <w:rFonts w:ascii="Cambria Math" w:eastAsiaTheme="minorEastAsia" w:hAnsi="Cambria Math" w:cs="Times New Roman"/>
                                <w:szCs w:val="24"/>
                              </w:rPr>
                              <m:t>t</m:t>
                            </m:r>
                          </m:e>
                        </m:d>
                        <m:r>
                          <w:rPr>
                            <w:rFonts w:ascii="Cambria Math" w:eastAsiaTheme="minorEastAsia" w:hAnsi="Cambria Math" w:cs="Times New Roman"/>
                            <w:szCs w:val="24"/>
                            <w:lang w:val="en-US"/>
                          </w:rPr>
                          <m:t>=</m:t>
                        </m:r>
                        <m:r>
                          <w:rPr>
                            <w:rFonts w:ascii="Cambria Math" w:eastAsiaTheme="minorEastAsia" w:hAnsi="Cambria Math" w:cs="Times New Roman"/>
                            <w:szCs w:val="24"/>
                          </w:rPr>
                          <m:t>f</m:t>
                        </m:r>
                        <m:r>
                          <w:rPr>
                            <w:rFonts w:ascii="Cambria Math" w:eastAsiaTheme="minorEastAsia" w:hAnsi="Cambria Math" w:cs="Times New Roman"/>
                            <w:szCs w:val="24"/>
                            <w:lang w:val="en-US"/>
                          </w:rPr>
                          <m:t>(</m:t>
                        </m:r>
                        <m:r>
                          <w:rPr>
                            <w:rFonts w:ascii="Cambria Math" w:eastAsiaTheme="minorEastAsia" w:hAnsi="Cambria Math" w:cs="Times New Roman"/>
                            <w:szCs w:val="24"/>
                          </w:rPr>
                          <m:t>t</m:t>
                        </m:r>
                        <m:r>
                          <w:rPr>
                            <w:rFonts w:ascii="Cambria Math" w:eastAsiaTheme="minorEastAsia" w:hAnsi="Cambria Math" w:cs="Times New Roman"/>
                            <w:szCs w:val="24"/>
                            <w:lang w:val="en-US"/>
                          </w:rPr>
                          <m:t>)</m:t>
                        </m:r>
                      </m:oMath>
                      <w:r w:rsidRPr="00AC6DA0">
                        <w:rPr>
                          <w:rFonts w:ascii="Times New Roman" w:eastAsiaTheme="minorEastAsia" w:hAnsi="Times New Roman" w:cs="Times New Roman"/>
                          <w:lang w:val="en-US"/>
                        </w:rPr>
                        <w:tab/>
                        <w:t xml:space="preserve">   B</w:t>
                      </w:r>
                      <w:r w:rsidR="0027222B">
                        <w:rPr>
                          <w:rFonts w:ascii="Times New Roman" w:eastAsiaTheme="minorEastAsia" w:hAnsi="Times New Roman" w:cs="Times New Roman"/>
                          <w:lang w:val="en-US"/>
                        </w:rPr>
                        <w:t>ou</w:t>
                      </w:r>
                      <w:r w:rsidRPr="00AC6DA0">
                        <w:rPr>
                          <w:rFonts w:ascii="Times New Roman" w:eastAsiaTheme="minorEastAsia" w:hAnsi="Times New Roman" w:cs="Times New Roman"/>
                          <w:lang w:val="en-US"/>
                        </w:rPr>
                        <w:t>ndary condition</w:t>
                      </w:r>
                    </w:p>
                    <w:p w14:paraId="08092DAC" w14:textId="77777777" w:rsidR="00625AD6" w:rsidRPr="00AC6DA0" w:rsidRDefault="00625AD6" w:rsidP="00625AD6">
                      <w:pPr>
                        <w:rPr>
                          <w:rFonts w:ascii="Times New Roman" w:eastAsiaTheme="minorEastAsia" w:hAnsi="Times New Roman" w:cs="Times New Roman"/>
                          <w:lang w:val="en-US"/>
                        </w:rPr>
                      </w:pPr>
                      <m:oMath>
                        <m:r>
                          <w:rPr>
                            <w:rFonts w:ascii="Cambria Math" w:eastAsiaTheme="minorEastAsia" w:hAnsi="Cambria Math" w:cs="Times New Roman"/>
                            <w:szCs w:val="24"/>
                          </w:rPr>
                          <m:t>u</m:t>
                        </m:r>
                        <m:d>
                          <m:dPr>
                            <m:ctrlPr>
                              <w:rPr>
                                <w:rFonts w:ascii="Cambria Math" w:eastAsiaTheme="minorEastAsia" w:hAnsi="Cambria Math" w:cs="Times New Roman"/>
                                <w:i/>
                                <w:szCs w:val="24"/>
                              </w:rPr>
                            </m:ctrlPr>
                          </m:dPr>
                          <m:e>
                            <m:r>
                              <w:rPr>
                                <w:rFonts w:ascii="Cambria Math" w:eastAsiaTheme="minorEastAsia" w:hAnsi="Cambria Math" w:cs="Times New Roman"/>
                                <w:szCs w:val="24"/>
                              </w:rPr>
                              <m:t>x</m:t>
                            </m:r>
                            <m:r>
                              <w:rPr>
                                <w:rFonts w:ascii="Cambria Math" w:eastAsiaTheme="minorEastAsia" w:hAnsi="Cambria Math" w:cs="Times New Roman"/>
                                <w:szCs w:val="24"/>
                                <w:lang w:val="en-US"/>
                              </w:rPr>
                              <m:t>,0</m:t>
                            </m:r>
                          </m:e>
                        </m:d>
                        <m:r>
                          <w:rPr>
                            <w:rFonts w:ascii="Cambria Math" w:eastAsiaTheme="minorEastAsia" w:hAnsi="Cambria Math" w:cs="Times New Roman"/>
                            <w:szCs w:val="24"/>
                            <w:lang w:val="en-US"/>
                          </w:rPr>
                          <m:t>=0</m:t>
                        </m:r>
                      </m:oMath>
                      <w:r w:rsidRPr="00AC6DA0">
                        <w:rPr>
                          <w:rFonts w:ascii="Times New Roman" w:eastAsiaTheme="minorEastAsia" w:hAnsi="Times New Roman" w:cs="Times New Roman"/>
                          <w:lang w:val="en-US"/>
                        </w:rPr>
                        <w:tab/>
                      </w:r>
                      <w:r w:rsidRPr="00AC6DA0">
                        <w:rPr>
                          <w:rFonts w:ascii="Times New Roman" w:eastAsiaTheme="minorEastAsia" w:hAnsi="Times New Roman" w:cs="Times New Roman"/>
                          <w:lang w:val="en-US"/>
                        </w:rPr>
                        <w:tab/>
                        <w:t xml:space="preserve">   Initial condition</w:t>
                      </w:r>
                    </w:p>
                    <w:p w14:paraId="6329D774" w14:textId="77777777" w:rsidR="00625AD6" w:rsidRPr="00AC6DA0" w:rsidRDefault="00625AD6" w:rsidP="00625AD6">
                      <w:pPr>
                        <w:rPr>
                          <w:rFonts w:ascii="Times New Roman" w:eastAsiaTheme="minorEastAsia" w:hAnsi="Times New Roman" w:cs="Times New Roman"/>
                          <w:lang w:val="en-US"/>
                        </w:rPr>
                      </w:pPr>
                      <w:r w:rsidRPr="00AC6DA0">
                        <w:rPr>
                          <w:rFonts w:ascii="Times New Roman" w:eastAsiaTheme="minorEastAsia" w:hAnsi="Times New Roman" w:cs="Times New Roman"/>
                          <w:lang w:val="en-US"/>
                        </w:rPr>
                        <w:t>THE SOLID REGION</w:t>
                      </w:r>
                    </w:p>
                    <w:p w14:paraId="1E759F77" w14:textId="4BC735B8" w:rsidR="00625AD6" w:rsidRPr="005C1C60" w:rsidRDefault="00625AD6" w:rsidP="00625AD6">
                      <w:pPr>
                        <w:rPr>
                          <w:rFonts w:ascii="Times New Roman" w:eastAsiaTheme="minorEastAsia" w:hAnsi="Times New Roman" w:cs="Times New Roman"/>
                          <w:lang w:val="nb-NO"/>
                        </w:rPr>
                      </w:pPr>
                      <m:oMath>
                        <m:r>
                          <w:rPr>
                            <w:rFonts w:ascii="Cambria Math" w:eastAsiaTheme="minorEastAsia" w:hAnsi="Cambria Math" w:cs="Times New Roman"/>
                            <w:szCs w:val="24"/>
                          </w:rPr>
                          <m:t>u</m:t>
                        </m:r>
                        <m:d>
                          <m:dPr>
                            <m:ctrlPr>
                              <w:rPr>
                                <w:rFonts w:ascii="Cambria Math" w:eastAsiaTheme="minorEastAsia" w:hAnsi="Cambria Math" w:cs="Times New Roman"/>
                                <w:i/>
                                <w:szCs w:val="24"/>
                              </w:rPr>
                            </m:ctrlPr>
                          </m:dPr>
                          <m:e>
                            <m:r>
                              <w:rPr>
                                <w:rFonts w:ascii="Cambria Math" w:eastAsiaTheme="minorEastAsia" w:hAnsi="Cambria Math" w:cs="Times New Roman"/>
                                <w:szCs w:val="24"/>
                              </w:rPr>
                              <m:t>x</m:t>
                            </m:r>
                            <m:r>
                              <w:rPr>
                                <w:rFonts w:ascii="Cambria Math" w:eastAsiaTheme="minorEastAsia" w:hAnsi="Cambria Math" w:cs="Times New Roman"/>
                                <w:szCs w:val="24"/>
                                <w:lang w:val="nb-NO"/>
                              </w:rPr>
                              <m:t>,</m:t>
                            </m:r>
                            <m:r>
                              <w:rPr>
                                <w:rFonts w:ascii="Cambria Math" w:eastAsiaTheme="minorEastAsia" w:hAnsi="Cambria Math" w:cs="Times New Roman"/>
                                <w:szCs w:val="24"/>
                              </w:rPr>
                              <m:t>t</m:t>
                            </m:r>
                          </m:e>
                        </m:d>
                        <m:r>
                          <w:rPr>
                            <w:rFonts w:ascii="Cambria Math" w:eastAsiaTheme="minorEastAsia" w:hAnsi="Cambria Math" w:cs="Times New Roman"/>
                            <w:szCs w:val="24"/>
                            <w:lang w:val="nb-NO"/>
                          </w:rPr>
                          <m:t>=0</m:t>
                        </m:r>
                      </m:oMath>
                      <w:r w:rsidRPr="007D77BD">
                        <w:rPr>
                          <w:rFonts w:ascii="Times New Roman" w:eastAsiaTheme="minorEastAsia" w:hAnsi="Times New Roman" w:cs="Times New Roman"/>
                          <w:szCs w:val="24"/>
                          <w:lang w:val="nb-NO"/>
                        </w:rPr>
                        <w:t xml:space="preserve"> </w:t>
                      </w:r>
                      <w:r>
                        <w:rPr>
                          <w:rFonts w:ascii="Times New Roman" w:eastAsiaTheme="minorEastAsia" w:hAnsi="Times New Roman" w:cs="Times New Roman"/>
                          <w:szCs w:val="24"/>
                          <w:lang w:val="nb-NO"/>
                        </w:rPr>
                        <w:tab/>
                      </w:r>
                      <w:r w:rsidRPr="007D77BD">
                        <w:rPr>
                          <w:rFonts w:ascii="Times New Roman" w:eastAsiaTheme="minorEastAsia" w:hAnsi="Times New Roman" w:cs="Times New Roman"/>
                          <w:lang w:val="nb-NO"/>
                        </w:rPr>
                        <w:t>for all t</w:t>
                      </w:r>
                      <w:r>
                        <w:rPr>
                          <w:rFonts w:ascii="Times New Roman" w:eastAsiaTheme="minorEastAsia" w:hAnsi="Times New Roman" w:cs="Times New Roman"/>
                          <w:lang w:val="nb-NO"/>
                        </w:rPr>
                        <w:t xml:space="preserve">, </w:t>
                      </w:r>
                      <m:oMath>
                        <m:r>
                          <w:rPr>
                            <w:rFonts w:ascii="Cambria Math" w:eastAsiaTheme="minorEastAsia" w:hAnsi="Cambria Math" w:cs="Times New Roman"/>
                            <w:lang w:val="nb-NO"/>
                          </w:rPr>
                          <m:t>x≥s(t)</m:t>
                        </m:r>
                      </m:oMath>
                    </w:p>
                  </w:txbxContent>
                </v:textbox>
                <w10:wrap type="square" anchorx="margin"/>
              </v:shape>
            </w:pict>
          </mc:Fallback>
        </mc:AlternateContent>
      </w:r>
      <w:r w:rsidR="0027222B" w:rsidRPr="00625AD6">
        <w:rPr>
          <w:rFonts w:cs="Times New Roman"/>
          <w:noProof/>
        </w:rPr>
        <mc:AlternateContent>
          <mc:Choice Requires="wps">
            <w:drawing>
              <wp:anchor distT="45720" distB="45720" distL="114300" distR="114300" simplePos="0" relativeHeight="251738112" behindDoc="0" locked="0" layoutInCell="1" allowOverlap="1" wp14:anchorId="217F8EE2" wp14:editId="78C8F23A">
                <wp:simplePos x="0" y="0"/>
                <wp:positionH relativeFrom="margin">
                  <wp:posOffset>3125470</wp:posOffset>
                </wp:positionH>
                <wp:positionV relativeFrom="paragraph">
                  <wp:posOffset>2768600</wp:posOffset>
                </wp:positionV>
                <wp:extent cx="2710180" cy="1892300"/>
                <wp:effectExtent l="0" t="0" r="0" b="0"/>
                <wp:wrapSquare wrapText="bothSides"/>
                <wp:docPr id="27993266"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0180" cy="1892300"/>
                        </a:xfrm>
                        <a:prstGeom prst="rect">
                          <a:avLst/>
                        </a:prstGeom>
                        <a:solidFill>
                          <a:srgbClr val="FFFFFF"/>
                        </a:solidFill>
                        <a:ln w="9525">
                          <a:noFill/>
                          <a:miter lim="800000"/>
                          <a:headEnd/>
                          <a:tailEnd/>
                        </a:ln>
                      </wps:spPr>
                      <wps:txbx>
                        <w:txbxContent>
                          <w:p w14:paraId="60CCFDAC" w14:textId="77777777" w:rsidR="00625AD6" w:rsidRPr="00AC6DA0" w:rsidRDefault="00625AD6" w:rsidP="00625AD6">
                            <w:pPr>
                              <w:rPr>
                                <w:rFonts w:ascii="Times New Roman" w:eastAsiaTheme="minorEastAsia" w:hAnsi="Times New Roman" w:cs="Times New Roman"/>
                                <w:lang w:val="en-US"/>
                              </w:rPr>
                            </w:pPr>
                            <w:r w:rsidRPr="00AC6DA0">
                              <w:rPr>
                                <w:rFonts w:ascii="Times New Roman" w:hAnsi="Times New Roman" w:cs="Times New Roman"/>
                                <w:lang w:val="en-US"/>
                              </w:rPr>
                              <w:t xml:space="preserve">THE FREE BOUNDARY </w:t>
                            </w:r>
                            <m:oMath>
                              <m:r>
                                <w:rPr>
                                  <w:rFonts w:ascii="Cambria Math" w:hAnsi="Cambria Math" w:cs="Times New Roman"/>
                                </w:rPr>
                                <m:t>x</m:t>
                              </m:r>
                              <m:r>
                                <w:rPr>
                                  <w:rFonts w:ascii="Cambria Math" w:hAnsi="Cambria Math" w:cs="Times New Roman"/>
                                  <w:lang w:val="en-US"/>
                                </w:rPr>
                                <m:t>=</m:t>
                              </m:r>
                              <m:r>
                                <w:rPr>
                                  <w:rFonts w:ascii="Cambria Math" w:hAnsi="Cambria Math" w:cs="Times New Roman"/>
                                </w:rPr>
                                <m:t>s</m:t>
                              </m:r>
                              <m:r>
                                <w:rPr>
                                  <w:rFonts w:ascii="Cambria Math" w:hAnsi="Cambria Math" w:cs="Times New Roman"/>
                                  <w:lang w:val="en-US"/>
                                </w:rPr>
                                <m:t>(</m:t>
                              </m:r>
                              <m:r>
                                <w:rPr>
                                  <w:rFonts w:ascii="Cambria Math" w:hAnsi="Cambria Math" w:cs="Times New Roman"/>
                                </w:rPr>
                                <m:t>t</m:t>
                              </m:r>
                              <m:r>
                                <w:rPr>
                                  <w:rFonts w:ascii="Cambria Math" w:hAnsi="Cambria Math" w:cs="Times New Roman"/>
                                  <w:lang w:val="en-US"/>
                                </w:rPr>
                                <m:t>)</m:t>
                              </m:r>
                            </m:oMath>
                          </w:p>
                          <w:p w14:paraId="332C9922" w14:textId="77777777" w:rsidR="00625AD6" w:rsidRPr="00AC6DA0" w:rsidRDefault="00000000" w:rsidP="00625AD6">
                            <w:pPr>
                              <w:rPr>
                                <w:rFonts w:ascii="Times New Roman" w:eastAsiaTheme="minorEastAsia" w:hAnsi="Times New Roman" w:cs="Times New Roman"/>
                                <w:lang w:val="en-US"/>
                              </w:rPr>
                            </w:pPr>
                            <m:oMath>
                              <m:sSub>
                                <m:sSubPr>
                                  <m:ctrlPr>
                                    <w:rPr>
                                      <w:rFonts w:ascii="Cambria Math" w:hAnsi="Cambria Math" w:cs="Times New Roman"/>
                                      <w:i/>
                                      <w:szCs w:val="24"/>
                                    </w:rPr>
                                  </m:ctrlPr>
                                </m:sSubPr>
                                <m:e>
                                  <m:r>
                                    <w:rPr>
                                      <w:rFonts w:ascii="Cambria Math" w:hAnsi="Cambria Math" w:cs="Times New Roman"/>
                                      <w:szCs w:val="24"/>
                                    </w:rPr>
                                    <m:t>H</m:t>
                                  </m:r>
                                </m:e>
                                <m:sub>
                                  <m:r>
                                    <w:rPr>
                                      <w:rFonts w:ascii="Cambria Math" w:hAnsi="Cambria Math" w:cs="Times New Roman"/>
                                      <w:szCs w:val="24"/>
                                    </w:rPr>
                                    <m:t>F</m:t>
                                  </m:r>
                                </m:sub>
                              </m:sSub>
                              <m:r>
                                <w:rPr>
                                  <w:rFonts w:ascii="Cambria Math" w:hAnsi="Cambria Math" w:cs="Times New Roman"/>
                                  <w:szCs w:val="24"/>
                                </w:rPr>
                                <m:t>ρ</m:t>
                              </m:r>
                              <m:f>
                                <m:fPr>
                                  <m:ctrlPr>
                                    <w:rPr>
                                      <w:rFonts w:ascii="Cambria Math" w:hAnsi="Cambria Math" w:cs="Times New Roman"/>
                                      <w:i/>
                                      <w:szCs w:val="24"/>
                                    </w:rPr>
                                  </m:ctrlPr>
                                </m:fPr>
                                <m:num>
                                  <m:r>
                                    <w:rPr>
                                      <w:rFonts w:ascii="Cambria Math" w:hAnsi="Cambria Math" w:cs="Times New Roman"/>
                                      <w:szCs w:val="24"/>
                                    </w:rPr>
                                    <m:t>ds</m:t>
                                  </m:r>
                                </m:num>
                                <m:den>
                                  <m:r>
                                    <w:rPr>
                                      <w:rFonts w:ascii="Cambria Math" w:hAnsi="Cambria Math" w:cs="Times New Roman"/>
                                      <w:szCs w:val="24"/>
                                    </w:rPr>
                                    <m:t>dt</m:t>
                                  </m:r>
                                </m:den>
                              </m:f>
                              <m:r>
                                <w:rPr>
                                  <w:rFonts w:ascii="Cambria Math" w:hAnsi="Cambria Math" w:cs="Times New Roman"/>
                                  <w:szCs w:val="24"/>
                                  <w:lang w:val="en-US"/>
                                </w:rPr>
                                <m:t>=-</m:t>
                              </m:r>
                              <m:sSub>
                                <m:sSubPr>
                                  <m:ctrlPr>
                                    <w:rPr>
                                      <w:rFonts w:ascii="Cambria Math" w:hAnsi="Cambria Math" w:cs="Times New Roman"/>
                                      <w:i/>
                                      <w:szCs w:val="24"/>
                                    </w:rPr>
                                  </m:ctrlPr>
                                </m:sSubPr>
                                <m:e>
                                  <m:r>
                                    <w:rPr>
                                      <w:rFonts w:ascii="Cambria Math" w:hAnsi="Cambria Math" w:cs="Times New Roman"/>
                                      <w:szCs w:val="24"/>
                                    </w:rPr>
                                    <m:t>K</m:t>
                                  </m:r>
                                </m:e>
                                <m:sub>
                                  <m:r>
                                    <w:rPr>
                                      <w:rFonts w:ascii="Cambria Math" w:hAnsi="Cambria Math" w:cs="Times New Roman"/>
                                      <w:szCs w:val="24"/>
                                    </w:rPr>
                                    <m:t>L</m:t>
                                  </m:r>
                                </m:sub>
                              </m:sSub>
                              <m:f>
                                <m:fPr>
                                  <m:ctrlPr>
                                    <w:rPr>
                                      <w:rFonts w:ascii="Cambria Math" w:hAnsi="Cambria Math" w:cs="Times New Roman"/>
                                      <w:i/>
                                      <w:szCs w:val="24"/>
                                    </w:rPr>
                                  </m:ctrlPr>
                                </m:fPr>
                                <m:num>
                                  <m:r>
                                    <w:rPr>
                                      <w:rFonts w:ascii="Cambria Math" w:hAnsi="Cambria Math" w:cs="Times New Roman"/>
                                      <w:szCs w:val="24"/>
                                    </w:rPr>
                                    <m:t>∂u</m:t>
                                  </m:r>
                                </m:num>
                                <m:den>
                                  <m:r>
                                    <w:rPr>
                                      <w:rFonts w:ascii="Cambria Math" w:hAnsi="Cambria Math" w:cs="Times New Roman"/>
                                      <w:szCs w:val="24"/>
                                    </w:rPr>
                                    <m:t>∂x</m:t>
                                  </m:r>
                                </m:den>
                              </m:f>
                              <m:r>
                                <w:rPr>
                                  <w:rFonts w:ascii="Cambria Math" w:eastAsiaTheme="minorEastAsia" w:hAnsi="Cambria Math" w:cs="Times New Roman"/>
                                  <w:szCs w:val="24"/>
                                  <w:lang w:val="en-US"/>
                                </w:rPr>
                                <m:t xml:space="preserve"> </m:t>
                              </m:r>
                            </m:oMath>
                            <w:r w:rsidR="00625AD6" w:rsidRPr="00AC6DA0">
                              <w:rPr>
                                <w:rFonts w:ascii="Times New Roman" w:eastAsiaTheme="minorEastAsia" w:hAnsi="Times New Roman" w:cs="Times New Roman"/>
                                <w:lang w:val="en-US"/>
                              </w:rPr>
                              <w:t xml:space="preserve">  </w:t>
                            </w:r>
                            <w:r w:rsidR="00625AD6" w:rsidRPr="00AC6DA0">
                              <w:rPr>
                                <w:rFonts w:ascii="Times New Roman" w:eastAsiaTheme="minorEastAsia" w:hAnsi="Times New Roman" w:cs="Times New Roman"/>
                                <w:lang w:val="en-US"/>
                              </w:rPr>
                              <w:tab/>
                              <w:t>Stefan condition</w:t>
                            </w:r>
                          </w:p>
                          <w:p w14:paraId="50FB8B89" w14:textId="77777777" w:rsidR="00625AD6" w:rsidRPr="00AC6DA0" w:rsidRDefault="00625AD6" w:rsidP="00625AD6">
                            <w:pPr>
                              <w:rPr>
                                <w:rFonts w:ascii="Times New Roman" w:eastAsiaTheme="minorEastAsia" w:hAnsi="Times New Roman" w:cs="Times New Roman"/>
                                <w:lang w:val="en-US"/>
                              </w:rPr>
                            </w:pPr>
                            <m:oMath>
                              <m:r>
                                <w:rPr>
                                  <w:rFonts w:ascii="Cambria Math" w:hAnsi="Cambria Math" w:cs="Times New Roman"/>
                                </w:rPr>
                                <m:t>s</m:t>
                              </m:r>
                              <m:d>
                                <m:dPr>
                                  <m:ctrlPr>
                                    <w:rPr>
                                      <w:rFonts w:ascii="Cambria Math" w:hAnsi="Cambria Math" w:cs="Times New Roman"/>
                                      <w:i/>
                                    </w:rPr>
                                  </m:ctrlPr>
                                </m:dPr>
                                <m:e>
                                  <m:r>
                                    <w:rPr>
                                      <w:rFonts w:ascii="Cambria Math" w:hAnsi="Cambria Math" w:cs="Times New Roman"/>
                                      <w:lang w:val="en-US"/>
                                    </w:rPr>
                                    <m:t>0</m:t>
                                  </m:r>
                                </m:e>
                              </m:d>
                              <m:r>
                                <w:rPr>
                                  <w:rFonts w:ascii="Cambria Math" w:hAnsi="Cambria Math" w:cs="Times New Roman"/>
                                  <w:lang w:val="en-US"/>
                                </w:rPr>
                                <m:t>=0</m:t>
                              </m:r>
                            </m:oMath>
                            <w:r w:rsidRPr="00AC6DA0">
                              <w:rPr>
                                <w:rFonts w:ascii="Times New Roman" w:eastAsiaTheme="minorEastAsia" w:hAnsi="Times New Roman" w:cs="Times New Roman"/>
                                <w:lang w:val="en-US"/>
                              </w:rPr>
                              <w:t xml:space="preserve">      </w:t>
                            </w:r>
                            <w:r w:rsidRPr="00AC6DA0">
                              <w:rPr>
                                <w:rFonts w:ascii="Times New Roman" w:eastAsiaTheme="minorEastAsia" w:hAnsi="Times New Roman" w:cs="Times New Roman"/>
                                <w:lang w:val="en-US"/>
                              </w:rPr>
                              <w:tab/>
                              <w:t>Initial position of surface</w:t>
                            </w:r>
                          </w:p>
                          <w:p w14:paraId="5D24ECF8" w14:textId="77777777" w:rsidR="00625AD6" w:rsidRPr="00AC6DA0" w:rsidRDefault="00625AD6" w:rsidP="00625AD6">
                            <w:pPr>
                              <w:rPr>
                                <w:rFonts w:ascii="Times New Roman" w:hAnsi="Times New Roman" w:cs="Times New Roman"/>
                                <w:lang w:val="en-US"/>
                              </w:rPr>
                            </w:pPr>
                            <m:oMath>
                              <m:r>
                                <w:rPr>
                                  <w:rFonts w:ascii="Cambria Math" w:hAnsi="Cambria Math" w:cs="Times New Roman"/>
                                  <w:lang w:val="nb-NO"/>
                                </w:rPr>
                                <m:t>u</m:t>
                              </m:r>
                              <m:d>
                                <m:dPr>
                                  <m:ctrlPr>
                                    <w:rPr>
                                      <w:rFonts w:ascii="Cambria Math" w:hAnsi="Cambria Math" w:cs="Times New Roman"/>
                                      <w:i/>
                                      <w:lang w:val="nb-NO"/>
                                    </w:rPr>
                                  </m:ctrlPr>
                                </m:dPr>
                                <m:e>
                                  <m:r>
                                    <w:rPr>
                                      <w:rFonts w:ascii="Cambria Math" w:hAnsi="Cambria Math" w:cs="Times New Roman"/>
                                      <w:lang w:val="nb-NO"/>
                                    </w:rPr>
                                    <m:t>s</m:t>
                                  </m:r>
                                  <m:d>
                                    <m:dPr>
                                      <m:ctrlPr>
                                        <w:rPr>
                                          <w:rFonts w:ascii="Cambria Math" w:hAnsi="Cambria Math" w:cs="Times New Roman"/>
                                          <w:i/>
                                          <w:lang w:val="nb-NO"/>
                                        </w:rPr>
                                      </m:ctrlPr>
                                    </m:dPr>
                                    <m:e>
                                      <m:r>
                                        <w:rPr>
                                          <w:rFonts w:ascii="Cambria Math" w:hAnsi="Cambria Math" w:cs="Times New Roman"/>
                                          <w:lang w:val="nb-NO"/>
                                        </w:rPr>
                                        <m:t>t</m:t>
                                      </m:r>
                                    </m:e>
                                  </m:d>
                                  <m:r>
                                    <w:rPr>
                                      <w:rFonts w:ascii="Cambria Math" w:hAnsi="Cambria Math" w:cs="Times New Roman"/>
                                      <w:lang w:val="en-US"/>
                                    </w:rPr>
                                    <m:t>,</m:t>
                                  </m:r>
                                  <m:r>
                                    <w:rPr>
                                      <w:rFonts w:ascii="Cambria Math" w:hAnsi="Cambria Math" w:cs="Times New Roman"/>
                                      <w:lang w:val="nb-NO"/>
                                    </w:rPr>
                                    <m:t>t</m:t>
                                  </m:r>
                                </m:e>
                              </m:d>
                              <m:r>
                                <w:rPr>
                                  <w:rFonts w:ascii="Cambria Math" w:hAnsi="Cambria Math" w:cs="Times New Roman"/>
                                  <w:lang w:val="en-US"/>
                                </w:rPr>
                                <m:t>=0</m:t>
                              </m:r>
                            </m:oMath>
                            <w:r w:rsidRPr="00AC6DA0">
                              <w:rPr>
                                <w:rFonts w:ascii="Times New Roman" w:eastAsiaTheme="minorEastAsia" w:hAnsi="Times New Roman" w:cs="Times New Roman"/>
                                <w:lang w:val="en-US"/>
                              </w:rPr>
                              <w:t xml:space="preserve"> </w:t>
                            </w:r>
                            <w:r w:rsidRPr="00AC6DA0">
                              <w:rPr>
                                <w:rFonts w:ascii="Times New Roman" w:eastAsiaTheme="minorEastAsia" w:hAnsi="Times New Roman" w:cs="Times New Roman"/>
                                <w:lang w:val="en-US"/>
                              </w:rPr>
                              <w:tab/>
                              <w:t>freezing temperature</w:t>
                            </w:r>
                          </w:p>
                          <w:p w14:paraId="6CA3DD01" w14:textId="77777777" w:rsidR="00625AD6" w:rsidRPr="00AC6DA0" w:rsidRDefault="00625AD6" w:rsidP="00625AD6">
                            <w:pPr>
                              <w:rPr>
                                <w:rFonts w:ascii="Times New Roman" w:hAnsi="Times New Roman" w:cs="Times New Roman"/>
                                <w:lang w:val="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17F8EE2" id="_x0000_s1057" type="#_x0000_t202" style="position:absolute;left:0;text-align:left;margin-left:246.1pt;margin-top:218pt;width:213.4pt;height:149pt;z-index:2517381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" stroked="f">
                <v:textbox>
                  <w:txbxContent>
                    <w:p w14:paraId="60CCFDAC" w14:textId="77777777" w:rsidR="00625AD6" w:rsidRPr="00AC6DA0" w:rsidRDefault="00625AD6" w:rsidP="00625AD6">
                      <w:pPr>
                        <w:rPr>
                          <w:rFonts w:ascii="Times New Roman" w:eastAsiaTheme="minorEastAsia" w:hAnsi="Times New Roman" w:cs="Times New Roman"/>
                          <w:lang w:val="en-US"/>
                        </w:rPr>
                      </w:pPr>
                      <w:r w:rsidRPr="00AC6DA0">
                        <w:rPr>
                          <w:rFonts w:ascii="Times New Roman" w:hAnsi="Times New Roman" w:cs="Times New Roman"/>
                          <w:lang w:val="en-US"/>
                        </w:rPr>
                        <w:t xml:space="preserve">THE FREE BOUNDARY </w:t>
                      </w:r>
                      <m:oMath>
                        <m:r>
                          <w:rPr>
                            <w:rFonts w:ascii="Cambria Math" w:hAnsi="Cambria Math" w:cs="Times New Roman"/>
                          </w:rPr>
                          <m:t>x</m:t>
                        </m:r>
                        <m:r>
                          <w:rPr>
                            <w:rFonts w:ascii="Cambria Math" w:hAnsi="Cambria Math" w:cs="Times New Roman"/>
                            <w:lang w:val="en-US"/>
                          </w:rPr>
                          <m:t>=</m:t>
                        </m:r>
                        <m:r>
                          <w:rPr>
                            <w:rFonts w:ascii="Cambria Math" w:hAnsi="Cambria Math" w:cs="Times New Roman"/>
                          </w:rPr>
                          <m:t>s</m:t>
                        </m:r>
                        <m:r>
                          <w:rPr>
                            <w:rFonts w:ascii="Cambria Math" w:hAnsi="Cambria Math" w:cs="Times New Roman"/>
                            <w:lang w:val="en-US"/>
                          </w:rPr>
                          <m:t>(</m:t>
                        </m:r>
                        <m:r>
                          <w:rPr>
                            <w:rFonts w:ascii="Cambria Math" w:hAnsi="Cambria Math" w:cs="Times New Roman"/>
                          </w:rPr>
                          <m:t>t</m:t>
                        </m:r>
                        <m:r>
                          <w:rPr>
                            <w:rFonts w:ascii="Cambria Math" w:hAnsi="Cambria Math" w:cs="Times New Roman"/>
                            <w:lang w:val="en-US"/>
                          </w:rPr>
                          <m:t>)</m:t>
                        </m:r>
                      </m:oMath>
                    </w:p>
                    <w:p w14:paraId="332C9922" w14:textId="77777777" w:rsidR="00625AD6" w:rsidRPr="00AC6DA0" w:rsidRDefault="00000000" w:rsidP="00625AD6">
                      <w:pPr>
                        <w:rPr>
                          <w:rFonts w:ascii="Times New Roman" w:eastAsiaTheme="minorEastAsia" w:hAnsi="Times New Roman" w:cs="Times New Roman"/>
                          <w:lang w:val="en-US"/>
                        </w:rPr>
                      </w:pPr>
                      <m:oMath>
                        <m:sSub>
                          <m:sSubPr>
                            <m:ctrlPr>
                              <w:rPr>
                                <w:rFonts w:ascii="Cambria Math" w:hAnsi="Cambria Math" w:cs="Times New Roman"/>
                                <w:i/>
                                <w:szCs w:val="24"/>
                              </w:rPr>
                            </m:ctrlPr>
                          </m:sSubPr>
                          <m:e>
                            <m:r>
                              <w:rPr>
                                <w:rFonts w:ascii="Cambria Math" w:hAnsi="Cambria Math" w:cs="Times New Roman"/>
                                <w:szCs w:val="24"/>
                              </w:rPr>
                              <m:t>H</m:t>
                            </m:r>
                          </m:e>
                          <m:sub>
                            <m:r>
                              <w:rPr>
                                <w:rFonts w:ascii="Cambria Math" w:hAnsi="Cambria Math" w:cs="Times New Roman"/>
                                <w:szCs w:val="24"/>
                              </w:rPr>
                              <m:t>F</m:t>
                            </m:r>
                          </m:sub>
                        </m:sSub>
                        <m:r>
                          <w:rPr>
                            <w:rFonts w:ascii="Cambria Math" w:hAnsi="Cambria Math" w:cs="Times New Roman"/>
                            <w:szCs w:val="24"/>
                          </w:rPr>
                          <m:t>ρ</m:t>
                        </m:r>
                        <m:f>
                          <m:fPr>
                            <m:ctrlPr>
                              <w:rPr>
                                <w:rFonts w:ascii="Cambria Math" w:hAnsi="Cambria Math" w:cs="Times New Roman"/>
                                <w:i/>
                                <w:szCs w:val="24"/>
                              </w:rPr>
                            </m:ctrlPr>
                          </m:fPr>
                          <m:num>
                            <m:r>
                              <w:rPr>
                                <w:rFonts w:ascii="Cambria Math" w:hAnsi="Cambria Math" w:cs="Times New Roman"/>
                                <w:szCs w:val="24"/>
                              </w:rPr>
                              <m:t>ds</m:t>
                            </m:r>
                          </m:num>
                          <m:den>
                            <m:r>
                              <w:rPr>
                                <w:rFonts w:ascii="Cambria Math" w:hAnsi="Cambria Math" w:cs="Times New Roman"/>
                                <w:szCs w:val="24"/>
                              </w:rPr>
                              <m:t>dt</m:t>
                            </m:r>
                          </m:den>
                        </m:f>
                        <m:r>
                          <w:rPr>
                            <w:rFonts w:ascii="Cambria Math" w:hAnsi="Cambria Math" w:cs="Times New Roman"/>
                            <w:szCs w:val="24"/>
                            <w:lang w:val="en-US"/>
                          </w:rPr>
                          <m:t>=-</m:t>
                        </m:r>
                        <m:sSub>
                          <m:sSubPr>
                            <m:ctrlPr>
                              <w:rPr>
                                <w:rFonts w:ascii="Cambria Math" w:hAnsi="Cambria Math" w:cs="Times New Roman"/>
                                <w:i/>
                                <w:szCs w:val="24"/>
                              </w:rPr>
                            </m:ctrlPr>
                          </m:sSubPr>
                          <m:e>
                            <m:r>
                              <w:rPr>
                                <w:rFonts w:ascii="Cambria Math" w:hAnsi="Cambria Math" w:cs="Times New Roman"/>
                                <w:szCs w:val="24"/>
                              </w:rPr>
                              <m:t>K</m:t>
                            </m:r>
                          </m:e>
                          <m:sub>
                            <m:r>
                              <w:rPr>
                                <w:rFonts w:ascii="Cambria Math" w:hAnsi="Cambria Math" w:cs="Times New Roman"/>
                                <w:szCs w:val="24"/>
                              </w:rPr>
                              <m:t>L</m:t>
                            </m:r>
                          </m:sub>
                        </m:sSub>
                        <m:f>
                          <m:fPr>
                            <m:ctrlPr>
                              <w:rPr>
                                <w:rFonts w:ascii="Cambria Math" w:hAnsi="Cambria Math" w:cs="Times New Roman"/>
                                <w:i/>
                                <w:szCs w:val="24"/>
                              </w:rPr>
                            </m:ctrlPr>
                          </m:fPr>
                          <m:num>
                            <m:r>
                              <w:rPr>
                                <w:rFonts w:ascii="Cambria Math" w:hAnsi="Cambria Math" w:cs="Times New Roman"/>
                                <w:szCs w:val="24"/>
                              </w:rPr>
                              <m:t>∂u</m:t>
                            </m:r>
                          </m:num>
                          <m:den>
                            <m:r>
                              <w:rPr>
                                <w:rFonts w:ascii="Cambria Math" w:hAnsi="Cambria Math" w:cs="Times New Roman"/>
                                <w:szCs w:val="24"/>
                              </w:rPr>
                              <m:t>∂x</m:t>
                            </m:r>
                          </m:den>
                        </m:f>
                        <m:r>
                          <w:rPr>
                            <w:rFonts w:ascii="Cambria Math" w:eastAsiaTheme="minorEastAsia" w:hAnsi="Cambria Math" w:cs="Times New Roman"/>
                            <w:szCs w:val="24"/>
                            <w:lang w:val="en-US"/>
                          </w:rPr>
                          <m:t xml:space="preserve"> </m:t>
                        </m:r>
                      </m:oMath>
                      <w:r w:rsidR="00625AD6" w:rsidRPr="00AC6DA0">
                        <w:rPr>
                          <w:rFonts w:ascii="Times New Roman" w:eastAsiaTheme="minorEastAsia" w:hAnsi="Times New Roman" w:cs="Times New Roman"/>
                          <w:lang w:val="en-US"/>
                        </w:rPr>
                        <w:t xml:space="preserve">  </w:t>
                      </w:r>
                      <w:r w:rsidR="00625AD6" w:rsidRPr="00AC6DA0">
                        <w:rPr>
                          <w:rFonts w:ascii="Times New Roman" w:eastAsiaTheme="minorEastAsia" w:hAnsi="Times New Roman" w:cs="Times New Roman"/>
                          <w:lang w:val="en-US"/>
                        </w:rPr>
                        <w:tab/>
                        <w:t>Stefan condition</w:t>
                      </w:r>
                    </w:p>
                    <w:p w14:paraId="50FB8B89" w14:textId="77777777" w:rsidR="00625AD6" w:rsidRPr="00AC6DA0" w:rsidRDefault="00625AD6" w:rsidP="00625AD6">
                      <w:pPr>
                        <w:rPr>
                          <w:rFonts w:ascii="Times New Roman" w:eastAsiaTheme="minorEastAsia" w:hAnsi="Times New Roman" w:cs="Times New Roman"/>
                          <w:lang w:val="en-US"/>
                        </w:rPr>
                      </w:pPr>
                      <m:oMath>
                        <m:r>
                          <w:rPr>
                            <w:rFonts w:ascii="Cambria Math" w:hAnsi="Cambria Math" w:cs="Times New Roman"/>
                          </w:rPr>
                          <m:t>s</m:t>
                        </m:r>
                        <m:d>
                          <m:dPr>
                            <m:ctrlPr>
                              <w:rPr>
                                <w:rFonts w:ascii="Cambria Math" w:hAnsi="Cambria Math" w:cs="Times New Roman"/>
                                <w:i/>
                              </w:rPr>
                            </m:ctrlPr>
                          </m:dPr>
                          <m:e>
                            <m:r>
                              <w:rPr>
                                <w:rFonts w:ascii="Cambria Math" w:hAnsi="Cambria Math" w:cs="Times New Roman"/>
                                <w:lang w:val="en-US"/>
                              </w:rPr>
                              <m:t>0</m:t>
                            </m:r>
                          </m:e>
                        </m:d>
                        <m:r>
                          <w:rPr>
                            <w:rFonts w:ascii="Cambria Math" w:hAnsi="Cambria Math" w:cs="Times New Roman"/>
                            <w:lang w:val="en-US"/>
                          </w:rPr>
                          <m:t>=0</m:t>
                        </m:r>
                      </m:oMath>
                      <w:r w:rsidRPr="00AC6DA0">
                        <w:rPr>
                          <w:rFonts w:ascii="Times New Roman" w:eastAsiaTheme="minorEastAsia" w:hAnsi="Times New Roman" w:cs="Times New Roman"/>
                          <w:lang w:val="en-US"/>
                        </w:rPr>
                        <w:t xml:space="preserve">      </w:t>
                      </w:r>
                      <w:r w:rsidRPr="00AC6DA0">
                        <w:rPr>
                          <w:rFonts w:ascii="Times New Roman" w:eastAsiaTheme="minorEastAsia" w:hAnsi="Times New Roman" w:cs="Times New Roman"/>
                          <w:lang w:val="en-US"/>
                        </w:rPr>
                        <w:tab/>
                        <w:t>Initial position of surface</w:t>
                      </w:r>
                    </w:p>
                    <w:p w14:paraId="5D24ECF8" w14:textId="77777777" w:rsidR="00625AD6" w:rsidRPr="00AC6DA0" w:rsidRDefault="00625AD6" w:rsidP="00625AD6">
                      <w:pPr>
                        <w:rPr>
                          <w:rFonts w:ascii="Times New Roman" w:hAnsi="Times New Roman" w:cs="Times New Roman"/>
                          <w:lang w:val="en-US"/>
                        </w:rPr>
                      </w:pPr>
                      <m:oMath>
                        <m:r>
                          <w:rPr>
                            <w:rFonts w:ascii="Cambria Math" w:hAnsi="Cambria Math" w:cs="Times New Roman"/>
                            <w:lang w:val="nb-NO"/>
                          </w:rPr>
                          <m:t>u</m:t>
                        </m:r>
                        <m:d>
                          <m:dPr>
                            <m:ctrlPr>
                              <w:rPr>
                                <w:rFonts w:ascii="Cambria Math" w:hAnsi="Cambria Math" w:cs="Times New Roman"/>
                                <w:i/>
                                <w:lang w:val="nb-NO"/>
                              </w:rPr>
                            </m:ctrlPr>
                          </m:dPr>
                          <m:e>
                            <m:r>
                              <w:rPr>
                                <w:rFonts w:ascii="Cambria Math" w:hAnsi="Cambria Math" w:cs="Times New Roman"/>
                                <w:lang w:val="nb-NO"/>
                              </w:rPr>
                              <m:t>s</m:t>
                            </m:r>
                            <m:d>
                              <m:dPr>
                                <m:ctrlPr>
                                  <w:rPr>
                                    <w:rFonts w:ascii="Cambria Math" w:hAnsi="Cambria Math" w:cs="Times New Roman"/>
                                    <w:i/>
                                    <w:lang w:val="nb-NO"/>
                                  </w:rPr>
                                </m:ctrlPr>
                              </m:dPr>
                              <m:e>
                                <m:r>
                                  <w:rPr>
                                    <w:rFonts w:ascii="Cambria Math" w:hAnsi="Cambria Math" w:cs="Times New Roman"/>
                                    <w:lang w:val="nb-NO"/>
                                  </w:rPr>
                                  <m:t>t</m:t>
                                </m:r>
                              </m:e>
                            </m:d>
                            <m:r>
                              <w:rPr>
                                <w:rFonts w:ascii="Cambria Math" w:hAnsi="Cambria Math" w:cs="Times New Roman"/>
                                <w:lang w:val="en-US"/>
                              </w:rPr>
                              <m:t>,</m:t>
                            </m:r>
                            <m:r>
                              <w:rPr>
                                <w:rFonts w:ascii="Cambria Math" w:hAnsi="Cambria Math" w:cs="Times New Roman"/>
                                <w:lang w:val="nb-NO"/>
                              </w:rPr>
                              <m:t>t</m:t>
                            </m:r>
                          </m:e>
                        </m:d>
                        <m:r>
                          <w:rPr>
                            <w:rFonts w:ascii="Cambria Math" w:hAnsi="Cambria Math" w:cs="Times New Roman"/>
                            <w:lang w:val="en-US"/>
                          </w:rPr>
                          <m:t>=0</m:t>
                        </m:r>
                      </m:oMath>
                      <w:r w:rsidRPr="00AC6DA0">
                        <w:rPr>
                          <w:rFonts w:ascii="Times New Roman" w:eastAsiaTheme="minorEastAsia" w:hAnsi="Times New Roman" w:cs="Times New Roman"/>
                          <w:lang w:val="en-US"/>
                        </w:rPr>
                        <w:t xml:space="preserve"> </w:t>
                      </w:r>
                      <w:r w:rsidRPr="00AC6DA0">
                        <w:rPr>
                          <w:rFonts w:ascii="Times New Roman" w:eastAsiaTheme="minorEastAsia" w:hAnsi="Times New Roman" w:cs="Times New Roman"/>
                          <w:lang w:val="en-US"/>
                        </w:rPr>
                        <w:tab/>
                        <w:t>freezing temperature</w:t>
                      </w:r>
                    </w:p>
                    <w:p w14:paraId="6CA3DD01" w14:textId="77777777" w:rsidR="00625AD6" w:rsidRPr="00AC6DA0" w:rsidRDefault="00625AD6" w:rsidP="00625AD6">
                      <w:pPr>
                        <w:rPr>
                          <w:rFonts w:ascii="Times New Roman" w:hAnsi="Times New Roman" w:cs="Times New Roman"/>
                          <w:lang w:val="en-US"/>
                        </w:rPr>
                      </w:pPr>
                    </w:p>
                  </w:txbxContent>
                </v:textbox>
                <w10:wrap type="square" anchorx="margin"/>
              </v:shape>
            </w:pict>
          </mc:Fallback>
        </mc:AlternateContent>
      </w:r>
      <w:r w:rsidR="00625AD6" w:rsidRPr="00625AD6">
        <w:rPr>
          <w:rFonts w:cs="Times New Roman"/>
          <w:lang w:val="en-US"/>
        </w:rPr>
        <w:t>This equation is the Stefan condition, representing the boundary condition on the free interface:</w:t>
      </w:r>
      <w:r w:rsidR="005C1C60">
        <w:rPr>
          <w:rFonts w:cs="Times New Roman"/>
          <w:lang w:val="en-US"/>
        </w:rPr>
        <w:t xml:space="preserve"> </w:t>
      </w:r>
      <w:r w:rsidR="00625AD6" w:rsidRPr="00625AD6">
        <w:rPr>
          <w:rFonts w:cs="Times New Roman"/>
          <w:lang w:val="en-US"/>
        </w:rPr>
        <w:t xml:space="preserve">the velocity of the moving boundary is proportional to the difference in heat flux between the solid and liquid phases. The one-dimensional one-phase Stefan problem can be represented as a semi-infinite solid medium, for example, a thin block of ice occupying the domain </w:t>
      </w:r>
      <m:oMath>
        <m:r>
          <m:rPr>
            <m:sty m:val="p"/>
          </m:rPr>
          <w:rPr>
            <w:rFonts w:ascii="Cambria Math" w:hAnsi="Cambria Math" w:cs="Times New Roman"/>
            <w:lang w:val="en-US"/>
          </w:rPr>
          <m:t xml:space="preserve">0≤x&lt;∞ </m:t>
        </m:r>
      </m:oMath>
      <w:r w:rsidR="00625AD6" w:rsidRPr="00625AD6">
        <w:rPr>
          <w:rFonts w:cs="Times New Roman"/>
          <w:lang w:val="en-US"/>
        </w:rPr>
        <w:t xml:space="preserve">at the solidification temperature </w:t>
      </w:r>
      <m:oMath>
        <m:r>
          <m:rPr>
            <m:sty m:val="p"/>
          </m:rPr>
          <w:rPr>
            <w:rFonts w:ascii="Cambria Math" w:hAnsi="Cambria Math" w:cs="Times New Roman"/>
            <w:lang w:val="en-US"/>
          </w:rPr>
          <m:t>u=0</m:t>
        </m:r>
      </m:oMath>
      <w:r w:rsidR="00625AD6" w:rsidRPr="00625AD6">
        <w:rPr>
          <w:rFonts w:cs="Times New Roman"/>
          <w:lang w:val="en-US"/>
        </w:rPr>
        <w:t xml:space="preserve">. It is assumed that the volume of the material does not change during the phase transition. At the fixed boundary </w:t>
      </w:r>
      <m:oMath>
        <m:r>
          <m:rPr>
            <m:sty m:val="p"/>
          </m:rPr>
          <w:rPr>
            <w:rFonts w:ascii="Cambria Math" w:hAnsi="Cambria Math" w:cs="Times New Roman"/>
            <w:lang w:val="en-US"/>
          </w:rPr>
          <m:t>x=0</m:t>
        </m:r>
      </m:oMath>
      <w:r w:rsidR="00625AD6" w:rsidRPr="00625AD6">
        <w:rPr>
          <w:rFonts w:cs="Times New Roman"/>
          <w:lang w:val="en-US"/>
        </w:rPr>
        <w:t>, a thermal condition is imposed, which can be either constant or</w:t>
      </w:r>
      <w:r w:rsidR="00625AD6">
        <w:rPr>
          <w:rFonts w:cs="Times New Roman"/>
          <w:lang w:val="en-US"/>
        </w:rPr>
        <w:t xml:space="preserve"> </w:t>
      </w:r>
      <w:r w:rsidR="00625AD6" w:rsidRPr="00625AD6">
        <w:rPr>
          <w:rFonts w:cs="Times New Roman"/>
          <w:lang w:val="en-US"/>
        </w:rPr>
        <w:t xml:space="preserve">time-dependent. The objective of the problem is to determine the temperature distribution in the liquid phase and the position of the moving boundary </w:t>
      </w:r>
      <m:oMath>
        <m:r>
          <m:rPr>
            <m:sty m:val="p"/>
          </m:rPr>
          <w:rPr>
            <w:rFonts w:ascii="Cambria Math" w:hAnsi="Cambria Math" w:cs="Times New Roman"/>
            <w:lang w:val="en-US"/>
          </w:rPr>
          <m:t>s</m:t>
        </m:r>
        <m:d>
          <m:dPr>
            <m:ctrlPr>
              <w:rPr>
                <w:rFonts w:ascii="Cambria Math" w:hAnsi="Cambria Math" w:cs="Times New Roman"/>
              </w:rPr>
            </m:ctrlPr>
          </m:dPr>
          <m:e>
            <m:r>
              <m:rPr>
                <m:sty m:val="p"/>
              </m:rPr>
              <w:rPr>
                <w:rFonts w:ascii="Cambria Math" w:hAnsi="Cambria Math" w:cs="Times New Roman"/>
                <w:lang w:val="en-US"/>
              </w:rPr>
              <m:t>t</m:t>
            </m:r>
          </m:e>
        </m:d>
        <m:r>
          <m:rPr>
            <m:sty m:val="p"/>
          </m:rPr>
          <w:rPr>
            <w:rFonts w:ascii="Cambria Math" w:hAnsi="Cambria Math" w:cs="Times New Roman"/>
            <w:lang w:val="en-US"/>
          </w:rPr>
          <m:t xml:space="preserve"> </m:t>
        </m:r>
      </m:oMath>
      <w:r w:rsidR="00625AD6" w:rsidRPr="00625AD6">
        <w:rPr>
          <w:rFonts w:eastAsiaTheme="minorEastAsia" w:cs="Times New Roman"/>
          <w:lang w:val="en-US"/>
        </w:rPr>
        <w:t xml:space="preserve"> </w:t>
      </w:r>
      <w:r w:rsidR="00625AD6" w:rsidRPr="00625AD6">
        <w:rPr>
          <w:rFonts w:cs="Times New Roman"/>
          <w:lang w:val="en-US"/>
        </w:rPr>
        <w:t>that separates the liquid and solid phases. Since the temperature in the solid phase is assumed to remain constant, the problem is called a one-phase problem, because the unknown temperature field exists only in the liquid region.</w:t>
      </w:r>
    </w:p>
    <w:p w14:paraId="18A4473D" w14:textId="65CBA472" w:rsidR="001C6FAB" w:rsidRDefault="001C6FAB" w:rsidP="00625AD6">
      <w:pPr>
        <w:rPr>
          <w:rFonts w:cs="Times New Roman"/>
          <w:lang w:val="en-US"/>
        </w:rPr>
      </w:pPr>
    </w:p>
    <w:p w14:paraId="312129EA" w14:textId="4B3FD340" w:rsidR="001C6FAB" w:rsidRDefault="001C6FAB" w:rsidP="00625AD6">
      <w:pPr>
        <w:rPr>
          <w:rFonts w:cs="Times New Roman"/>
          <w:lang w:val="en-US"/>
        </w:rPr>
      </w:pPr>
      <w:r>
        <w:rPr>
          <w:noProof/>
        </w:rPr>
        <mc:AlternateContent>
          <mc:Choice Requires="wps">
            <w:drawing>
              <wp:anchor distT="0" distB="0" distL="114300" distR="114300" simplePos="0" relativeHeight="251757568" behindDoc="0" locked="0" layoutInCell="1" allowOverlap="1" wp14:anchorId="3F3D8AC7" wp14:editId="2ADC6488">
                <wp:simplePos x="0" y="0"/>
                <wp:positionH relativeFrom="column">
                  <wp:posOffset>1555750</wp:posOffset>
                </wp:positionH>
                <wp:positionV relativeFrom="paragraph">
                  <wp:posOffset>18415</wp:posOffset>
                </wp:positionV>
                <wp:extent cx="2710180" cy="635"/>
                <wp:effectExtent l="0" t="0" r="0" b="0"/>
                <wp:wrapSquare wrapText="bothSides"/>
                <wp:docPr id="980697274" name="Text Box 1"/>
                <wp:cNvGraphicFramePr/>
                <a:graphic xmlns:a="http://schemas.openxmlformats.org/drawingml/2006/main">
                  <a:graphicData uri="http://schemas.microsoft.com/office/word/2010/wordprocessingShape">
                    <wps:wsp>
                      <wps:cNvSpPr txBox="1"/>
                      <wps:spPr>
                        <a:xfrm>
                          <a:off x="0" y="0"/>
                          <a:ext cx="2710180" cy="635"/>
                        </a:xfrm>
                        <a:prstGeom prst="rect">
                          <a:avLst/>
                        </a:prstGeom>
                        <a:solidFill>
                          <a:prstClr val="white"/>
                        </a:solidFill>
                        <a:ln>
                          <a:noFill/>
                        </a:ln>
                      </wps:spPr>
                      <wps:txbx>
                        <w:txbxContent>
                          <w:p w14:paraId="1B272CEE" w14:textId="6CF41417" w:rsidR="001C6FAB" w:rsidRPr="00B80E4D" w:rsidRDefault="001C6FAB" w:rsidP="001C6FAB">
                            <w:pPr>
                              <w:pStyle w:val="Caption"/>
                              <w:rPr>
                                <w:rFonts w:cs="Times New Roman"/>
                                <w:noProof/>
                                <w:szCs w:val="22"/>
                              </w:rPr>
                            </w:pPr>
                            <w:bookmarkStart w:id="202" w:name="_Toc214362647"/>
                            <w:r>
                              <w:t xml:space="preserve">Table </w:t>
                            </w:r>
                            <w:r w:rsidR="00F43E9A">
                              <w:fldChar w:fldCharType="begin"/>
                            </w:r>
                            <w:r w:rsidR="00F43E9A">
                              <w:instrText xml:space="preserve"> STYLEREF 1 \s </w:instrText>
                            </w:r>
                            <w:r w:rsidR="00F43E9A">
                              <w:fldChar w:fldCharType="separate"/>
                            </w:r>
                            <w:r w:rsidR="000412CE">
                              <w:rPr>
                                <w:noProof/>
                              </w:rPr>
                              <w:t>3</w:t>
                            </w:r>
                            <w:r w:rsidR="00F43E9A">
                              <w:fldChar w:fldCharType="end"/>
                            </w:r>
                            <w:r w:rsidR="00F43E9A">
                              <w:t>.</w:t>
                            </w:r>
                            <w:r w:rsidR="00F43E9A">
                              <w:fldChar w:fldCharType="begin"/>
                            </w:r>
                            <w:r w:rsidR="00F43E9A">
                              <w:instrText xml:space="preserve"> SEQ Table \* ARABIC \s 1 </w:instrText>
                            </w:r>
                            <w:r w:rsidR="00F43E9A">
                              <w:fldChar w:fldCharType="separate"/>
                            </w:r>
                            <w:r w:rsidR="000412CE">
                              <w:rPr>
                                <w:noProof/>
                              </w:rPr>
                              <w:t>1</w:t>
                            </w:r>
                            <w:r w:rsidR="00F43E9A">
                              <w:fldChar w:fldCharType="end"/>
                            </w:r>
                            <w:r w:rsidR="00C058AA">
                              <w:t>.</w:t>
                            </w:r>
                            <w:r>
                              <w:t xml:space="preserve"> Boundary conditions.</w:t>
                            </w:r>
                            <w:bookmarkEnd w:id="20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F3D8AC7" id="_x0000_s1058" type="#_x0000_t202" style="position:absolute;left:0;text-align:left;margin-left:122.5pt;margin-top:1.45pt;width:213.4pt;height:.05pt;z-index:2517575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" stroked="f">
                <v:textbox style="mso-fit-shape-to-text:t" inset="0,0,0,0">
                  <w:txbxContent>
                    <w:p w14:paraId="1B272CEE" w14:textId="6CF41417" w:rsidR="001C6FAB" w:rsidRPr="00B80E4D" w:rsidRDefault="001C6FAB" w:rsidP="001C6FAB">
                      <w:pPr>
                        <w:pStyle w:val="Caption"/>
                        <w:rPr>
                          <w:rFonts w:cs="Times New Roman"/>
                          <w:noProof/>
                          <w:szCs w:val="22"/>
                        </w:rPr>
                      </w:pPr>
                      <w:bookmarkStart w:id="203" w:name="_Toc214362647"/>
                      <w:r>
                        <w:t xml:space="preserve">Table </w:t>
                      </w:r>
                      <w:r w:rsidR="00F43E9A">
                        <w:fldChar w:fldCharType="begin"/>
                      </w:r>
                      <w:r w:rsidR="00F43E9A">
                        <w:instrText xml:space="preserve"> STYLEREF 1 \s </w:instrText>
                      </w:r>
                      <w:r w:rsidR="00F43E9A">
                        <w:fldChar w:fldCharType="separate"/>
                      </w:r>
                      <w:r w:rsidR="000412CE">
                        <w:rPr>
                          <w:noProof/>
                        </w:rPr>
                        <w:t>3</w:t>
                      </w:r>
                      <w:r w:rsidR="00F43E9A">
                        <w:fldChar w:fldCharType="end"/>
                      </w:r>
                      <w:r w:rsidR="00F43E9A">
                        <w:t>.</w:t>
                      </w:r>
                      <w:r w:rsidR="00F43E9A">
                        <w:fldChar w:fldCharType="begin"/>
                      </w:r>
                      <w:r w:rsidR="00F43E9A">
                        <w:instrText xml:space="preserve"> SEQ Table \* ARABIC \s 1 </w:instrText>
                      </w:r>
                      <w:r w:rsidR="00F43E9A">
                        <w:fldChar w:fldCharType="separate"/>
                      </w:r>
                      <w:r w:rsidR="000412CE">
                        <w:rPr>
                          <w:noProof/>
                        </w:rPr>
                        <w:t>1</w:t>
                      </w:r>
                      <w:r w:rsidR="00F43E9A">
                        <w:fldChar w:fldCharType="end"/>
                      </w:r>
                      <w:r w:rsidR="00C058AA">
                        <w:t>.</w:t>
                      </w:r>
                      <w:r>
                        <w:t xml:space="preserve"> Boundary conditions.</w:t>
                      </w:r>
                      <w:bookmarkEnd w:id="203"/>
                    </w:p>
                  </w:txbxContent>
                </v:textbox>
                <w10:wrap type="square"/>
              </v:shape>
            </w:pict>
          </mc:Fallback>
        </mc:AlternateContent>
      </w:r>
    </w:p>
    <w:p w14:paraId="19D2A712" w14:textId="77777777" w:rsidR="001C6FAB" w:rsidRDefault="001C6FAB" w:rsidP="00625AD6">
      <w:pPr>
        <w:rPr>
          <w:rFonts w:cs="Times New Roman"/>
          <w:lang w:val="en-US"/>
        </w:rPr>
      </w:pPr>
    </w:p>
    <w:p w14:paraId="333D5456" w14:textId="09519520" w:rsidR="00625AD6" w:rsidRPr="00625AD6" w:rsidRDefault="00625AD6" w:rsidP="00625AD6">
      <w:pPr>
        <w:rPr>
          <w:rFonts w:cs="Times New Roman"/>
          <w:lang w:val="en-US"/>
        </w:rPr>
      </w:pPr>
      <w:r w:rsidRPr="00625AD6">
        <w:rPr>
          <w:rFonts w:cs="Times New Roman"/>
          <w:lang w:val="en-US"/>
        </w:rPr>
        <w:t xml:space="preserve">The problem is made dimensionless by introducing the scaled variables according to </w:t>
      </w:r>
      <w:r w:rsidR="005C1C60">
        <w:rPr>
          <w:rFonts w:cs="Times New Roman"/>
          <w:lang w:val="en-US"/>
        </w:rPr>
        <w:t xml:space="preserve">the </w:t>
      </w:r>
      <w:r w:rsidRPr="00625AD6">
        <w:rPr>
          <w:rFonts w:cs="Times New Roman"/>
          <w:lang w:val="en-US"/>
        </w:rPr>
        <w:t>following relations:</w:t>
      </w:r>
    </w:p>
    <w:p w14:paraId="52D941FB" w14:textId="685A4138" w:rsidR="00625AD6" w:rsidRPr="00625AD6" w:rsidRDefault="00625AD6" w:rsidP="00625AD6">
      <w:pPr>
        <w:rPr>
          <w:rFonts w:cs="Times New Roman"/>
          <w:lang w:val="en-US"/>
        </w:rPr>
      </w:pPr>
      <m:oMathPara>
        <m:oMath>
          <m:r>
            <m:rPr>
              <m:sty m:val="p"/>
            </m:rPr>
            <w:rPr>
              <w:rFonts w:ascii="Cambria Math" w:hAnsi="Cambria Math" w:cs="Times New Roman"/>
              <w:lang w:val="en-US"/>
            </w:rPr>
            <m:t>u→av,</m:t>
          </m:r>
          <m:r>
            <m:rPr>
              <m:sty m:val="p"/>
            </m:rPr>
            <w:rPr>
              <w:rFonts w:ascii="Cambria Math" w:hAnsi="Cambria Math" w:cs="Times New Roman"/>
              <w:lang w:val="en-US"/>
            </w:rPr>
            <w:br/>
          </m:r>
        </m:oMath>
        <m:oMath>
          <m:r>
            <m:rPr>
              <m:sty m:val="p"/>
            </m:rPr>
            <w:rPr>
              <w:rFonts w:ascii="Cambria Math" w:hAnsi="Cambria Math" w:cs="Times New Roman"/>
              <w:lang w:val="en-US"/>
            </w:rPr>
            <m:t>t→</m:t>
          </m:r>
          <m:r>
            <m:rPr>
              <m:sty m:val="p"/>
            </m:rPr>
            <w:rPr>
              <w:rFonts w:ascii="Cambria Math" w:hAnsi="Cambria Math" w:cs="Times New Roman"/>
            </w:rPr>
            <m:t>γτ</m:t>
          </m:r>
          <m:r>
            <m:rPr>
              <m:sty m:val="p"/>
            </m:rPr>
            <w:rPr>
              <w:rFonts w:ascii="Cambria Math" w:hAnsi="Cambria Math" w:cs="Times New Roman"/>
              <w:lang w:val="en-US"/>
            </w:rPr>
            <m:t>,</m:t>
          </m:r>
          <m:r>
            <m:rPr>
              <m:sty m:val="p"/>
            </m:rPr>
            <w:rPr>
              <w:rFonts w:ascii="Cambria Math" w:hAnsi="Cambria Math" w:cs="Times New Roman"/>
              <w:lang w:val="en-US"/>
            </w:rPr>
            <w:br/>
          </m:r>
        </m:oMath>
        <m:oMath>
          <m:r>
            <m:rPr>
              <m:sty m:val="p"/>
            </m:rPr>
            <w:rPr>
              <w:rFonts w:ascii="Cambria Math" w:hAnsi="Cambria Math" w:cs="Times New Roman"/>
            </w:rPr>
            <m:t>α</m:t>
          </m:r>
          <m:r>
            <m:rPr>
              <m:sty m:val="p"/>
            </m:rPr>
            <w:rPr>
              <w:rFonts w:ascii="Cambria Math" w:hAnsi="Cambria Math" w:cs="Times New Roman"/>
              <w:lang w:val="en-US"/>
            </w:rPr>
            <m:t>=</m:t>
          </m:r>
          <m:sSup>
            <m:sSupPr>
              <m:ctrlPr>
                <w:rPr>
                  <w:rFonts w:ascii="Cambria Math" w:hAnsi="Cambria Math" w:cs="Times New Roman"/>
                </w:rPr>
              </m:ctrlPr>
            </m:sSupPr>
            <m:e>
              <m:r>
                <m:rPr>
                  <m:sty m:val="p"/>
                </m:rPr>
                <w:rPr>
                  <w:rFonts w:ascii="Cambria Math" w:hAnsi="Cambria Math" w:cs="Times New Roman"/>
                </w:rPr>
                <m:t>γ</m:t>
              </m:r>
            </m:e>
            <m:sup>
              <m:r>
                <m:rPr>
                  <m:sty m:val="p"/>
                </m:rPr>
                <w:rPr>
                  <w:rFonts w:ascii="Cambria Math" w:hAnsi="Cambria Math" w:cs="Times New Roman"/>
                  <w:lang w:val="en-US"/>
                </w:rPr>
                <m:t>2</m:t>
              </m:r>
            </m:sup>
          </m:sSup>
          <m:r>
            <m:rPr>
              <m:sty m:val="p"/>
            </m:rPr>
            <w:rPr>
              <w:rFonts w:ascii="Cambria Math" w:hAnsi="Cambria Math" w:cs="Times New Roman"/>
              <w:lang w:val="en-US"/>
            </w:rPr>
            <m:t>=a,</m:t>
          </m:r>
          <m:r>
            <m:rPr>
              <m:sty m:val="p"/>
            </m:rPr>
            <w:rPr>
              <w:rFonts w:ascii="Cambria Math" w:hAnsi="Cambria Math" w:cs="Times New Roman"/>
              <w:lang w:val="en-US"/>
            </w:rPr>
            <w:br/>
          </m:r>
        </m:oMath>
      </m:oMathPara>
      <w:r w:rsidRPr="00625AD6">
        <w:rPr>
          <w:rFonts w:cs="Times New Roman"/>
          <w:lang w:val="en-US"/>
        </w:rPr>
        <w:t>which simplifies the original system. A single dimensionless parameter appears, linking the latent heat to the thermal conductivity</w:t>
      </w:r>
      <w:r w:rsidR="005C1C60">
        <w:rPr>
          <w:rFonts w:cs="Times New Roman"/>
          <w:lang w:val="en-US"/>
        </w:rPr>
        <w:t>,</w:t>
      </w:r>
      <w:r w:rsidRPr="00625AD6">
        <w:rPr>
          <w:rFonts w:cs="Times New Roman"/>
          <w:lang w:val="en-US"/>
        </w:rPr>
        <w:t xml:space="preserve"> Eq. (35).</w:t>
      </w:r>
    </w:p>
    <w:p w14:paraId="73C512BF" w14:textId="195B3AB3" w:rsidR="00625AD6" w:rsidRPr="00625AD6" w:rsidRDefault="00625AD6" w:rsidP="00625AD6">
      <w:pPr>
        <w:rPr>
          <w:rFonts w:cs="Times New Roman"/>
          <w:lang w:val="en-US"/>
        </w:rPr>
      </w:pPr>
      <m:oMathPara>
        <m:oMathParaPr>
          <m:jc m:val="right"/>
        </m:oMathParaPr>
        <m:oMath>
          <m:r>
            <m:rPr>
              <m:sty m:val="p"/>
            </m:rPr>
            <w:rPr>
              <w:rFonts w:ascii="Cambria Math" w:hAnsi="Cambria Math" w:cs="Times New Roman"/>
            </w:rPr>
            <w:lastRenderedPageBreak/>
            <m:t>β</m:t>
          </m:r>
          <m:r>
            <m:rPr>
              <m:sty m:val="p"/>
            </m:rPr>
            <w:rPr>
              <w:rFonts w:ascii="Cambria Math" w:hAnsi="Cambria Math" w:cs="Times New Roman"/>
              <w:lang w:val="en-US"/>
            </w:rPr>
            <m:t>=</m:t>
          </m:r>
          <m:f>
            <m:fPr>
              <m:ctrlPr>
                <w:rPr>
                  <w:rFonts w:ascii="Cambria Math" w:hAnsi="Cambria Math" w:cs="Times New Roman"/>
                </w:rPr>
              </m:ctrlPr>
            </m:fPr>
            <m:num>
              <m:sSub>
                <m:sSubPr>
                  <m:ctrlPr>
                    <w:rPr>
                      <w:rFonts w:ascii="Cambria Math" w:hAnsi="Cambria Math" w:cs="Times New Roman"/>
                      <w:lang w:val="en-US"/>
                    </w:rPr>
                  </m:ctrlPr>
                </m:sSubPr>
                <m:e>
                  <m:r>
                    <m:rPr>
                      <m:sty m:val="p"/>
                    </m:rPr>
                    <w:rPr>
                      <w:rFonts w:ascii="Cambria Math" w:hAnsi="Cambria Math" w:cs="Times New Roman"/>
                      <w:lang w:val="en-US"/>
                    </w:rPr>
                    <m:t>H</m:t>
                  </m:r>
                </m:e>
                <m:sub>
                  <m:r>
                    <m:rPr>
                      <m:sty m:val="p"/>
                    </m:rPr>
                    <w:rPr>
                      <w:rFonts w:ascii="Cambria Math" w:hAnsi="Cambria Math" w:cs="Times New Roman"/>
                      <w:lang w:val="en-US"/>
                    </w:rPr>
                    <m:t>F</m:t>
                  </m:r>
                </m:sub>
              </m:sSub>
              <m:r>
                <m:rPr>
                  <m:sty m:val="p"/>
                </m:rPr>
                <w:rPr>
                  <w:rFonts w:ascii="Cambria Math" w:hAnsi="Cambria Math" w:cs="Times New Roman"/>
                </w:rPr>
                <m:t>ρ</m:t>
              </m:r>
            </m:num>
            <m:den>
              <m:sSub>
                <m:sSubPr>
                  <m:ctrlPr>
                    <w:rPr>
                      <w:rFonts w:ascii="Cambria Math" w:hAnsi="Cambria Math" w:cs="Times New Roman"/>
                    </w:rPr>
                  </m:ctrlPr>
                </m:sSubPr>
                <m:e>
                  <m:r>
                    <m:rPr>
                      <m:sty m:val="p"/>
                    </m:rPr>
                    <w:rPr>
                      <w:rFonts w:ascii="Cambria Math" w:hAnsi="Cambria Math" w:cs="Times New Roman"/>
                      <w:lang w:val="en-US"/>
                    </w:rPr>
                    <m:t>k</m:t>
                  </m:r>
                </m:e>
                <m:sub>
                  <m:r>
                    <m:rPr>
                      <m:sty m:val="p"/>
                    </m:rPr>
                    <w:rPr>
                      <w:rFonts w:ascii="Cambria Math" w:hAnsi="Cambria Math" w:cs="Times New Roman"/>
                      <w:lang w:val="en-US"/>
                    </w:rPr>
                    <m:t>L</m:t>
                  </m:r>
                </m:sub>
              </m:sSub>
            </m:den>
          </m:f>
          <m:r>
            <m:rPr>
              <m:sty m:val="p"/>
            </m:rPr>
            <w:rPr>
              <w:rFonts w:ascii="Cambria Math" w:hAnsi="Cambria Math" w:cs="Times New Roman"/>
              <w:lang w:val="en-US"/>
            </w:rPr>
            <m:t xml:space="preserve">                                                                                      (35)</m:t>
          </m:r>
          <m:r>
            <m:rPr>
              <m:sty m:val="p"/>
            </m:rPr>
            <w:rPr>
              <w:rFonts w:ascii="Cambria Math" w:hAnsi="Cambria Math" w:cs="Times New Roman"/>
              <w:lang w:val="en-US"/>
            </w:rPr>
            <w:br/>
          </m:r>
        </m:oMath>
      </m:oMathPara>
      <w:r w:rsidRPr="00625AD6">
        <w:rPr>
          <w:rFonts w:cs="Times New Roman"/>
          <w:lang w:val="en-US"/>
        </w:rPr>
        <w:t>The final dimensionless form of the problem becomes a simpler form suitable for mathematical and numerical analysis</w:t>
      </w:r>
      <w:r w:rsidR="005C1C60">
        <w:rPr>
          <w:rFonts w:cs="Times New Roman"/>
          <w:lang w:val="en-US"/>
        </w:rPr>
        <w:t>,</w:t>
      </w:r>
      <w:r w:rsidRPr="00625AD6">
        <w:rPr>
          <w:rFonts w:cs="Times New Roman"/>
          <w:lang w:val="en-US"/>
        </w:rPr>
        <w:t xml:space="preserve"> Eqs. (36)-(39)</w:t>
      </w:r>
    </w:p>
    <w:p w14:paraId="6A6D1E0C" w14:textId="77777777" w:rsidR="00625AD6" w:rsidRPr="00625AD6" w:rsidRDefault="00000000" w:rsidP="00625AD6">
      <w:pPr>
        <w:rPr>
          <w:rFonts w:cs="Times New Roman"/>
          <w:lang w:val="en-US"/>
        </w:rPr>
      </w:pPr>
      <m:oMathPara>
        <m:oMathParaPr>
          <m:jc m:val="right"/>
        </m:oMathParaPr>
        <m:oMath>
          <m:sSub>
            <m:sSubPr>
              <m:ctrlPr>
                <w:rPr>
                  <w:rFonts w:ascii="Cambria Math" w:hAnsi="Cambria Math" w:cs="Times New Roman"/>
                </w:rPr>
              </m:ctrlPr>
            </m:sSubPr>
            <m:e>
              <m:r>
                <m:rPr>
                  <m:sty m:val="p"/>
                </m:rPr>
                <w:rPr>
                  <w:rFonts w:ascii="Cambria Math" w:hAnsi="Cambria Math" w:cs="Times New Roman"/>
                  <w:lang w:val="en-US"/>
                </w:rPr>
                <m:t>u</m:t>
              </m:r>
            </m:e>
            <m:sub>
              <m:r>
                <m:rPr>
                  <m:sty m:val="p"/>
                </m:rPr>
                <w:rPr>
                  <w:rFonts w:ascii="Cambria Math" w:hAnsi="Cambria Math" w:cs="Times New Roman"/>
                  <w:lang w:val="en-US"/>
                </w:rPr>
                <m:t>t</m:t>
              </m:r>
            </m:sub>
          </m:sSub>
          <m:r>
            <m:rPr>
              <m:sty m:val="p"/>
            </m:rPr>
            <w:rPr>
              <w:rFonts w:ascii="Cambria Math" w:hAnsi="Cambria Math" w:cs="Times New Roman"/>
              <w:lang w:val="en-US"/>
            </w:rPr>
            <m:t>=</m:t>
          </m:r>
          <m:sSub>
            <m:sSubPr>
              <m:ctrlPr>
                <w:rPr>
                  <w:rFonts w:ascii="Cambria Math" w:hAnsi="Cambria Math" w:cs="Times New Roman"/>
                </w:rPr>
              </m:ctrlPr>
            </m:sSubPr>
            <m:e>
              <m:r>
                <m:rPr>
                  <m:sty m:val="p"/>
                </m:rPr>
                <w:rPr>
                  <w:rFonts w:ascii="Cambria Math" w:hAnsi="Cambria Math" w:cs="Times New Roman"/>
                  <w:lang w:val="en-US"/>
                </w:rPr>
                <m:t>u</m:t>
              </m:r>
            </m:e>
            <m:sub>
              <m:r>
                <m:rPr>
                  <m:sty m:val="p"/>
                </m:rPr>
                <w:rPr>
                  <w:rFonts w:ascii="Cambria Math" w:hAnsi="Cambria Math" w:cs="Times New Roman"/>
                  <w:lang w:val="en-US"/>
                </w:rPr>
                <m:t>xx</m:t>
              </m:r>
            </m:sub>
          </m:sSub>
          <m:r>
            <m:rPr>
              <m:sty m:val="p"/>
            </m:rPr>
            <w:rPr>
              <w:rFonts w:ascii="Cambria Math" w:hAnsi="Cambria Math" w:cs="Times New Roman"/>
              <w:lang w:val="en-US"/>
            </w:rPr>
            <m:t xml:space="preserve">                                                                               (36)</m:t>
          </m:r>
          <m:r>
            <m:rPr>
              <m:sty m:val="p"/>
            </m:rPr>
            <w:rPr>
              <w:rFonts w:ascii="Cambria Math" w:hAnsi="Cambria Math" w:cs="Times New Roman"/>
              <w:lang w:val="en-US"/>
            </w:rPr>
            <w:br/>
          </m:r>
        </m:oMath>
        <m:oMath>
          <m:r>
            <m:rPr>
              <m:sty m:val="p"/>
            </m:rPr>
            <w:rPr>
              <w:rFonts w:ascii="Cambria Math" w:hAnsi="Cambria Math" w:cs="Times New Roman"/>
              <w:lang w:val="en-US"/>
            </w:rPr>
            <m:t>u</m:t>
          </m:r>
          <m:d>
            <m:dPr>
              <m:ctrlPr>
                <w:rPr>
                  <w:rFonts w:ascii="Cambria Math" w:hAnsi="Cambria Math" w:cs="Times New Roman"/>
                  <w:lang w:val="nb-NO"/>
                </w:rPr>
              </m:ctrlPr>
            </m:dPr>
            <m:e>
              <m:r>
                <m:rPr>
                  <m:sty m:val="p"/>
                </m:rPr>
                <w:rPr>
                  <w:rFonts w:ascii="Cambria Math" w:hAnsi="Cambria Math" w:cs="Times New Roman"/>
                  <w:lang w:val="en-US"/>
                </w:rPr>
                <m:t>0,t</m:t>
              </m:r>
            </m:e>
          </m:d>
          <m:r>
            <m:rPr>
              <m:sty m:val="p"/>
            </m:rPr>
            <w:rPr>
              <w:rFonts w:ascii="Cambria Math" w:hAnsi="Cambria Math" w:cs="Times New Roman"/>
              <w:lang w:val="en-US"/>
            </w:rPr>
            <m:t>=f</m:t>
          </m:r>
          <m:d>
            <m:dPr>
              <m:ctrlPr>
                <w:rPr>
                  <w:rFonts w:ascii="Cambria Math" w:hAnsi="Cambria Math" w:cs="Times New Roman"/>
                  <w:lang w:val="nb-NO"/>
                </w:rPr>
              </m:ctrlPr>
            </m:dPr>
            <m:e>
              <m:r>
                <m:rPr>
                  <m:sty m:val="p"/>
                </m:rPr>
                <w:rPr>
                  <w:rFonts w:ascii="Cambria Math" w:hAnsi="Cambria Math" w:cs="Times New Roman"/>
                  <w:lang w:val="en-US"/>
                </w:rPr>
                <m:t>t</m:t>
              </m:r>
            </m:e>
          </m:d>
          <m:r>
            <m:rPr>
              <m:sty m:val="p"/>
            </m:rPr>
            <w:rPr>
              <w:rFonts w:ascii="Cambria Math" w:hAnsi="Cambria Math" w:cs="Times New Roman"/>
              <w:lang w:val="en-US"/>
            </w:rPr>
            <m:t xml:space="preserve">                                                                           (37)</m:t>
          </m:r>
          <m:r>
            <m:rPr>
              <m:sty m:val="p"/>
            </m:rPr>
            <w:rPr>
              <w:rFonts w:ascii="Cambria Math" w:hAnsi="Cambria Math" w:cs="Times New Roman"/>
              <w:lang w:val="en-US"/>
            </w:rPr>
            <w:br/>
          </m:r>
        </m:oMath>
        <m:oMath>
          <m:r>
            <m:rPr>
              <m:sty m:val="p"/>
            </m:rPr>
            <w:rPr>
              <w:rFonts w:ascii="Cambria Math" w:hAnsi="Cambria Math" w:cs="Times New Roman"/>
              <w:lang w:val="en-US"/>
            </w:rPr>
            <m:t>u</m:t>
          </m:r>
          <m:d>
            <m:dPr>
              <m:ctrlPr>
                <w:rPr>
                  <w:rFonts w:ascii="Cambria Math" w:hAnsi="Cambria Math" w:cs="Times New Roman"/>
                  <w:lang w:val="nb-NO"/>
                </w:rPr>
              </m:ctrlPr>
            </m:dPr>
            <m:e>
              <m:r>
                <m:rPr>
                  <m:sty m:val="p"/>
                </m:rPr>
                <w:rPr>
                  <w:rFonts w:ascii="Cambria Math" w:hAnsi="Cambria Math" w:cs="Times New Roman"/>
                  <w:lang w:val="en-US"/>
                </w:rPr>
                <m:t>x,0</m:t>
              </m:r>
            </m:e>
          </m:d>
          <m:r>
            <m:rPr>
              <m:sty m:val="p"/>
            </m:rPr>
            <w:rPr>
              <w:rFonts w:ascii="Cambria Math" w:hAnsi="Cambria Math" w:cs="Times New Roman"/>
              <w:lang w:val="en-US"/>
            </w:rPr>
            <m:t>=0                                                                             (38)</m:t>
          </m:r>
          <m:r>
            <m:rPr>
              <m:sty m:val="p"/>
            </m:rPr>
            <w:rPr>
              <w:rFonts w:ascii="Cambria Math" w:hAnsi="Cambria Math" w:cs="Times New Roman"/>
              <w:lang w:val="en-US"/>
            </w:rPr>
            <w:br/>
          </m:r>
        </m:oMath>
        <m:oMath>
          <m:r>
            <m:rPr>
              <m:sty m:val="p"/>
            </m:rPr>
            <w:rPr>
              <w:rFonts w:ascii="Cambria Math" w:hAnsi="Cambria Math" w:cs="Times New Roman"/>
            </w:rPr>
            <m:t>β</m:t>
          </m:r>
          <m:f>
            <m:fPr>
              <m:ctrlPr>
                <w:rPr>
                  <w:rFonts w:ascii="Cambria Math" w:hAnsi="Cambria Math" w:cs="Times New Roman"/>
                </w:rPr>
              </m:ctrlPr>
            </m:fPr>
            <m:num>
              <m:r>
                <m:rPr>
                  <m:sty m:val="p"/>
                </m:rPr>
                <w:rPr>
                  <w:rFonts w:ascii="Cambria Math" w:hAnsi="Cambria Math" w:cs="Times New Roman"/>
                  <w:lang w:val="en-US"/>
                </w:rPr>
                <m:t>ds</m:t>
              </m:r>
            </m:num>
            <m:den>
              <m:r>
                <m:rPr>
                  <m:sty m:val="p"/>
                </m:rPr>
                <w:rPr>
                  <w:rFonts w:ascii="Cambria Math" w:hAnsi="Cambria Math" w:cs="Times New Roman"/>
                  <w:lang w:val="en-US"/>
                </w:rPr>
                <m:t>dt</m:t>
              </m:r>
            </m:den>
          </m:f>
          <m:r>
            <m:rPr>
              <m:sty m:val="p"/>
            </m:rPr>
            <w:rPr>
              <w:rFonts w:ascii="Cambria Math" w:hAnsi="Cambria Math" w:cs="Times New Roman"/>
              <w:lang w:val="en-US"/>
            </w:rPr>
            <m:t>=-</m:t>
          </m:r>
          <m:sSub>
            <m:sSubPr>
              <m:ctrlPr>
                <w:rPr>
                  <w:rFonts w:ascii="Cambria Math" w:hAnsi="Cambria Math" w:cs="Times New Roman"/>
                </w:rPr>
              </m:ctrlPr>
            </m:sSubPr>
            <m:e>
              <m:r>
                <m:rPr>
                  <m:sty m:val="p"/>
                </m:rPr>
                <w:rPr>
                  <w:rFonts w:ascii="Cambria Math" w:hAnsi="Cambria Math" w:cs="Times New Roman"/>
                  <w:lang w:val="en-US"/>
                </w:rPr>
                <m:t>u</m:t>
              </m:r>
            </m:e>
            <m:sub>
              <m:r>
                <m:rPr>
                  <m:sty m:val="p"/>
                </m:rPr>
                <w:rPr>
                  <w:rFonts w:ascii="Cambria Math" w:hAnsi="Cambria Math" w:cs="Times New Roman"/>
                  <w:lang w:val="en-US"/>
                </w:rPr>
                <m:t>x</m:t>
              </m:r>
            </m:sub>
          </m:sSub>
          <m:d>
            <m:dPr>
              <m:ctrlPr>
                <w:rPr>
                  <w:rFonts w:ascii="Cambria Math" w:hAnsi="Cambria Math" w:cs="Times New Roman"/>
                  <w:lang w:val="en-US"/>
                </w:rPr>
              </m:ctrlPr>
            </m:dPr>
            <m:e>
              <m:r>
                <m:rPr>
                  <m:sty m:val="p"/>
                </m:rPr>
                <w:rPr>
                  <w:rFonts w:ascii="Cambria Math" w:hAnsi="Cambria Math" w:cs="Times New Roman"/>
                  <w:lang w:val="en-US"/>
                </w:rPr>
                <m:t>s</m:t>
              </m:r>
              <m:d>
                <m:dPr>
                  <m:ctrlPr>
                    <w:rPr>
                      <w:rFonts w:ascii="Cambria Math" w:hAnsi="Cambria Math" w:cs="Times New Roman"/>
                      <w:lang w:val="en-US"/>
                    </w:rPr>
                  </m:ctrlPr>
                </m:dPr>
                <m:e>
                  <m:r>
                    <m:rPr>
                      <m:sty m:val="p"/>
                    </m:rPr>
                    <w:rPr>
                      <w:rFonts w:ascii="Cambria Math" w:hAnsi="Cambria Math" w:cs="Times New Roman"/>
                      <w:lang w:val="en-US"/>
                    </w:rPr>
                    <m:t>t</m:t>
                  </m:r>
                </m:e>
              </m:d>
              <m:r>
                <m:rPr>
                  <m:sty m:val="p"/>
                </m:rPr>
                <w:rPr>
                  <w:rFonts w:ascii="Cambria Math" w:hAnsi="Cambria Math" w:cs="Times New Roman"/>
                  <w:lang w:val="en-US"/>
                </w:rPr>
                <m:t>,t</m:t>
              </m:r>
            </m:e>
          </m:d>
          <m:r>
            <m:rPr>
              <m:sty m:val="p"/>
            </m:rPr>
            <w:rPr>
              <w:rFonts w:ascii="Cambria Math" w:hAnsi="Cambria Math" w:cs="Times New Roman"/>
              <w:lang w:val="en-US"/>
            </w:rPr>
            <m:t xml:space="preserve">                                                                   (39)</m:t>
          </m:r>
          <m:r>
            <m:rPr>
              <m:sty m:val="p"/>
            </m:rPr>
            <w:rPr>
              <w:rFonts w:ascii="Cambria Math" w:hAnsi="Cambria Math" w:cs="Times New Roman"/>
              <w:lang w:val="en-US"/>
            </w:rPr>
            <w:br/>
          </m:r>
        </m:oMath>
      </m:oMathPara>
      <w:r w:rsidR="00625AD6" w:rsidRPr="00625AD6">
        <w:rPr>
          <w:rFonts w:cs="Times New Roman"/>
          <w:lang w:val="en-US"/>
        </w:rPr>
        <w:t xml:space="preserve">the similarity solution of the one-dimensional one-phase Stefan problem is derived, considering the boundary condition </w:t>
      </w:r>
      <m:oMath>
        <m:r>
          <m:rPr>
            <m:sty m:val="p"/>
          </m:rPr>
          <w:rPr>
            <w:rFonts w:ascii="Cambria Math" w:hAnsi="Cambria Math" w:cs="Times New Roman"/>
            <w:lang w:val="en-US"/>
          </w:rPr>
          <m:t>u(0,t)=</m:t>
        </m:r>
        <m:sSub>
          <m:sSubPr>
            <m:ctrlPr>
              <w:rPr>
                <w:rFonts w:ascii="Cambria Math" w:hAnsi="Cambria Math" w:cs="Times New Roman"/>
              </w:rPr>
            </m:ctrlPr>
          </m:sSubPr>
          <m:e>
            <m:r>
              <m:rPr>
                <m:sty m:val="p"/>
              </m:rPr>
              <w:rPr>
                <w:rFonts w:ascii="Cambria Math" w:hAnsi="Cambria Math" w:cs="Times New Roman"/>
                <w:lang w:val="en-US"/>
              </w:rPr>
              <m:t>u</m:t>
            </m:r>
          </m:e>
          <m:sub>
            <m:r>
              <m:rPr>
                <m:sty m:val="p"/>
              </m:rPr>
              <w:rPr>
                <w:rFonts w:ascii="Cambria Math" w:hAnsi="Cambria Math" w:cs="Times New Roman"/>
                <w:lang w:val="en-US"/>
              </w:rPr>
              <m:t>0</m:t>
            </m:r>
          </m:sub>
        </m:sSub>
      </m:oMath>
      <w:r w:rsidR="00625AD6" w:rsidRPr="00625AD6">
        <w:rPr>
          <w:rFonts w:cs="Times New Roman"/>
          <w:lang w:val="en-US"/>
        </w:rPr>
        <w:t>. The system of equations describing the phenomenon is described by Eqs. (40)-(44):</w:t>
      </w:r>
    </w:p>
    <w:p w14:paraId="7726AB84" w14:textId="4B132552" w:rsidR="00625AD6" w:rsidRPr="00625AD6" w:rsidRDefault="00000000" w:rsidP="00625AD6">
      <w:pPr>
        <w:rPr>
          <w:rFonts w:cs="Times New Roman"/>
          <w:lang w:val="en-US"/>
        </w:rPr>
      </w:pPr>
      <m:oMathPara>
        <m:oMathParaPr>
          <m:jc m:val="right"/>
        </m:oMathParaPr>
        <m:oMath>
          <m:sSub>
            <m:sSubPr>
              <m:ctrlPr>
                <w:rPr>
                  <w:rFonts w:ascii="Cambria Math" w:hAnsi="Cambria Math" w:cs="Times New Roman"/>
                </w:rPr>
              </m:ctrlPr>
            </m:sSubPr>
            <m:e>
              <m:r>
                <m:rPr>
                  <m:sty m:val="p"/>
                </m:rPr>
                <w:rPr>
                  <w:rFonts w:ascii="Cambria Math" w:hAnsi="Cambria Math" w:cs="Times New Roman"/>
                  <w:lang w:val="en-US"/>
                </w:rPr>
                <m:t>u</m:t>
              </m:r>
            </m:e>
            <m:sub>
              <m:r>
                <m:rPr>
                  <m:sty m:val="p"/>
                </m:rPr>
                <w:rPr>
                  <w:rFonts w:ascii="Cambria Math" w:hAnsi="Cambria Math" w:cs="Times New Roman"/>
                  <w:lang w:val="en-US"/>
                </w:rPr>
                <m:t>t</m:t>
              </m:r>
            </m:sub>
          </m:sSub>
          <m:r>
            <m:rPr>
              <m:sty m:val="p"/>
            </m:rPr>
            <w:rPr>
              <w:rFonts w:ascii="Cambria Math" w:hAnsi="Cambria Math" w:cs="Times New Roman"/>
              <w:lang w:val="en-US"/>
            </w:rPr>
            <m:t>=</m:t>
          </m:r>
          <m:sSub>
            <m:sSubPr>
              <m:ctrlPr>
                <w:rPr>
                  <w:rFonts w:ascii="Cambria Math" w:hAnsi="Cambria Math" w:cs="Times New Roman"/>
                </w:rPr>
              </m:ctrlPr>
            </m:sSubPr>
            <m:e>
              <m:r>
                <m:rPr>
                  <m:sty m:val="p"/>
                </m:rPr>
                <w:rPr>
                  <w:rFonts w:ascii="Cambria Math" w:hAnsi="Cambria Math" w:cs="Times New Roman"/>
                </w:rPr>
                <m:t>α</m:t>
              </m:r>
            </m:e>
            <m:sub>
              <m:r>
                <m:rPr>
                  <m:sty m:val="p"/>
                </m:rPr>
                <w:rPr>
                  <w:rFonts w:ascii="Cambria Math" w:hAnsi="Cambria Math" w:cs="Times New Roman"/>
                  <w:lang w:val="en-US"/>
                </w:rPr>
                <m:t>L</m:t>
              </m:r>
            </m:sub>
          </m:sSub>
          <m:sSub>
            <m:sSubPr>
              <m:ctrlPr>
                <w:rPr>
                  <w:rFonts w:ascii="Cambria Math" w:hAnsi="Cambria Math" w:cs="Times New Roman"/>
                </w:rPr>
              </m:ctrlPr>
            </m:sSubPr>
            <m:e>
              <m:r>
                <m:rPr>
                  <m:sty m:val="p"/>
                </m:rPr>
                <w:rPr>
                  <w:rFonts w:ascii="Cambria Math" w:hAnsi="Cambria Math" w:cs="Times New Roman"/>
                  <w:lang w:val="en-US"/>
                </w:rPr>
                <m:t>u</m:t>
              </m:r>
            </m:e>
            <m:sub>
              <m:r>
                <m:rPr>
                  <m:sty m:val="p"/>
                </m:rPr>
                <w:rPr>
                  <w:rFonts w:ascii="Cambria Math" w:hAnsi="Cambria Math" w:cs="Times New Roman"/>
                  <w:lang w:val="en-US"/>
                </w:rPr>
                <m:t>xx</m:t>
              </m:r>
            </m:sub>
          </m:sSub>
          <m:r>
            <m:rPr>
              <m:sty m:val="p"/>
            </m:rPr>
            <w:rPr>
              <w:rFonts w:ascii="Cambria Math" w:hAnsi="Cambria Math" w:cs="Times New Roman"/>
              <w:lang w:val="en-US"/>
            </w:rPr>
            <m:t xml:space="preserve">                                                                              (40)</m:t>
          </m:r>
          <m:r>
            <m:rPr>
              <m:sty m:val="p"/>
            </m:rPr>
            <w:rPr>
              <w:rFonts w:ascii="Cambria Math" w:hAnsi="Cambria Math" w:cs="Times New Roman"/>
              <w:lang w:val="en-US"/>
            </w:rPr>
            <w:br/>
          </m:r>
        </m:oMath>
        <m:oMath>
          <m:r>
            <m:rPr>
              <m:sty m:val="p"/>
            </m:rPr>
            <w:rPr>
              <w:rFonts w:ascii="Cambria Math" w:hAnsi="Cambria Math" w:cs="Times New Roman"/>
              <w:lang w:val="en-US"/>
            </w:rPr>
            <m:t>u</m:t>
          </m:r>
          <m:d>
            <m:dPr>
              <m:ctrlPr>
                <w:rPr>
                  <w:rFonts w:ascii="Cambria Math" w:hAnsi="Cambria Math" w:cs="Times New Roman"/>
                </w:rPr>
              </m:ctrlPr>
            </m:dPr>
            <m:e>
              <m:r>
                <m:rPr>
                  <m:sty m:val="p"/>
                </m:rPr>
                <w:rPr>
                  <w:rFonts w:ascii="Cambria Math" w:hAnsi="Cambria Math" w:cs="Times New Roman"/>
                  <w:lang w:val="en-US"/>
                </w:rPr>
                <m:t>s</m:t>
              </m:r>
              <m:d>
                <m:dPr>
                  <m:ctrlPr>
                    <w:rPr>
                      <w:rFonts w:ascii="Cambria Math" w:hAnsi="Cambria Math" w:cs="Times New Roman"/>
                    </w:rPr>
                  </m:ctrlPr>
                </m:dPr>
                <m:e>
                  <m:r>
                    <m:rPr>
                      <m:sty m:val="p"/>
                    </m:rPr>
                    <w:rPr>
                      <w:rFonts w:ascii="Cambria Math" w:hAnsi="Cambria Math" w:cs="Times New Roman"/>
                      <w:lang w:val="en-US"/>
                    </w:rPr>
                    <m:t>t</m:t>
                  </m:r>
                </m:e>
              </m:d>
              <m:r>
                <m:rPr>
                  <m:sty m:val="p"/>
                </m:rPr>
                <w:rPr>
                  <w:rFonts w:ascii="Cambria Math" w:hAnsi="Cambria Math" w:cs="Times New Roman"/>
                  <w:lang w:val="en-US"/>
                </w:rPr>
                <m:t>,t</m:t>
              </m:r>
            </m:e>
          </m:d>
          <m:r>
            <m:rPr>
              <m:sty m:val="p"/>
            </m:rPr>
            <w:rPr>
              <w:rFonts w:ascii="Cambria Math" w:hAnsi="Cambria Math" w:cs="Times New Roman"/>
              <w:lang w:val="en-US"/>
            </w:rPr>
            <m:t>=0                                                                         (41)</m:t>
          </m:r>
          <m:r>
            <m:rPr>
              <m:sty m:val="p"/>
            </m:rPr>
            <w:rPr>
              <w:rFonts w:ascii="Cambria Math" w:hAnsi="Cambria Math" w:cs="Times New Roman"/>
              <w:lang w:val="en-US"/>
            </w:rPr>
            <w:br/>
          </m:r>
        </m:oMath>
        <m:oMath>
          <m:sSub>
            <m:sSubPr>
              <m:ctrlPr>
                <w:rPr>
                  <w:rFonts w:ascii="Cambria Math" w:hAnsi="Cambria Math" w:cs="Times New Roman"/>
                </w:rPr>
              </m:ctrlPr>
            </m:sSubPr>
            <m:e>
              <m:r>
                <m:rPr>
                  <m:sty m:val="p"/>
                </m:rPr>
                <w:rPr>
                  <w:rFonts w:ascii="Cambria Math" w:hAnsi="Cambria Math" w:cs="Times New Roman"/>
                  <w:lang w:val="en-US"/>
                </w:rPr>
                <m:t>H</m:t>
              </m:r>
            </m:e>
            <m:sub>
              <m:r>
                <m:rPr>
                  <m:sty m:val="p"/>
                </m:rPr>
                <w:rPr>
                  <w:rFonts w:ascii="Cambria Math" w:hAnsi="Cambria Math" w:cs="Times New Roman"/>
                  <w:lang w:val="en-US"/>
                </w:rPr>
                <m:t>F</m:t>
              </m:r>
            </m:sub>
          </m:sSub>
          <m:r>
            <m:rPr>
              <m:sty m:val="p"/>
            </m:rPr>
            <w:rPr>
              <w:rFonts w:ascii="Cambria Math" w:hAnsi="Cambria Math" w:cs="Times New Roman"/>
              <w:lang w:val="en-US"/>
            </w:rPr>
            <m:t xml:space="preserve"> </m:t>
          </m:r>
          <m:r>
            <m:rPr>
              <m:sty m:val="p"/>
            </m:rPr>
            <w:rPr>
              <w:rFonts w:ascii="Cambria Math" w:hAnsi="Cambria Math" w:cs="Times New Roman"/>
            </w:rPr>
            <m:t>ρ</m:t>
          </m:r>
          <m:f>
            <m:fPr>
              <m:ctrlPr>
                <w:rPr>
                  <w:rFonts w:ascii="Cambria Math" w:hAnsi="Cambria Math" w:cs="Times New Roman"/>
                </w:rPr>
              </m:ctrlPr>
            </m:fPr>
            <m:num>
              <m:r>
                <m:rPr>
                  <m:sty m:val="p"/>
                </m:rPr>
                <w:rPr>
                  <w:rFonts w:ascii="Cambria Math" w:hAnsi="Cambria Math" w:cs="Times New Roman"/>
                  <w:lang w:val="en-US"/>
                </w:rPr>
                <m:t>ds</m:t>
              </m:r>
            </m:num>
            <m:den>
              <m:r>
                <m:rPr>
                  <m:sty m:val="p"/>
                </m:rPr>
                <w:rPr>
                  <w:rFonts w:ascii="Cambria Math" w:hAnsi="Cambria Math" w:cs="Times New Roman"/>
                  <w:lang w:val="en-US"/>
                </w:rPr>
                <m:t>dt</m:t>
              </m:r>
            </m:den>
          </m:f>
          <m:r>
            <m:rPr>
              <m:sty m:val="p"/>
            </m:rPr>
            <w:rPr>
              <w:rFonts w:ascii="Cambria Math" w:hAnsi="Cambria Math" w:cs="Times New Roman"/>
              <w:lang w:val="en-US"/>
            </w:rPr>
            <m:t>=-</m:t>
          </m:r>
          <m:sSub>
            <m:sSubPr>
              <m:ctrlPr>
                <w:rPr>
                  <w:rFonts w:ascii="Cambria Math" w:hAnsi="Cambria Math" w:cs="Times New Roman"/>
                </w:rPr>
              </m:ctrlPr>
            </m:sSubPr>
            <m:e>
              <m:r>
                <m:rPr>
                  <m:sty m:val="p"/>
                </m:rPr>
                <w:rPr>
                  <w:rFonts w:ascii="Cambria Math" w:hAnsi="Cambria Math" w:cs="Times New Roman"/>
                  <w:lang w:val="en-US"/>
                </w:rPr>
                <m:t>K</m:t>
              </m:r>
            </m:e>
            <m:sub>
              <m:r>
                <m:rPr>
                  <m:sty m:val="p"/>
                </m:rPr>
                <w:rPr>
                  <w:rFonts w:ascii="Cambria Math" w:hAnsi="Cambria Math" w:cs="Times New Roman"/>
                  <w:lang w:val="en-US"/>
                </w:rPr>
                <m:t>L</m:t>
              </m:r>
            </m:sub>
          </m:sSub>
          <m:sSub>
            <m:sSubPr>
              <m:ctrlPr>
                <w:rPr>
                  <w:rFonts w:ascii="Cambria Math" w:hAnsi="Cambria Math" w:cs="Times New Roman"/>
                </w:rPr>
              </m:ctrlPr>
            </m:sSubPr>
            <m:e>
              <m:r>
                <m:rPr>
                  <m:sty m:val="p"/>
                </m:rPr>
                <w:rPr>
                  <w:rFonts w:ascii="Cambria Math" w:hAnsi="Cambria Math" w:cs="Times New Roman"/>
                  <w:lang w:val="en-US"/>
                </w:rPr>
                <m:t>u</m:t>
              </m:r>
            </m:e>
            <m:sub>
              <m:r>
                <m:rPr>
                  <m:sty m:val="p"/>
                </m:rPr>
                <w:rPr>
                  <w:rFonts w:ascii="Cambria Math" w:hAnsi="Cambria Math" w:cs="Times New Roman"/>
                  <w:lang w:val="en-US"/>
                </w:rPr>
                <m:t>x</m:t>
              </m:r>
            </m:sub>
          </m:sSub>
          <m:d>
            <m:dPr>
              <m:ctrlPr>
                <w:rPr>
                  <w:rFonts w:ascii="Cambria Math" w:hAnsi="Cambria Math" w:cs="Times New Roman"/>
                </w:rPr>
              </m:ctrlPr>
            </m:dPr>
            <m:e>
              <m:r>
                <m:rPr>
                  <m:sty m:val="p"/>
                </m:rPr>
                <w:rPr>
                  <w:rFonts w:ascii="Cambria Math" w:hAnsi="Cambria Math" w:cs="Times New Roman"/>
                  <w:lang w:val="en-US"/>
                </w:rPr>
                <m:t>s</m:t>
              </m:r>
              <m:d>
                <m:dPr>
                  <m:ctrlPr>
                    <w:rPr>
                      <w:rFonts w:ascii="Cambria Math" w:hAnsi="Cambria Math" w:cs="Times New Roman"/>
                    </w:rPr>
                  </m:ctrlPr>
                </m:dPr>
                <m:e>
                  <m:r>
                    <m:rPr>
                      <m:sty m:val="p"/>
                    </m:rPr>
                    <w:rPr>
                      <w:rFonts w:ascii="Cambria Math" w:hAnsi="Cambria Math" w:cs="Times New Roman"/>
                      <w:lang w:val="en-US"/>
                    </w:rPr>
                    <m:t>t</m:t>
                  </m:r>
                </m:e>
              </m:d>
              <m:r>
                <m:rPr>
                  <m:sty m:val="p"/>
                </m:rPr>
                <w:rPr>
                  <w:rFonts w:ascii="Cambria Math" w:hAnsi="Cambria Math" w:cs="Times New Roman"/>
                  <w:lang w:val="en-US"/>
                </w:rPr>
                <m:t>,t</m:t>
              </m:r>
            </m:e>
          </m:d>
          <m:r>
            <m:rPr>
              <m:sty m:val="p"/>
            </m:rPr>
            <w:rPr>
              <w:rFonts w:ascii="Cambria Math" w:hAnsi="Cambria Math" w:cs="Times New Roman"/>
              <w:lang w:val="en-US"/>
            </w:rPr>
            <m:t xml:space="preserve">                                                            (42)</m:t>
          </m:r>
          <m:r>
            <m:rPr>
              <m:sty m:val="p"/>
            </m:rPr>
            <w:rPr>
              <w:rFonts w:ascii="Cambria Math" w:hAnsi="Cambria Math" w:cs="Times New Roman"/>
              <w:lang w:val="en-US"/>
            </w:rPr>
            <w:br/>
          </m:r>
        </m:oMath>
        <m:oMath>
          <m:r>
            <m:rPr>
              <m:sty m:val="p"/>
            </m:rPr>
            <w:rPr>
              <w:rFonts w:ascii="Cambria Math" w:hAnsi="Cambria Math" w:cs="Times New Roman"/>
              <w:lang w:val="en-US"/>
            </w:rPr>
            <m:t>s</m:t>
          </m:r>
          <m:d>
            <m:dPr>
              <m:ctrlPr>
                <w:rPr>
                  <w:rFonts w:ascii="Cambria Math" w:hAnsi="Cambria Math" w:cs="Times New Roman"/>
                </w:rPr>
              </m:ctrlPr>
            </m:dPr>
            <m:e>
              <m:r>
                <m:rPr>
                  <m:sty m:val="p"/>
                </m:rPr>
                <w:rPr>
                  <w:rFonts w:ascii="Cambria Math" w:hAnsi="Cambria Math" w:cs="Times New Roman"/>
                  <w:lang w:val="en-US"/>
                </w:rPr>
                <m:t>0</m:t>
              </m:r>
            </m:e>
          </m:d>
          <m:r>
            <m:rPr>
              <m:sty m:val="p"/>
            </m:rPr>
            <w:rPr>
              <w:rFonts w:ascii="Cambria Math" w:hAnsi="Cambria Math" w:cs="Times New Roman"/>
              <w:lang w:val="en-US"/>
            </w:rPr>
            <m:t>=0                                                                             (43)</m:t>
          </m:r>
          <m:r>
            <m:rPr>
              <m:sty m:val="p"/>
            </m:rPr>
            <w:rPr>
              <w:rFonts w:ascii="Cambria Math" w:hAnsi="Cambria Math" w:cs="Times New Roman"/>
              <w:lang w:val="en-US"/>
            </w:rPr>
            <w:br/>
          </m:r>
        </m:oMath>
        <m:oMath>
          <m:r>
            <m:rPr>
              <m:sty m:val="p"/>
            </m:rPr>
            <w:rPr>
              <w:rFonts w:ascii="Cambria Math" w:hAnsi="Cambria Math" w:cs="Times New Roman"/>
              <w:lang w:val="en-US"/>
            </w:rPr>
            <m:t>u</m:t>
          </m:r>
          <m:d>
            <m:dPr>
              <m:ctrlPr>
                <w:rPr>
                  <w:rFonts w:ascii="Cambria Math" w:hAnsi="Cambria Math" w:cs="Times New Roman"/>
                  <w:lang w:val="en-US"/>
                </w:rPr>
              </m:ctrlPr>
            </m:dPr>
            <m:e>
              <m:r>
                <m:rPr>
                  <m:sty m:val="p"/>
                </m:rPr>
                <w:rPr>
                  <w:rFonts w:ascii="Cambria Math" w:hAnsi="Cambria Math" w:cs="Times New Roman"/>
                  <w:lang w:val="en-US"/>
                </w:rPr>
                <m:t>0,t</m:t>
              </m:r>
            </m:e>
          </m:d>
          <m:r>
            <m:rPr>
              <m:sty m:val="p"/>
            </m:rPr>
            <w:rPr>
              <w:rFonts w:ascii="Cambria Math" w:hAnsi="Cambria Math" w:cs="Times New Roman"/>
              <w:lang w:val="en-US"/>
            </w:rPr>
            <m:t>=</m:t>
          </m:r>
          <m:sSub>
            <m:sSubPr>
              <m:ctrlPr>
                <w:rPr>
                  <w:rFonts w:ascii="Cambria Math" w:hAnsi="Cambria Math" w:cs="Times New Roman"/>
                </w:rPr>
              </m:ctrlPr>
            </m:sSubPr>
            <m:e>
              <m:r>
                <m:rPr>
                  <m:sty m:val="p"/>
                </m:rPr>
                <w:rPr>
                  <w:rFonts w:ascii="Cambria Math" w:hAnsi="Cambria Math" w:cs="Times New Roman"/>
                  <w:lang w:val="en-US"/>
                </w:rPr>
                <m:t>u</m:t>
              </m:r>
            </m:e>
            <m:sub>
              <m:r>
                <m:rPr>
                  <m:sty m:val="p"/>
                </m:rPr>
                <w:rPr>
                  <w:rFonts w:ascii="Cambria Math" w:hAnsi="Cambria Math" w:cs="Times New Roman"/>
                  <w:lang w:val="en-US"/>
                </w:rPr>
                <m:t>0</m:t>
              </m:r>
            </m:sub>
          </m:sSub>
          <m:r>
            <m:rPr>
              <m:sty m:val="p"/>
            </m:rPr>
            <w:rPr>
              <w:rFonts w:ascii="Cambria Math" w:hAnsi="Cambria Math" w:cs="Times New Roman"/>
              <w:lang w:val="en-US"/>
            </w:rPr>
            <m:t xml:space="preserve">                                                                            (44)</m:t>
          </m:r>
          <m:r>
            <m:rPr>
              <m:sty m:val="p"/>
            </m:rPr>
            <w:rPr>
              <w:rFonts w:ascii="Cambria Math" w:hAnsi="Cambria Math" w:cs="Times New Roman"/>
              <w:lang w:val="en-US"/>
            </w:rPr>
            <w:br/>
          </m:r>
        </m:oMath>
      </m:oMathPara>
      <w:r w:rsidR="00625AD6" w:rsidRPr="00625AD6">
        <w:rPr>
          <w:rFonts w:cs="Times New Roman"/>
          <w:lang w:val="en-US"/>
        </w:rPr>
        <w:t>To obtain an analytical solution, a similarity variable is introduced as follows</w:t>
      </w:r>
      <w:r w:rsidR="005C1C60">
        <w:rPr>
          <w:rFonts w:cs="Times New Roman"/>
          <w:lang w:val="en-US"/>
        </w:rPr>
        <w:t>,</w:t>
      </w:r>
      <w:r w:rsidR="00625AD6" w:rsidRPr="00625AD6">
        <w:rPr>
          <w:rFonts w:cs="Times New Roman"/>
          <w:lang w:val="en-US"/>
        </w:rPr>
        <w:t xml:space="preserve"> Eq. (45)</w:t>
      </w:r>
      <w:r w:rsidR="005C1C60">
        <w:rPr>
          <w:rFonts w:cs="Times New Roman"/>
          <w:lang w:val="en-US"/>
        </w:rPr>
        <w:t>:</w:t>
      </w:r>
    </w:p>
    <w:p w14:paraId="218EDC25" w14:textId="68E52BAC" w:rsidR="00625AD6" w:rsidRPr="00625AD6" w:rsidRDefault="00625AD6" w:rsidP="00625AD6">
      <w:pPr>
        <w:rPr>
          <w:rFonts w:cs="Times New Roman"/>
          <w:lang w:val="en-US"/>
        </w:rPr>
      </w:pPr>
      <m:oMathPara>
        <m:oMathParaPr>
          <m:jc m:val="right"/>
        </m:oMathParaPr>
        <m:oMath>
          <m:r>
            <m:rPr>
              <m:sty m:val="p"/>
            </m:rPr>
            <w:rPr>
              <w:rFonts w:ascii="Cambria Math" w:hAnsi="Cambria Math" w:cs="Times New Roman"/>
            </w:rPr>
            <m:t>ξ</m:t>
          </m:r>
          <m:r>
            <m:rPr>
              <m:sty m:val="p"/>
            </m:rPr>
            <w:rPr>
              <w:rFonts w:ascii="Cambria Math" w:hAnsi="Cambria Math" w:cs="Times New Roman"/>
              <w:lang w:val="en-US"/>
            </w:rPr>
            <m:t>=</m:t>
          </m:r>
          <m:f>
            <m:fPr>
              <m:ctrlPr>
                <w:rPr>
                  <w:rFonts w:ascii="Cambria Math" w:hAnsi="Cambria Math" w:cs="Times New Roman"/>
                </w:rPr>
              </m:ctrlPr>
            </m:fPr>
            <m:num>
              <m:r>
                <m:rPr>
                  <m:sty m:val="p"/>
                </m:rPr>
                <w:rPr>
                  <w:rFonts w:ascii="Cambria Math" w:hAnsi="Cambria Math" w:cs="Times New Roman"/>
                  <w:lang w:val="en-US"/>
                </w:rPr>
                <m:t>x</m:t>
              </m:r>
            </m:num>
            <m:den>
              <m:rad>
                <m:radPr>
                  <m:degHide m:val="1"/>
                  <m:ctrlPr>
                    <w:rPr>
                      <w:rFonts w:ascii="Cambria Math" w:hAnsi="Cambria Math" w:cs="Times New Roman"/>
                    </w:rPr>
                  </m:ctrlPr>
                </m:radPr>
                <m:deg/>
                <m:e>
                  <m:r>
                    <m:rPr>
                      <m:sty m:val="p"/>
                    </m:rPr>
                    <w:rPr>
                      <w:rFonts w:ascii="Cambria Math" w:hAnsi="Cambria Math" w:cs="Times New Roman"/>
                      <w:lang w:val="en-US"/>
                    </w:rPr>
                    <m:t>t</m:t>
                  </m:r>
                </m:e>
              </m:rad>
            </m:den>
          </m:f>
          <m:r>
            <m:rPr>
              <m:sty m:val="p"/>
            </m:rPr>
            <w:rPr>
              <w:rFonts w:ascii="Cambria Math" w:hAnsi="Cambria Math" w:cs="Times New Roman"/>
              <w:lang w:val="en-US"/>
            </w:rPr>
            <m:t xml:space="preserve">                                                                                 (45)</m:t>
          </m:r>
          <m:r>
            <m:rPr>
              <m:sty m:val="p"/>
            </m:rPr>
            <w:rPr>
              <w:rFonts w:ascii="Cambria Math" w:hAnsi="Cambria Math" w:cs="Times New Roman"/>
              <w:lang w:val="en-US"/>
            </w:rPr>
            <w:br/>
          </m:r>
        </m:oMath>
      </m:oMathPara>
      <w:r w:rsidRPr="00625AD6">
        <w:rPr>
          <w:rFonts w:cs="Times New Roman"/>
          <w:lang w:val="en-US"/>
        </w:rPr>
        <w:t xml:space="preserve">which reduces the problem to a single independent variable. The solution is then assumed in the form </w:t>
      </w:r>
      <w:r w:rsidR="005C1C60">
        <w:rPr>
          <w:rFonts w:cs="Times New Roman"/>
          <w:lang w:val="en-US"/>
        </w:rPr>
        <w:t xml:space="preserve">of </w:t>
      </w:r>
      <w:r w:rsidRPr="00625AD6">
        <w:rPr>
          <w:rFonts w:cs="Times New Roman"/>
          <w:lang w:val="en-US"/>
        </w:rPr>
        <w:t xml:space="preserve">Eq. (46) </w:t>
      </w:r>
    </w:p>
    <w:p w14:paraId="00A02E38" w14:textId="77777777" w:rsidR="00625AD6" w:rsidRPr="00625AD6" w:rsidRDefault="00625AD6" w:rsidP="00625AD6">
      <w:pPr>
        <w:jc w:val="center"/>
        <w:rPr>
          <w:rFonts w:cs="Times New Roman"/>
          <w:lang w:val="en-US"/>
        </w:rPr>
      </w:pPr>
      <m:oMathPara>
        <m:oMathParaPr>
          <m:jc m:val="right"/>
        </m:oMathParaPr>
        <m:oMath>
          <m:r>
            <m:rPr>
              <m:sty m:val="p"/>
            </m:rPr>
            <w:rPr>
              <w:rFonts w:ascii="Cambria Math" w:hAnsi="Cambria Math" w:cs="Times New Roman"/>
              <w:lang w:val="en-US"/>
            </w:rPr>
            <m:t>u</m:t>
          </m:r>
          <m:d>
            <m:dPr>
              <m:ctrlPr>
                <w:rPr>
                  <w:rFonts w:ascii="Cambria Math" w:hAnsi="Cambria Math" w:cs="Times New Roman"/>
                  <w:lang w:val="en-US"/>
                </w:rPr>
              </m:ctrlPr>
            </m:dPr>
            <m:e>
              <m:r>
                <m:rPr>
                  <m:sty m:val="p"/>
                </m:rPr>
                <w:rPr>
                  <w:rFonts w:ascii="Cambria Math" w:hAnsi="Cambria Math" w:cs="Times New Roman"/>
                  <w:lang w:val="en-US"/>
                </w:rPr>
                <m:t>x,t</m:t>
              </m:r>
            </m:e>
          </m:d>
          <m:r>
            <m:rPr>
              <m:sty m:val="p"/>
            </m:rPr>
            <w:rPr>
              <w:rFonts w:ascii="Cambria Math" w:hAnsi="Cambria Math" w:cs="Times New Roman"/>
              <w:lang w:val="en-US"/>
            </w:rPr>
            <m:t>=F</m:t>
          </m:r>
          <m:d>
            <m:dPr>
              <m:ctrlPr>
                <w:rPr>
                  <w:rFonts w:ascii="Cambria Math" w:hAnsi="Cambria Math" w:cs="Times New Roman"/>
                  <w:lang w:val="en-US"/>
                </w:rPr>
              </m:ctrlPr>
            </m:dPr>
            <m:e>
              <m:r>
                <m:rPr>
                  <m:sty m:val="p"/>
                </m:rPr>
                <w:rPr>
                  <w:rFonts w:ascii="Cambria Math" w:hAnsi="Cambria Math" w:cs="Times New Roman"/>
                </w:rPr>
                <m:t>ξ</m:t>
              </m:r>
            </m:e>
          </m:d>
          <m:r>
            <w:rPr>
              <w:rFonts w:ascii="Cambria Math" w:hAnsi="Cambria Math" w:cs="Times New Roman"/>
              <w:lang w:val="en-US"/>
            </w:rPr>
            <m:t xml:space="preserve">                                                                          (46)</m:t>
          </m:r>
        </m:oMath>
      </m:oMathPara>
    </w:p>
    <w:p w14:paraId="1C19C55B" w14:textId="37C2F6E7" w:rsidR="00625AD6" w:rsidRPr="00625AD6" w:rsidRDefault="00625AD6" w:rsidP="00625AD6">
      <w:pPr>
        <w:rPr>
          <w:rFonts w:cs="Times New Roman"/>
          <w:lang w:val="en-US"/>
        </w:rPr>
      </w:pPr>
      <w:r w:rsidRPr="00625AD6">
        <w:rPr>
          <w:rFonts w:cs="Times New Roman"/>
          <w:lang w:val="en-US"/>
        </w:rPr>
        <w:t>Substituting this form into the heat equation yields a second-order ordinary differential equation</w:t>
      </w:r>
      <w:r w:rsidR="005C1C60">
        <w:rPr>
          <w:rFonts w:cs="Times New Roman"/>
          <w:lang w:val="en-US"/>
        </w:rPr>
        <w:t>,</w:t>
      </w:r>
      <w:r w:rsidRPr="00625AD6">
        <w:rPr>
          <w:rFonts w:cs="Times New Roman"/>
          <w:lang w:val="en-US"/>
        </w:rPr>
        <w:t xml:space="preserve"> Eq. (47):</w:t>
      </w:r>
    </w:p>
    <w:p w14:paraId="23B4F194" w14:textId="77777777" w:rsidR="00625AD6" w:rsidRPr="00625AD6" w:rsidRDefault="00000000" w:rsidP="00625AD6">
      <w:pPr>
        <w:rPr>
          <w:rFonts w:cs="Times New Roman"/>
        </w:rPr>
      </w:pPr>
      <m:oMathPara>
        <m:oMathParaPr>
          <m:jc m:val="right"/>
        </m:oMathParaPr>
        <m:oMath>
          <m:f>
            <m:fPr>
              <m:ctrlPr>
                <w:rPr>
                  <w:rFonts w:ascii="Cambria Math" w:hAnsi="Cambria Math" w:cs="Times New Roman"/>
                </w:rPr>
              </m:ctrlPr>
            </m:fPr>
            <m:num>
              <m:sSup>
                <m:sSupPr>
                  <m:ctrlPr>
                    <w:rPr>
                      <w:rFonts w:ascii="Cambria Math" w:hAnsi="Cambria Math" w:cs="Times New Roman"/>
                    </w:rPr>
                  </m:ctrlPr>
                </m:sSupPr>
                <m:e>
                  <m:r>
                    <m:rPr>
                      <m:sty m:val="p"/>
                    </m:rPr>
                    <w:rPr>
                      <w:rFonts w:ascii="Cambria Math" w:hAnsi="Cambria Math" w:cs="Times New Roman"/>
                    </w:rPr>
                    <m:t>d</m:t>
                  </m:r>
                </m:e>
                <m:sup>
                  <m:r>
                    <m:rPr>
                      <m:sty m:val="p"/>
                    </m:rPr>
                    <w:rPr>
                      <w:rFonts w:ascii="Cambria Math" w:hAnsi="Cambria Math" w:cs="Times New Roman"/>
                    </w:rPr>
                    <m:t>2</m:t>
                  </m:r>
                </m:sup>
              </m:sSup>
              <m:r>
                <m:rPr>
                  <m:sty m:val="p"/>
                </m:rPr>
                <w:rPr>
                  <w:rFonts w:ascii="Cambria Math" w:hAnsi="Cambria Math" w:cs="Times New Roman"/>
                </w:rPr>
                <m:t>F</m:t>
              </m:r>
            </m:num>
            <m:den>
              <m:r>
                <m:rPr>
                  <m:sty m:val="p"/>
                </m:rPr>
                <w:rPr>
                  <w:rFonts w:ascii="Cambria Math" w:hAnsi="Cambria Math" w:cs="Times New Roman"/>
                </w:rPr>
                <m:t>d</m:t>
              </m:r>
              <m:sSup>
                <m:sSupPr>
                  <m:ctrlPr>
                    <w:rPr>
                      <w:rFonts w:ascii="Cambria Math" w:hAnsi="Cambria Math" w:cs="Times New Roman"/>
                    </w:rPr>
                  </m:ctrlPr>
                </m:sSupPr>
                <m:e>
                  <m:r>
                    <m:rPr>
                      <m:sty m:val="p"/>
                    </m:rPr>
                    <w:rPr>
                      <w:rFonts w:ascii="Cambria Math" w:hAnsi="Cambria Math" w:cs="Times New Roman"/>
                    </w:rPr>
                    <m:t>ξ</m:t>
                  </m:r>
                </m:e>
                <m:sup>
                  <m:r>
                    <m:rPr>
                      <m:sty m:val="p"/>
                    </m:rPr>
                    <w:rPr>
                      <w:rFonts w:ascii="Cambria Math" w:hAnsi="Cambria Math" w:cs="Times New Roman"/>
                    </w:rPr>
                    <m:t>2</m:t>
                  </m:r>
                </m:sup>
              </m:sSup>
            </m:den>
          </m:f>
          <m:r>
            <m:rPr>
              <m:sty m:val="p"/>
            </m:rPr>
            <w:rPr>
              <w:rFonts w:ascii="Cambria Math" w:hAnsi="Cambria Math" w:cs="Times New Roman"/>
            </w:rPr>
            <m:t>+</m:t>
          </m:r>
          <m:f>
            <m:fPr>
              <m:ctrlPr>
                <w:rPr>
                  <w:rFonts w:ascii="Cambria Math" w:hAnsi="Cambria Math" w:cs="Times New Roman"/>
                </w:rPr>
              </m:ctrlPr>
            </m:fPr>
            <m:num>
              <m:r>
                <m:rPr>
                  <m:sty m:val="p"/>
                </m:rPr>
                <w:rPr>
                  <w:rFonts w:ascii="Cambria Math" w:hAnsi="Cambria Math" w:cs="Times New Roman"/>
                </w:rPr>
                <m:t>ξ</m:t>
              </m:r>
            </m:num>
            <m:den>
              <m:r>
                <m:rPr>
                  <m:sty m:val="p"/>
                </m:rPr>
                <w:rPr>
                  <w:rFonts w:ascii="Cambria Math" w:hAnsi="Cambria Math" w:cs="Times New Roman"/>
                </w:rPr>
                <m:t>2</m:t>
              </m:r>
              <m:sSub>
                <m:sSubPr>
                  <m:ctrlPr>
                    <w:rPr>
                      <w:rFonts w:ascii="Cambria Math" w:hAnsi="Cambria Math" w:cs="Times New Roman"/>
                    </w:rPr>
                  </m:ctrlPr>
                </m:sSubPr>
                <m:e>
                  <m:r>
                    <m:rPr>
                      <m:sty m:val="p"/>
                    </m:rPr>
                    <w:rPr>
                      <w:rFonts w:ascii="Cambria Math" w:hAnsi="Cambria Math" w:cs="Times New Roman"/>
                    </w:rPr>
                    <m:t>α</m:t>
                  </m:r>
                </m:e>
                <m:sub>
                  <m:r>
                    <m:rPr>
                      <m:sty m:val="p"/>
                    </m:rPr>
                    <w:rPr>
                      <w:rFonts w:ascii="Cambria Math" w:hAnsi="Cambria Math" w:cs="Times New Roman"/>
                    </w:rPr>
                    <m:t>L</m:t>
                  </m:r>
                </m:sub>
              </m:sSub>
            </m:den>
          </m:f>
          <m:f>
            <m:fPr>
              <m:ctrlPr>
                <w:rPr>
                  <w:rFonts w:ascii="Cambria Math" w:hAnsi="Cambria Math" w:cs="Times New Roman"/>
                </w:rPr>
              </m:ctrlPr>
            </m:fPr>
            <m:num>
              <m:r>
                <m:rPr>
                  <m:sty m:val="p"/>
                </m:rPr>
                <w:rPr>
                  <w:rFonts w:ascii="Cambria Math" w:hAnsi="Cambria Math" w:cs="Times New Roman"/>
                </w:rPr>
                <m:t>dF</m:t>
              </m:r>
            </m:num>
            <m:den>
              <m:r>
                <m:rPr>
                  <m:sty m:val="p"/>
                </m:rPr>
                <w:rPr>
                  <w:rFonts w:ascii="Cambria Math" w:hAnsi="Cambria Math" w:cs="Times New Roman"/>
                </w:rPr>
                <m:t>dξ</m:t>
              </m:r>
            </m:den>
          </m:f>
          <m:r>
            <m:rPr>
              <m:sty m:val="p"/>
            </m:rPr>
            <w:rPr>
              <w:rFonts w:ascii="Cambria Math" w:hAnsi="Cambria Math" w:cs="Times New Roman"/>
            </w:rPr>
            <m:t>=0                                                                     (47)</m:t>
          </m:r>
          <m:r>
            <m:rPr>
              <m:sty m:val="p"/>
            </m:rPr>
            <w:rPr>
              <w:rFonts w:ascii="Cambria Math" w:hAnsi="Cambria Math" w:cs="Times New Roman"/>
            </w:rPr>
            <w:br/>
          </m:r>
        </m:oMath>
      </m:oMathPara>
    </w:p>
    <w:p w14:paraId="6FA47E9C" w14:textId="77777777" w:rsidR="00625AD6" w:rsidRPr="00625AD6" w:rsidRDefault="00625AD6" w:rsidP="00625AD6">
      <w:pPr>
        <w:rPr>
          <w:rFonts w:cs="Times New Roman"/>
          <w:lang w:val="en-US"/>
        </w:rPr>
      </w:pPr>
      <w:r w:rsidRPr="00625AD6">
        <w:rPr>
          <w:rFonts w:cs="Times New Roman"/>
          <w:lang w:val="en-US"/>
        </w:rPr>
        <w:t>which can be integrated to give Eq. (48)</w:t>
      </w:r>
    </w:p>
    <w:p w14:paraId="149A25F1" w14:textId="0CFFF099" w:rsidR="00625AD6" w:rsidRPr="00625AD6" w:rsidRDefault="00625AD6" w:rsidP="00625AD6">
      <w:pPr>
        <w:rPr>
          <w:rFonts w:cs="Times New Roman"/>
          <w:lang w:val="en-US"/>
        </w:rPr>
      </w:pPr>
      <m:oMathPara>
        <m:oMathParaPr>
          <m:jc m:val="right"/>
        </m:oMathParaPr>
        <m:oMath>
          <m:r>
            <m:rPr>
              <m:sty m:val="p"/>
            </m:rPr>
            <w:rPr>
              <w:rFonts w:ascii="Cambria Math" w:hAnsi="Cambria Math" w:cs="Times New Roman"/>
              <w:lang w:val="en-US"/>
            </w:rPr>
            <m:t>F</m:t>
          </m:r>
          <m:d>
            <m:dPr>
              <m:ctrlPr>
                <w:rPr>
                  <w:rFonts w:ascii="Cambria Math" w:hAnsi="Cambria Math" w:cs="Times New Roman"/>
                  <w:lang w:val="nb-NO"/>
                </w:rPr>
              </m:ctrlPr>
            </m:dPr>
            <m:e>
              <m:r>
                <m:rPr>
                  <m:sty m:val="p"/>
                </m:rPr>
                <w:rPr>
                  <w:rFonts w:ascii="Cambria Math" w:hAnsi="Cambria Math" w:cs="Times New Roman"/>
                </w:rPr>
                <m:t>ξ</m:t>
              </m:r>
            </m:e>
          </m:d>
          <m:r>
            <m:rPr>
              <m:sty m:val="p"/>
            </m:rPr>
            <w:rPr>
              <w:rFonts w:ascii="Cambria Math" w:hAnsi="Cambria Math" w:cs="Times New Roman"/>
              <w:lang w:val="en-US"/>
            </w:rPr>
            <m:t>=A</m:t>
          </m:r>
          <m:func>
            <m:funcPr>
              <m:ctrlPr>
                <w:rPr>
                  <w:rFonts w:ascii="Cambria Math" w:hAnsi="Cambria Math" w:cs="Times New Roman"/>
                  <w:i/>
                  <w:lang w:val="nb-NO"/>
                </w:rPr>
              </m:ctrlPr>
            </m:funcPr>
            <m:fName>
              <m:r>
                <m:rPr>
                  <m:sty m:val="p"/>
                </m:rPr>
                <w:rPr>
                  <w:rFonts w:ascii="Cambria Math" w:hAnsi="Cambria Math" w:cs="Times New Roman"/>
                  <w:lang w:val="en-US"/>
                </w:rPr>
                <m:t>erf</m:t>
              </m:r>
            </m:fName>
            <m:e>
              <m:d>
                <m:dPr>
                  <m:ctrlPr>
                    <w:rPr>
                      <w:rFonts w:ascii="Cambria Math" w:hAnsi="Cambria Math" w:cs="Times New Roman"/>
                      <w:i/>
                      <w:lang w:val="nb-NO"/>
                    </w:rPr>
                  </m:ctrlPr>
                </m:dPr>
                <m:e>
                  <m:f>
                    <m:fPr>
                      <m:ctrlPr>
                        <w:rPr>
                          <w:rFonts w:ascii="Cambria Math" w:hAnsi="Cambria Math" w:cs="Times New Roman"/>
                          <w:i/>
                        </w:rPr>
                      </m:ctrlPr>
                    </m:fPr>
                    <m:num>
                      <m:r>
                        <w:rPr>
                          <w:rFonts w:ascii="Cambria Math" w:hAnsi="Cambria Math" w:cs="Times New Roman"/>
                        </w:rPr>
                        <m:t>ξ</m:t>
                      </m:r>
                      <m:ctrlPr>
                        <w:rPr>
                          <w:rFonts w:ascii="Cambria Math" w:hAnsi="Cambria Math" w:cs="Times New Roman"/>
                          <w:i/>
                          <w:lang w:val="nb-NO"/>
                        </w:rPr>
                      </m:ctrlPr>
                    </m:num>
                    <m:den>
                      <m:r>
                        <w:rPr>
                          <w:rFonts w:ascii="Cambria Math" w:hAnsi="Cambria Math" w:cs="Times New Roman"/>
                          <w:lang w:val="en-US"/>
                        </w:rPr>
                        <m:t>2</m:t>
                      </m:r>
                      <m:rad>
                        <m:radPr>
                          <m:degHide m:val="1"/>
                          <m:ctrlPr>
                            <w:rPr>
                              <w:rFonts w:ascii="Cambria Math" w:hAnsi="Cambria Math" w:cs="Times New Roman"/>
                              <w:i/>
                              <w:lang w:val="nb-NO"/>
                            </w:rPr>
                          </m:ctrlPr>
                        </m:radPr>
                        <m:deg>
                          <m:ctrlPr>
                            <w:rPr>
                              <w:rFonts w:ascii="Cambria Math" w:hAnsi="Cambria Math" w:cs="Times New Roman"/>
                              <w:i/>
                            </w:rPr>
                          </m:ctrlPr>
                        </m:deg>
                        <m:e>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L</m:t>
                              </m:r>
                            </m:sub>
                          </m:sSub>
                        </m:e>
                      </m:rad>
                    </m:den>
                  </m:f>
                  <m:ctrlPr>
                    <w:rPr>
                      <w:rFonts w:ascii="Cambria Math" w:hAnsi="Cambria Math" w:cs="Times New Roman"/>
                      <w:i/>
                    </w:rPr>
                  </m:ctrlPr>
                </m:e>
              </m:d>
            </m:e>
          </m:func>
          <m:r>
            <w:rPr>
              <w:rFonts w:ascii="Cambria Math" w:hAnsi="Cambria Math" w:cs="Times New Roman"/>
              <w:lang w:val="en-US"/>
            </w:rPr>
            <m:t>+</m:t>
          </m:r>
          <m:r>
            <w:rPr>
              <w:rFonts w:ascii="Cambria Math" w:hAnsi="Cambria Math" w:cs="Times New Roman"/>
              <w:lang w:val="nb-NO"/>
            </w:rPr>
            <m:t>D</m:t>
          </m:r>
          <m:r>
            <w:rPr>
              <w:rFonts w:ascii="Cambria Math" w:hAnsi="Cambria Math" w:cs="Times New Roman"/>
              <w:lang w:val="en-US"/>
            </w:rPr>
            <m:t xml:space="preserve">                                                               (48)</m:t>
          </m:r>
          <m:r>
            <m:rPr>
              <m:sty m:val="p"/>
            </m:rPr>
            <w:rPr>
              <w:rFonts w:ascii="Cambria Math" w:hAnsi="Cambria Math" w:cs="Times New Roman"/>
              <w:lang w:val="en-US"/>
            </w:rPr>
            <w:br/>
          </m:r>
        </m:oMath>
      </m:oMathPara>
      <w:r w:rsidRPr="00625AD6">
        <w:rPr>
          <w:rFonts w:cs="Times New Roman"/>
          <w:lang w:val="en-US"/>
        </w:rPr>
        <w:t xml:space="preserve">where erf denotes the error function. Applying the boundary conditions allows </w:t>
      </w:r>
      <w:r w:rsidR="005C1C60">
        <w:rPr>
          <w:rFonts w:cs="Times New Roman"/>
          <w:lang w:val="en-US"/>
        </w:rPr>
        <w:t xml:space="preserve">for </w:t>
      </w:r>
      <w:r w:rsidRPr="00625AD6">
        <w:rPr>
          <w:rFonts w:cs="Times New Roman"/>
          <w:lang w:val="en-US"/>
        </w:rPr>
        <w:t xml:space="preserve">determining the integration constants. From </w:t>
      </w:r>
      <m:oMath>
        <m:r>
          <m:rPr>
            <m:sty m:val="p"/>
          </m:rPr>
          <w:rPr>
            <w:rFonts w:ascii="Cambria Math" w:hAnsi="Cambria Math" w:cs="Times New Roman"/>
            <w:lang w:val="en-US"/>
          </w:rPr>
          <m:t>u(0,t)=</m:t>
        </m:r>
        <m:sSub>
          <m:sSubPr>
            <m:ctrlPr>
              <w:rPr>
                <w:rFonts w:ascii="Cambria Math" w:hAnsi="Cambria Math" w:cs="Times New Roman"/>
              </w:rPr>
            </m:ctrlPr>
          </m:sSubPr>
          <m:e>
            <m:r>
              <m:rPr>
                <m:sty m:val="p"/>
              </m:rPr>
              <w:rPr>
                <w:rFonts w:ascii="Cambria Math" w:hAnsi="Cambria Math" w:cs="Times New Roman"/>
                <w:lang w:val="en-US"/>
              </w:rPr>
              <m:t>u</m:t>
            </m:r>
          </m:e>
          <m:sub>
            <m:r>
              <m:rPr>
                <m:sty m:val="p"/>
              </m:rPr>
              <w:rPr>
                <w:rFonts w:ascii="Cambria Math" w:hAnsi="Cambria Math" w:cs="Times New Roman"/>
                <w:lang w:val="en-US"/>
              </w:rPr>
              <m:t>0</m:t>
            </m:r>
          </m:sub>
        </m:sSub>
      </m:oMath>
      <w:r w:rsidRPr="00625AD6">
        <w:rPr>
          <w:rFonts w:cs="Times New Roman"/>
          <w:lang w:val="en-US"/>
        </w:rPr>
        <w:t xml:space="preserve">, we have </w:t>
      </w:r>
      <m:oMath>
        <m:r>
          <m:rPr>
            <m:sty m:val="p"/>
          </m:rPr>
          <w:rPr>
            <w:rFonts w:ascii="Cambria Math" w:hAnsi="Cambria Math" w:cs="Times New Roman"/>
            <w:lang w:val="en-US"/>
          </w:rPr>
          <m:t>D=</m:t>
        </m:r>
        <m:sSub>
          <m:sSubPr>
            <m:ctrlPr>
              <w:rPr>
                <w:rFonts w:ascii="Cambria Math" w:hAnsi="Cambria Math" w:cs="Times New Roman"/>
              </w:rPr>
            </m:ctrlPr>
          </m:sSubPr>
          <m:e>
            <m:r>
              <m:rPr>
                <m:sty m:val="p"/>
              </m:rPr>
              <w:rPr>
                <w:rFonts w:ascii="Cambria Math" w:hAnsi="Cambria Math" w:cs="Times New Roman"/>
                <w:lang w:val="en-US"/>
              </w:rPr>
              <m:t>u</m:t>
            </m:r>
          </m:e>
          <m:sub>
            <m:r>
              <m:rPr>
                <m:sty m:val="p"/>
              </m:rPr>
              <w:rPr>
                <w:rFonts w:ascii="Cambria Math" w:hAnsi="Cambria Math" w:cs="Times New Roman"/>
                <w:lang w:val="en-US"/>
              </w:rPr>
              <m:t>0</m:t>
            </m:r>
          </m:sub>
        </m:sSub>
      </m:oMath>
      <w:r w:rsidRPr="00625AD6">
        <w:rPr>
          <w:rFonts w:cs="Times New Roman"/>
          <w:lang w:val="en-US"/>
        </w:rPr>
        <w:t xml:space="preserve">, while from </w:t>
      </w:r>
      <m:oMath>
        <m:r>
          <m:rPr>
            <m:sty m:val="p"/>
          </m:rPr>
          <w:rPr>
            <w:rFonts w:ascii="Cambria Math" w:hAnsi="Cambria Math" w:cs="Times New Roman"/>
            <w:lang w:val="en-US"/>
          </w:rPr>
          <m:t>u</m:t>
        </m:r>
        <m:d>
          <m:dPr>
            <m:ctrlPr>
              <w:rPr>
                <w:rFonts w:ascii="Cambria Math" w:hAnsi="Cambria Math" w:cs="Times New Roman"/>
                <w:lang w:val="nb-NO"/>
              </w:rPr>
            </m:ctrlPr>
          </m:dPr>
          <m:e>
            <m:r>
              <m:rPr>
                <m:sty m:val="p"/>
              </m:rPr>
              <w:rPr>
                <w:rFonts w:ascii="Cambria Math" w:hAnsi="Cambria Math" w:cs="Times New Roman"/>
                <w:lang w:val="en-US"/>
              </w:rPr>
              <m:t>s</m:t>
            </m:r>
            <m:d>
              <m:dPr>
                <m:ctrlPr>
                  <w:rPr>
                    <w:rFonts w:ascii="Cambria Math" w:hAnsi="Cambria Math" w:cs="Times New Roman"/>
                    <w:lang w:val="nb-NO"/>
                  </w:rPr>
                </m:ctrlPr>
              </m:dPr>
              <m:e>
                <m:r>
                  <m:rPr>
                    <m:sty m:val="p"/>
                  </m:rPr>
                  <w:rPr>
                    <w:rFonts w:ascii="Cambria Math" w:hAnsi="Cambria Math" w:cs="Times New Roman"/>
                    <w:lang w:val="en-US"/>
                  </w:rPr>
                  <m:t>t</m:t>
                </m:r>
              </m:e>
            </m:d>
            <m:r>
              <m:rPr>
                <m:sty m:val="p"/>
              </m:rPr>
              <w:rPr>
                <w:rFonts w:ascii="Cambria Math" w:hAnsi="Cambria Math" w:cs="Times New Roman"/>
                <w:lang w:val="en-US"/>
              </w:rPr>
              <m:t>,t</m:t>
            </m:r>
          </m:e>
        </m:d>
        <m:r>
          <m:rPr>
            <m:sty m:val="p"/>
          </m:rPr>
          <w:rPr>
            <w:rFonts w:ascii="Cambria Math" w:hAnsi="Cambria Math" w:cs="Times New Roman"/>
            <w:lang w:val="en-US"/>
          </w:rPr>
          <m:t>=0</m:t>
        </m:r>
      </m:oMath>
      <w:r w:rsidRPr="00625AD6">
        <w:rPr>
          <w:rFonts w:eastAsiaTheme="minorEastAsia" w:cs="Times New Roman"/>
          <w:lang w:val="en-US"/>
        </w:rPr>
        <w:t xml:space="preserve"> </w:t>
      </w:r>
      <w:r w:rsidRPr="00625AD6">
        <w:rPr>
          <w:rFonts w:cs="Times New Roman"/>
          <w:lang w:val="en-US"/>
        </w:rPr>
        <w:t>we obtain Eq. (49)</w:t>
      </w:r>
    </w:p>
    <w:p w14:paraId="78AE42C6" w14:textId="2D866F61" w:rsidR="00625AD6" w:rsidRPr="001D0C2A" w:rsidRDefault="00625AD6" w:rsidP="00625AD6">
      <w:pPr>
        <w:rPr>
          <w:rFonts w:cs="Times New Roman"/>
          <w:lang w:val="en-US"/>
        </w:rPr>
      </w:pPr>
      <m:oMathPara>
        <m:oMathParaPr>
          <m:jc m:val="right"/>
        </m:oMathParaPr>
        <m:oMath>
          <m:r>
            <m:rPr>
              <m:sty m:val="p"/>
            </m:rPr>
            <w:rPr>
              <w:rFonts w:ascii="Cambria Math" w:hAnsi="Cambria Math" w:cs="Times New Roman"/>
              <w:lang w:val="en-US"/>
            </w:rPr>
            <m:t>A=</m:t>
          </m:r>
          <m:f>
            <m:fPr>
              <m:ctrlPr>
                <w:rPr>
                  <w:rFonts w:ascii="Cambria Math" w:hAnsi="Cambria Math" w:cs="Times New Roman"/>
                </w:rPr>
              </m:ctrlPr>
            </m:fPr>
            <m:num>
              <m:r>
                <m:rPr>
                  <m:sty m:val="p"/>
                </m:rPr>
                <w:rPr>
                  <w:rFonts w:ascii="Cambria Math" w:hAnsi="Cambria Math" w:cs="Times New Roman"/>
                  <w:lang w:val="en-US"/>
                </w:rPr>
                <m:t>0-</m:t>
              </m:r>
              <m:sSub>
                <m:sSubPr>
                  <m:ctrlPr>
                    <w:rPr>
                      <w:rFonts w:ascii="Cambria Math" w:hAnsi="Cambria Math" w:cs="Times New Roman"/>
                    </w:rPr>
                  </m:ctrlPr>
                </m:sSubPr>
                <m:e>
                  <m:r>
                    <m:rPr>
                      <m:sty m:val="p"/>
                    </m:rPr>
                    <w:rPr>
                      <w:rFonts w:ascii="Cambria Math" w:hAnsi="Cambria Math" w:cs="Times New Roman"/>
                      <w:lang w:val="en-US"/>
                    </w:rPr>
                    <m:t>u</m:t>
                  </m:r>
                </m:e>
                <m:sub>
                  <m:r>
                    <m:rPr>
                      <m:sty m:val="p"/>
                    </m:rPr>
                    <w:rPr>
                      <w:rFonts w:ascii="Cambria Math" w:hAnsi="Cambria Math" w:cs="Times New Roman"/>
                      <w:lang w:val="en-US"/>
                    </w:rPr>
                    <m:t>0</m:t>
                  </m:r>
                </m:sub>
              </m:sSub>
            </m:num>
            <m:den>
              <m:r>
                <m:rPr>
                  <m:nor/>
                </m:rPr>
                <w:rPr>
                  <w:rFonts w:cs="Times New Roman"/>
                  <w:lang w:val="en-US"/>
                </w:rPr>
                <m:t>erf</m:t>
              </m:r>
              <m:r>
                <m:rPr>
                  <m:sty m:val="p"/>
                </m:rPr>
                <w:rPr>
                  <w:rFonts w:ascii="Cambria Math" w:hAnsi="Cambria Math" w:cs="Times New Roman"/>
                  <w:lang w:val="en-US"/>
                </w:rPr>
                <m:t>(</m:t>
              </m:r>
              <m:r>
                <m:rPr>
                  <m:sty m:val="p"/>
                </m:rPr>
                <w:rPr>
                  <w:rFonts w:ascii="Cambria Math" w:hAnsi="Cambria Math" w:cs="Times New Roman"/>
                </w:rPr>
                <m:t>λ</m:t>
              </m:r>
              <m:r>
                <m:rPr>
                  <m:sty m:val="p"/>
                </m:rPr>
                <w:rPr>
                  <w:rFonts w:ascii="Cambria Math" w:hAnsi="Cambria Math" w:cs="Times New Roman"/>
                  <w:lang w:val="en-US"/>
                </w:rPr>
                <m:t>)</m:t>
              </m:r>
            </m:den>
          </m:f>
          <m:r>
            <m:rPr>
              <m:sty m:val="p"/>
            </m:rPr>
            <w:rPr>
              <w:rFonts w:ascii="Cambria Math" w:hAnsi="Cambria Math" w:cs="Times New Roman"/>
              <w:lang w:val="en-US"/>
            </w:rPr>
            <m:t xml:space="preserve">                                                                             (49)</m:t>
          </m:r>
          <m:r>
            <m:rPr>
              <m:sty m:val="p"/>
            </m:rPr>
            <w:rPr>
              <w:rFonts w:ascii="Cambria Math" w:hAnsi="Cambria Math" w:cs="Times New Roman"/>
              <w:lang w:val="en-US"/>
            </w:rPr>
            <w:br/>
          </m:r>
        </m:oMath>
      </m:oMathPara>
      <w:r w:rsidRPr="00625AD6">
        <w:rPr>
          <w:rFonts w:cs="Times New Roman"/>
          <w:lang w:val="en-US"/>
        </w:rPr>
        <w:t>where</w:t>
      </w:r>
      <w:r w:rsidR="001D0C2A">
        <w:rPr>
          <w:rFonts w:cs="Times New Roman"/>
          <w:lang w:val="en-US"/>
        </w:rPr>
        <w:t xml:space="preserve"> </w:t>
      </w:r>
      <m:oMath>
        <m:r>
          <m:rPr>
            <m:sty m:val="p"/>
          </m:rPr>
          <w:rPr>
            <w:rFonts w:ascii="Cambria Math" w:hAnsi="Cambria Math" w:cs="Times New Roman"/>
          </w:rPr>
          <m:t>λ</m:t>
        </m:r>
      </m:oMath>
      <w:r w:rsidR="001D0C2A" w:rsidRPr="001D0C2A">
        <w:rPr>
          <w:rFonts w:eastAsiaTheme="minorEastAsia" w:cs="Times New Roman"/>
          <w:lang w:val="en-US"/>
        </w:rPr>
        <w:t xml:space="preserve"> </w:t>
      </w:r>
      <w:r w:rsidR="001D0C2A">
        <w:rPr>
          <w:rFonts w:eastAsiaTheme="minorEastAsia" w:cs="Times New Roman"/>
          <w:lang w:val="en-US"/>
        </w:rPr>
        <w:t>is written in the following Eq. (50)</w:t>
      </w:r>
    </w:p>
    <w:p w14:paraId="504496EC" w14:textId="77777777" w:rsidR="00625AD6" w:rsidRPr="00625AD6" w:rsidRDefault="00625AD6" w:rsidP="00625AD6">
      <w:pPr>
        <w:jc w:val="right"/>
        <w:rPr>
          <w:rFonts w:cs="Times New Roman"/>
          <w:lang w:val="en-US"/>
        </w:rPr>
      </w:pPr>
      <m:oMath>
        <m:r>
          <m:rPr>
            <m:sty m:val="p"/>
          </m:rPr>
          <w:rPr>
            <w:rFonts w:ascii="Cambria Math" w:hAnsi="Cambria Math" w:cs="Times New Roman"/>
          </w:rPr>
          <m:t>λ</m:t>
        </m:r>
        <m:r>
          <m:rPr>
            <m:sty m:val="p"/>
          </m:rPr>
          <w:rPr>
            <w:rFonts w:ascii="Cambria Math" w:hAnsi="Cambria Math" w:cs="Times New Roman"/>
            <w:lang w:val="en-US"/>
          </w:rPr>
          <m:t>=</m:t>
        </m:r>
        <m:f>
          <m:fPr>
            <m:ctrlPr>
              <w:rPr>
                <w:rFonts w:ascii="Cambria Math" w:hAnsi="Cambria Math" w:cs="Times New Roman"/>
              </w:rPr>
            </m:ctrlPr>
          </m:fPr>
          <m:num>
            <m:r>
              <m:rPr>
                <m:sty m:val="p"/>
              </m:rPr>
              <w:rPr>
                <w:rFonts w:ascii="Cambria Math" w:hAnsi="Cambria Math" w:cs="Times New Roman"/>
                <w:lang w:val="en-US"/>
              </w:rPr>
              <m:t>s(t)</m:t>
            </m:r>
          </m:num>
          <m:den>
            <m:r>
              <m:rPr>
                <m:sty m:val="p"/>
              </m:rPr>
              <w:rPr>
                <w:rFonts w:ascii="Cambria Math" w:hAnsi="Cambria Math" w:cs="Times New Roman"/>
                <w:lang w:val="en-US"/>
              </w:rPr>
              <m:t>2</m:t>
            </m:r>
            <m:rad>
              <m:radPr>
                <m:degHide m:val="1"/>
                <m:ctrlPr>
                  <w:rPr>
                    <w:rFonts w:ascii="Cambria Math" w:hAnsi="Cambria Math" w:cs="Times New Roman"/>
                  </w:rPr>
                </m:ctrlPr>
              </m:radPr>
              <m:deg/>
              <m:e>
                <m:sSub>
                  <m:sSubPr>
                    <m:ctrlPr>
                      <w:rPr>
                        <w:rFonts w:ascii="Cambria Math" w:hAnsi="Cambria Math" w:cs="Times New Roman"/>
                      </w:rPr>
                    </m:ctrlPr>
                  </m:sSubPr>
                  <m:e>
                    <m:r>
                      <m:rPr>
                        <m:sty m:val="p"/>
                      </m:rPr>
                      <w:rPr>
                        <w:rFonts w:ascii="Cambria Math" w:hAnsi="Cambria Math" w:cs="Times New Roman"/>
                      </w:rPr>
                      <m:t>α</m:t>
                    </m:r>
                  </m:e>
                  <m:sub>
                    <m:r>
                      <m:rPr>
                        <m:sty m:val="p"/>
                      </m:rPr>
                      <w:rPr>
                        <w:rFonts w:ascii="Cambria Math" w:hAnsi="Cambria Math" w:cs="Times New Roman"/>
                        <w:lang w:val="en-US"/>
                      </w:rPr>
                      <m:t>L</m:t>
                    </m:r>
                  </m:sub>
                </m:sSub>
                <m:r>
                  <m:rPr>
                    <m:sty m:val="p"/>
                  </m:rPr>
                  <w:rPr>
                    <w:rFonts w:ascii="Cambria Math" w:hAnsi="Cambria Math" w:cs="Times New Roman"/>
                    <w:lang w:val="en-US"/>
                  </w:rPr>
                  <m:t>t</m:t>
                </m:r>
              </m:e>
            </m:rad>
          </m:den>
        </m:f>
        <m:r>
          <w:rPr>
            <w:rFonts w:ascii="Cambria Math" w:hAnsi="Cambria Math" w:cs="Times New Roman"/>
            <w:lang w:val="en-US"/>
          </w:rPr>
          <m:t xml:space="preserve">                                                                                50)</m:t>
        </m:r>
      </m:oMath>
      <w:r w:rsidRPr="00625AD6">
        <w:rPr>
          <w:rFonts w:cs="Times New Roman"/>
          <w:lang w:val="en-US"/>
        </w:rPr>
        <w:t xml:space="preserve"> </w:t>
      </w:r>
    </w:p>
    <w:p w14:paraId="725EB246" w14:textId="4F8EB75D" w:rsidR="00625AD6" w:rsidRPr="00625AD6" w:rsidRDefault="00625AD6" w:rsidP="00625AD6">
      <w:pPr>
        <w:rPr>
          <w:rFonts w:cs="Times New Roman"/>
          <w:lang w:val="en-US"/>
        </w:rPr>
      </w:pPr>
      <w:r w:rsidRPr="00625AD6">
        <w:rPr>
          <w:rFonts w:cs="Times New Roman"/>
          <w:lang w:val="en-US"/>
        </w:rPr>
        <w:t xml:space="preserve">Since </w:t>
      </w:r>
      <m:oMath>
        <m:r>
          <m:rPr>
            <m:sty m:val="p"/>
          </m:rPr>
          <w:rPr>
            <w:rFonts w:ascii="Cambria Math" w:hAnsi="Cambria Math" w:cs="Times New Roman"/>
            <w:lang w:val="en-US"/>
          </w:rPr>
          <m:t>A</m:t>
        </m:r>
      </m:oMath>
      <w:r w:rsidR="005C1C60">
        <w:rPr>
          <w:rFonts w:eastAsiaTheme="minorEastAsia" w:cs="Times New Roman"/>
          <w:lang w:val="en-US"/>
        </w:rPr>
        <w:t xml:space="preserve"> </w:t>
      </w:r>
      <w:r w:rsidRPr="00625AD6">
        <w:rPr>
          <w:rFonts w:cs="Times New Roman"/>
          <w:lang w:val="en-US"/>
        </w:rPr>
        <w:t xml:space="preserve">is constant, </w:t>
      </w:r>
      <m:oMath>
        <m:r>
          <m:rPr>
            <m:sty m:val="p"/>
          </m:rPr>
          <w:rPr>
            <w:rFonts w:ascii="Cambria Math" w:hAnsi="Cambria Math" w:cs="Times New Roman"/>
          </w:rPr>
          <m:t>λ</m:t>
        </m:r>
        <m:r>
          <m:rPr>
            <m:sty m:val="p"/>
          </m:rPr>
          <w:rPr>
            <w:rFonts w:ascii="Cambria Math" w:hAnsi="Cambria Math" w:cs="Times New Roman"/>
            <w:lang w:val="en-US"/>
          </w:rPr>
          <m:t xml:space="preserve"> </m:t>
        </m:r>
      </m:oMath>
      <w:r w:rsidRPr="00625AD6">
        <w:rPr>
          <w:rFonts w:cs="Times New Roman"/>
          <w:lang w:val="en-US"/>
        </w:rPr>
        <w:t>must also be constant, and therefore</w:t>
      </w:r>
      <w:r w:rsidR="005C1C60">
        <w:rPr>
          <w:rFonts w:cs="Times New Roman"/>
          <w:lang w:val="en-US"/>
        </w:rPr>
        <w:t>,</w:t>
      </w:r>
      <w:r w:rsidRPr="00625AD6">
        <w:rPr>
          <w:rFonts w:cs="Times New Roman"/>
          <w:lang w:val="en-US"/>
        </w:rPr>
        <w:t xml:space="preserve"> the moving boundary can be expressed as Eq. (51)</w:t>
      </w:r>
    </w:p>
    <w:p w14:paraId="35EA1FC4" w14:textId="1550DE07" w:rsidR="00625AD6" w:rsidRPr="00625AD6" w:rsidRDefault="00625AD6" w:rsidP="00625AD6">
      <w:pPr>
        <w:rPr>
          <w:rFonts w:cs="Times New Roman"/>
          <w:lang w:val="nb-NO"/>
        </w:rPr>
      </w:pPr>
      <m:oMathPara>
        <m:oMathParaPr>
          <m:jc m:val="right"/>
        </m:oMathParaPr>
        <m:oMath>
          <m:r>
            <m:rPr>
              <m:sty m:val="p"/>
            </m:rPr>
            <w:rPr>
              <w:rFonts w:ascii="Cambria Math" w:hAnsi="Cambria Math" w:cs="Times New Roman"/>
              <w:lang w:val="nb-NO"/>
            </w:rPr>
            <w:lastRenderedPageBreak/>
            <m:t>s</m:t>
          </m:r>
          <m:d>
            <m:dPr>
              <m:ctrlPr>
                <w:rPr>
                  <w:rFonts w:ascii="Cambria Math" w:hAnsi="Cambria Math" w:cs="Times New Roman"/>
                  <w:lang w:val="nb-NO"/>
                </w:rPr>
              </m:ctrlPr>
            </m:dPr>
            <m:e>
              <m:r>
                <m:rPr>
                  <m:sty m:val="p"/>
                </m:rPr>
                <w:rPr>
                  <w:rFonts w:ascii="Cambria Math" w:hAnsi="Cambria Math" w:cs="Times New Roman"/>
                  <w:lang w:val="nb-NO"/>
                </w:rPr>
                <m:t>t</m:t>
              </m:r>
            </m:e>
          </m:d>
          <m:r>
            <m:rPr>
              <m:sty m:val="p"/>
            </m:rPr>
            <w:rPr>
              <w:rFonts w:ascii="Cambria Math" w:hAnsi="Cambria Math" w:cs="Times New Roman"/>
              <w:lang w:val="nb-NO"/>
            </w:rPr>
            <m:t>=2</m:t>
          </m:r>
          <m:r>
            <m:rPr>
              <m:sty m:val="p"/>
            </m:rPr>
            <w:rPr>
              <w:rFonts w:ascii="Cambria Math" w:hAnsi="Cambria Math" w:cs="Times New Roman"/>
            </w:rPr>
            <m:t>λ</m:t>
          </m:r>
          <m:rad>
            <m:radPr>
              <m:degHide m:val="1"/>
              <m:ctrlPr>
                <w:rPr>
                  <w:rFonts w:ascii="Cambria Math" w:hAnsi="Cambria Math" w:cs="Times New Roman"/>
                </w:rPr>
              </m:ctrlPr>
            </m:radPr>
            <m:deg/>
            <m:e>
              <m:sSub>
                <m:sSubPr>
                  <m:ctrlPr>
                    <w:rPr>
                      <w:rFonts w:ascii="Cambria Math" w:hAnsi="Cambria Math" w:cs="Times New Roman"/>
                    </w:rPr>
                  </m:ctrlPr>
                </m:sSubPr>
                <m:e>
                  <m:r>
                    <m:rPr>
                      <m:sty m:val="p"/>
                    </m:rPr>
                    <w:rPr>
                      <w:rFonts w:ascii="Cambria Math" w:hAnsi="Cambria Math" w:cs="Times New Roman"/>
                    </w:rPr>
                    <m:t>α</m:t>
                  </m:r>
                </m:e>
                <m:sub>
                  <m:r>
                    <m:rPr>
                      <m:sty m:val="p"/>
                    </m:rPr>
                    <w:rPr>
                      <w:rFonts w:ascii="Cambria Math" w:hAnsi="Cambria Math" w:cs="Times New Roman"/>
                      <w:lang w:val="nb-NO"/>
                    </w:rPr>
                    <m:t>L</m:t>
                  </m:r>
                </m:sub>
              </m:sSub>
              <m:r>
                <m:rPr>
                  <m:sty m:val="p"/>
                </m:rPr>
                <w:rPr>
                  <w:rFonts w:ascii="Cambria Math" w:hAnsi="Cambria Math" w:cs="Times New Roman"/>
                  <w:lang w:val="nb-NO"/>
                </w:rPr>
                <m:t>t</m:t>
              </m:r>
            </m:e>
          </m:rad>
          <m:r>
            <m:rPr>
              <m:sty m:val="p"/>
            </m:rPr>
            <w:rPr>
              <w:rFonts w:ascii="Cambria Math" w:hAnsi="Cambria Math" w:cs="Times New Roman"/>
              <w:lang w:val="nb-NO"/>
            </w:rPr>
            <m:t xml:space="preserve">                                                                           (51)</m:t>
          </m:r>
          <m:r>
            <m:rPr>
              <m:sty m:val="p"/>
            </m:rPr>
            <w:rPr>
              <w:rFonts w:ascii="Cambria Math" w:hAnsi="Cambria Math" w:cs="Times New Roman"/>
              <w:lang w:val="nb-NO"/>
            </w:rPr>
            <w:br/>
          </m:r>
        </m:oMath>
      </m:oMathPara>
      <w:r w:rsidR="008A159E">
        <w:rPr>
          <w:rFonts w:cs="Times New Roman"/>
          <w:lang w:val="nb-NO"/>
        </w:rPr>
        <w:t>E</w:t>
      </w:r>
    </w:p>
    <w:p w14:paraId="71D17140" w14:textId="69FDD929" w:rsidR="00625AD6" w:rsidRPr="00625AD6" w:rsidRDefault="00625AD6" w:rsidP="00625AD6">
      <w:pPr>
        <w:rPr>
          <w:rFonts w:cs="Times New Roman"/>
          <w:lang w:val="en-US"/>
        </w:rPr>
      </w:pPr>
      <w:r w:rsidRPr="00625AD6">
        <w:rPr>
          <w:rFonts w:cs="Times New Roman"/>
          <w:lang w:val="en-US"/>
        </w:rPr>
        <w:t xml:space="preserve">The complete solution of the problem is </w:t>
      </w:r>
      <w:r w:rsidR="00771D46">
        <w:rPr>
          <w:rFonts w:cs="Times New Roman"/>
          <w:lang w:val="en-US"/>
        </w:rPr>
        <w:t>written in Eq. (52) and Eq. (53)</w:t>
      </w:r>
      <w:r w:rsidRPr="00625AD6">
        <w:rPr>
          <w:rFonts w:cs="Times New Roman"/>
          <w:lang w:val="en-US"/>
        </w:rPr>
        <w:t>:</w:t>
      </w:r>
    </w:p>
    <w:p w14:paraId="0AF2964B" w14:textId="65397BA8" w:rsidR="00625AD6" w:rsidRPr="00625AD6" w:rsidRDefault="00625AD6" w:rsidP="00625AD6">
      <w:pPr>
        <w:rPr>
          <w:rFonts w:cs="Times New Roman"/>
          <w:lang w:val="en-US"/>
        </w:rPr>
      </w:pPr>
      <m:oMathPara>
        <m:oMathParaPr>
          <m:jc m:val="right"/>
        </m:oMathParaPr>
        <m:oMath>
          <m:r>
            <m:rPr>
              <m:sty m:val="p"/>
            </m:rPr>
            <w:rPr>
              <w:rFonts w:ascii="Cambria Math" w:hAnsi="Cambria Math" w:cs="Times New Roman"/>
              <w:lang w:val="en-US"/>
            </w:rPr>
            <m:t>u</m:t>
          </m:r>
          <m:d>
            <m:dPr>
              <m:ctrlPr>
                <w:rPr>
                  <w:rFonts w:ascii="Cambria Math" w:hAnsi="Cambria Math" w:cs="Times New Roman"/>
                  <w:lang w:val="nb-NO"/>
                </w:rPr>
              </m:ctrlPr>
            </m:dPr>
            <m:e>
              <m:r>
                <m:rPr>
                  <m:sty m:val="p"/>
                </m:rPr>
                <w:rPr>
                  <w:rFonts w:ascii="Cambria Math" w:hAnsi="Cambria Math" w:cs="Times New Roman"/>
                  <w:lang w:val="en-US"/>
                </w:rPr>
                <m:t>x,t</m:t>
              </m:r>
            </m:e>
          </m:d>
          <m:r>
            <m:rPr>
              <m:sty m:val="p"/>
            </m:rPr>
            <w:rPr>
              <w:rFonts w:ascii="Cambria Math" w:hAnsi="Cambria Math" w:cs="Times New Roman"/>
              <w:lang w:val="en-US"/>
            </w:rPr>
            <m:t>=</m:t>
          </m:r>
          <m:sSub>
            <m:sSubPr>
              <m:ctrlPr>
                <w:rPr>
                  <w:rFonts w:ascii="Cambria Math" w:hAnsi="Cambria Math" w:cs="Times New Roman"/>
                </w:rPr>
              </m:ctrlPr>
            </m:sSubPr>
            <m:e>
              <m:r>
                <m:rPr>
                  <m:sty m:val="p"/>
                </m:rPr>
                <w:rPr>
                  <w:rFonts w:ascii="Cambria Math" w:hAnsi="Cambria Math" w:cs="Times New Roman"/>
                  <w:lang w:val="en-US"/>
                </w:rPr>
                <m:t>u</m:t>
              </m:r>
            </m:e>
            <m:sub>
              <m:r>
                <m:rPr>
                  <m:sty m:val="p"/>
                </m:rPr>
                <w:rPr>
                  <w:rFonts w:ascii="Cambria Math" w:hAnsi="Cambria Math" w:cs="Times New Roman"/>
                  <w:lang w:val="en-US"/>
                </w:rPr>
                <m:t>0</m:t>
              </m:r>
            </m:sub>
          </m:sSub>
          <m:r>
            <m:rPr>
              <m:sty m:val="p"/>
            </m:rPr>
            <w:rPr>
              <w:rFonts w:ascii="Cambria Math" w:hAnsi="Cambria Math" w:cs="Times New Roman"/>
              <w:lang w:val="en-US"/>
            </w:rPr>
            <m:t>-</m:t>
          </m:r>
          <m:f>
            <m:fPr>
              <m:ctrlPr>
                <w:rPr>
                  <w:rFonts w:ascii="Cambria Math" w:hAnsi="Cambria Math" w:cs="Times New Roman"/>
                </w:rPr>
              </m:ctrlPr>
            </m:fPr>
            <m:num>
              <m:sSub>
                <m:sSubPr>
                  <m:ctrlPr>
                    <w:rPr>
                      <w:rFonts w:ascii="Cambria Math" w:hAnsi="Cambria Math" w:cs="Times New Roman"/>
                    </w:rPr>
                  </m:ctrlPr>
                </m:sSubPr>
                <m:e>
                  <m:r>
                    <m:rPr>
                      <m:sty m:val="p"/>
                    </m:rPr>
                    <w:rPr>
                      <w:rFonts w:ascii="Cambria Math" w:hAnsi="Cambria Math" w:cs="Times New Roman"/>
                      <w:lang w:val="en-US"/>
                    </w:rPr>
                    <m:t>u</m:t>
                  </m:r>
                </m:e>
                <m:sub>
                  <m:r>
                    <m:rPr>
                      <m:sty m:val="p"/>
                    </m:rPr>
                    <w:rPr>
                      <w:rFonts w:ascii="Cambria Math" w:hAnsi="Cambria Math" w:cs="Times New Roman"/>
                      <w:lang w:val="en-US"/>
                    </w:rPr>
                    <m:t>0</m:t>
                  </m:r>
                </m:sub>
              </m:sSub>
            </m:num>
            <m:den>
              <m:r>
                <m:rPr>
                  <m:nor/>
                </m:rPr>
                <w:rPr>
                  <w:rFonts w:cs="Times New Roman"/>
                  <w:lang w:val="en-US"/>
                </w:rPr>
                <m:t>erf</m:t>
              </m:r>
              <m:d>
                <m:dPr>
                  <m:ctrlPr>
                    <w:rPr>
                      <w:rFonts w:ascii="Cambria Math" w:hAnsi="Cambria Math" w:cs="Times New Roman"/>
                      <w:lang w:val="nb-NO"/>
                    </w:rPr>
                  </m:ctrlPr>
                </m:dPr>
                <m:e>
                  <m:r>
                    <m:rPr>
                      <m:sty m:val="p"/>
                    </m:rPr>
                    <w:rPr>
                      <w:rFonts w:ascii="Cambria Math" w:hAnsi="Cambria Math" w:cs="Times New Roman"/>
                    </w:rPr>
                    <m:t>λ</m:t>
                  </m:r>
                </m:e>
              </m:d>
            </m:den>
          </m:f>
          <m:func>
            <m:funcPr>
              <m:ctrlPr>
                <w:rPr>
                  <w:rFonts w:ascii="Cambria Math" w:hAnsi="Cambria Math" w:cs="Times New Roman"/>
                  <w:i/>
                  <w:lang w:val="nb-NO"/>
                </w:rPr>
              </m:ctrlPr>
            </m:funcPr>
            <m:fName>
              <m:r>
                <m:rPr>
                  <m:sty m:val="p"/>
                </m:rPr>
                <w:rPr>
                  <w:rFonts w:ascii="Cambria Math" w:hAnsi="Cambria Math" w:cs="Times New Roman"/>
                  <w:lang w:val="en-US"/>
                </w:rPr>
                <m:t>erf</m:t>
              </m:r>
            </m:fName>
            <m:e>
              <m:d>
                <m:dPr>
                  <m:ctrlPr>
                    <w:rPr>
                      <w:rFonts w:ascii="Cambria Math" w:hAnsi="Cambria Math" w:cs="Times New Roman"/>
                      <w:i/>
                      <w:lang w:val="nb-NO"/>
                    </w:rPr>
                  </m:ctrlPr>
                </m:dPr>
                <m:e>
                  <m:f>
                    <m:fPr>
                      <m:ctrlPr>
                        <w:rPr>
                          <w:rFonts w:ascii="Cambria Math" w:hAnsi="Cambria Math" w:cs="Times New Roman"/>
                          <w:i/>
                        </w:rPr>
                      </m:ctrlPr>
                    </m:fPr>
                    <m:num>
                      <m:r>
                        <w:rPr>
                          <w:rFonts w:ascii="Cambria Math" w:hAnsi="Cambria Math" w:cs="Times New Roman"/>
                        </w:rPr>
                        <m:t>x</m:t>
                      </m:r>
                      <m:ctrlPr>
                        <w:rPr>
                          <w:rFonts w:ascii="Cambria Math" w:hAnsi="Cambria Math" w:cs="Times New Roman"/>
                          <w:i/>
                          <w:lang w:val="nb-NO"/>
                        </w:rPr>
                      </m:ctrlPr>
                    </m:num>
                    <m:den>
                      <m:r>
                        <w:rPr>
                          <w:rFonts w:ascii="Cambria Math" w:hAnsi="Cambria Math" w:cs="Times New Roman"/>
                          <w:lang w:val="en-US"/>
                        </w:rPr>
                        <m:t>2</m:t>
                      </m:r>
                      <m:rad>
                        <m:radPr>
                          <m:degHide m:val="1"/>
                          <m:ctrlPr>
                            <w:rPr>
                              <w:rFonts w:ascii="Cambria Math" w:hAnsi="Cambria Math" w:cs="Times New Roman"/>
                              <w:i/>
                              <w:lang w:val="nb-NO"/>
                            </w:rPr>
                          </m:ctrlPr>
                        </m:radPr>
                        <m:deg>
                          <m:ctrlPr>
                            <w:rPr>
                              <w:rFonts w:ascii="Cambria Math" w:hAnsi="Cambria Math" w:cs="Times New Roman"/>
                              <w:i/>
                            </w:rPr>
                          </m:ctrlPr>
                        </m:deg>
                        <m:e>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L</m:t>
                              </m:r>
                            </m:sub>
                          </m:sSub>
                          <m:r>
                            <w:rPr>
                              <w:rFonts w:ascii="Cambria Math" w:hAnsi="Cambria Math" w:cs="Times New Roman"/>
                            </w:rPr>
                            <m:t>t</m:t>
                          </m:r>
                        </m:e>
                      </m:rad>
                    </m:den>
                  </m:f>
                  <m:ctrlPr>
                    <w:rPr>
                      <w:rFonts w:ascii="Cambria Math" w:hAnsi="Cambria Math" w:cs="Times New Roman"/>
                      <w:i/>
                    </w:rPr>
                  </m:ctrlPr>
                </m:e>
              </m:d>
            </m:e>
          </m:func>
          <m:r>
            <w:rPr>
              <w:rFonts w:ascii="Cambria Math" w:eastAsiaTheme="minorEastAsia" w:hAnsi="Cambria Math" w:cs="Times New Roman"/>
              <w:lang w:val="en-US"/>
            </w:rPr>
            <m:t xml:space="preserve">                                              (52)</m:t>
          </m:r>
          <m:r>
            <m:rPr>
              <m:sty m:val="p"/>
            </m:rPr>
            <w:rPr>
              <w:rFonts w:ascii="Cambria Math" w:hAnsi="Cambria Math" w:cs="Times New Roman"/>
              <w:lang w:val="en-US"/>
            </w:rPr>
            <w:br/>
          </m:r>
        </m:oMath>
        <m:oMath>
          <m:r>
            <m:rPr>
              <m:sty m:val="p"/>
            </m:rPr>
            <w:rPr>
              <w:rFonts w:ascii="Cambria Math" w:hAnsi="Cambria Math" w:cs="Times New Roman"/>
              <w:lang w:val="en-US"/>
            </w:rPr>
            <m:t>s</m:t>
          </m:r>
          <m:d>
            <m:dPr>
              <m:ctrlPr>
                <w:rPr>
                  <w:rFonts w:ascii="Cambria Math" w:hAnsi="Cambria Math" w:cs="Times New Roman"/>
                  <w:lang w:val="en-US"/>
                </w:rPr>
              </m:ctrlPr>
            </m:dPr>
            <m:e>
              <m:r>
                <m:rPr>
                  <m:sty m:val="p"/>
                </m:rPr>
                <w:rPr>
                  <w:rFonts w:ascii="Cambria Math" w:hAnsi="Cambria Math" w:cs="Times New Roman"/>
                  <w:lang w:val="en-US"/>
                </w:rPr>
                <m:t>t</m:t>
              </m:r>
            </m:e>
          </m:d>
          <m:r>
            <m:rPr>
              <m:sty m:val="p"/>
            </m:rPr>
            <w:rPr>
              <w:rFonts w:ascii="Cambria Math" w:hAnsi="Cambria Math" w:cs="Times New Roman"/>
              <w:lang w:val="en-US"/>
            </w:rPr>
            <m:t>=2</m:t>
          </m:r>
          <m:r>
            <m:rPr>
              <m:sty m:val="p"/>
            </m:rPr>
            <w:rPr>
              <w:rFonts w:ascii="Cambria Math" w:hAnsi="Cambria Math" w:cs="Times New Roman"/>
            </w:rPr>
            <m:t>λ</m:t>
          </m:r>
          <m:rad>
            <m:radPr>
              <m:degHide m:val="1"/>
              <m:ctrlPr>
                <w:rPr>
                  <w:rFonts w:ascii="Cambria Math" w:hAnsi="Cambria Math" w:cs="Times New Roman"/>
                </w:rPr>
              </m:ctrlPr>
            </m:radPr>
            <m:deg/>
            <m:e>
              <m:sSub>
                <m:sSubPr>
                  <m:ctrlPr>
                    <w:rPr>
                      <w:rFonts w:ascii="Cambria Math" w:hAnsi="Cambria Math" w:cs="Times New Roman"/>
                    </w:rPr>
                  </m:ctrlPr>
                </m:sSubPr>
                <m:e>
                  <m:r>
                    <m:rPr>
                      <m:sty m:val="p"/>
                    </m:rPr>
                    <w:rPr>
                      <w:rFonts w:ascii="Cambria Math" w:hAnsi="Cambria Math" w:cs="Times New Roman"/>
                    </w:rPr>
                    <m:t>α</m:t>
                  </m:r>
                </m:e>
                <m:sub>
                  <m:r>
                    <m:rPr>
                      <m:sty m:val="p"/>
                    </m:rPr>
                    <w:rPr>
                      <w:rFonts w:ascii="Cambria Math" w:hAnsi="Cambria Math" w:cs="Times New Roman"/>
                      <w:lang w:val="en-US"/>
                    </w:rPr>
                    <m:t>L</m:t>
                  </m:r>
                </m:sub>
              </m:sSub>
              <m:r>
                <m:rPr>
                  <m:sty m:val="p"/>
                </m:rPr>
                <w:rPr>
                  <w:rFonts w:ascii="Cambria Math" w:hAnsi="Cambria Math" w:cs="Times New Roman"/>
                  <w:lang w:val="en-US"/>
                </w:rPr>
                <m:t>t</m:t>
              </m:r>
            </m:e>
          </m:rad>
          <m:r>
            <m:rPr>
              <m:sty m:val="p"/>
            </m:rPr>
            <w:rPr>
              <w:rFonts w:ascii="Cambria Math" w:hAnsi="Cambria Math" w:cs="Times New Roman"/>
              <w:lang w:val="en-US"/>
            </w:rPr>
            <m:t xml:space="preserve">                                                               (53)</m:t>
          </m:r>
          <m:r>
            <m:rPr>
              <m:sty m:val="p"/>
            </m:rPr>
            <w:rPr>
              <w:rFonts w:ascii="Cambria Math" w:hAnsi="Cambria Math" w:cs="Times New Roman"/>
              <w:lang w:val="en-US"/>
            </w:rPr>
            <w:br/>
          </m:r>
        </m:oMath>
      </m:oMathPara>
      <w:r w:rsidRPr="00625AD6">
        <w:rPr>
          <w:rFonts w:cs="Times New Roman"/>
          <w:lang w:val="en-US"/>
        </w:rPr>
        <w:t>Finally, applying the Stefan condition yields a transcendental equation</w:t>
      </w:r>
      <w:r w:rsidR="005C1C60">
        <w:rPr>
          <w:rFonts w:cs="Times New Roman"/>
          <w:lang w:val="en-US"/>
        </w:rPr>
        <w:t>,</w:t>
      </w:r>
      <w:r w:rsidRPr="00625AD6">
        <w:rPr>
          <w:rFonts w:cs="Times New Roman"/>
          <w:lang w:val="en-US"/>
        </w:rPr>
        <w:t xml:space="preserve"> Eq. (54)</w:t>
      </w:r>
      <w:r w:rsidR="005C1C60">
        <w:rPr>
          <w:rFonts w:cs="Times New Roman"/>
          <w:lang w:val="en-US"/>
        </w:rPr>
        <w:t>,</w:t>
      </w:r>
      <w:r w:rsidRPr="00625AD6">
        <w:rPr>
          <w:rFonts w:cs="Times New Roman"/>
          <w:lang w:val="en-US"/>
        </w:rPr>
        <w:t xml:space="preserve"> for determining </w:t>
      </w:r>
      <m:oMath>
        <m:r>
          <m:rPr>
            <m:sty m:val="p"/>
          </m:rPr>
          <w:rPr>
            <w:rFonts w:ascii="Cambria Math" w:hAnsi="Cambria Math" w:cs="Times New Roman"/>
          </w:rPr>
          <m:t>λ</m:t>
        </m:r>
      </m:oMath>
      <w:r w:rsidRPr="00625AD6">
        <w:rPr>
          <w:rFonts w:cs="Times New Roman"/>
          <w:lang w:val="en-US"/>
        </w:rPr>
        <w:t>:</w:t>
      </w:r>
    </w:p>
    <w:p w14:paraId="177C8068" w14:textId="0617856E" w:rsidR="00625AD6" w:rsidRPr="00625AD6" w:rsidRDefault="00625AD6" w:rsidP="00625AD6">
      <w:pPr>
        <w:rPr>
          <w:rFonts w:cs="Times New Roman"/>
          <w:lang w:val="en-US"/>
        </w:rPr>
      </w:pPr>
      <m:oMathPara>
        <m:oMathParaPr>
          <m:jc m:val="right"/>
        </m:oMathParaPr>
        <m:oMath>
          <m:r>
            <m:rPr>
              <m:sty m:val="p"/>
            </m:rPr>
            <w:rPr>
              <w:rFonts w:ascii="Cambria Math" w:hAnsi="Cambria Math" w:cs="Times New Roman"/>
            </w:rPr>
            <m:t>λ</m:t>
          </m:r>
          <m:sSup>
            <m:sSupPr>
              <m:ctrlPr>
                <w:rPr>
                  <w:rFonts w:ascii="Cambria Math" w:hAnsi="Cambria Math" w:cs="Times New Roman"/>
                </w:rPr>
              </m:ctrlPr>
            </m:sSupPr>
            <m:e>
              <m:r>
                <m:rPr>
                  <m:sty m:val="p"/>
                </m:rPr>
                <w:rPr>
                  <w:rFonts w:ascii="Cambria Math" w:hAnsi="Cambria Math" w:cs="Times New Roman"/>
                  <w:lang w:val="en-US"/>
                </w:rPr>
                <m:t>e</m:t>
              </m:r>
            </m:e>
            <m:sup>
              <m:sSup>
                <m:sSupPr>
                  <m:ctrlPr>
                    <w:rPr>
                      <w:rFonts w:ascii="Cambria Math" w:hAnsi="Cambria Math" w:cs="Times New Roman"/>
                    </w:rPr>
                  </m:ctrlPr>
                </m:sSupPr>
                <m:e>
                  <m:r>
                    <m:rPr>
                      <m:sty m:val="p"/>
                    </m:rPr>
                    <w:rPr>
                      <w:rFonts w:ascii="Cambria Math" w:hAnsi="Cambria Math" w:cs="Times New Roman"/>
                    </w:rPr>
                    <m:t>λ</m:t>
                  </m:r>
                </m:e>
                <m:sup>
                  <m:r>
                    <m:rPr>
                      <m:sty m:val="p"/>
                    </m:rPr>
                    <w:rPr>
                      <w:rFonts w:ascii="Cambria Math" w:hAnsi="Cambria Math" w:cs="Times New Roman"/>
                      <w:lang w:val="en-US"/>
                    </w:rPr>
                    <m:t>2</m:t>
                  </m:r>
                </m:sup>
              </m:sSup>
            </m:sup>
          </m:sSup>
          <m:r>
            <m:rPr>
              <m:nor/>
            </m:rPr>
            <w:rPr>
              <w:rFonts w:cs="Times New Roman"/>
              <w:lang w:val="en-US"/>
            </w:rPr>
            <m:t>erf</m:t>
          </m:r>
          <m:d>
            <m:dPr>
              <m:ctrlPr>
                <w:rPr>
                  <w:rFonts w:ascii="Cambria Math" w:hAnsi="Cambria Math" w:cs="Times New Roman"/>
                  <w:lang w:val="en-US"/>
                </w:rPr>
              </m:ctrlPr>
            </m:dPr>
            <m:e>
              <m:r>
                <m:rPr>
                  <m:sty m:val="p"/>
                </m:rPr>
                <w:rPr>
                  <w:rFonts w:ascii="Cambria Math" w:hAnsi="Cambria Math" w:cs="Times New Roman"/>
                </w:rPr>
                <m:t>λ</m:t>
              </m:r>
            </m:e>
          </m:d>
          <m:r>
            <m:rPr>
              <m:sty m:val="p"/>
            </m:rPr>
            <w:rPr>
              <w:rFonts w:ascii="Cambria Math" w:hAnsi="Cambria Math" w:cs="Times New Roman"/>
              <w:lang w:val="en-US"/>
            </w:rPr>
            <m:t>=</m:t>
          </m:r>
          <m:f>
            <m:fPr>
              <m:ctrlPr>
                <w:rPr>
                  <w:rFonts w:ascii="Cambria Math" w:hAnsi="Cambria Math" w:cs="Times New Roman"/>
                </w:rPr>
              </m:ctrlPr>
            </m:fPr>
            <m:num>
              <m:sSub>
                <m:sSubPr>
                  <m:ctrlPr>
                    <w:rPr>
                      <w:rFonts w:ascii="Cambria Math" w:hAnsi="Cambria Math" w:cs="Times New Roman"/>
                    </w:rPr>
                  </m:ctrlPr>
                </m:sSubPr>
                <m:e>
                  <m:r>
                    <m:rPr>
                      <m:sty m:val="p"/>
                    </m:rPr>
                    <w:rPr>
                      <w:rFonts w:ascii="Cambria Math" w:hAnsi="Cambria Math" w:cs="Times New Roman"/>
                      <w:lang w:val="en-US"/>
                    </w:rPr>
                    <m:t>K</m:t>
                  </m:r>
                </m:e>
                <m:sub>
                  <m:r>
                    <m:rPr>
                      <m:sty m:val="p"/>
                    </m:rPr>
                    <w:rPr>
                      <w:rFonts w:ascii="Cambria Math" w:hAnsi="Cambria Math" w:cs="Times New Roman"/>
                      <w:lang w:val="en-US"/>
                    </w:rPr>
                    <m:t>L</m:t>
                  </m:r>
                </m:sub>
              </m:sSub>
              <m:sSub>
                <m:sSubPr>
                  <m:ctrlPr>
                    <w:rPr>
                      <w:rFonts w:ascii="Cambria Math" w:hAnsi="Cambria Math" w:cs="Times New Roman"/>
                    </w:rPr>
                  </m:ctrlPr>
                </m:sSubPr>
                <m:e>
                  <m:r>
                    <m:rPr>
                      <m:sty m:val="p"/>
                    </m:rPr>
                    <w:rPr>
                      <w:rFonts w:ascii="Cambria Math" w:hAnsi="Cambria Math" w:cs="Times New Roman"/>
                      <w:lang w:val="en-US"/>
                    </w:rPr>
                    <m:t>u</m:t>
                  </m:r>
                </m:e>
                <m:sub>
                  <m:r>
                    <m:rPr>
                      <m:sty m:val="p"/>
                    </m:rPr>
                    <w:rPr>
                      <w:rFonts w:ascii="Cambria Math" w:hAnsi="Cambria Math" w:cs="Times New Roman"/>
                      <w:lang w:val="en-US"/>
                    </w:rPr>
                    <m:t>0</m:t>
                  </m:r>
                </m:sub>
              </m:sSub>
            </m:num>
            <m:den>
              <m:sSub>
                <m:sSubPr>
                  <m:ctrlPr>
                    <w:rPr>
                      <w:rFonts w:ascii="Cambria Math" w:hAnsi="Cambria Math" w:cs="Times New Roman"/>
                    </w:rPr>
                  </m:ctrlPr>
                </m:sSubPr>
                <m:e>
                  <m:r>
                    <m:rPr>
                      <m:sty m:val="p"/>
                    </m:rPr>
                    <w:rPr>
                      <w:rFonts w:ascii="Cambria Math" w:hAnsi="Cambria Math" w:cs="Times New Roman"/>
                    </w:rPr>
                    <m:t>ρ</m:t>
                  </m:r>
                </m:e>
                <m:sub>
                  <m:r>
                    <m:rPr>
                      <m:sty m:val="p"/>
                    </m:rPr>
                    <w:rPr>
                      <w:rFonts w:ascii="Cambria Math" w:hAnsi="Cambria Math" w:cs="Times New Roman"/>
                      <w:lang w:val="en-US"/>
                    </w:rPr>
                    <m:t>l</m:t>
                  </m:r>
                </m:sub>
              </m:sSub>
              <m:rad>
                <m:radPr>
                  <m:degHide m:val="1"/>
                  <m:ctrlPr>
                    <w:rPr>
                      <w:rFonts w:ascii="Cambria Math" w:hAnsi="Cambria Math" w:cs="Times New Roman"/>
                    </w:rPr>
                  </m:ctrlPr>
                </m:radPr>
                <m:deg/>
                <m:e>
                  <m:r>
                    <m:rPr>
                      <m:sty m:val="p"/>
                    </m:rPr>
                    <w:rPr>
                      <w:rFonts w:ascii="Cambria Math" w:hAnsi="Cambria Math" w:cs="Times New Roman"/>
                    </w:rPr>
                    <m:t>π</m:t>
                  </m:r>
                  <m:sSub>
                    <m:sSubPr>
                      <m:ctrlPr>
                        <w:rPr>
                          <w:rFonts w:ascii="Cambria Math" w:hAnsi="Cambria Math" w:cs="Times New Roman"/>
                        </w:rPr>
                      </m:ctrlPr>
                    </m:sSubPr>
                    <m:e>
                      <m:r>
                        <m:rPr>
                          <m:sty m:val="p"/>
                        </m:rPr>
                        <w:rPr>
                          <w:rFonts w:ascii="Cambria Math" w:hAnsi="Cambria Math" w:cs="Times New Roman"/>
                        </w:rPr>
                        <m:t>α</m:t>
                      </m:r>
                    </m:e>
                    <m:sub>
                      <m:r>
                        <m:rPr>
                          <m:sty m:val="p"/>
                        </m:rPr>
                        <w:rPr>
                          <w:rFonts w:ascii="Cambria Math" w:hAnsi="Cambria Math" w:cs="Times New Roman"/>
                          <w:lang w:val="en-US"/>
                        </w:rPr>
                        <m:t>L</m:t>
                      </m:r>
                    </m:sub>
                  </m:sSub>
                </m:e>
              </m:rad>
            </m:den>
          </m:f>
          <m:r>
            <m:rPr>
              <m:sty m:val="p"/>
            </m:rPr>
            <w:rPr>
              <w:rFonts w:ascii="Cambria Math" w:hAnsi="Cambria Math" w:cs="Times New Roman"/>
              <w:lang w:val="en-US"/>
            </w:rPr>
            <m:t>=</m:t>
          </m:r>
          <m:f>
            <m:fPr>
              <m:ctrlPr>
                <w:rPr>
                  <w:rFonts w:ascii="Cambria Math" w:hAnsi="Cambria Math" w:cs="Times New Roman"/>
                </w:rPr>
              </m:ctrlPr>
            </m:fPr>
            <m:num>
              <m:r>
                <m:rPr>
                  <m:sty m:val="p"/>
                </m:rPr>
                <w:rPr>
                  <w:rFonts w:ascii="Cambria Math" w:hAnsi="Cambria Math" w:cs="Times New Roman"/>
                  <w:lang w:val="en-US"/>
                </w:rPr>
                <m:t>S</m:t>
              </m:r>
              <m:sSub>
                <m:sSubPr>
                  <m:ctrlPr>
                    <w:rPr>
                      <w:rFonts w:ascii="Cambria Math" w:hAnsi="Cambria Math" w:cs="Times New Roman"/>
                    </w:rPr>
                  </m:ctrlPr>
                </m:sSubPr>
                <m:e>
                  <m:r>
                    <m:rPr>
                      <m:sty m:val="p"/>
                    </m:rPr>
                    <w:rPr>
                      <w:rFonts w:ascii="Cambria Math" w:hAnsi="Cambria Math" w:cs="Times New Roman"/>
                      <w:lang w:val="en-US"/>
                    </w:rPr>
                    <m:t>t</m:t>
                  </m:r>
                </m:e>
                <m:sub>
                  <m:r>
                    <m:rPr>
                      <m:sty m:val="p"/>
                    </m:rPr>
                    <w:rPr>
                      <w:rFonts w:ascii="Cambria Math" w:hAnsi="Cambria Math" w:cs="Times New Roman"/>
                      <w:lang w:val="en-US"/>
                    </w:rPr>
                    <m:t>L</m:t>
                  </m:r>
                </m:sub>
              </m:sSub>
            </m:num>
            <m:den>
              <m:rad>
                <m:radPr>
                  <m:degHide m:val="1"/>
                  <m:ctrlPr>
                    <w:rPr>
                      <w:rFonts w:ascii="Cambria Math" w:hAnsi="Cambria Math" w:cs="Times New Roman"/>
                    </w:rPr>
                  </m:ctrlPr>
                </m:radPr>
                <m:deg/>
                <m:e>
                  <m:r>
                    <m:rPr>
                      <m:sty m:val="p"/>
                    </m:rPr>
                    <w:rPr>
                      <w:rFonts w:ascii="Cambria Math" w:hAnsi="Cambria Math" w:cs="Times New Roman"/>
                    </w:rPr>
                    <m:t>π</m:t>
                  </m:r>
                </m:e>
              </m:rad>
            </m:den>
          </m:f>
          <m:r>
            <m:rPr>
              <m:sty m:val="p"/>
            </m:rPr>
            <w:rPr>
              <w:rFonts w:ascii="Cambria Math" w:hAnsi="Cambria Math" w:cs="Times New Roman"/>
              <w:lang w:val="en-US"/>
            </w:rPr>
            <m:t xml:space="preserve">                                                 (54)</m:t>
          </m:r>
          <m:r>
            <m:rPr>
              <m:sty m:val="p"/>
            </m:rPr>
            <w:rPr>
              <w:rFonts w:ascii="Cambria Math" w:hAnsi="Cambria Math" w:cs="Times New Roman"/>
              <w:lang w:val="en-US"/>
            </w:rPr>
            <w:br/>
          </m:r>
        </m:oMath>
      </m:oMathPara>
      <w:r w:rsidRPr="00625AD6">
        <w:rPr>
          <w:rFonts w:cs="Times New Roman"/>
          <w:lang w:val="en-US"/>
        </w:rPr>
        <w:t xml:space="preserve">where </w:t>
      </w:r>
      <m:oMath>
        <m:r>
          <m:rPr>
            <m:sty m:val="p"/>
          </m:rPr>
          <w:rPr>
            <w:rFonts w:ascii="Cambria Math" w:hAnsi="Cambria Math" w:cs="Times New Roman"/>
            <w:lang w:val="en-US"/>
          </w:rPr>
          <m:t>S</m:t>
        </m:r>
        <m:sSub>
          <m:sSubPr>
            <m:ctrlPr>
              <w:rPr>
                <w:rFonts w:ascii="Cambria Math" w:hAnsi="Cambria Math" w:cs="Times New Roman"/>
              </w:rPr>
            </m:ctrlPr>
          </m:sSubPr>
          <m:e>
            <m:r>
              <m:rPr>
                <m:sty m:val="p"/>
              </m:rPr>
              <w:rPr>
                <w:rFonts w:ascii="Cambria Math" w:hAnsi="Cambria Math" w:cs="Times New Roman"/>
                <w:lang w:val="en-US"/>
              </w:rPr>
              <m:t>t</m:t>
            </m:r>
          </m:e>
          <m:sub>
            <m:r>
              <m:rPr>
                <m:sty m:val="p"/>
              </m:rPr>
              <w:rPr>
                <w:rFonts w:ascii="Cambria Math" w:hAnsi="Cambria Math" w:cs="Times New Roman"/>
                <w:lang w:val="en-US"/>
              </w:rPr>
              <m:t>L</m:t>
            </m:r>
          </m:sub>
        </m:sSub>
      </m:oMath>
      <w:r w:rsidRPr="00625AD6">
        <w:rPr>
          <w:rFonts w:cs="Times New Roman"/>
          <w:lang w:val="en-US"/>
        </w:rPr>
        <w:t>is the Stefan number, representing the ratio between sensible and latent heat</w:t>
      </w:r>
      <w:r w:rsidR="005C1C60">
        <w:rPr>
          <w:rFonts w:cs="Times New Roman"/>
          <w:lang w:val="en-US"/>
        </w:rPr>
        <w:t>,</w:t>
      </w:r>
      <w:r w:rsidRPr="00625AD6">
        <w:rPr>
          <w:rFonts w:cs="Times New Roman"/>
          <w:lang w:val="en-US"/>
        </w:rPr>
        <w:t xml:space="preserve"> Eq. (55)</w:t>
      </w:r>
    </w:p>
    <w:p w14:paraId="1E56E25C" w14:textId="6705285A" w:rsidR="00625AD6" w:rsidRPr="00625AD6" w:rsidRDefault="00625AD6" w:rsidP="00625AD6">
      <w:pPr>
        <w:rPr>
          <w:rFonts w:cs="Times New Roman"/>
          <w:lang w:val="nb-NO"/>
        </w:rPr>
      </w:pPr>
      <m:oMathPara>
        <m:oMathParaPr>
          <m:jc m:val="right"/>
        </m:oMathParaPr>
        <m:oMath>
          <m:r>
            <w:rPr>
              <w:rFonts w:ascii="Cambria Math" w:hAnsi="Cambria Math" w:cs="Times New Roman"/>
              <w:lang w:val="nb-NO"/>
            </w:rPr>
            <m:t>St=</m:t>
          </m:r>
          <m:f>
            <m:fPr>
              <m:ctrlPr>
                <w:rPr>
                  <w:rFonts w:ascii="Cambria Math" w:hAnsi="Cambria Math" w:cs="Times New Roman"/>
                  <w:i/>
                  <w:lang w:val="nb-NO"/>
                </w:rPr>
              </m:ctrlPr>
            </m:fPr>
            <m:num>
              <m:sSub>
                <m:sSubPr>
                  <m:ctrlPr>
                    <w:rPr>
                      <w:rFonts w:ascii="Cambria Math" w:hAnsi="Cambria Math" w:cs="Times New Roman"/>
                      <w:i/>
                      <w:lang w:val="nb-NO"/>
                    </w:rPr>
                  </m:ctrlPr>
                </m:sSubPr>
                <m:e>
                  <m:r>
                    <w:rPr>
                      <w:rFonts w:ascii="Cambria Math" w:hAnsi="Cambria Math" w:cs="Times New Roman"/>
                      <w:lang w:val="nb-NO"/>
                    </w:rPr>
                    <m:t>C</m:t>
                  </m:r>
                </m:e>
                <m:sub>
                  <m:r>
                    <w:rPr>
                      <w:rFonts w:ascii="Cambria Math" w:hAnsi="Cambria Math" w:cs="Times New Roman"/>
                      <w:lang w:val="nb-NO"/>
                    </w:rPr>
                    <m:t>L</m:t>
                  </m:r>
                </m:sub>
              </m:sSub>
              <m:d>
                <m:dPr>
                  <m:ctrlPr>
                    <w:rPr>
                      <w:rFonts w:ascii="Cambria Math" w:hAnsi="Cambria Math" w:cs="Times New Roman"/>
                      <w:i/>
                      <w:lang w:val="nb-NO"/>
                    </w:rPr>
                  </m:ctrlPr>
                </m:dPr>
                <m:e>
                  <m:sSub>
                    <m:sSubPr>
                      <m:ctrlPr>
                        <w:rPr>
                          <w:rFonts w:ascii="Cambria Math" w:hAnsi="Cambria Math" w:cs="Times New Roman"/>
                          <w:i/>
                          <w:lang w:val="nb-NO"/>
                        </w:rPr>
                      </m:ctrlPr>
                    </m:sSubPr>
                    <m:e>
                      <m:r>
                        <w:rPr>
                          <w:rFonts w:ascii="Cambria Math" w:hAnsi="Cambria Math" w:cs="Times New Roman"/>
                          <w:lang w:val="nb-NO"/>
                        </w:rPr>
                        <m:t>T</m:t>
                      </m:r>
                    </m:e>
                    <m:sub>
                      <m:r>
                        <w:rPr>
                          <w:rFonts w:ascii="Cambria Math" w:hAnsi="Cambria Math" w:cs="Times New Roman"/>
                          <w:lang w:val="nb-NO"/>
                        </w:rPr>
                        <m:t>L</m:t>
                      </m:r>
                    </m:sub>
                  </m:sSub>
                  <m:r>
                    <w:rPr>
                      <w:rFonts w:ascii="Cambria Math" w:hAnsi="Cambria Math" w:cs="Times New Roman"/>
                      <w:lang w:val="nb-NO"/>
                    </w:rPr>
                    <m:t>-</m:t>
                  </m:r>
                  <m:sSub>
                    <m:sSubPr>
                      <m:ctrlPr>
                        <w:rPr>
                          <w:rFonts w:ascii="Cambria Math" w:hAnsi="Cambria Math" w:cs="Times New Roman"/>
                          <w:i/>
                          <w:lang w:val="nb-NO"/>
                        </w:rPr>
                      </m:ctrlPr>
                    </m:sSubPr>
                    <m:e>
                      <m:r>
                        <w:rPr>
                          <w:rFonts w:ascii="Cambria Math" w:hAnsi="Cambria Math" w:cs="Times New Roman"/>
                          <w:lang w:val="nb-NO"/>
                        </w:rPr>
                        <m:t>T</m:t>
                      </m:r>
                    </m:e>
                    <m:sub>
                      <m:r>
                        <w:rPr>
                          <w:rFonts w:ascii="Cambria Math" w:hAnsi="Cambria Math" w:cs="Times New Roman"/>
                          <w:lang w:val="nb-NO"/>
                        </w:rPr>
                        <m:t>m</m:t>
                      </m:r>
                    </m:sub>
                  </m:sSub>
                </m:e>
              </m:d>
            </m:num>
            <m:den>
              <m:sSub>
                <m:sSubPr>
                  <m:ctrlPr>
                    <w:rPr>
                      <w:rFonts w:ascii="Cambria Math" w:hAnsi="Cambria Math" w:cs="Times New Roman"/>
                      <w:i/>
                      <w:lang w:val="nb-NO"/>
                    </w:rPr>
                  </m:ctrlPr>
                </m:sSubPr>
                <m:e>
                  <m:r>
                    <w:rPr>
                      <w:rFonts w:ascii="Cambria Math" w:hAnsi="Cambria Math" w:cs="Times New Roman"/>
                      <w:lang w:val="nb-NO"/>
                    </w:rPr>
                    <m:t>H</m:t>
                  </m:r>
                </m:e>
                <m:sub>
                  <m:r>
                    <w:rPr>
                      <w:rFonts w:ascii="Cambria Math" w:hAnsi="Cambria Math" w:cs="Times New Roman"/>
                      <w:lang w:val="nb-NO"/>
                    </w:rPr>
                    <m:t>f</m:t>
                  </m:r>
                </m:sub>
              </m:sSub>
            </m:den>
          </m:f>
          <m:r>
            <w:rPr>
              <w:rFonts w:ascii="Cambria Math" w:eastAsiaTheme="minorEastAsia" w:hAnsi="Cambria Math" w:cs="Times New Roman"/>
              <w:lang w:val="nb-NO"/>
            </w:rPr>
            <m:t xml:space="preserve">                                                             (55)</m:t>
          </m:r>
        </m:oMath>
      </m:oMathPara>
    </w:p>
    <w:p w14:paraId="0636AF54" w14:textId="452B0D20" w:rsidR="00625AD6" w:rsidRPr="00625AD6" w:rsidRDefault="00625AD6" w:rsidP="00625AD6">
      <w:pPr>
        <w:rPr>
          <w:rFonts w:cs="Times New Roman"/>
          <w:lang w:val="en-US"/>
        </w:rPr>
      </w:pPr>
      <w:r w:rsidRPr="00625AD6">
        <w:rPr>
          <w:rFonts w:cs="Times New Roman"/>
          <w:lang w:val="en-US"/>
        </w:rPr>
        <w:t xml:space="preserve">The Stefan problem admits a similarity solution that depends on the variable </w:t>
      </w:r>
      <m:oMath>
        <m:r>
          <m:rPr>
            <m:sty m:val="p"/>
          </m:rPr>
          <w:rPr>
            <w:rFonts w:ascii="Cambria Math" w:hAnsi="Cambria Math" w:cs="Times New Roman"/>
          </w:rPr>
          <m:t>ξ</m:t>
        </m:r>
        <m:r>
          <m:rPr>
            <m:sty m:val="p"/>
          </m:rPr>
          <w:rPr>
            <w:rFonts w:ascii="Cambria Math" w:hAnsi="Cambria Math" w:cs="Times New Roman"/>
            <w:lang w:val="en-US"/>
          </w:rPr>
          <m:t>=x/</m:t>
        </m:r>
        <m:rad>
          <m:radPr>
            <m:degHide m:val="1"/>
            <m:ctrlPr>
              <w:rPr>
                <w:rFonts w:ascii="Cambria Math" w:hAnsi="Cambria Math" w:cs="Times New Roman"/>
              </w:rPr>
            </m:ctrlPr>
          </m:radPr>
          <m:deg/>
          <m:e>
            <m:r>
              <m:rPr>
                <m:sty m:val="p"/>
              </m:rPr>
              <w:rPr>
                <w:rFonts w:ascii="Cambria Math" w:hAnsi="Cambria Math" w:cs="Times New Roman"/>
                <w:lang w:val="en-US"/>
              </w:rPr>
              <m:t>t</m:t>
            </m:r>
          </m:e>
        </m:rad>
      </m:oMath>
      <w:r w:rsidRPr="00625AD6">
        <w:rPr>
          <w:rFonts w:cs="Times New Roman"/>
          <w:lang w:val="en-US"/>
        </w:rPr>
        <w:t xml:space="preserve">. The moving interface grows proportionally to </w:t>
      </w:r>
      <m:oMath>
        <m:rad>
          <m:radPr>
            <m:degHide m:val="1"/>
            <m:ctrlPr>
              <w:rPr>
                <w:rFonts w:ascii="Cambria Math" w:hAnsi="Cambria Math" w:cs="Times New Roman"/>
              </w:rPr>
            </m:ctrlPr>
          </m:radPr>
          <m:deg/>
          <m:e>
            <m:r>
              <m:rPr>
                <m:sty m:val="p"/>
              </m:rPr>
              <w:rPr>
                <w:rFonts w:ascii="Cambria Math" w:hAnsi="Cambria Math" w:cs="Times New Roman"/>
                <w:lang w:val="en-US"/>
              </w:rPr>
              <m:t>t</m:t>
            </m:r>
          </m:e>
        </m:rad>
      </m:oMath>
      <w:r w:rsidRPr="00625AD6">
        <w:rPr>
          <w:rFonts w:cs="Times New Roman"/>
          <w:lang w:val="en-US"/>
        </w:rPr>
        <w:t xml:space="preserve">, and the proportionality constant </w:t>
      </w:r>
      <m:oMath>
        <m:r>
          <m:rPr>
            <m:sty m:val="p"/>
          </m:rPr>
          <w:rPr>
            <w:rFonts w:ascii="Cambria Math" w:hAnsi="Cambria Math" w:cs="Times New Roman"/>
          </w:rPr>
          <m:t>λ</m:t>
        </m:r>
        <m:r>
          <m:rPr>
            <m:sty m:val="p"/>
          </m:rPr>
          <w:rPr>
            <w:rFonts w:ascii="Cambria Math" w:hAnsi="Cambria Math" w:cs="Times New Roman"/>
            <w:lang w:val="en-US"/>
          </w:rPr>
          <m:t xml:space="preserve"> </m:t>
        </m:r>
      </m:oMath>
      <w:r w:rsidRPr="00625AD6">
        <w:rPr>
          <w:rFonts w:cs="Times New Roman"/>
          <w:lang w:val="en-US"/>
        </w:rPr>
        <w:t>is determined from the transcendental equation involving the Stefan number. This form of the solution shows how the melting front’s evolution depends on the material’s thermophysical parameters and on the energy balance between heat conduction and phase change.</w:t>
      </w:r>
    </w:p>
    <w:p w14:paraId="7AF0DD10" w14:textId="77777777" w:rsidR="00625AD6" w:rsidRPr="00625AD6" w:rsidRDefault="00625AD6" w:rsidP="00625AD6">
      <w:pPr>
        <w:keepNext/>
        <w:jc w:val="center"/>
      </w:pPr>
      <w:r w:rsidRPr="00625AD6">
        <w:rPr>
          <w:rFonts w:cs="Times New Roman"/>
          <w:noProof/>
        </w:rPr>
        <w:drawing>
          <wp:inline distT="0" distB="0" distL="0" distR="0" wp14:anchorId="52C085B5" wp14:editId="59603F7B">
            <wp:extent cx="2953162" cy="2591162"/>
            <wp:effectExtent l="0" t="0" r="0" b="0"/>
            <wp:docPr id="1941066390" name="Immagine 1" descr="A diagram of a pha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1066390" name="Immagine 1" descr="A diagram of a phase&#10;&#10;AI-generated content may be incorrect."/>
                    <pic:cNvPicPr/>
                  </pic:nvPicPr>
                  <pic:blipFill>
                    <a:blip r:embed="rId155"/>
                    <a:stretch>
                      <a:fillRect/>
                    </a:stretch>
                  </pic:blipFill>
                  <pic:spPr>
                    <a:xfrm>
                      <a:off x="0" y="0"/>
                      <a:ext cx="2953162" cy="2591162"/>
                    </a:xfrm>
                    <a:prstGeom prst="rect">
                      <a:avLst/>
                    </a:prstGeom>
                  </pic:spPr>
                </pic:pic>
              </a:graphicData>
            </a:graphic>
          </wp:inline>
        </w:drawing>
      </w:r>
    </w:p>
    <w:p w14:paraId="055DADD2" w14:textId="09BB3C21" w:rsidR="00625AD6" w:rsidRPr="00625AD6" w:rsidRDefault="00625AD6" w:rsidP="00625AD6">
      <w:pPr>
        <w:pStyle w:val="Caption"/>
        <w:rPr>
          <w:rFonts w:cs="Times New Roman"/>
        </w:rPr>
      </w:pPr>
      <w:bookmarkStart w:id="204" w:name="_Toc214357765"/>
      <w:r w:rsidRPr="00625AD6">
        <w:rPr>
          <w:rFonts w:cs="Times New Roman"/>
        </w:rPr>
        <w:t xml:space="preserve">Figure </w:t>
      </w:r>
      <w:r w:rsidR="00F43E9A">
        <w:rPr>
          <w:rFonts w:cs="Times New Roman"/>
        </w:rPr>
        <w:t>3</w:t>
      </w:r>
      <w:r w:rsidR="00F824A5">
        <w:rPr>
          <w:rFonts w:cs="Times New Roman"/>
        </w:rPr>
        <w:t>.</w:t>
      </w:r>
      <w:r w:rsidR="00F824A5">
        <w:rPr>
          <w:rFonts w:cs="Times New Roman"/>
        </w:rPr>
        <w:fldChar w:fldCharType="begin"/>
      </w:r>
      <w:r w:rsidR="00F824A5">
        <w:rPr>
          <w:rFonts w:cs="Times New Roman"/>
        </w:rPr>
        <w:instrText xml:space="preserve"> SEQ Figure \* ARABIC \s 1 </w:instrText>
      </w:r>
      <w:r w:rsidR="00F824A5">
        <w:rPr>
          <w:rFonts w:cs="Times New Roman"/>
        </w:rPr>
        <w:fldChar w:fldCharType="separate"/>
      </w:r>
      <w:r w:rsidR="000412CE">
        <w:rPr>
          <w:rFonts w:cs="Times New Roman"/>
          <w:noProof/>
        </w:rPr>
        <w:t>2</w:t>
      </w:r>
      <w:r w:rsidR="00F824A5">
        <w:rPr>
          <w:rFonts w:cs="Times New Roman"/>
        </w:rPr>
        <w:fldChar w:fldCharType="end"/>
      </w:r>
      <w:r w:rsidRPr="00625AD6">
        <w:rPr>
          <w:rFonts w:cs="Times New Roman"/>
        </w:rPr>
        <w:t xml:space="preserve">. Evolution of </w:t>
      </w:r>
      <w:r w:rsidR="005C1C60">
        <w:rPr>
          <w:rFonts w:cs="Times New Roman"/>
        </w:rPr>
        <w:t xml:space="preserve">the </w:t>
      </w:r>
      <w:r w:rsidRPr="00625AD6">
        <w:rPr>
          <w:rFonts w:cs="Times New Roman"/>
        </w:rPr>
        <w:t>free boundary</w:t>
      </w:r>
      <w:r w:rsidR="00A165BA">
        <w:rPr>
          <w:rFonts w:cs="Times New Roman"/>
        </w:rPr>
        <w:t>,</w:t>
      </w:r>
      <w:bookmarkEnd w:id="204"/>
    </w:p>
    <w:p w14:paraId="75E20044" w14:textId="2C337E6F" w:rsidR="00625AD6" w:rsidRPr="00625AD6" w:rsidRDefault="00F43E9A" w:rsidP="00625AD6">
      <w:pPr>
        <w:rPr>
          <w:rFonts w:cs="Times New Roman"/>
          <w:lang w:val="en-US"/>
        </w:rPr>
      </w:pPr>
      <w:r>
        <w:rPr>
          <w:rFonts w:cs="Times New Roman"/>
          <w:lang w:val="en-US"/>
        </w:rPr>
        <w:t>Figure 3</w:t>
      </w:r>
      <w:r w:rsidR="00625AD6">
        <w:rPr>
          <w:rFonts w:cs="Times New Roman"/>
          <w:lang w:val="en-US"/>
        </w:rPr>
        <w:t>.2</w:t>
      </w:r>
      <w:r w:rsidR="00625AD6" w:rsidRPr="00625AD6">
        <w:rPr>
          <w:rFonts w:cs="Times New Roman"/>
          <w:lang w:val="en-US"/>
        </w:rPr>
        <w:t xml:space="preserve"> shows the evolution of the free boundary </w:t>
      </w:r>
      <m:oMath>
        <m:r>
          <m:rPr>
            <m:sty m:val="p"/>
          </m:rPr>
          <w:rPr>
            <w:rFonts w:ascii="Cambria Math" w:hAnsi="Cambria Math" w:cs="Times New Roman"/>
            <w:lang w:val="en-US"/>
          </w:rPr>
          <m:t>x=s(t)</m:t>
        </m:r>
      </m:oMath>
      <w:r w:rsidR="00625AD6" w:rsidRPr="00625AD6">
        <w:rPr>
          <w:rFonts w:cs="Times New Roman"/>
          <w:lang w:val="en-US"/>
        </w:rPr>
        <w:t xml:space="preserve">, which separates the solid phase from the liquid phase. It can be observed that the position of the interface increases over time with a nonlinear trend, proportional to </w:t>
      </w:r>
      <m:oMath>
        <m:rad>
          <m:radPr>
            <m:degHide m:val="1"/>
            <m:ctrlPr>
              <w:rPr>
                <w:rFonts w:ascii="Cambria Math" w:hAnsi="Cambria Math" w:cs="Times New Roman"/>
              </w:rPr>
            </m:ctrlPr>
          </m:radPr>
          <m:deg/>
          <m:e>
            <m:r>
              <m:rPr>
                <m:sty m:val="p"/>
              </m:rPr>
              <w:rPr>
                <w:rFonts w:ascii="Cambria Math" w:hAnsi="Cambria Math" w:cs="Times New Roman"/>
                <w:lang w:val="en-US"/>
              </w:rPr>
              <m:t>t</m:t>
            </m:r>
          </m:e>
        </m:rad>
      </m:oMath>
      <w:r w:rsidR="00625AD6" w:rsidRPr="00625AD6">
        <w:rPr>
          <w:rFonts w:cs="Times New Roman"/>
          <w:lang w:val="en-US"/>
        </w:rPr>
        <w:t xml:space="preserve">. This behavior reflects the nonlinear nature of the Stefan problem: the velocity of the moving boundary depends nonlinearly on the temperature gradient, since the heat flux and the position of the interface are closely coupled. In other words, the evolution of the boundary does </w:t>
      </w:r>
      <w:r w:rsidR="00625AD6" w:rsidRPr="00625AD6">
        <w:rPr>
          <w:rFonts w:cs="Times New Roman"/>
          <w:lang w:val="en-US"/>
        </w:rPr>
        <w:lastRenderedPageBreak/>
        <w:t>not follow a constant rate but gradually slows down, as shown by the curve, due to the dynamic balance between heat conduction and latent heat of fusion.</w:t>
      </w:r>
    </w:p>
    <w:p w14:paraId="4B8A2D79" w14:textId="15741B8F" w:rsidR="00625AD6" w:rsidRPr="00625AD6" w:rsidRDefault="00625AD6" w:rsidP="00625AD6">
      <w:pPr>
        <w:pStyle w:val="Heading2"/>
        <w:rPr>
          <w:lang w:val="en-US"/>
        </w:rPr>
      </w:pPr>
      <w:bookmarkStart w:id="205" w:name="_Toc213354099"/>
      <w:bookmarkStart w:id="206" w:name="_Toc214356319"/>
      <w:r w:rsidRPr="00625AD6">
        <w:rPr>
          <w:lang w:val="en-US"/>
        </w:rPr>
        <w:t xml:space="preserve">Neumann </w:t>
      </w:r>
      <w:bookmarkEnd w:id="205"/>
      <w:r w:rsidR="00BD2ECC">
        <w:rPr>
          <w:lang w:val="en-US"/>
        </w:rPr>
        <w:t>solution</w:t>
      </w:r>
      <w:bookmarkEnd w:id="206"/>
    </w:p>
    <w:p w14:paraId="0EFF6715" w14:textId="77777777" w:rsidR="00625AD6" w:rsidRPr="00625AD6" w:rsidRDefault="00625AD6" w:rsidP="00625AD6">
      <w:pPr>
        <w:rPr>
          <w:rFonts w:cs="Times New Roman"/>
          <w:lang w:val="en-US"/>
        </w:rPr>
      </w:pPr>
      <w:r w:rsidRPr="00625AD6">
        <w:rPr>
          <w:rFonts w:cs="Times New Roman"/>
          <w:lang w:val="en-US"/>
        </w:rPr>
        <w:t xml:space="preserve">Neumann extended Stefan’s classical formulation to the two-phase phase-change problem. In this more realistic version, the material initially exists in the solid state, and the process considered is melting. Unlike the original Stefan problem, the initial temperature of the solid does not coincide with the melting temperature, and during the phase transition, the temperature is not held constant at the melting point. Let us consider a semi-infinite slab </w:t>
      </w:r>
      <m:oMath>
        <m:r>
          <m:rPr>
            <m:sty m:val="p"/>
          </m:rPr>
          <w:rPr>
            <w:rFonts w:ascii="Cambria Math" w:hAnsi="Cambria Math" w:cs="Times New Roman"/>
            <w:lang w:val="en-US"/>
          </w:rPr>
          <m:t>(0&lt;x&lt;∞)</m:t>
        </m:r>
      </m:oMath>
      <w:r w:rsidRPr="00625AD6">
        <w:rPr>
          <w:rFonts w:cs="Times New Roman"/>
          <w:lang w:val="en-US"/>
        </w:rPr>
        <w:t xml:space="preserve">, initially at a uniform temperature </w:t>
      </w:r>
      <m:oMath>
        <m:sSub>
          <m:sSubPr>
            <m:ctrlPr>
              <w:rPr>
                <w:rFonts w:ascii="Cambria Math" w:hAnsi="Cambria Math" w:cs="Times New Roman"/>
              </w:rPr>
            </m:ctrlPr>
          </m:sSubPr>
          <m:e>
            <m:r>
              <m:rPr>
                <m:sty m:val="p"/>
              </m:rPr>
              <w:rPr>
                <w:rFonts w:ascii="Cambria Math" w:hAnsi="Cambria Math" w:cs="Times New Roman"/>
                <w:lang w:val="en-US"/>
              </w:rPr>
              <m:t>T</m:t>
            </m:r>
          </m:e>
          <m:sub>
            <m:r>
              <m:rPr>
                <m:sty m:val="p"/>
              </m:rPr>
              <w:rPr>
                <w:rFonts w:ascii="Cambria Math" w:hAnsi="Cambria Math" w:cs="Times New Roman"/>
                <w:lang w:val="en-US"/>
              </w:rPr>
              <m:t>s</m:t>
            </m:r>
          </m:sub>
        </m:sSub>
      </m:oMath>
      <w:r w:rsidRPr="00625AD6">
        <w:rPr>
          <w:rFonts w:cs="Times New Roman"/>
          <w:lang w:val="en-US"/>
        </w:rPr>
        <w:t xml:space="preserve">, which is lower than the melting temperature </w:t>
      </w:r>
      <m:oMath>
        <m:sSub>
          <m:sSubPr>
            <m:ctrlPr>
              <w:rPr>
                <w:rFonts w:ascii="Cambria Math" w:hAnsi="Cambria Math" w:cs="Times New Roman"/>
              </w:rPr>
            </m:ctrlPr>
          </m:sSubPr>
          <m:e>
            <m:r>
              <m:rPr>
                <m:sty m:val="p"/>
              </m:rPr>
              <w:rPr>
                <w:rFonts w:ascii="Cambria Math" w:hAnsi="Cambria Math" w:cs="Times New Roman"/>
                <w:lang w:val="en-US"/>
              </w:rPr>
              <m:t>T</m:t>
            </m:r>
          </m:e>
          <m:sub>
            <m:r>
              <m:rPr>
                <m:sty m:val="p"/>
              </m:rPr>
              <w:rPr>
                <w:rFonts w:ascii="Cambria Math" w:hAnsi="Cambria Math" w:cs="Times New Roman"/>
                <w:lang w:val="en-US"/>
              </w:rPr>
              <m:t>m</m:t>
            </m:r>
          </m:sub>
        </m:sSub>
      </m:oMath>
      <w:r w:rsidRPr="00625AD6">
        <w:rPr>
          <w:rFonts w:cs="Times New Roman"/>
          <w:lang w:val="en-US"/>
        </w:rPr>
        <w:t>. Assuming that the thermophysical properties remain constant, the mathematical formulation of the problem can be expressed as follows:</w:t>
      </w:r>
    </w:p>
    <w:p w14:paraId="77224839" w14:textId="0CE3EE43" w:rsidR="00625AD6" w:rsidRPr="00625AD6" w:rsidRDefault="00736B36" w:rsidP="00625AD6">
      <w:pPr>
        <w:rPr>
          <w:rFonts w:cs="Times New Roman"/>
          <w:lang w:val="en-US"/>
        </w:rPr>
      </w:pPr>
      <w:r w:rsidRPr="00625AD6">
        <w:rPr>
          <w:rFonts w:cs="Times New Roman"/>
          <w:noProof/>
          <w:lang w:val="nb-NO"/>
        </w:rPr>
        <mc:AlternateContent>
          <mc:Choice Requires="wps">
            <w:drawing>
              <wp:anchor distT="45720" distB="45720" distL="114300" distR="114300" simplePos="0" relativeHeight="251739136" behindDoc="0" locked="0" layoutInCell="1" allowOverlap="1" wp14:anchorId="41408273" wp14:editId="7025B458">
                <wp:simplePos x="0" y="0"/>
                <wp:positionH relativeFrom="margin">
                  <wp:align>center</wp:align>
                </wp:positionH>
                <wp:positionV relativeFrom="paragraph">
                  <wp:posOffset>223</wp:posOffset>
                </wp:positionV>
                <wp:extent cx="4280535" cy="2910840"/>
                <wp:effectExtent l="0" t="0" r="5715" b="3810"/>
                <wp:wrapSquare wrapText="bothSides"/>
                <wp:docPr id="2089744421"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80535" cy="2910840"/>
                        </a:xfrm>
                        <a:prstGeom prst="rect">
                          <a:avLst/>
                        </a:prstGeom>
                        <a:solidFill>
                          <a:srgbClr val="FFFFFF"/>
                        </a:solidFill>
                        <a:ln w="9525">
                          <a:noFill/>
                          <a:miter lim="800000"/>
                          <a:headEnd/>
                          <a:tailEnd/>
                        </a:ln>
                      </wps:spPr>
                      <wps:txbx>
                        <w:txbxContent>
                          <w:p w14:paraId="79F068C4" w14:textId="19FA41EC" w:rsidR="00625AD6" w:rsidRPr="00AC6DA0" w:rsidRDefault="00000000" w:rsidP="00625AD6">
                            <w:pPr>
                              <w:rPr>
                                <w:rFonts w:ascii="Times New Roman" w:eastAsiaTheme="minorEastAsia" w:hAnsi="Times New Roman" w:cs="Times New Roman"/>
                                <w:sz w:val="28"/>
                                <w:szCs w:val="28"/>
                                <w:lang w:val="en-US"/>
                              </w:rPr>
                            </w:pPr>
                            <m:oMath>
                              <m:f>
                                <m:fPr>
                                  <m:ctrlPr>
                                    <w:rPr>
                                      <w:rFonts w:ascii="Cambria Math" w:eastAsiaTheme="minorEastAsia" w:hAnsi="Cambria Math" w:cs="Times New Roman"/>
                                      <w:i/>
                                      <w:sz w:val="28"/>
                                      <w:szCs w:val="28"/>
                                    </w:rPr>
                                  </m:ctrlPr>
                                </m:fPr>
                                <m:num>
                                  <m:r>
                                    <w:rPr>
                                      <w:rFonts w:ascii="Cambria Math"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L</m:t>
                                      </m:r>
                                    </m:sub>
                                  </m:sSub>
                                  <m:ctrlPr>
                                    <w:rPr>
                                      <w:rFonts w:ascii="Cambria Math" w:hAnsi="Cambria Math" w:cs="Times New Roman"/>
                                      <w:i/>
                                      <w:sz w:val="28"/>
                                      <w:szCs w:val="28"/>
                                    </w:rPr>
                                  </m:ctrlPr>
                                </m:num>
                                <m:den>
                                  <m:r>
                                    <w:rPr>
                                      <w:rFonts w:ascii="Cambria Math" w:hAnsi="Cambria Math" w:cs="Times New Roman"/>
                                      <w:sz w:val="28"/>
                                      <w:szCs w:val="28"/>
                                    </w:rPr>
                                    <m:t>∂t</m:t>
                                  </m:r>
                                </m:den>
                              </m:f>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L</m:t>
                                  </m:r>
                                </m:sub>
                              </m:sSub>
                              <m:f>
                                <m:fPr>
                                  <m:ctrlPr>
                                    <w:rPr>
                                      <w:rFonts w:ascii="Cambria Math" w:eastAsiaTheme="minorEastAsia"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m:t>
                                      </m:r>
                                    </m:e>
                                    <m:sup>
                                      <m:r>
                                        <w:rPr>
                                          <w:rFonts w:ascii="Cambria Math" w:hAnsi="Cambria Math" w:cs="Times New Roman"/>
                                          <w:sz w:val="28"/>
                                          <w:szCs w:val="28"/>
                                          <w:lang w:val="en-US"/>
                                        </w:rPr>
                                        <m:t>2</m:t>
                                      </m:r>
                                    </m:sup>
                                  </m:sSup>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L</m:t>
                                      </m:r>
                                    </m:sub>
                                  </m:sSub>
                                </m:num>
                                <m:den>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2</m:t>
                                      </m:r>
                                    </m:sup>
                                  </m:sSup>
                                </m:den>
                              </m:f>
                            </m:oMath>
                            <w:r w:rsidR="00625AD6" w:rsidRPr="00AC6DA0">
                              <w:rPr>
                                <w:rFonts w:ascii="Times New Roman" w:eastAsiaTheme="minorEastAsia" w:hAnsi="Times New Roman" w:cs="Times New Roman"/>
                                <w:sz w:val="28"/>
                                <w:szCs w:val="28"/>
                                <w:lang w:val="en-US"/>
                              </w:rPr>
                              <w:tab/>
                            </w:r>
                            <w:r w:rsidR="00625AD6" w:rsidRPr="00AC6DA0">
                              <w:rPr>
                                <w:rFonts w:ascii="Times New Roman" w:eastAsiaTheme="minorEastAsia" w:hAnsi="Times New Roman" w:cs="Times New Roman"/>
                                <w:sz w:val="28"/>
                                <w:szCs w:val="28"/>
                                <w:lang w:val="en-US"/>
                              </w:rPr>
                              <w:tab/>
                            </w:r>
                            <w:r w:rsidR="00625AD6" w:rsidRPr="00AC6DA0">
                              <w:rPr>
                                <w:rFonts w:ascii="Times New Roman" w:eastAsiaTheme="minorEastAsia" w:hAnsi="Times New Roman" w:cs="Times New Roman"/>
                                <w:sz w:val="28"/>
                                <w:szCs w:val="28"/>
                                <w:lang w:val="en-US"/>
                              </w:rPr>
                              <w:tab/>
                            </w:r>
                            <w:r w:rsidR="00625AD6" w:rsidRPr="00AC6DA0">
                              <w:rPr>
                                <w:rFonts w:ascii="Times New Roman" w:eastAsiaTheme="minorEastAsia" w:hAnsi="Times New Roman" w:cs="Times New Roman"/>
                                <w:lang w:val="en-US"/>
                              </w:rPr>
                              <w:t>Heat conduction in liquid region</w:t>
                            </w:r>
                            <w:r w:rsidR="00625AD6">
                              <w:rPr>
                                <w:rFonts w:ascii="Times New Roman" w:eastAsiaTheme="minorEastAsia" w:hAnsi="Times New Roman" w:cs="Times New Roman"/>
                                <w:lang w:val="en-US"/>
                              </w:rPr>
                              <w:t xml:space="preserve"> </w:t>
                            </w:r>
                          </w:p>
                          <w:p w14:paraId="16F03160" w14:textId="36EF1BDF" w:rsidR="00625AD6" w:rsidRPr="00AC6DA0" w:rsidRDefault="00000000" w:rsidP="00625AD6">
                            <w:pPr>
                              <w:rPr>
                                <w:rFonts w:ascii="Times New Roman" w:eastAsiaTheme="minorEastAsia" w:hAnsi="Times New Roman" w:cs="Times New Roman"/>
                                <w:sz w:val="28"/>
                                <w:szCs w:val="28"/>
                                <w:lang w:val="en-US"/>
                              </w:rPr>
                            </w:pPr>
                            <m:oMath>
                              <m:f>
                                <m:fPr>
                                  <m:ctrlPr>
                                    <w:rPr>
                                      <w:rFonts w:ascii="Cambria Math" w:eastAsiaTheme="minorEastAsia" w:hAnsi="Cambria Math" w:cs="Times New Roman"/>
                                      <w:i/>
                                      <w:sz w:val="28"/>
                                      <w:szCs w:val="28"/>
                                    </w:rPr>
                                  </m:ctrlPr>
                                </m:fPr>
                                <m:num>
                                  <m:r>
                                    <w:rPr>
                                      <w:rFonts w:ascii="Cambria Math"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S</m:t>
                                      </m:r>
                                    </m:sub>
                                  </m:sSub>
                                  <m:ctrlPr>
                                    <w:rPr>
                                      <w:rFonts w:ascii="Cambria Math" w:hAnsi="Cambria Math" w:cs="Times New Roman"/>
                                      <w:i/>
                                      <w:sz w:val="28"/>
                                      <w:szCs w:val="28"/>
                                    </w:rPr>
                                  </m:ctrlPr>
                                </m:num>
                                <m:den>
                                  <m:r>
                                    <w:rPr>
                                      <w:rFonts w:ascii="Cambria Math" w:hAnsi="Cambria Math" w:cs="Times New Roman"/>
                                      <w:sz w:val="28"/>
                                      <w:szCs w:val="28"/>
                                    </w:rPr>
                                    <m:t>∂t</m:t>
                                  </m:r>
                                </m:den>
                              </m:f>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S</m:t>
                                  </m:r>
                                </m:sub>
                              </m:sSub>
                              <m:f>
                                <m:fPr>
                                  <m:ctrlPr>
                                    <w:rPr>
                                      <w:rFonts w:ascii="Cambria Math" w:eastAsiaTheme="minorEastAsia"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m:t>
                                      </m:r>
                                    </m:e>
                                    <m:sup>
                                      <m:r>
                                        <w:rPr>
                                          <w:rFonts w:ascii="Cambria Math" w:hAnsi="Cambria Math" w:cs="Times New Roman"/>
                                          <w:sz w:val="28"/>
                                          <w:szCs w:val="28"/>
                                          <w:lang w:val="en-US"/>
                                        </w:rPr>
                                        <m:t>2</m:t>
                                      </m:r>
                                    </m:sup>
                                  </m:sSup>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S</m:t>
                                      </m:r>
                                    </m:sub>
                                  </m:sSub>
                                </m:num>
                                <m:den>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2</m:t>
                                      </m:r>
                                    </m:sup>
                                  </m:sSup>
                                </m:den>
                              </m:f>
                              <m:r>
                                <w:rPr>
                                  <w:rFonts w:ascii="Cambria Math" w:eastAsiaTheme="minorEastAsia" w:hAnsi="Cambria Math" w:cs="Times New Roman"/>
                                  <w:sz w:val="28"/>
                                  <w:szCs w:val="28"/>
                                  <w:lang w:val="en-US"/>
                                </w:rPr>
                                <m:t xml:space="preserve"> α</m:t>
                              </m:r>
                            </m:oMath>
                            <w:r w:rsidR="00625AD6" w:rsidRPr="00AC6DA0">
                              <w:rPr>
                                <w:rFonts w:ascii="Times New Roman" w:eastAsiaTheme="minorEastAsia" w:hAnsi="Times New Roman" w:cs="Times New Roman"/>
                                <w:sz w:val="28"/>
                                <w:szCs w:val="28"/>
                                <w:lang w:val="en-US"/>
                              </w:rPr>
                              <w:tab/>
                            </w:r>
                            <w:r w:rsidR="00625AD6" w:rsidRPr="00AC6DA0">
                              <w:rPr>
                                <w:rFonts w:ascii="Times New Roman" w:eastAsiaTheme="minorEastAsia" w:hAnsi="Times New Roman" w:cs="Times New Roman"/>
                                <w:sz w:val="28"/>
                                <w:szCs w:val="28"/>
                                <w:lang w:val="en-US"/>
                              </w:rPr>
                              <w:tab/>
                            </w:r>
                            <w:r w:rsidR="00625AD6" w:rsidRPr="00AC6DA0">
                              <w:rPr>
                                <w:rFonts w:ascii="Times New Roman" w:eastAsiaTheme="minorEastAsia" w:hAnsi="Times New Roman" w:cs="Times New Roman"/>
                                <w:sz w:val="28"/>
                                <w:szCs w:val="28"/>
                                <w:lang w:val="en-US"/>
                              </w:rPr>
                              <w:tab/>
                            </w:r>
                            <w:r w:rsidR="00625AD6" w:rsidRPr="00AC6DA0">
                              <w:rPr>
                                <w:rFonts w:ascii="Times New Roman" w:eastAsiaTheme="minorEastAsia" w:hAnsi="Times New Roman" w:cs="Times New Roman"/>
                                <w:lang w:val="en-US"/>
                              </w:rPr>
                              <w:t>Heat conduction in solid region</w:t>
                            </w:r>
                          </w:p>
                          <w:p w14:paraId="17A2E141" w14:textId="462C4D52" w:rsidR="00625AD6" w:rsidRDefault="00625AD6" w:rsidP="00625AD6">
                            <w:pPr>
                              <w:rPr>
                                <w:rFonts w:ascii="Times New Roman" w:eastAsiaTheme="minorEastAsia" w:hAnsi="Times New Roman" w:cs="Times New Roman"/>
                                <w:sz w:val="28"/>
                                <w:szCs w:val="28"/>
                              </w:rPr>
                            </w:pPr>
                            <m:oMath>
                              <m:r>
                                <w:rPr>
                                  <w:rFonts w:ascii="Cambria Math" w:eastAsiaTheme="minorEastAsia" w:hAnsi="Cambria Math" w:cs="Times New Roman"/>
                                  <w:sz w:val="28"/>
                                  <w:szCs w:val="28"/>
                                </w:rPr>
                                <m:t>T</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s</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,t</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m</m:t>
                                  </m:r>
                                </m:sub>
                              </m:sSub>
                            </m:oMath>
                            <w:r w:rsidRPr="00046F98">
                              <w:rPr>
                                <w:rFonts w:ascii="Times New Roman" w:eastAsiaTheme="minorEastAsia" w:hAnsi="Times New Roman" w:cs="Times New Roman"/>
                                <w:sz w:val="28"/>
                                <w:szCs w:val="28"/>
                              </w:rPr>
                              <w:tab/>
                            </w:r>
                            <w:r w:rsidRPr="00046F98">
                              <w:rPr>
                                <w:rFonts w:ascii="Times New Roman" w:eastAsiaTheme="minorEastAsia" w:hAnsi="Times New Roman" w:cs="Times New Roman"/>
                                <w:sz w:val="28"/>
                                <w:szCs w:val="28"/>
                              </w:rPr>
                              <w:tab/>
                            </w:r>
                            <w:r>
                              <w:rPr>
                                <w:rFonts w:ascii="Times New Roman" w:eastAsiaTheme="minorEastAsia" w:hAnsi="Times New Roman" w:cs="Times New Roman"/>
                                <w:sz w:val="28"/>
                                <w:szCs w:val="28"/>
                              </w:rPr>
                              <w:tab/>
                            </w:r>
                            <w:r w:rsidRPr="00E73872">
                              <w:rPr>
                                <w:rFonts w:ascii="Times New Roman" w:eastAsiaTheme="minorEastAsia" w:hAnsi="Times New Roman" w:cs="Times New Roman"/>
                              </w:rPr>
                              <w:t>Interface temperature</w:t>
                            </w:r>
                          </w:p>
                          <w:p w14:paraId="5EA848FD" w14:textId="77777777" w:rsidR="00625AD6" w:rsidRPr="00AC6DA0" w:rsidRDefault="00000000" w:rsidP="00625AD6">
                            <w:pPr>
                              <w:rPr>
                                <w:rFonts w:ascii="Times New Roman" w:eastAsiaTheme="minorEastAsia" w:hAnsi="Times New Roman" w:cs="Times New Roman"/>
                                <w:sz w:val="28"/>
                                <w:szCs w:val="28"/>
                                <w:lang w:val="en-US"/>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s</m:t>
                                  </m:r>
                                </m:sub>
                              </m:sSub>
                              <m:f>
                                <m:fPr>
                                  <m:ctrlPr>
                                    <w:rPr>
                                      <w:rFonts w:ascii="Cambria Math" w:eastAsiaTheme="minorEastAsia" w:hAnsi="Cambria Math" w:cs="Times New Roman"/>
                                      <w:i/>
                                      <w:sz w:val="28"/>
                                      <w:szCs w:val="28"/>
                                    </w:rPr>
                                  </m:ctrlPr>
                                </m:fPr>
                                <m:num>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S</m:t>
                                      </m:r>
                                    </m:sub>
                                  </m:sSub>
                                </m:num>
                                <m:den>
                                  <m:r>
                                    <w:rPr>
                                      <w:rFonts w:ascii="Cambria Math" w:hAnsi="Cambria Math" w:cs="Times New Roman"/>
                                      <w:sz w:val="28"/>
                                      <w:szCs w:val="28"/>
                                    </w:rPr>
                                    <m:t>∂x</m:t>
                                  </m:r>
                                </m:den>
                              </m:f>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L</m:t>
                                  </m:r>
                                </m:sub>
                              </m:sSub>
                              <m:f>
                                <m:fPr>
                                  <m:ctrlPr>
                                    <w:rPr>
                                      <w:rFonts w:ascii="Cambria Math" w:eastAsiaTheme="minorEastAsia" w:hAnsi="Cambria Math" w:cs="Times New Roman"/>
                                      <w:i/>
                                      <w:sz w:val="28"/>
                                      <w:szCs w:val="28"/>
                                    </w:rPr>
                                  </m:ctrlPr>
                                </m:fPr>
                                <m:num>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L</m:t>
                                      </m:r>
                                    </m:sub>
                                  </m:sSub>
                                </m:num>
                                <m:den>
                                  <m:r>
                                    <w:rPr>
                                      <w:rFonts w:ascii="Cambria Math" w:hAnsi="Cambria Math" w:cs="Times New Roman"/>
                                      <w:sz w:val="28"/>
                                      <w:szCs w:val="28"/>
                                    </w:rPr>
                                    <m:t>∂x</m:t>
                                  </m:r>
                                </m:den>
                              </m:f>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F</m:t>
                                  </m:r>
                                </m:sub>
                              </m:sSub>
                              <m:r>
                                <w:rPr>
                                  <w:rFonts w:ascii="Cambria Math" w:eastAsiaTheme="minorEastAsia" w:hAnsi="Cambria Math" w:cs="Times New Roman"/>
                                  <w:sz w:val="28"/>
                                  <w:szCs w:val="28"/>
                                </w:rPr>
                                <m:t>ρ</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ds</m:t>
                                  </m:r>
                                </m:num>
                                <m:den>
                                  <m:r>
                                    <w:rPr>
                                      <w:rFonts w:ascii="Cambria Math" w:eastAsiaTheme="minorEastAsia" w:hAnsi="Cambria Math" w:cs="Times New Roman"/>
                                      <w:sz w:val="28"/>
                                      <w:szCs w:val="28"/>
                                    </w:rPr>
                                    <m:t>dt</m:t>
                                  </m:r>
                                </m:den>
                              </m:f>
                            </m:oMath>
                            <w:r w:rsidR="00625AD6" w:rsidRPr="00AC6DA0">
                              <w:rPr>
                                <w:rFonts w:ascii="Times New Roman" w:eastAsiaTheme="minorEastAsia" w:hAnsi="Times New Roman" w:cs="Times New Roman"/>
                                <w:sz w:val="28"/>
                                <w:szCs w:val="28"/>
                                <w:lang w:val="en-US"/>
                              </w:rPr>
                              <w:tab/>
                            </w:r>
                            <w:r w:rsidR="00625AD6" w:rsidRPr="00AC6DA0">
                              <w:rPr>
                                <w:rFonts w:ascii="Times New Roman" w:eastAsiaTheme="minorEastAsia" w:hAnsi="Times New Roman" w:cs="Times New Roman"/>
                                <w:sz w:val="28"/>
                                <w:szCs w:val="28"/>
                                <w:lang w:val="en-US"/>
                              </w:rPr>
                              <w:tab/>
                            </w:r>
                            <w:r w:rsidR="00625AD6" w:rsidRPr="00AC6DA0">
                              <w:rPr>
                                <w:rFonts w:ascii="Times New Roman" w:eastAsiaTheme="minorEastAsia" w:hAnsi="Times New Roman" w:cs="Times New Roman"/>
                                <w:lang w:val="en-US"/>
                              </w:rPr>
                              <w:t>Stefan condition</w:t>
                            </w:r>
                          </w:p>
                          <w:p w14:paraId="7904EB99" w14:textId="78A09D3E" w:rsidR="00625AD6" w:rsidRPr="00AC6DA0" w:rsidRDefault="00625AD6" w:rsidP="00625AD6">
                            <w:pPr>
                              <w:rPr>
                                <w:rFonts w:ascii="Times New Roman" w:eastAsiaTheme="minorEastAsia" w:hAnsi="Times New Roman" w:cs="Times New Roman"/>
                                <w:lang w:val="en-US"/>
                              </w:rPr>
                            </w:pPr>
                            <m:oMath>
                              <m:r>
                                <w:rPr>
                                  <w:rFonts w:ascii="Cambria Math" w:eastAsiaTheme="minorEastAsia" w:hAnsi="Cambria Math" w:cs="Times New Roman"/>
                                  <w:sz w:val="28"/>
                                  <w:szCs w:val="28"/>
                                </w:rPr>
                                <m:t>T</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x</m:t>
                                  </m:r>
                                  <m:r>
                                    <w:rPr>
                                      <w:rFonts w:ascii="Cambria Math" w:eastAsiaTheme="minorEastAsia" w:hAnsi="Cambria Math" w:cs="Times New Roman"/>
                                      <w:sz w:val="28"/>
                                      <w:szCs w:val="28"/>
                                      <w:lang w:val="en-US"/>
                                    </w:rPr>
                                    <m:t>,0</m:t>
                                  </m:r>
                                </m:e>
                              </m:d>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s</m:t>
                                  </m:r>
                                </m:sub>
                              </m:sSub>
                              <m:r>
                                <w:rPr>
                                  <w:rFonts w:ascii="Cambria Math" w:eastAsiaTheme="minorEastAsia" w:hAnsi="Cambria Math" w:cs="Times New Roman"/>
                                  <w:sz w:val="28"/>
                                  <w:szCs w:val="28"/>
                                  <w:lang w:val="en-US"/>
                                </w:rPr>
                                <m:t>&lt;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m</m:t>
                                  </m:r>
                                </m:sub>
                              </m:sSub>
                            </m:oMath>
                            <w:r w:rsidRPr="00AC6DA0">
                              <w:rPr>
                                <w:rFonts w:ascii="Times New Roman" w:eastAsiaTheme="minorEastAsia" w:hAnsi="Times New Roman" w:cs="Times New Roman"/>
                                <w:lang w:val="en-US"/>
                              </w:rPr>
                              <w:tab/>
                            </w:r>
                            <w:r w:rsidRPr="00AC6DA0">
                              <w:rPr>
                                <w:rFonts w:ascii="Times New Roman" w:eastAsiaTheme="minorEastAsia" w:hAnsi="Times New Roman" w:cs="Times New Roman"/>
                                <w:lang w:val="en-US"/>
                              </w:rPr>
                              <w:tab/>
                            </w:r>
                            <w:r w:rsidRPr="00AC6DA0">
                              <w:rPr>
                                <w:rFonts w:ascii="Times New Roman" w:eastAsiaTheme="minorEastAsia" w:hAnsi="Times New Roman" w:cs="Times New Roman"/>
                                <w:lang w:val="en-US"/>
                              </w:rPr>
                              <w:tab/>
                              <w:t>Initial condition</w:t>
                            </w:r>
                            <w:r w:rsidRPr="00AC6DA0">
                              <w:rPr>
                                <w:rFonts w:ascii="Times New Roman" w:eastAsiaTheme="minorEastAsia" w:hAnsi="Times New Roman" w:cs="Times New Roman"/>
                                <w:lang w:val="en-US"/>
                              </w:rPr>
                              <w:tab/>
                            </w:r>
                          </w:p>
                          <w:p w14:paraId="4CCF36AE" w14:textId="37AE3F3A" w:rsidR="00625AD6" w:rsidRPr="00AC6DA0" w:rsidRDefault="00625AD6" w:rsidP="00625AD6">
                            <w:pPr>
                              <w:rPr>
                                <w:rFonts w:ascii="Times New Roman" w:eastAsiaTheme="minorEastAsia" w:hAnsi="Times New Roman" w:cs="Times New Roman"/>
                                <w:sz w:val="28"/>
                                <w:szCs w:val="28"/>
                                <w:lang w:val="en-US"/>
                              </w:rPr>
                            </w:pPr>
                            <m:oMath>
                              <m:r>
                                <w:rPr>
                                  <w:rFonts w:ascii="Cambria Math" w:eastAsiaTheme="minorEastAsia" w:hAnsi="Cambria Math" w:cs="Times New Roman"/>
                                  <w:sz w:val="28"/>
                                  <w:szCs w:val="28"/>
                                </w:rPr>
                                <m:t>T</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en-US"/>
                                    </w:rPr>
                                    <m:t>0,</m:t>
                                  </m:r>
                                  <m:r>
                                    <w:rPr>
                                      <w:rFonts w:ascii="Cambria Math" w:eastAsiaTheme="minorEastAsia" w:hAnsi="Cambria Math" w:cs="Times New Roman"/>
                                      <w:sz w:val="28"/>
                                      <w:szCs w:val="28"/>
                                    </w:rPr>
                                    <m:t>t</m:t>
                                  </m:r>
                                </m:e>
                              </m:d>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L</m:t>
                                  </m:r>
                                </m:sub>
                              </m:sSub>
                              <m:r>
                                <w:rPr>
                                  <w:rFonts w:ascii="Cambria Math" w:eastAsiaTheme="minorEastAsia" w:hAnsi="Cambria Math" w:cs="Times New Roman"/>
                                  <w:sz w:val="28"/>
                                  <w:szCs w:val="28"/>
                                  <w:lang w:val="en-US"/>
                                </w:rPr>
                                <m:t>&gt;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m</m:t>
                                  </m:r>
                                </m:sub>
                              </m:sSub>
                            </m:oMath>
                            <w:r w:rsidRPr="00AC6DA0">
                              <w:rPr>
                                <w:rFonts w:ascii="Times New Roman" w:eastAsiaTheme="minorEastAsia" w:hAnsi="Times New Roman" w:cs="Times New Roman"/>
                                <w:sz w:val="28"/>
                                <w:szCs w:val="28"/>
                                <w:lang w:val="en-US"/>
                              </w:rPr>
                              <w:tab/>
                            </w:r>
                            <w:r w:rsidRPr="00AC6DA0">
                              <w:rPr>
                                <w:rFonts w:ascii="Times New Roman" w:eastAsiaTheme="minorEastAsia" w:hAnsi="Times New Roman" w:cs="Times New Roman"/>
                                <w:sz w:val="28"/>
                                <w:szCs w:val="28"/>
                                <w:lang w:val="en-US"/>
                              </w:rPr>
                              <w:tab/>
                            </w:r>
                            <w:r w:rsidRPr="00AC6DA0">
                              <w:rPr>
                                <w:rFonts w:ascii="Times New Roman" w:eastAsiaTheme="minorEastAsia" w:hAnsi="Times New Roman" w:cs="Times New Roman"/>
                                <w:sz w:val="28"/>
                                <w:szCs w:val="28"/>
                                <w:lang w:val="en-US"/>
                              </w:rPr>
                              <w:tab/>
                            </w:r>
                            <w:r w:rsidRPr="00AC6DA0">
                              <w:rPr>
                                <w:rFonts w:ascii="Times New Roman" w:eastAsiaTheme="minorEastAsia" w:hAnsi="Times New Roman" w:cs="Times New Roman"/>
                                <w:lang w:val="en-US"/>
                              </w:rPr>
                              <w:t>Boundary conditions</w:t>
                            </w:r>
                          </w:p>
                          <w:p w14:paraId="447192D8" w14:textId="77777777" w:rsidR="00625AD6" w:rsidRPr="00E73872" w:rsidRDefault="00625AD6" w:rsidP="00625AD6">
                            <w:pPr>
                              <w:rPr>
                                <w:rFonts w:ascii="Times New Roman" w:eastAsiaTheme="minorEastAsia" w:hAnsi="Times New Roman" w:cs="Times New Roman"/>
                              </w:rPr>
                            </w:pPr>
                            <m:oMath>
                              <m:r>
                                <w:rPr>
                                  <w:rFonts w:ascii="Cambria Math" w:eastAsiaTheme="minorEastAsia" w:hAnsi="Cambria Math" w:cs="Times New Roman"/>
                                  <w:sz w:val="28"/>
                                  <w:szCs w:val="28"/>
                                </w:rPr>
                                <m:t>T</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x,t</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S</m:t>
                                  </m:r>
                                </m:sub>
                              </m:sSub>
                            </m:oMath>
                            <w:r>
                              <w:rPr>
                                <w:rFonts w:ascii="Times New Roman" w:eastAsiaTheme="minorEastAsia" w:hAnsi="Times New Roman" w:cs="Times New Roman"/>
                              </w:rPr>
                              <w:tab/>
                            </w:r>
                            <w:r>
                              <w:rPr>
                                <w:rFonts w:ascii="Times New Roman" w:eastAsiaTheme="minorEastAsia" w:hAnsi="Times New Roman" w:cs="Times New Roman"/>
                              </w:rPr>
                              <w:tab/>
                            </w:r>
                            <w:r>
                              <w:rPr>
                                <w:rFonts w:ascii="Times New Roman" w:eastAsiaTheme="minorEastAsia" w:hAnsi="Times New Roman" w:cs="Times New Roman"/>
                              </w:rPr>
                              <w:tab/>
                            </w:r>
                            <w:r>
                              <w:rPr>
                                <w:rFonts w:ascii="Times New Roman" w:eastAsiaTheme="minorEastAsia" w:hAnsi="Times New Roman" w:cs="Times New Roman"/>
                              </w:rPr>
                              <w:tab/>
                            </w:r>
                          </w:p>
                          <w:p w14:paraId="541B35F2" w14:textId="77777777" w:rsidR="00625AD6" w:rsidRPr="00E73872" w:rsidRDefault="00625AD6" w:rsidP="00625AD6">
                            <w:pPr>
                              <w:rPr>
                                <w:rFonts w:ascii="Times New Roman" w:hAnsi="Times New Roman" w:cs="Times New Roman"/>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1408273" id="_x0000_s1059" type="#_x0000_t202" style="position:absolute;left:0;text-align:left;margin-left:0;margin-top:0;width:337.05pt;height:229.2pt;z-index:251739136;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" stroked="f">
                <v:textbox>
                  <w:txbxContent>
                    <w:p w14:paraId="79F068C4" w14:textId="19FA41EC" w:rsidR="00625AD6" w:rsidRPr="00AC6DA0" w:rsidRDefault="00000000" w:rsidP="00625AD6">
                      <w:pPr>
                        <w:rPr>
                          <w:rFonts w:ascii="Times New Roman" w:eastAsiaTheme="minorEastAsia" w:hAnsi="Times New Roman" w:cs="Times New Roman"/>
                          <w:sz w:val="28"/>
                          <w:szCs w:val="28"/>
                          <w:lang w:val="en-US"/>
                        </w:rPr>
                      </w:pPr>
                      <m:oMath>
                        <m:f>
                          <m:fPr>
                            <m:ctrlPr>
                              <w:rPr>
                                <w:rFonts w:ascii="Cambria Math" w:eastAsiaTheme="minorEastAsia" w:hAnsi="Cambria Math" w:cs="Times New Roman"/>
                                <w:i/>
                                <w:sz w:val="28"/>
                                <w:szCs w:val="28"/>
                              </w:rPr>
                            </m:ctrlPr>
                          </m:fPr>
                          <m:num>
                            <m:r>
                              <w:rPr>
                                <w:rFonts w:ascii="Cambria Math"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L</m:t>
                                </m:r>
                              </m:sub>
                            </m:sSub>
                            <m:ctrlPr>
                              <w:rPr>
                                <w:rFonts w:ascii="Cambria Math" w:hAnsi="Cambria Math" w:cs="Times New Roman"/>
                                <w:i/>
                                <w:sz w:val="28"/>
                                <w:szCs w:val="28"/>
                              </w:rPr>
                            </m:ctrlPr>
                          </m:num>
                          <m:den>
                            <m:r>
                              <w:rPr>
                                <w:rFonts w:ascii="Cambria Math" w:hAnsi="Cambria Math" w:cs="Times New Roman"/>
                                <w:sz w:val="28"/>
                                <w:szCs w:val="28"/>
                              </w:rPr>
                              <m:t>∂t</m:t>
                            </m:r>
                          </m:den>
                        </m:f>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L</m:t>
                            </m:r>
                          </m:sub>
                        </m:sSub>
                        <m:f>
                          <m:fPr>
                            <m:ctrlPr>
                              <w:rPr>
                                <w:rFonts w:ascii="Cambria Math" w:eastAsiaTheme="minorEastAsia"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m:t>
                                </m:r>
                              </m:e>
                              <m:sup>
                                <m:r>
                                  <w:rPr>
                                    <w:rFonts w:ascii="Cambria Math" w:hAnsi="Cambria Math" w:cs="Times New Roman"/>
                                    <w:sz w:val="28"/>
                                    <w:szCs w:val="28"/>
                                    <w:lang w:val="en-US"/>
                                  </w:rPr>
                                  <m:t>2</m:t>
                                </m:r>
                              </m:sup>
                            </m:sSup>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L</m:t>
                                </m:r>
                              </m:sub>
                            </m:sSub>
                          </m:num>
                          <m:den>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2</m:t>
                                </m:r>
                              </m:sup>
                            </m:sSup>
                          </m:den>
                        </m:f>
                      </m:oMath>
                      <w:r w:rsidR="00625AD6" w:rsidRPr="00AC6DA0">
                        <w:rPr>
                          <w:rFonts w:ascii="Times New Roman" w:eastAsiaTheme="minorEastAsia" w:hAnsi="Times New Roman" w:cs="Times New Roman"/>
                          <w:sz w:val="28"/>
                          <w:szCs w:val="28"/>
                          <w:lang w:val="en-US"/>
                        </w:rPr>
                        <w:tab/>
                      </w:r>
                      <w:r w:rsidR="00625AD6" w:rsidRPr="00AC6DA0">
                        <w:rPr>
                          <w:rFonts w:ascii="Times New Roman" w:eastAsiaTheme="minorEastAsia" w:hAnsi="Times New Roman" w:cs="Times New Roman"/>
                          <w:sz w:val="28"/>
                          <w:szCs w:val="28"/>
                          <w:lang w:val="en-US"/>
                        </w:rPr>
                        <w:tab/>
                      </w:r>
                      <w:r w:rsidR="00625AD6" w:rsidRPr="00AC6DA0">
                        <w:rPr>
                          <w:rFonts w:ascii="Times New Roman" w:eastAsiaTheme="minorEastAsia" w:hAnsi="Times New Roman" w:cs="Times New Roman"/>
                          <w:sz w:val="28"/>
                          <w:szCs w:val="28"/>
                          <w:lang w:val="en-US"/>
                        </w:rPr>
                        <w:tab/>
                      </w:r>
                      <w:r w:rsidR="00625AD6" w:rsidRPr="00AC6DA0">
                        <w:rPr>
                          <w:rFonts w:ascii="Times New Roman" w:eastAsiaTheme="minorEastAsia" w:hAnsi="Times New Roman" w:cs="Times New Roman"/>
                          <w:lang w:val="en-US"/>
                        </w:rPr>
                        <w:t>Heat conduction in liquid region</w:t>
                      </w:r>
                      <w:r w:rsidR="00625AD6">
                        <w:rPr>
                          <w:rFonts w:ascii="Times New Roman" w:eastAsiaTheme="minorEastAsia" w:hAnsi="Times New Roman" w:cs="Times New Roman"/>
                          <w:lang w:val="en-US"/>
                        </w:rPr>
                        <w:t xml:space="preserve"> </w:t>
                      </w:r>
                    </w:p>
                    <w:p w14:paraId="16F03160" w14:textId="36EF1BDF" w:rsidR="00625AD6" w:rsidRPr="00AC6DA0" w:rsidRDefault="00000000" w:rsidP="00625AD6">
                      <w:pPr>
                        <w:rPr>
                          <w:rFonts w:ascii="Times New Roman" w:eastAsiaTheme="minorEastAsia" w:hAnsi="Times New Roman" w:cs="Times New Roman"/>
                          <w:sz w:val="28"/>
                          <w:szCs w:val="28"/>
                          <w:lang w:val="en-US"/>
                        </w:rPr>
                      </w:pPr>
                      <m:oMath>
                        <m:f>
                          <m:fPr>
                            <m:ctrlPr>
                              <w:rPr>
                                <w:rFonts w:ascii="Cambria Math" w:eastAsiaTheme="minorEastAsia" w:hAnsi="Cambria Math" w:cs="Times New Roman"/>
                                <w:i/>
                                <w:sz w:val="28"/>
                                <w:szCs w:val="28"/>
                              </w:rPr>
                            </m:ctrlPr>
                          </m:fPr>
                          <m:num>
                            <m:r>
                              <w:rPr>
                                <w:rFonts w:ascii="Cambria Math"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S</m:t>
                                </m:r>
                              </m:sub>
                            </m:sSub>
                            <m:ctrlPr>
                              <w:rPr>
                                <w:rFonts w:ascii="Cambria Math" w:hAnsi="Cambria Math" w:cs="Times New Roman"/>
                                <w:i/>
                                <w:sz w:val="28"/>
                                <w:szCs w:val="28"/>
                              </w:rPr>
                            </m:ctrlPr>
                          </m:num>
                          <m:den>
                            <m:r>
                              <w:rPr>
                                <w:rFonts w:ascii="Cambria Math" w:hAnsi="Cambria Math" w:cs="Times New Roman"/>
                                <w:sz w:val="28"/>
                                <w:szCs w:val="28"/>
                              </w:rPr>
                              <m:t>∂t</m:t>
                            </m:r>
                          </m:den>
                        </m:f>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S</m:t>
                            </m:r>
                          </m:sub>
                        </m:sSub>
                        <m:f>
                          <m:fPr>
                            <m:ctrlPr>
                              <w:rPr>
                                <w:rFonts w:ascii="Cambria Math" w:eastAsiaTheme="minorEastAsia"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m:t>
                                </m:r>
                              </m:e>
                              <m:sup>
                                <m:r>
                                  <w:rPr>
                                    <w:rFonts w:ascii="Cambria Math" w:hAnsi="Cambria Math" w:cs="Times New Roman"/>
                                    <w:sz w:val="28"/>
                                    <w:szCs w:val="28"/>
                                    <w:lang w:val="en-US"/>
                                  </w:rPr>
                                  <m:t>2</m:t>
                                </m:r>
                              </m:sup>
                            </m:sSup>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S</m:t>
                                </m:r>
                              </m:sub>
                            </m:sSub>
                          </m:num>
                          <m:den>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2</m:t>
                                </m:r>
                              </m:sup>
                            </m:sSup>
                          </m:den>
                        </m:f>
                        <m:r>
                          <w:rPr>
                            <w:rFonts w:ascii="Cambria Math" w:eastAsiaTheme="minorEastAsia" w:hAnsi="Cambria Math" w:cs="Times New Roman"/>
                            <w:sz w:val="28"/>
                            <w:szCs w:val="28"/>
                            <w:lang w:val="en-US"/>
                          </w:rPr>
                          <m:t xml:space="preserve"> α</m:t>
                        </m:r>
                      </m:oMath>
                      <w:r w:rsidR="00625AD6" w:rsidRPr="00AC6DA0">
                        <w:rPr>
                          <w:rFonts w:ascii="Times New Roman" w:eastAsiaTheme="minorEastAsia" w:hAnsi="Times New Roman" w:cs="Times New Roman"/>
                          <w:sz w:val="28"/>
                          <w:szCs w:val="28"/>
                          <w:lang w:val="en-US"/>
                        </w:rPr>
                        <w:tab/>
                      </w:r>
                      <w:r w:rsidR="00625AD6" w:rsidRPr="00AC6DA0">
                        <w:rPr>
                          <w:rFonts w:ascii="Times New Roman" w:eastAsiaTheme="minorEastAsia" w:hAnsi="Times New Roman" w:cs="Times New Roman"/>
                          <w:sz w:val="28"/>
                          <w:szCs w:val="28"/>
                          <w:lang w:val="en-US"/>
                        </w:rPr>
                        <w:tab/>
                      </w:r>
                      <w:r w:rsidR="00625AD6" w:rsidRPr="00AC6DA0">
                        <w:rPr>
                          <w:rFonts w:ascii="Times New Roman" w:eastAsiaTheme="minorEastAsia" w:hAnsi="Times New Roman" w:cs="Times New Roman"/>
                          <w:sz w:val="28"/>
                          <w:szCs w:val="28"/>
                          <w:lang w:val="en-US"/>
                        </w:rPr>
                        <w:tab/>
                      </w:r>
                      <w:r w:rsidR="00625AD6" w:rsidRPr="00AC6DA0">
                        <w:rPr>
                          <w:rFonts w:ascii="Times New Roman" w:eastAsiaTheme="minorEastAsia" w:hAnsi="Times New Roman" w:cs="Times New Roman"/>
                          <w:lang w:val="en-US"/>
                        </w:rPr>
                        <w:t>Heat conduction in solid region</w:t>
                      </w:r>
                    </w:p>
                    <w:p w14:paraId="17A2E141" w14:textId="462C4D52" w:rsidR="00625AD6" w:rsidRDefault="00625AD6" w:rsidP="00625AD6">
                      <w:pPr>
                        <w:rPr>
                          <w:rFonts w:ascii="Times New Roman" w:eastAsiaTheme="minorEastAsia" w:hAnsi="Times New Roman" w:cs="Times New Roman"/>
                          <w:sz w:val="28"/>
                          <w:szCs w:val="28"/>
                        </w:rPr>
                      </w:pPr>
                      <m:oMath>
                        <m:r>
                          <w:rPr>
                            <w:rFonts w:ascii="Cambria Math" w:eastAsiaTheme="minorEastAsia" w:hAnsi="Cambria Math" w:cs="Times New Roman"/>
                            <w:sz w:val="28"/>
                            <w:szCs w:val="28"/>
                          </w:rPr>
                          <m:t>T</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s</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,t</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m</m:t>
                            </m:r>
                          </m:sub>
                        </m:sSub>
                      </m:oMath>
                      <w:r w:rsidRPr="00046F98">
                        <w:rPr>
                          <w:rFonts w:ascii="Times New Roman" w:eastAsiaTheme="minorEastAsia" w:hAnsi="Times New Roman" w:cs="Times New Roman"/>
                          <w:sz w:val="28"/>
                          <w:szCs w:val="28"/>
                        </w:rPr>
                        <w:tab/>
                      </w:r>
                      <w:r w:rsidRPr="00046F98">
                        <w:rPr>
                          <w:rFonts w:ascii="Times New Roman" w:eastAsiaTheme="minorEastAsia" w:hAnsi="Times New Roman" w:cs="Times New Roman"/>
                          <w:sz w:val="28"/>
                          <w:szCs w:val="28"/>
                        </w:rPr>
                        <w:tab/>
                      </w:r>
                      <w:r>
                        <w:rPr>
                          <w:rFonts w:ascii="Times New Roman" w:eastAsiaTheme="minorEastAsia" w:hAnsi="Times New Roman" w:cs="Times New Roman"/>
                          <w:sz w:val="28"/>
                          <w:szCs w:val="28"/>
                        </w:rPr>
                        <w:tab/>
                      </w:r>
                      <w:r w:rsidRPr="00E73872">
                        <w:rPr>
                          <w:rFonts w:ascii="Times New Roman" w:eastAsiaTheme="minorEastAsia" w:hAnsi="Times New Roman" w:cs="Times New Roman"/>
                        </w:rPr>
                        <w:t>Interface temperature</w:t>
                      </w:r>
                    </w:p>
                    <w:p w14:paraId="5EA848FD" w14:textId="77777777" w:rsidR="00625AD6" w:rsidRPr="00AC6DA0" w:rsidRDefault="00000000" w:rsidP="00625AD6">
                      <w:pPr>
                        <w:rPr>
                          <w:rFonts w:ascii="Times New Roman" w:eastAsiaTheme="minorEastAsia" w:hAnsi="Times New Roman" w:cs="Times New Roman"/>
                          <w:sz w:val="28"/>
                          <w:szCs w:val="28"/>
                          <w:lang w:val="en-US"/>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s</m:t>
                            </m:r>
                          </m:sub>
                        </m:sSub>
                        <m:f>
                          <m:fPr>
                            <m:ctrlPr>
                              <w:rPr>
                                <w:rFonts w:ascii="Cambria Math" w:eastAsiaTheme="minorEastAsia" w:hAnsi="Cambria Math" w:cs="Times New Roman"/>
                                <w:i/>
                                <w:sz w:val="28"/>
                                <w:szCs w:val="28"/>
                              </w:rPr>
                            </m:ctrlPr>
                          </m:fPr>
                          <m:num>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S</m:t>
                                </m:r>
                              </m:sub>
                            </m:sSub>
                          </m:num>
                          <m:den>
                            <m:r>
                              <w:rPr>
                                <w:rFonts w:ascii="Cambria Math" w:hAnsi="Cambria Math" w:cs="Times New Roman"/>
                                <w:sz w:val="28"/>
                                <w:szCs w:val="28"/>
                              </w:rPr>
                              <m:t>∂x</m:t>
                            </m:r>
                          </m:den>
                        </m:f>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L</m:t>
                            </m:r>
                          </m:sub>
                        </m:sSub>
                        <m:f>
                          <m:fPr>
                            <m:ctrlPr>
                              <w:rPr>
                                <w:rFonts w:ascii="Cambria Math" w:eastAsiaTheme="minorEastAsia" w:hAnsi="Cambria Math" w:cs="Times New Roman"/>
                                <w:i/>
                                <w:sz w:val="28"/>
                                <w:szCs w:val="28"/>
                              </w:rPr>
                            </m:ctrlPr>
                          </m:fPr>
                          <m:num>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L</m:t>
                                </m:r>
                              </m:sub>
                            </m:sSub>
                          </m:num>
                          <m:den>
                            <m:r>
                              <w:rPr>
                                <w:rFonts w:ascii="Cambria Math" w:hAnsi="Cambria Math" w:cs="Times New Roman"/>
                                <w:sz w:val="28"/>
                                <w:szCs w:val="28"/>
                              </w:rPr>
                              <m:t>∂x</m:t>
                            </m:r>
                          </m:den>
                        </m:f>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F</m:t>
                            </m:r>
                          </m:sub>
                        </m:sSub>
                        <m:r>
                          <w:rPr>
                            <w:rFonts w:ascii="Cambria Math" w:eastAsiaTheme="minorEastAsia" w:hAnsi="Cambria Math" w:cs="Times New Roman"/>
                            <w:sz w:val="28"/>
                            <w:szCs w:val="28"/>
                          </w:rPr>
                          <m:t>ρ</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ds</m:t>
                            </m:r>
                          </m:num>
                          <m:den>
                            <m:r>
                              <w:rPr>
                                <w:rFonts w:ascii="Cambria Math" w:eastAsiaTheme="minorEastAsia" w:hAnsi="Cambria Math" w:cs="Times New Roman"/>
                                <w:sz w:val="28"/>
                                <w:szCs w:val="28"/>
                              </w:rPr>
                              <m:t>dt</m:t>
                            </m:r>
                          </m:den>
                        </m:f>
                      </m:oMath>
                      <w:r w:rsidR="00625AD6" w:rsidRPr="00AC6DA0">
                        <w:rPr>
                          <w:rFonts w:ascii="Times New Roman" w:eastAsiaTheme="minorEastAsia" w:hAnsi="Times New Roman" w:cs="Times New Roman"/>
                          <w:sz w:val="28"/>
                          <w:szCs w:val="28"/>
                          <w:lang w:val="en-US"/>
                        </w:rPr>
                        <w:tab/>
                      </w:r>
                      <w:r w:rsidR="00625AD6" w:rsidRPr="00AC6DA0">
                        <w:rPr>
                          <w:rFonts w:ascii="Times New Roman" w:eastAsiaTheme="minorEastAsia" w:hAnsi="Times New Roman" w:cs="Times New Roman"/>
                          <w:sz w:val="28"/>
                          <w:szCs w:val="28"/>
                          <w:lang w:val="en-US"/>
                        </w:rPr>
                        <w:tab/>
                      </w:r>
                      <w:r w:rsidR="00625AD6" w:rsidRPr="00AC6DA0">
                        <w:rPr>
                          <w:rFonts w:ascii="Times New Roman" w:eastAsiaTheme="minorEastAsia" w:hAnsi="Times New Roman" w:cs="Times New Roman"/>
                          <w:lang w:val="en-US"/>
                        </w:rPr>
                        <w:t>Stefan condition</w:t>
                      </w:r>
                    </w:p>
                    <w:p w14:paraId="7904EB99" w14:textId="78A09D3E" w:rsidR="00625AD6" w:rsidRPr="00AC6DA0" w:rsidRDefault="00625AD6" w:rsidP="00625AD6">
                      <w:pPr>
                        <w:rPr>
                          <w:rFonts w:ascii="Times New Roman" w:eastAsiaTheme="minorEastAsia" w:hAnsi="Times New Roman" w:cs="Times New Roman"/>
                          <w:lang w:val="en-US"/>
                        </w:rPr>
                      </w:pPr>
                      <m:oMath>
                        <m:r>
                          <w:rPr>
                            <w:rFonts w:ascii="Cambria Math" w:eastAsiaTheme="minorEastAsia" w:hAnsi="Cambria Math" w:cs="Times New Roman"/>
                            <w:sz w:val="28"/>
                            <w:szCs w:val="28"/>
                          </w:rPr>
                          <m:t>T</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x</m:t>
                            </m:r>
                            <m:r>
                              <w:rPr>
                                <w:rFonts w:ascii="Cambria Math" w:eastAsiaTheme="minorEastAsia" w:hAnsi="Cambria Math" w:cs="Times New Roman"/>
                                <w:sz w:val="28"/>
                                <w:szCs w:val="28"/>
                                <w:lang w:val="en-US"/>
                              </w:rPr>
                              <m:t>,0</m:t>
                            </m:r>
                          </m:e>
                        </m:d>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s</m:t>
                            </m:r>
                          </m:sub>
                        </m:sSub>
                        <m:r>
                          <w:rPr>
                            <w:rFonts w:ascii="Cambria Math" w:eastAsiaTheme="minorEastAsia" w:hAnsi="Cambria Math" w:cs="Times New Roman"/>
                            <w:sz w:val="28"/>
                            <w:szCs w:val="28"/>
                            <w:lang w:val="en-US"/>
                          </w:rPr>
                          <m:t>&lt;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m</m:t>
                            </m:r>
                          </m:sub>
                        </m:sSub>
                      </m:oMath>
                      <w:r w:rsidRPr="00AC6DA0">
                        <w:rPr>
                          <w:rFonts w:ascii="Times New Roman" w:eastAsiaTheme="minorEastAsia" w:hAnsi="Times New Roman" w:cs="Times New Roman"/>
                          <w:lang w:val="en-US"/>
                        </w:rPr>
                        <w:tab/>
                      </w:r>
                      <w:r w:rsidRPr="00AC6DA0">
                        <w:rPr>
                          <w:rFonts w:ascii="Times New Roman" w:eastAsiaTheme="minorEastAsia" w:hAnsi="Times New Roman" w:cs="Times New Roman"/>
                          <w:lang w:val="en-US"/>
                        </w:rPr>
                        <w:tab/>
                      </w:r>
                      <w:r w:rsidRPr="00AC6DA0">
                        <w:rPr>
                          <w:rFonts w:ascii="Times New Roman" w:eastAsiaTheme="minorEastAsia" w:hAnsi="Times New Roman" w:cs="Times New Roman"/>
                          <w:lang w:val="en-US"/>
                        </w:rPr>
                        <w:tab/>
                        <w:t>Initial condition</w:t>
                      </w:r>
                      <w:r w:rsidRPr="00AC6DA0">
                        <w:rPr>
                          <w:rFonts w:ascii="Times New Roman" w:eastAsiaTheme="minorEastAsia" w:hAnsi="Times New Roman" w:cs="Times New Roman"/>
                          <w:lang w:val="en-US"/>
                        </w:rPr>
                        <w:tab/>
                      </w:r>
                    </w:p>
                    <w:p w14:paraId="4CCF36AE" w14:textId="37AE3F3A" w:rsidR="00625AD6" w:rsidRPr="00AC6DA0" w:rsidRDefault="00625AD6" w:rsidP="00625AD6">
                      <w:pPr>
                        <w:rPr>
                          <w:rFonts w:ascii="Times New Roman" w:eastAsiaTheme="minorEastAsia" w:hAnsi="Times New Roman" w:cs="Times New Roman"/>
                          <w:sz w:val="28"/>
                          <w:szCs w:val="28"/>
                          <w:lang w:val="en-US"/>
                        </w:rPr>
                      </w:pPr>
                      <m:oMath>
                        <m:r>
                          <w:rPr>
                            <w:rFonts w:ascii="Cambria Math" w:eastAsiaTheme="minorEastAsia" w:hAnsi="Cambria Math" w:cs="Times New Roman"/>
                            <w:sz w:val="28"/>
                            <w:szCs w:val="28"/>
                          </w:rPr>
                          <m:t>T</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en-US"/>
                              </w:rPr>
                              <m:t>0,</m:t>
                            </m:r>
                            <m:r>
                              <w:rPr>
                                <w:rFonts w:ascii="Cambria Math" w:eastAsiaTheme="minorEastAsia" w:hAnsi="Cambria Math" w:cs="Times New Roman"/>
                                <w:sz w:val="28"/>
                                <w:szCs w:val="28"/>
                              </w:rPr>
                              <m:t>t</m:t>
                            </m:r>
                          </m:e>
                        </m:d>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L</m:t>
                            </m:r>
                          </m:sub>
                        </m:sSub>
                        <m:r>
                          <w:rPr>
                            <w:rFonts w:ascii="Cambria Math" w:eastAsiaTheme="minorEastAsia" w:hAnsi="Cambria Math" w:cs="Times New Roman"/>
                            <w:sz w:val="28"/>
                            <w:szCs w:val="28"/>
                            <w:lang w:val="en-US"/>
                          </w:rPr>
                          <m:t>&gt;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m</m:t>
                            </m:r>
                          </m:sub>
                        </m:sSub>
                      </m:oMath>
                      <w:r w:rsidRPr="00AC6DA0">
                        <w:rPr>
                          <w:rFonts w:ascii="Times New Roman" w:eastAsiaTheme="minorEastAsia" w:hAnsi="Times New Roman" w:cs="Times New Roman"/>
                          <w:sz w:val="28"/>
                          <w:szCs w:val="28"/>
                          <w:lang w:val="en-US"/>
                        </w:rPr>
                        <w:tab/>
                      </w:r>
                      <w:r w:rsidRPr="00AC6DA0">
                        <w:rPr>
                          <w:rFonts w:ascii="Times New Roman" w:eastAsiaTheme="minorEastAsia" w:hAnsi="Times New Roman" w:cs="Times New Roman"/>
                          <w:sz w:val="28"/>
                          <w:szCs w:val="28"/>
                          <w:lang w:val="en-US"/>
                        </w:rPr>
                        <w:tab/>
                      </w:r>
                      <w:r w:rsidRPr="00AC6DA0">
                        <w:rPr>
                          <w:rFonts w:ascii="Times New Roman" w:eastAsiaTheme="minorEastAsia" w:hAnsi="Times New Roman" w:cs="Times New Roman"/>
                          <w:sz w:val="28"/>
                          <w:szCs w:val="28"/>
                          <w:lang w:val="en-US"/>
                        </w:rPr>
                        <w:tab/>
                      </w:r>
                      <w:r w:rsidRPr="00AC6DA0">
                        <w:rPr>
                          <w:rFonts w:ascii="Times New Roman" w:eastAsiaTheme="minorEastAsia" w:hAnsi="Times New Roman" w:cs="Times New Roman"/>
                          <w:lang w:val="en-US"/>
                        </w:rPr>
                        <w:t>Boundary conditions</w:t>
                      </w:r>
                    </w:p>
                    <w:p w14:paraId="447192D8" w14:textId="77777777" w:rsidR="00625AD6" w:rsidRPr="00E73872" w:rsidRDefault="00625AD6" w:rsidP="00625AD6">
                      <w:pPr>
                        <w:rPr>
                          <w:rFonts w:ascii="Times New Roman" w:eastAsiaTheme="minorEastAsia" w:hAnsi="Times New Roman" w:cs="Times New Roman"/>
                        </w:rPr>
                      </w:pPr>
                      <m:oMath>
                        <m:r>
                          <w:rPr>
                            <w:rFonts w:ascii="Cambria Math" w:eastAsiaTheme="minorEastAsia" w:hAnsi="Cambria Math" w:cs="Times New Roman"/>
                            <w:sz w:val="28"/>
                            <w:szCs w:val="28"/>
                          </w:rPr>
                          <m:t>T</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x,t</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S</m:t>
                            </m:r>
                          </m:sub>
                        </m:sSub>
                      </m:oMath>
                      <w:r>
                        <w:rPr>
                          <w:rFonts w:ascii="Times New Roman" w:eastAsiaTheme="minorEastAsia" w:hAnsi="Times New Roman" w:cs="Times New Roman"/>
                        </w:rPr>
                        <w:tab/>
                      </w:r>
                      <w:r>
                        <w:rPr>
                          <w:rFonts w:ascii="Times New Roman" w:eastAsiaTheme="minorEastAsia" w:hAnsi="Times New Roman" w:cs="Times New Roman"/>
                        </w:rPr>
                        <w:tab/>
                      </w:r>
                      <w:r>
                        <w:rPr>
                          <w:rFonts w:ascii="Times New Roman" w:eastAsiaTheme="minorEastAsia" w:hAnsi="Times New Roman" w:cs="Times New Roman"/>
                        </w:rPr>
                        <w:tab/>
                      </w:r>
                      <w:r>
                        <w:rPr>
                          <w:rFonts w:ascii="Times New Roman" w:eastAsiaTheme="minorEastAsia" w:hAnsi="Times New Roman" w:cs="Times New Roman"/>
                        </w:rPr>
                        <w:tab/>
                      </w:r>
                    </w:p>
                    <w:p w14:paraId="541B35F2" w14:textId="77777777" w:rsidR="00625AD6" w:rsidRPr="00E73872" w:rsidRDefault="00625AD6" w:rsidP="00625AD6">
                      <w:pPr>
                        <w:rPr>
                          <w:rFonts w:ascii="Times New Roman" w:hAnsi="Times New Roman" w:cs="Times New Roman"/>
                        </w:rPr>
                      </w:pPr>
                    </w:p>
                  </w:txbxContent>
                </v:textbox>
                <w10:wrap type="square" anchorx="margin"/>
              </v:shape>
            </w:pict>
          </mc:Fallback>
        </mc:AlternateContent>
      </w:r>
      <w:r w:rsidR="00681CD5">
        <w:rPr>
          <w:noProof/>
        </w:rPr>
        <mc:AlternateContent>
          <mc:Choice Requires="wps">
            <w:drawing>
              <wp:anchor distT="0" distB="0" distL="114300" distR="114300" simplePos="0" relativeHeight="251759616" behindDoc="0" locked="0" layoutInCell="1" allowOverlap="1" wp14:anchorId="15B7E3F8" wp14:editId="7888F36F">
                <wp:simplePos x="0" y="0"/>
                <wp:positionH relativeFrom="column">
                  <wp:posOffset>736600</wp:posOffset>
                </wp:positionH>
                <wp:positionV relativeFrom="paragraph">
                  <wp:posOffset>2809875</wp:posOffset>
                </wp:positionV>
                <wp:extent cx="4280535" cy="635"/>
                <wp:effectExtent l="0" t="0" r="0" b="0"/>
                <wp:wrapSquare wrapText="bothSides"/>
                <wp:docPr id="896424925" name="Text Box 1"/>
                <wp:cNvGraphicFramePr/>
                <a:graphic xmlns:a="http://schemas.openxmlformats.org/drawingml/2006/main">
                  <a:graphicData uri="http://schemas.microsoft.com/office/word/2010/wordprocessingShape">
                    <wps:wsp>
                      <wps:cNvSpPr txBox="1"/>
                      <wps:spPr>
                        <a:xfrm>
                          <a:off x="0" y="0"/>
                          <a:ext cx="4280535" cy="635"/>
                        </a:xfrm>
                        <a:prstGeom prst="rect">
                          <a:avLst/>
                        </a:prstGeom>
                        <a:solidFill>
                          <a:prstClr val="white"/>
                        </a:solidFill>
                        <a:ln>
                          <a:noFill/>
                        </a:ln>
                      </wps:spPr>
                      <wps:txbx>
                        <w:txbxContent>
                          <w:p w14:paraId="2BA1419A" w14:textId="12DF9BC6" w:rsidR="00681CD5" w:rsidRPr="00681CD5" w:rsidRDefault="00681CD5" w:rsidP="00681CD5">
                            <w:pPr>
                              <w:pStyle w:val="Caption"/>
                              <w:rPr>
                                <w:rFonts w:cs="Times New Roman"/>
                                <w:noProof/>
                                <w:szCs w:val="22"/>
                              </w:rPr>
                            </w:pPr>
                            <w:bookmarkStart w:id="207" w:name="_Toc214362648"/>
                            <w:r>
                              <w:t xml:space="preserve">Table </w:t>
                            </w:r>
                            <w:r w:rsidR="00F43E9A">
                              <w:fldChar w:fldCharType="begin"/>
                            </w:r>
                            <w:r w:rsidR="00F43E9A">
                              <w:instrText xml:space="preserve"> STYLEREF 1 \s </w:instrText>
                            </w:r>
                            <w:r w:rsidR="00F43E9A">
                              <w:fldChar w:fldCharType="separate"/>
                            </w:r>
                            <w:r w:rsidR="000412CE">
                              <w:rPr>
                                <w:noProof/>
                              </w:rPr>
                              <w:t>3</w:t>
                            </w:r>
                            <w:r w:rsidR="00F43E9A">
                              <w:fldChar w:fldCharType="end"/>
                            </w:r>
                            <w:r w:rsidR="00F43E9A">
                              <w:t>.</w:t>
                            </w:r>
                            <w:r w:rsidR="00F43E9A">
                              <w:fldChar w:fldCharType="begin"/>
                            </w:r>
                            <w:r w:rsidR="00F43E9A">
                              <w:instrText xml:space="preserve"> SEQ Table \* ARABIC \s 1 </w:instrText>
                            </w:r>
                            <w:r w:rsidR="00F43E9A">
                              <w:fldChar w:fldCharType="separate"/>
                            </w:r>
                            <w:r w:rsidR="000412CE">
                              <w:rPr>
                                <w:noProof/>
                              </w:rPr>
                              <w:t>2</w:t>
                            </w:r>
                            <w:r w:rsidR="00F43E9A">
                              <w:fldChar w:fldCharType="end"/>
                            </w:r>
                            <w:r>
                              <w:t xml:space="preserve">. </w:t>
                            </w:r>
                            <w:r w:rsidRPr="00FB2066">
                              <w:t>Mathematical formulation of Neumann's problem</w:t>
                            </w:r>
                            <w:r>
                              <w:t>.</w:t>
                            </w:r>
                            <w:bookmarkEnd w:id="20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5B7E3F8" id="_x0000_s1060" type="#_x0000_t202" style="position:absolute;left:0;text-align:left;margin-left:58pt;margin-top:221.25pt;width:337.05pt;height:.05pt;z-index:2517596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" stroked="f">
                <v:textbox style="mso-fit-shape-to-text:t" inset="0,0,0,0">
                  <w:txbxContent>
                    <w:p w14:paraId="2BA1419A" w14:textId="12DF9BC6" w:rsidR="00681CD5" w:rsidRPr="00681CD5" w:rsidRDefault="00681CD5" w:rsidP="00681CD5">
                      <w:pPr>
                        <w:pStyle w:val="Caption"/>
                        <w:rPr>
                          <w:rFonts w:cs="Times New Roman"/>
                          <w:noProof/>
                          <w:szCs w:val="22"/>
                        </w:rPr>
                      </w:pPr>
                      <w:bookmarkStart w:id="208" w:name="_Toc214362648"/>
                      <w:r>
                        <w:t xml:space="preserve">Table </w:t>
                      </w:r>
                      <w:r w:rsidR="00F43E9A">
                        <w:fldChar w:fldCharType="begin"/>
                      </w:r>
                      <w:r w:rsidR="00F43E9A">
                        <w:instrText xml:space="preserve"> STYLEREF 1 \s </w:instrText>
                      </w:r>
                      <w:r w:rsidR="00F43E9A">
                        <w:fldChar w:fldCharType="separate"/>
                      </w:r>
                      <w:r w:rsidR="000412CE">
                        <w:rPr>
                          <w:noProof/>
                        </w:rPr>
                        <w:t>3</w:t>
                      </w:r>
                      <w:r w:rsidR="00F43E9A">
                        <w:fldChar w:fldCharType="end"/>
                      </w:r>
                      <w:r w:rsidR="00F43E9A">
                        <w:t>.</w:t>
                      </w:r>
                      <w:r w:rsidR="00F43E9A">
                        <w:fldChar w:fldCharType="begin"/>
                      </w:r>
                      <w:r w:rsidR="00F43E9A">
                        <w:instrText xml:space="preserve"> SEQ Table \* ARABIC \s 1 </w:instrText>
                      </w:r>
                      <w:r w:rsidR="00F43E9A">
                        <w:fldChar w:fldCharType="separate"/>
                      </w:r>
                      <w:r w:rsidR="000412CE">
                        <w:rPr>
                          <w:noProof/>
                        </w:rPr>
                        <w:t>2</w:t>
                      </w:r>
                      <w:r w:rsidR="00F43E9A">
                        <w:fldChar w:fldCharType="end"/>
                      </w:r>
                      <w:r>
                        <w:t xml:space="preserve">. </w:t>
                      </w:r>
                      <w:r w:rsidRPr="00FB2066">
                        <w:t>Mathematical formulation of Neumann's problem</w:t>
                      </w:r>
                      <w:r>
                        <w:t>.</w:t>
                      </w:r>
                      <w:bookmarkEnd w:id="208"/>
                    </w:p>
                  </w:txbxContent>
                </v:textbox>
                <w10:wrap type="square"/>
              </v:shape>
            </w:pict>
          </mc:Fallback>
        </mc:AlternateContent>
      </w:r>
    </w:p>
    <w:p w14:paraId="7939AA5D" w14:textId="77777777" w:rsidR="00625AD6" w:rsidRPr="00625AD6" w:rsidRDefault="00625AD6" w:rsidP="00625AD6">
      <w:pPr>
        <w:rPr>
          <w:rFonts w:cs="Times New Roman"/>
          <w:lang w:val="en-US"/>
        </w:rPr>
      </w:pPr>
    </w:p>
    <w:p w14:paraId="3449B523" w14:textId="77777777" w:rsidR="00625AD6" w:rsidRPr="00625AD6" w:rsidRDefault="00625AD6" w:rsidP="00625AD6">
      <w:pPr>
        <w:rPr>
          <w:rFonts w:cs="Times New Roman"/>
          <w:lang w:val="en-US"/>
        </w:rPr>
      </w:pPr>
    </w:p>
    <w:p w14:paraId="0AB6C33B" w14:textId="77777777" w:rsidR="00625AD6" w:rsidRPr="00625AD6" w:rsidRDefault="00625AD6" w:rsidP="00625AD6">
      <w:pPr>
        <w:rPr>
          <w:rFonts w:cs="Times New Roman"/>
          <w:lang w:val="en-US"/>
        </w:rPr>
      </w:pPr>
    </w:p>
    <w:p w14:paraId="206C54CD" w14:textId="77777777" w:rsidR="00625AD6" w:rsidRPr="00625AD6" w:rsidRDefault="00625AD6" w:rsidP="00625AD6">
      <w:pPr>
        <w:rPr>
          <w:rFonts w:cs="Times New Roman"/>
          <w:lang w:val="en-US"/>
        </w:rPr>
      </w:pPr>
    </w:p>
    <w:p w14:paraId="76FDEFF2" w14:textId="77777777" w:rsidR="00625AD6" w:rsidRPr="00625AD6" w:rsidRDefault="00625AD6" w:rsidP="00625AD6">
      <w:pPr>
        <w:rPr>
          <w:rFonts w:cs="Times New Roman"/>
          <w:lang w:val="en-US"/>
        </w:rPr>
      </w:pPr>
    </w:p>
    <w:p w14:paraId="06EB0EF4" w14:textId="77777777" w:rsidR="00625AD6" w:rsidRPr="00625AD6" w:rsidRDefault="00625AD6" w:rsidP="00625AD6">
      <w:pPr>
        <w:jc w:val="center"/>
        <w:rPr>
          <w:rFonts w:cs="Times New Roman"/>
          <w:lang w:val="en-US"/>
        </w:rPr>
      </w:pPr>
    </w:p>
    <w:p w14:paraId="02A959D2" w14:textId="77777777" w:rsidR="00625AD6" w:rsidRPr="00625AD6" w:rsidRDefault="00625AD6" w:rsidP="00625AD6">
      <w:pPr>
        <w:rPr>
          <w:rFonts w:cs="Times New Roman"/>
          <w:lang w:val="en-US"/>
        </w:rPr>
      </w:pPr>
    </w:p>
    <w:p w14:paraId="35E78317" w14:textId="77777777" w:rsidR="00625AD6" w:rsidRPr="00625AD6" w:rsidRDefault="00625AD6" w:rsidP="00625AD6">
      <w:pPr>
        <w:tabs>
          <w:tab w:val="left" w:pos="1820"/>
        </w:tabs>
        <w:rPr>
          <w:rFonts w:cs="Times New Roman"/>
          <w:lang w:val="en-US"/>
        </w:rPr>
      </w:pPr>
    </w:p>
    <w:p w14:paraId="0D9CCCDF" w14:textId="4EFA1BFB" w:rsidR="00625AD6" w:rsidRPr="00625AD6" w:rsidRDefault="00F43E9A" w:rsidP="00625AD6">
      <w:pPr>
        <w:tabs>
          <w:tab w:val="left" w:pos="1820"/>
        </w:tabs>
        <w:rPr>
          <w:rFonts w:cs="Times New Roman"/>
          <w:lang w:val="en-US"/>
        </w:rPr>
      </w:pPr>
      <w:r>
        <w:rPr>
          <w:noProof/>
        </w:rPr>
        <mc:AlternateContent>
          <mc:Choice Requires="wps">
            <w:drawing>
              <wp:anchor distT="0" distB="0" distL="114300" distR="114300" simplePos="0" relativeHeight="251761664" behindDoc="0" locked="0" layoutInCell="1" allowOverlap="1" wp14:anchorId="2A8CF54B" wp14:editId="2DFDF8BA">
                <wp:simplePos x="0" y="0"/>
                <wp:positionH relativeFrom="column">
                  <wp:posOffset>695325</wp:posOffset>
                </wp:positionH>
                <wp:positionV relativeFrom="paragraph">
                  <wp:posOffset>2863215</wp:posOffset>
                </wp:positionV>
                <wp:extent cx="4250055" cy="635"/>
                <wp:effectExtent l="0" t="0" r="0" b="0"/>
                <wp:wrapSquare wrapText="bothSides"/>
                <wp:docPr id="30119405" name="Text Box 1"/>
                <wp:cNvGraphicFramePr/>
                <a:graphic xmlns:a="http://schemas.openxmlformats.org/drawingml/2006/main">
                  <a:graphicData uri="http://schemas.microsoft.com/office/word/2010/wordprocessingShape">
                    <wps:wsp>
                      <wps:cNvSpPr txBox="1"/>
                      <wps:spPr>
                        <a:xfrm>
                          <a:off x="0" y="0"/>
                          <a:ext cx="4250055" cy="635"/>
                        </a:xfrm>
                        <a:prstGeom prst="rect">
                          <a:avLst/>
                        </a:prstGeom>
                        <a:solidFill>
                          <a:prstClr val="white"/>
                        </a:solidFill>
                        <a:ln>
                          <a:noFill/>
                        </a:ln>
                      </wps:spPr>
                      <wps:txbx>
                        <w:txbxContent>
                          <w:p w14:paraId="0AF45BB0" w14:textId="1041B6A7" w:rsidR="00F43E9A" w:rsidRPr="00F43E9A" w:rsidRDefault="00F43E9A" w:rsidP="00F43E9A">
                            <w:pPr>
                              <w:pStyle w:val="Caption"/>
                              <w:rPr>
                                <w:rFonts w:cs="Times New Roman"/>
                                <w:noProof/>
                                <w:szCs w:val="22"/>
                              </w:rPr>
                            </w:pPr>
                            <w:bookmarkStart w:id="209" w:name="_Toc214357766"/>
                            <w:r>
                              <w:t xml:space="preserve">Figure </w:t>
                            </w:r>
                            <w:r w:rsidR="00F824A5">
                              <w:fldChar w:fldCharType="begin"/>
                            </w:r>
                            <w:r w:rsidR="00F824A5">
                              <w:instrText xml:space="preserve"> STYLEREF 1 \s </w:instrText>
                            </w:r>
                            <w:r w:rsidR="00F824A5">
                              <w:fldChar w:fldCharType="separate"/>
                            </w:r>
                            <w:r w:rsidR="000412CE">
                              <w:rPr>
                                <w:noProof/>
                              </w:rPr>
                              <w:t>3</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3</w:t>
                            </w:r>
                            <w:r w:rsidR="00F824A5">
                              <w:fldChar w:fldCharType="end"/>
                            </w:r>
                            <w:r>
                              <w:t xml:space="preserve">. </w:t>
                            </w:r>
                            <w:r w:rsidRPr="004A2D06">
                              <w:t>Space-time behaviour of the problem.</w:t>
                            </w:r>
                            <w:bookmarkEnd w:id="20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A8CF54B" id="_x0000_s1061" type="#_x0000_t202" style="position:absolute;left:0;text-align:left;margin-left:54.75pt;margin-top:225.45pt;width:334.65pt;height:.05pt;z-index:2517616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" stroked="f">
                <v:textbox style="mso-fit-shape-to-text:t" inset="0,0,0,0">
                  <w:txbxContent>
                    <w:p w14:paraId="0AF45BB0" w14:textId="1041B6A7" w:rsidR="00F43E9A" w:rsidRPr="00F43E9A" w:rsidRDefault="00F43E9A" w:rsidP="00F43E9A">
                      <w:pPr>
                        <w:pStyle w:val="Caption"/>
                        <w:rPr>
                          <w:rFonts w:cs="Times New Roman"/>
                          <w:noProof/>
                          <w:szCs w:val="22"/>
                        </w:rPr>
                      </w:pPr>
                      <w:bookmarkStart w:id="210" w:name="_Toc214357766"/>
                      <w:r>
                        <w:t xml:space="preserve">Figure </w:t>
                      </w:r>
                      <w:r w:rsidR="00F824A5">
                        <w:fldChar w:fldCharType="begin"/>
                      </w:r>
                      <w:r w:rsidR="00F824A5">
                        <w:instrText xml:space="preserve"> STYLEREF 1 \s </w:instrText>
                      </w:r>
                      <w:r w:rsidR="00F824A5">
                        <w:fldChar w:fldCharType="separate"/>
                      </w:r>
                      <w:r w:rsidR="000412CE">
                        <w:rPr>
                          <w:noProof/>
                        </w:rPr>
                        <w:t>3</w:t>
                      </w:r>
                      <w:r w:rsidR="00F824A5">
                        <w:fldChar w:fldCharType="end"/>
                      </w:r>
                      <w:r w:rsidR="00F824A5">
                        <w:t>.</w:t>
                      </w:r>
                      <w:r w:rsidR="00F824A5">
                        <w:fldChar w:fldCharType="begin"/>
                      </w:r>
                      <w:r w:rsidR="00F824A5">
                        <w:instrText xml:space="preserve"> SEQ Figure \* ARABIC \s 1 </w:instrText>
                      </w:r>
                      <w:r w:rsidR="00F824A5">
                        <w:fldChar w:fldCharType="separate"/>
                      </w:r>
                      <w:r w:rsidR="000412CE">
                        <w:rPr>
                          <w:noProof/>
                        </w:rPr>
                        <w:t>3</w:t>
                      </w:r>
                      <w:r w:rsidR="00F824A5">
                        <w:fldChar w:fldCharType="end"/>
                      </w:r>
                      <w:r>
                        <w:t xml:space="preserve">. </w:t>
                      </w:r>
                      <w:r w:rsidRPr="004A2D06">
                        <w:t>Space-time behaviour of the problem.</w:t>
                      </w:r>
                      <w:bookmarkEnd w:id="210"/>
                    </w:p>
                  </w:txbxContent>
                </v:textbox>
                <w10:wrap type="square"/>
              </v:shape>
            </w:pict>
          </mc:Fallback>
        </mc:AlternateContent>
      </w:r>
    </w:p>
    <w:p w14:paraId="536C4461" w14:textId="7BD7A5C5" w:rsidR="00625AD6" w:rsidRPr="00625AD6" w:rsidRDefault="00625AD6" w:rsidP="00625AD6">
      <w:pPr>
        <w:tabs>
          <w:tab w:val="left" w:pos="1820"/>
        </w:tabs>
        <w:rPr>
          <w:rFonts w:cs="Times New Roman"/>
          <w:lang w:val="en-US"/>
        </w:rPr>
      </w:pPr>
    </w:p>
    <w:p w14:paraId="7B880E02" w14:textId="1AFF82D6" w:rsidR="00625AD6" w:rsidRPr="00625AD6" w:rsidRDefault="00736B36" w:rsidP="00625AD6">
      <w:pPr>
        <w:tabs>
          <w:tab w:val="left" w:pos="1820"/>
        </w:tabs>
        <w:rPr>
          <w:rFonts w:cs="Times New Roman"/>
          <w:lang w:val="en-US"/>
        </w:rPr>
      </w:pPr>
      <w:r w:rsidRPr="00625AD6">
        <w:rPr>
          <w:rFonts w:cs="Times New Roman"/>
          <w:noProof/>
          <w:lang w:val="nb-NO"/>
        </w:rPr>
        <w:drawing>
          <wp:anchor distT="0" distB="0" distL="114300" distR="114300" simplePos="0" relativeHeight="251740160" behindDoc="0" locked="0" layoutInCell="1" allowOverlap="1" wp14:anchorId="6E31FF5C" wp14:editId="3E4E8931">
            <wp:simplePos x="0" y="0"/>
            <wp:positionH relativeFrom="margin">
              <wp:align>center</wp:align>
            </wp:positionH>
            <wp:positionV relativeFrom="paragraph">
              <wp:posOffset>24130</wp:posOffset>
            </wp:positionV>
            <wp:extent cx="4250055" cy="2362200"/>
            <wp:effectExtent l="0" t="0" r="0" b="0"/>
            <wp:wrapSquare wrapText="bothSides"/>
            <wp:docPr id="558057350" name="Immagine 1" descr="Immagine che contiene testo, diagramma, linea,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8057350" name="Immagine 1" descr="Immagine che contiene testo, diagramma, linea, Carattere&#10;&#10;Il contenuto generato dall'IA potrebbe non essere corretto."/>
                    <pic:cNvPicPr/>
                  </pic:nvPicPr>
                  <pic:blipFill>
                    <a:blip r:embed="rId156">
                      <a:extLst>
                        <a:ext uri="{28A0092B-C50C-407E-A947-70E740481C1C}">
                          <a14:useLocalDpi xmlns:a14="http://schemas.microsoft.com/office/drawing/2010/main" val="0"/>
                        </a:ext>
                      </a:extLst>
                    </a:blip>
                    <a:stretch>
                      <a:fillRect/>
                    </a:stretch>
                  </pic:blipFill>
                  <pic:spPr>
                    <a:xfrm>
                      <a:off x="0" y="0"/>
                      <a:ext cx="4250055" cy="2362200"/>
                    </a:xfrm>
                    <a:prstGeom prst="rect">
                      <a:avLst/>
                    </a:prstGeom>
                  </pic:spPr>
                </pic:pic>
              </a:graphicData>
            </a:graphic>
            <wp14:sizeRelV relativeFrom="margin">
              <wp14:pctHeight>0</wp14:pctHeight>
            </wp14:sizeRelV>
          </wp:anchor>
        </w:drawing>
      </w:r>
    </w:p>
    <w:p w14:paraId="2D8E5B96" w14:textId="77777777" w:rsidR="00625AD6" w:rsidRPr="00625AD6" w:rsidRDefault="00625AD6" w:rsidP="00625AD6">
      <w:pPr>
        <w:tabs>
          <w:tab w:val="left" w:pos="1820"/>
        </w:tabs>
        <w:rPr>
          <w:rFonts w:cs="Times New Roman"/>
          <w:lang w:val="en-US"/>
        </w:rPr>
      </w:pPr>
    </w:p>
    <w:p w14:paraId="495C62E2" w14:textId="77777777" w:rsidR="00625AD6" w:rsidRPr="00625AD6" w:rsidRDefault="00625AD6" w:rsidP="00625AD6">
      <w:pPr>
        <w:tabs>
          <w:tab w:val="left" w:pos="1820"/>
        </w:tabs>
        <w:rPr>
          <w:rFonts w:cs="Times New Roman"/>
          <w:lang w:val="en-US"/>
        </w:rPr>
      </w:pPr>
    </w:p>
    <w:p w14:paraId="784A4653" w14:textId="77777777" w:rsidR="00625AD6" w:rsidRPr="00625AD6" w:rsidRDefault="00625AD6" w:rsidP="00625AD6">
      <w:pPr>
        <w:tabs>
          <w:tab w:val="left" w:pos="1820"/>
        </w:tabs>
        <w:rPr>
          <w:rFonts w:cs="Times New Roman"/>
          <w:lang w:val="en-US"/>
        </w:rPr>
      </w:pPr>
    </w:p>
    <w:p w14:paraId="5478D044" w14:textId="77777777" w:rsidR="00625AD6" w:rsidRPr="00625AD6" w:rsidRDefault="00625AD6" w:rsidP="00625AD6">
      <w:pPr>
        <w:tabs>
          <w:tab w:val="left" w:pos="1820"/>
        </w:tabs>
        <w:rPr>
          <w:rFonts w:cs="Times New Roman"/>
          <w:lang w:val="en-US"/>
        </w:rPr>
      </w:pPr>
    </w:p>
    <w:p w14:paraId="39DAB31F" w14:textId="77777777" w:rsidR="00625AD6" w:rsidRPr="00625AD6" w:rsidRDefault="00625AD6" w:rsidP="00625AD6">
      <w:pPr>
        <w:tabs>
          <w:tab w:val="left" w:pos="1820"/>
        </w:tabs>
        <w:rPr>
          <w:rFonts w:cs="Times New Roman"/>
          <w:lang w:val="en-US"/>
        </w:rPr>
      </w:pPr>
    </w:p>
    <w:p w14:paraId="16166DC0" w14:textId="77777777" w:rsidR="00625AD6" w:rsidRPr="00625AD6" w:rsidRDefault="00625AD6" w:rsidP="00625AD6">
      <w:pPr>
        <w:tabs>
          <w:tab w:val="left" w:pos="1820"/>
        </w:tabs>
        <w:rPr>
          <w:rFonts w:cs="Times New Roman"/>
          <w:lang w:val="en-US"/>
        </w:rPr>
      </w:pPr>
    </w:p>
    <w:p w14:paraId="757D2F25" w14:textId="77777777" w:rsidR="00625AD6" w:rsidRPr="00625AD6" w:rsidRDefault="00625AD6" w:rsidP="00625AD6">
      <w:pPr>
        <w:tabs>
          <w:tab w:val="left" w:pos="1820"/>
        </w:tabs>
        <w:rPr>
          <w:rFonts w:cs="Times New Roman"/>
          <w:lang w:val="en-US"/>
        </w:rPr>
      </w:pPr>
    </w:p>
    <w:p w14:paraId="5E869AD2" w14:textId="77777777" w:rsidR="00625AD6" w:rsidRPr="00625AD6" w:rsidRDefault="00625AD6" w:rsidP="00625AD6">
      <w:pPr>
        <w:tabs>
          <w:tab w:val="left" w:pos="1820"/>
        </w:tabs>
        <w:rPr>
          <w:rFonts w:cs="Times New Roman"/>
          <w:lang w:val="en-US"/>
        </w:rPr>
      </w:pPr>
    </w:p>
    <w:p w14:paraId="6CEE5835" w14:textId="77777777" w:rsidR="00625AD6" w:rsidRPr="00625AD6" w:rsidRDefault="00625AD6" w:rsidP="00625AD6">
      <w:pPr>
        <w:tabs>
          <w:tab w:val="left" w:pos="1820"/>
        </w:tabs>
        <w:rPr>
          <w:rFonts w:cs="Times New Roman"/>
          <w:lang w:val="en-US"/>
        </w:rPr>
      </w:pPr>
    </w:p>
    <w:p w14:paraId="0EBAD501" w14:textId="293A909F" w:rsidR="00625AD6" w:rsidRPr="00625AD6" w:rsidRDefault="00F43E9A" w:rsidP="00625AD6">
      <w:pPr>
        <w:tabs>
          <w:tab w:val="left" w:pos="1820"/>
        </w:tabs>
        <w:rPr>
          <w:rFonts w:cs="Times New Roman"/>
          <w:lang w:val="en-US"/>
        </w:rPr>
      </w:pPr>
      <w:r>
        <w:rPr>
          <w:rFonts w:cs="Times New Roman"/>
          <w:lang w:val="en-US"/>
        </w:rPr>
        <w:t>Figure 3</w:t>
      </w:r>
      <w:r w:rsidR="00625AD6">
        <w:rPr>
          <w:rFonts w:cs="Times New Roman"/>
          <w:lang w:val="en-US"/>
        </w:rPr>
        <w:t>.3</w:t>
      </w:r>
      <w:r w:rsidR="00625AD6" w:rsidRPr="00625AD6">
        <w:rPr>
          <w:rFonts w:cs="Times New Roman"/>
          <w:lang w:val="en-US"/>
        </w:rPr>
        <w:t xml:space="preserve"> shows the space–time behavior of the problem, highlighting the evolution of the liquid and solid regions and the movement of the interface over time.</w:t>
      </w:r>
      <w:r w:rsidR="00625AD6" w:rsidRPr="00625AD6">
        <w:rPr>
          <w:rFonts w:eastAsia="Times New Roman" w:cs="Times New Roman"/>
          <w:szCs w:val="24"/>
          <w:lang w:val="en-US" w:eastAsia="it-IT"/>
        </w:rPr>
        <w:t xml:space="preserve"> </w:t>
      </w:r>
      <w:r w:rsidR="00625AD6" w:rsidRPr="00625AD6">
        <w:rPr>
          <w:rFonts w:cs="Times New Roman"/>
          <w:lang w:val="en-US"/>
        </w:rPr>
        <w:t>Neumann obtained an analytical solution to this two-phase problem by introducing a similarity variable in Eq. (56)</w:t>
      </w:r>
    </w:p>
    <w:p w14:paraId="308A42A2" w14:textId="77777777" w:rsidR="00625AD6" w:rsidRPr="00625AD6" w:rsidRDefault="00625AD6" w:rsidP="00625AD6">
      <w:pPr>
        <w:tabs>
          <w:tab w:val="left" w:pos="1820"/>
        </w:tabs>
        <w:rPr>
          <w:rFonts w:cs="Times New Roman"/>
          <w:lang w:val="en-US"/>
        </w:rPr>
      </w:pPr>
      <m:oMathPara>
        <m:oMathParaPr>
          <m:jc m:val="right"/>
        </m:oMathParaPr>
        <m:oMath>
          <m:r>
            <m:rPr>
              <m:sty m:val="p"/>
            </m:rPr>
            <w:rPr>
              <w:rFonts w:ascii="Cambria Math" w:hAnsi="Cambria Math" w:cs="Times New Roman"/>
            </w:rPr>
            <m:t>η</m:t>
          </m:r>
          <m:r>
            <m:rPr>
              <m:sty m:val="p"/>
            </m:rPr>
            <w:rPr>
              <w:rFonts w:ascii="Cambria Math" w:hAnsi="Cambria Math" w:cs="Times New Roman"/>
              <w:lang w:val="en-US"/>
            </w:rPr>
            <m:t>=</m:t>
          </m:r>
          <m:f>
            <m:fPr>
              <m:ctrlPr>
                <w:rPr>
                  <w:rFonts w:ascii="Cambria Math" w:hAnsi="Cambria Math" w:cs="Times New Roman"/>
                </w:rPr>
              </m:ctrlPr>
            </m:fPr>
            <m:num>
              <m:r>
                <m:rPr>
                  <m:sty m:val="p"/>
                </m:rPr>
                <w:rPr>
                  <w:rFonts w:ascii="Cambria Math" w:hAnsi="Cambria Math" w:cs="Times New Roman"/>
                  <w:lang w:val="en-US"/>
                </w:rPr>
                <m:t>x</m:t>
              </m:r>
            </m:num>
            <m:den>
              <m:r>
                <m:rPr>
                  <m:sty m:val="p"/>
                </m:rPr>
                <w:rPr>
                  <w:rFonts w:ascii="Cambria Math" w:hAnsi="Cambria Math" w:cs="Times New Roman"/>
                  <w:lang w:val="en-US"/>
                </w:rPr>
                <m:t>2</m:t>
              </m:r>
              <m:rad>
                <m:radPr>
                  <m:degHide m:val="1"/>
                  <m:ctrlPr>
                    <w:rPr>
                      <w:rFonts w:ascii="Cambria Math" w:hAnsi="Cambria Math" w:cs="Times New Roman"/>
                    </w:rPr>
                  </m:ctrlPr>
                </m:radPr>
                <m:deg/>
                <m:e>
                  <m:sSub>
                    <m:sSubPr>
                      <m:ctrlPr>
                        <w:rPr>
                          <w:rFonts w:ascii="Cambria Math" w:hAnsi="Cambria Math" w:cs="Times New Roman"/>
                        </w:rPr>
                      </m:ctrlPr>
                    </m:sSubPr>
                    <m:e>
                      <m:r>
                        <m:rPr>
                          <m:sty m:val="p"/>
                        </m:rPr>
                        <w:rPr>
                          <w:rFonts w:ascii="Cambria Math" w:hAnsi="Cambria Math" w:cs="Times New Roman"/>
                        </w:rPr>
                        <m:t>α</m:t>
                      </m:r>
                    </m:e>
                    <m:sub>
                      <m:r>
                        <m:rPr>
                          <m:sty m:val="p"/>
                        </m:rPr>
                        <w:rPr>
                          <w:rFonts w:ascii="Cambria Math" w:hAnsi="Cambria Math" w:cs="Times New Roman"/>
                          <w:lang w:val="en-US"/>
                        </w:rPr>
                        <m:t>L</m:t>
                      </m:r>
                    </m:sub>
                  </m:sSub>
                  <m:r>
                    <m:rPr>
                      <m:sty m:val="p"/>
                    </m:rPr>
                    <w:rPr>
                      <w:rFonts w:ascii="Cambria Math" w:hAnsi="Cambria Math" w:cs="Times New Roman"/>
                      <w:lang w:val="en-US"/>
                    </w:rPr>
                    <m:t>t</m:t>
                  </m:r>
                </m:e>
              </m:rad>
            </m:den>
          </m:f>
          <m:r>
            <m:rPr>
              <m:sty m:val="p"/>
            </m:rPr>
            <w:rPr>
              <w:rFonts w:ascii="Cambria Math" w:hAnsi="Cambria Math" w:cs="Times New Roman"/>
              <w:lang w:val="en-US"/>
            </w:rPr>
            <m:t xml:space="preserve">                                                                                  (56)</m:t>
          </m:r>
          <m:r>
            <m:rPr>
              <m:sty m:val="p"/>
            </m:rPr>
            <w:rPr>
              <w:rFonts w:ascii="Cambria Math" w:hAnsi="Cambria Math" w:cs="Times New Roman"/>
              <w:lang w:val="en-US"/>
            </w:rPr>
            <w:br/>
          </m:r>
        </m:oMath>
      </m:oMathPara>
      <w:r w:rsidRPr="00625AD6">
        <w:rPr>
          <w:rFonts w:cs="Times New Roman"/>
          <w:lang w:val="en-US"/>
        </w:rPr>
        <w:t>which transforms the parabolic partial differential equations into ordinary differential equations. The final Neumann solution can then be expressed as:</w:t>
      </w:r>
    </w:p>
    <w:p w14:paraId="432B0E54" w14:textId="77777777" w:rsidR="00625AD6" w:rsidRPr="00625AD6" w:rsidRDefault="00625AD6" w:rsidP="00625AD6">
      <w:pPr>
        <w:tabs>
          <w:tab w:val="left" w:pos="1820"/>
        </w:tabs>
        <w:rPr>
          <w:rFonts w:cs="Times New Roman"/>
          <w:lang w:val="en-US"/>
        </w:rPr>
      </w:pPr>
      <w:r w:rsidRPr="00625AD6">
        <w:rPr>
          <w:rFonts w:cs="Times New Roman"/>
          <w:lang w:val="en-US"/>
        </w:rPr>
        <w:t>1) Interface position Eq. (57):</w:t>
      </w:r>
    </w:p>
    <w:p w14:paraId="65D17F4F" w14:textId="77777777" w:rsidR="00625AD6" w:rsidRPr="00625AD6" w:rsidRDefault="00625AD6" w:rsidP="00625AD6">
      <w:pPr>
        <w:tabs>
          <w:tab w:val="left" w:pos="1820"/>
        </w:tabs>
        <w:rPr>
          <w:rFonts w:cs="Times New Roman"/>
          <w:lang w:val="en-US"/>
        </w:rPr>
      </w:pPr>
      <m:oMathPara>
        <m:oMathParaPr>
          <m:jc m:val="right"/>
        </m:oMathParaPr>
        <m:oMath>
          <m:r>
            <w:rPr>
              <w:rFonts w:ascii="Cambria Math" w:hAnsi="Cambria Math" w:cs="Times New Roman"/>
            </w:rPr>
            <m:t>s</m:t>
          </m:r>
          <m:d>
            <m:dPr>
              <m:ctrlPr>
                <w:rPr>
                  <w:rFonts w:ascii="Cambria Math" w:hAnsi="Cambria Math" w:cs="Times New Roman"/>
                  <w:i/>
                  <w:lang w:val="en-US"/>
                </w:rPr>
              </m:ctrlPr>
            </m:dPr>
            <m:e>
              <m:r>
                <w:rPr>
                  <w:rFonts w:ascii="Cambria Math" w:hAnsi="Cambria Math" w:cs="Times New Roman"/>
                </w:rPr>
                <m:t>t</m:t>
              </m:r>
            </m:e>
          </m:d>
          <m:r>
            <w:rPr>
              <w:rFonts w:ascii="Cambria Math" w:hAnsi="Cambria Math" w:cs="Times New Roman"/>
              <w:lang w:val="en-US"/>
            </w:rPr>
            <m:t>=2</m:t>
          </m:r>
          <m:r>
            <w:rPr>
              <w:rFonts w:ascii="Cambria Math" w:hAnsi="Cambria Math" w:cs="Times New Roman"/>
            </w:rPr>
            <m:t>λ</m:t>
          </m:r>
          <m:rad>
            <m:radPr>
              <m:degHide m:val="1"/>
              <m:ctrlPr>
                <w:rPr>
                  <w:rFonts w:ascii="Cambria Math" w:hAnsi="Cambria Math" w:cs="Times New Roman"/>
                  <w:i/>
                  <w:iCs/>
                </w:rPr>
              </m:ctrlPr>
            </m:radPr>
            <m:deg/>
            <m:e>
              <m:sSub>
                <m:sSubPr>
                  <m:ctrlPr>
                    <w:rPr>
                      <w:rFonts w:ascii="Cambria Math" w:hAnsi="Cambria Math" w:cs="Times New Roman"/>
                      <w:i/>
                      <w:iCs/>
                    </w:rPr>
                  </m:ctrlPr>
                </m:sSubPr>
                <m:e>
                  <m:r>
                    <w:rPr>
                      <w:rFonts w:ascii="Cambria Math" w:hAnsi="Cambria Math" w:cs="Times New Roman"/>
                    </w:rPr>
                    <m:t>α</m:t>
                  </m:r>
                </m:e>
                <m:sub>
                  <m:r>
                    <w:rPr>
                      <w:rFonts w:ascii="Cambria Math" w:hAnsi="Cambria Math" w:cs="Times New Roman"/>
                    </w:rPr>
                    <m:t>L</m:t>
                  </m:r>
                </m:sub>
              </m:sSub>
              <m:r>
                <w:rPr>
                  <w:rFonts w:ascii="Cambria Math" w:hAnsi="Cambria Math" w:cs="Times New Roman"/>
                </w:rPr>
                <m:t>t</m:t>
              </m:r>
            </m:e>
          </m:rad>
          <m:r>
            <m:rPr>
              <m:sty m:val="p"/>
            </m:rPr>
            <w:rPr>
              <w:rFonts w:ascii="Cambria Math" w:hAnsi="Cambria Math" w:cs="Times New Roman"/>
              <w:lang w:val="en-US"/>
            </w:rPr>
            <m:t xml:space="preserve">                                                                          (57)</m:t>
          </m:r>
          <m:r>
            <m:rPr>
              <m:sty m:val="p"/>
            </m:rPr>
            <w:rPr>
              <w:rFonts w:ascii="Cambria Math" w:hAnsi="Cambria Math" w:cs="Times New Roman"/>
              <w:lang w:val="en-US"/>
            </w:rPr>
            <w:br/>
          </m:r>
        </m:oMath>
      </m:oMathPara>
      <w:r w:rsidRPr="00625AD6">
        <w:rPr>
          <w:rFonts w:cs="Times New Roman"/>
          <w:lang w:val="en-US"/>
        </w:rPr>
        <w:t>2) Temperature in the liquid phase Eq. (58):</w:t>
      </w:r>
    </w:p>
    <w:p w14:paraId="310DEEE3" w14:textId="77777777" w:rsidR="00625AD6" w:rsidRPr="00625AD6" w:rsidRDefault="00625AD6" w:rsidP="00625AD6">
      <w:pPr>
        <w:tabs>
          <w:tab w:val="left" w:pos="1820"/>
        </w:tabs>
        <w:rPr>
          <w:rFonts w:cs="Times New Roman"/>
          <w:lang w:val="en-US"/>
        </w:rPr>
      </w:pPr>
      <m:oMathPara>
        <m:oMathParaPr>
          <m:jc m:val="right"/>
        </m:oMathParaPr>
        <m:oMath>
          <m:r>
            <w:rPr>
              <w:rFonts w:ascii="Cambria Math" w:hAnsi="Cambria Math" w:cs="Times New Roman"/>
            </w:rPr>
            <m:t>T</m:t>
          </m:r>
          <m:d>
            <m:dPr>
              <m:ctrlPr>
                <w:rPr>
                  <w:rFonts w:ascii="Cambria Math" w:hAnsi="Cambria Math" w:cs="Times New Roman"/>
                  <w:i/>
                  <w:lang w:val="en-US"/>
                </w:rPr>
              </m:ctrlPr>
            </m:dPr>
            <m:e>
              <m:r>
                <w:rPr>
                  <w:rFonts w:ascii="Cambria Math" w:hAnsi="Cambria Math" w:cs="Times New Roman"/>
                </w:rPr>
                <m:t>x</m:t>
              </m:r>
              <m:r>
                <w:rPr>
                  <w:rFonts w:ascii="Cambria Math" w:hAnsi="Cambria Math" w:cs="Times New Roman"/>
                  <w:lang w:val="en-US"/>
                </w:rPr>
                <m:t>,</m:t>
              </m:r>
              <m:r>
                <w:rPr>
                  <w:rFonts w:ascii="Cambria Math" w:hAnsi="Cambria Math" w:cs="Times New Roman"/>
                </w:rPr>
                <m:t>t</m:t>
              </m:r>
            </m:e>
          </m:d>
          <m:r>
            <w:rPr>
              <w:rFonts w:ascii="Cambria Math" w:hAnsi="Cambria Math" w:cs="Times New Roman"/>
              <w:lang w:val="en-US"/>
            </w:rPr>
            <m:t>=</m:t>
          </m:r>
          <m:sSub>
            <m:sSubPr>
              <m:ctrlPr>
                <w:rPr>
                  <w:rFonts w:ascii="Cambria Math" w:hAnsi="Cambria Math" w:cs="Times New Roman"/>
                  <w:i/>
                  <w:iCs/>
                </w:rPr>
              </m:ctrlPr>
            </m:sSubPr>
            <m:e>
              <m:r>
                <w:rPr>
                  <w:rFonts w:ascii="Cambria Math" w:hAnsi="Cambria Math" w:cs="Times New Roman"/>
                </w:rPr>
                <m:t>T</m:t>
              </m:r>
            </m:e>
            <m:sub>
              <m:r>
                <w:rPr>
                  <w:rFonts w:ascii="Cambria Math" w:hAnsi="Cambria Math" w:cs="Times New Roman"/>
                </w:rPr>
                <m:t>L</m:t>
              </m:r>
            </m:sub>
          </m:sSub>
          <m:r>
            <w:rPr>
              <w:rFonts w:ascii="Cambria Math" w:hAnsi="Cambria Math" w:cs="Times New Roman"/>
              <w:lang w:val="en-US"/>
            </w:rPr>
            <m:t>-</m:t>
          </m:r>
          <m:d>
            <m:dPr>
              <m:ctrlPr>
                <w:rPr>
                  <w:rFonts w:ascii="Cambria Math" w:hAnsi="Cambria Math" w:cs="Times New Roman"/>
                  <w:i/>
                  <w:lang w:val="en-US"/>
                </w:rPr>
              </m:ctrlPr>
            </m:dPr>
            <m:e>
              <m:sSub>
                <m:sSubPr>
                  <m:ctrlPr>
                    <w:rPr>
                      <w:rFonts w:ascii="Cambria Math" w:hAnsi="Cambria Math" w:cs="Times New Roman"/>
                      <w:i/>
                      <w:iCs/>
                    </w:rPr>
                  </m:ctrlPr>
                </m:sSubPr>
                <m:e>
                  <m:r>
                    <w:rPr>
                      <w:rFonts w:ascii="Cambria Math" w:hAnsi="Cambria Math" w:cs="Times New Roman"/>
                    </w:rPr>
                    <m:t>T</m:t>
                  </m:r>
                </m:e>
                <m:sub>
                  <m:r>
                    <w:rPr>
                      <w:rFonts w:ascii="Cambria Math" w:hAnsi="Cambria Math" w:cs="Times New Roman"/>
                    </w:rPr>
                    <m:t>L</m:t>
                  </m:r>
                </m:sub>
              </m:sSub>
              <m:r>
                <w:rPr>
                  <w:rFonts w:ascii="Cambria Math" w:hAnsi="Cambria Math" w:cs="Times New Roman"/>
                  <w:lang w:val="en-US"/>
                </w:rPr>
                <m:t>-</m:t>
              </m:r>
              <m:sSub>
                <m:sSubPr>
                  <m:ctrlPr>
                    <w:rPr>
                      <w:rFonts w:ascii="Cambria Math" w:hAnsi="Cambria Math" w:cs="Times New Roman"/>
                      <w:i/>
                      <w:iCs/>
                    </w:rPr>
                  </m:ctrlPr>
                </m:sSubPr>
                <m:e>
                  <m:r>
                    <w:rPr>
                      <w:rFonts w:ascii="Cambria Math" w:hAnsi="Cambria Math" w:cs="Times New Roman"/>
                    </w:rPr>
                    <m:t>T</m:t>
                  </m:r>
                </m:e>
                <m:sub>
                  <m:r>
                    <w:rPr>
                      <w:rFonts w:ascii="Cambria Math" w:hAnsi="Cambria Math" w:cs="Times New Roman"/>
                    </w:rPr>
                    <m:t>M</m:t>
                  </m:r>
                </m:sub>
              </m:sSub>
            </m:e>
          </m:d>
          <m:f>
            <m:fPr>
              <m:ctrlPr>
                <w:rPr>
                  <w:rFonts w:ascii="Cambria Math" w:hAnsi="Cambria Math" w:cs="Times New Roman"/>
                  <w:i/>
                  <w:iCs/>
                </w:rPr>
              </m:ctrlPr>
            </m:fPr>
            <m:num>
              <m:func>
                <m:funcPr>
                  <m:ctrlPr>
                    <w:rPr>
                      <w:rFonts w:ascii="Cambria Math" w:hAnsi="Cambria Math" w:cs="Times New Roman"/>
                      <w:i/>
                      <w:lang w:val="en-US"/>
                    </w:rPr>
                  </m:ctrlPr>
                </m:funcPr>
                <m:fName>
                  <m:r>
                    <m:rPr>
                      <m:sty m:val="p"/>
                    </m:rPr>
                    <w:rPr>
                      <w:rFonts w:ascii="Cambria Math" w:hAnsi="Cambria Math" w:cs="Times New Roman"/>
                      <w:lang w:val="en-US"/>
                    </w:rPr>
                    <m:t>erf</m:t>
                  </m:r>
                  <m:ctrlPr>
                    <w:rPr>
                      <w:rFonts w:ascii="Cambria Math" w:hAnsi="Cambria Math" w:cs="Times New Roman"/>
                    </w:rPr>
                  </m:ctrlPr>
                </m:fName>
                <m:e>
                  <m:d>
                    <m:dPr>
                      <m:ctrlPr>
                        <w:rPr>
                          <w:rFonts w:ascii="Cambria Math" w:hAnsi="Cambria Math" w:cs="Times New Roman"/>
                          <w:i/>
                          <w:lang w:val="en-US"/>
                        </w:rPr>
                      </m:ctrlPr>
                    </m:dPr>
                    <m:e>
                      <m:f>
                        <m:fPr>
                          <m:ctrlPr>
                            <w:rPr>
                              <w:rFonts w:ascii="Cambria Math" w:hAnsi="Cambria Math" w:cs="Times New Roman"/>
                              <w:i/>
                              <w:lang w:val="en-US"/>
                            </w:rPr>
                          </m:ctrlPr>
                        </m:fPr>
                        <m:num>
                          <m:r>
                            <w:rPr>
                              <w:rFonts w:ascii="Cambria Math" w:hAnsi="Cambria Math" w:cs="Times New Roman"/>
                            </w:rPr>
                            <m:t>x</m:t>
                          </m:r>
                        </m:num>
                        <m:den>
                          <m:r>
                            <w:rPr>
                              <w:rFonts w:ascii="Cambria Math" w:hAnsi="Cambria Math" w:cs="Times New Roman"/>
                              <w:lang w:val="en-US"/>
                            </w:rPr>
                            <m:t>2</m:t>
                          </m:r>
                          <m:rad>
                            <m:radPr>
                              <m:degHide m:val="1"/>
                              <m:ctrlPr>
                                <w:rPr>
                                  <w:rFonts w:ascii="Cambria Math" w:hAnsi="Cambria Math" w:cs="Times New Roman"/>
                                  <w:i/>
                                  <w:iCs/>
                                </w:rPr>
                              </m:ctrlPr>
                            </m:radPr>
                            <m:deg/>
                            <m:e>
                              <m:sSub>
                                <m:sSubPr>
                                  <m:ctrlPr>
                                    <w:rPr>
                                      <w:rFonts w:ascii="Cambria Math" w:hAnsi="Cambria Math" w:cs="Times New Roman"/>
                                      <w:i/>
                                      <w:iCs/>
                                    </w:rPr>
                                  </m:ctrlPr>
                                </m:sSubPr>
                                <m:e>
                                  <m:r>
                                    <w:rPr>
                                      <w:rFonts w:ascii="Cambria Math" w:hAnsi="Cambria Math" w:cs="Times New Roman"/>
                                    </w:rPr>
                                    <m:t>α</m:t>
                                  </m:r>
                                </m:e>
                                <m:sub>
                                  <m:r>
                                    <w:rPr>
                                      <w:rFonts w:ascii="Cambria Math" w:hAnsi="Cambria Math" w:cs="Times New Roman"/>
                                    </w:rPr>
                                    <m:t>L</m:t>
                                  </m:r>
                                </m:sub>
                              </m:sSub>
                              <m:r>
                                <w:rPr>
                                  <w:rFonts w:ascii="Cambria Math" w:hAnsi="Cambria Math" w:cs="Times New Roman"/>
                                </w:rPr>
                                <m:t>t</m:t>
                              </m:r>
                            </m:e>
                          </m:rad>
                        </m:den>
                      </m:f>
                    </m:e>
                  </m:d>
                </m:e>
              </m:func>
            </m:num>
            <m:den>
              <m:func>
                <m:funcPr>
                  <m:ctrlPr>
                    <w:rPr>
                      <w:rFonts w:ascii="Cambria Math" w:hAnsi="Cambria Math" w:cs="Times New Roman"/>
                      <w:i/>
                      <w:lang w:val="en-US"/>
                    </w:rPr>
                  </m:ctrlPr>
                </m:funcPr>
                <m:fName>
                  <m:r>
                    <m:rPr>
                      <m:sty m:val="p"/>
                    </m:rPr>
                    <w:rPr>
                      <w:rFonts w:ascii="Cambria Math" w:hAnsi="Cambria Math" w:cs="Times New Roman"/>
                      <w:lang w:val="en-US"/>
                    </w:rPr>
                    <m:t>erf</m:t>
                  </m:r>
                  <m:ctrlPr>
                    <w:rPr>
                      <w:rFonts w:ascii="Cambria Math" w:hAnsi="Cambria Math" w:cs="Times New Roman"/>
                    </w:rPr>
                  </m:ctrlPr>
                </m:fName>
                <m:e>
                  <m:d>
                    <m:dPr>
                      <m:ctrlPr>
                        <w:rPr>
                          <w:rFonts w:ascii="Cambria Math" w:hAnsi="Cambria Math" w:cs="Times New Roman"/>
                          <w:i/>
                          <w:lang w:val="en-US"/>
                        </w:rPr>
                      </m:ctrlPr>
                    </m:dPr>
                    <m:e>
                      <m:r>
                        <w:rPr>
                          <w:rFonts w:ascii="Cambria Math" w:hAnsi="Cambria Math" w:cs="Times New Roman"/>
                        </w:rPr>
                        <m:t>λ</m:t>
                      </m:r>
                    </m:e>
                  </m:d>
                </m:e>
              </m:func>
            </m:den>
          </m:f>
          <m:r>
            <m:rPr>
              <m:sty m:val="p"/>
            </m:rPr>
            <w:rPr>
              <w:rFonts w:ascii="Cambria Math" w:hAnsi="Cambria Math" w:cs="Times New Roman"/>
              <w:lang w:val="en-US"/>
            </w:rPr>
            <m:t xml:space="preserve">                                                    (58)</m:t>
          </m:r>
          <m:r>
            <m:rPr>
              <m:sty m:val="p"/>
            </m:rPr>
            <w:rPr>
              <w:rFonts w:ascii="Cambria Math" w:hAnsi="Cambria Math" w:cs="Times New Roman"/>
              <w:lang w:val="en-US"/>
            </w:rPr>
            <w:br/>
          </m:r>
        </m:oMath>
      </m:oMathPara>
      <w:r w:rsidRPr="00625AD6">
        <w:rPr>
          <w:rFonts w:cs="Times New Roman"/>
          <w:lang w:val="en-US"/>
        </w:rPr>
        <w:t>3) Temperature in the solid phase Eq. (59):</w:t>
      </w:r>
    </w:p>
    <w:p w14:paraId="7E925799" w14:textId="77777777" w:rsidR="00625AD6" w:rsidRPr="00625AD6" w:rsidRDefault="00625AD6" w:rsidP="00625AD6">
      <w:pPr>
        <w:tabs>
          <w:tab w:val="left" w:pos="1820"/>
        </w:tabs>
        <w:rPr>
          <w:rFonts w:cs="Times New Roman"/>
          <w:i/>
          <w:iCs/>
        </w:rPr>
      </w:pPr>
      <m:oMathPara>
        <m:oMathParaPr>
          <m:jc m:val="right"/>
        </m:oMathParaPr>
        <m:oMath>
          <m:r>
            <w:rPr>
              <w:rFonts w:ascii="Cambria Math" w:hAnsi="Cambria Math" w:cs="Times New Roman"/>
            </w:rPr>
            <m:t>T</m:t>
          </m:r>
          <m:d>
            <m:dPr>
              <m:ctrlPr>
                <w:rPr>
                  <w:rFonts w:ascii="Cambria Math" w:hAnsi="Cambria Math" w:cs="Times New Roman"/>
                  <w:i/>
                </w:rPr>
              </m:ctrlPr>
            </m:dPr>
            <m:e>
              <m:r>
                <w:rPr>
                  <w:rFonts w:ascii="Cambria Math" w:hAnsi="Cambria Math" w:cs="Times New Roman"/>
                </w:rPr>
                <m:t>x,t</m:t>
              </m:r>
            </m:e>
          </m:d>
          <m:r>
            <w:rPr>
              <w:rFonts w:ascii="Cambria Math" w:hAnsi="Cambria Math" w:cs="Times New Roman"/>
            </w:rPr>
            <m:t>=</m:t>
          </m:r>
          <m:sSub>
            <m:sSubPr>
              <m:ctrlPr>
                <w:rPr>
                  <w:rFonts w:ascii="Cambria Math" w:hAnsi="Cambria Math" w:cs="Times New Roman"/>
                  <w:i/>
                  <w:iCs/>
                </w:rPr>
              </m:ctrlPr>
            </m:sSubPr>
            <m:e>
              <m:r>
                <w:rPr>
                  <w:rFonts w:ascii="Cambria Math" w:hAnsi="Cambria Math" w:cs="Times New Roman"/>
                </w:rPr>
                <m:t>T</m:t>
              </m:r>
            </m:e>
            <m:sub>
              <m:r>
                <w:rPr>
                  <w:rFonts w:ascii="Cambria Math" w:hAnsi="Cambria Math" w:cs="Times New Roman"/>
                </w:rPr>
                <m:t>s</m:t>
              </m:r>
            </m:sub>
          </m:sSub>
          <m:r>
            <w:rPr>
              <w:rFonts w:ascii="Cambria Math" w:hAnsi="Cambria Math" w:cs="Times New Roman"/>
            </w:rPr>
            <m:t>+</m:t>
          </m:r>
          <m:d>
            <m:dPr>
              <m:ctrlPr>
                <w:rPr>
                  <w:rFonts w:ascii="Cambria Math" w:hAnsi="Cambria Math" w:cs="Times New Roman"/>
                  <w:i/>
                </w:rPr>
              </m:ctrlPr>
            </m:dPr>
            <m:e>
              <m:sSub>
                <m:sSubPr>
                  <m:ctrlPr>
                    <w:rPr>
                      <w:rFonts w:ascii="Cambria Math" w:hAnsi="Cambria Math" w:cs="Times New Roman"/>
                      <w:i/>
                      <w:iCs/>
                    </w:rPr>
                  </m:ctrlPr>
                </m:sSubPr>
                <m:e>
                  <m:r>
                    <w:rPr>
                      <w:rFonts w:ascii="Cambria Math" w:hAnsi="Cambria Math" w:cs="Times New Roman"/>
                    </w:rPr>
                    <m:t>T</m:t>
                  </m:r>
                </m:e>
                <m:sub>
                  <m:r>
                    <w:rPr>
                      <w:rFonts w:ascii="Cambria Math" w:hAnsi="Cambria Math" w:cs="Times New Roman"/>
                    </w:rPr>
                    <m:t>m</m:t>
                  </m:r>
                </m:sub>
              </m:sSub>
              <m:r>
                <w:rPr>
                  <w:rFonts w:ascii="Cambria Math" w:hAnsi="Cambria Math" w:cs="Times New Roman"/>
                </w:rPr>
                <m:t>-</m:t>
              </m:r>
              <m:sSub>
                <m:sSubPr>
                  <m:ctrlPr>
                    <w:rPr>
                      <w:rFonts w:ascii="Cambria Math" w:hAnsi="Cambria Math" w:cs="Times New Roman"/>
                      <w:i/>
                      <w:iCs/>
                    </w:rPr>
                  </m:ctrlPr>
                </m:sSubPr>
                <m:e>
                  <m:r>
                    <w:rPr>
                      <w:rFonts w:ascii="Cambria Math" w:hAnsi="Cambria Math" w:cs="Times New Roman"/>
                    </w:rPr>
                    <m:t>T</m:t>
                  </m:r>
                </m:e>
                <m:sub>
                  <m:r>
                    <w:rPr>
                      <w:rFonts w:ascii="Cambria Math" w:hAnsi="Cambria Math" w:cs="Times New Roman"/>
                    </w:rPr>
                    <m:t>s</m:t>
                  </m:r>
                </m:sub>
              </m:sSub>
            </m:e>
          </m:d>
          <m:f>
            <m:fPr>
              <m:ctrlPr>
                <w:rPr>
                  <w:rFonts w:ascii="Cambria Math" w:hAnsi="Cambria Math" w:cs="Times New Roman"/>
                  <w:i/>
                  <w:iCs/>
                </w:rPr>
              </m:ctrlPr>
            </m:fPr>
            <m:num>
              <m:func>
                <m:funcPr>
                  <m:ctrlPr>
                    <w:rPr>
                      <w:rFonts w:ascii="Cambria Math" w:hAnsi="Cambria Math" w:cs="Times New Roman"/>
                      <w:i/>
                    </w:rPr>
                  </m:ctrlPr>
                </m:funcPr>
                <m:fName>
                  <m:r>
                    <m:rPr>
                      <m:sty m:val="p"/>
                    </m:rPr>
                    <w:rPr>
                      <w:rFonts w:ascii="Cambria Math" w:hAnsi="Cambria Math" w:cs="Times New Roman"/>
                    </w:rPr>
                    <m:t>erfc</m:t>
                  </m:r>
                  <m:ctrlPr>
                    <w:rPr>
                      <w:rFonts w:ascii="Cambria Math" w:hAnsi="Cambria Math" w:cs="Times New Roman"/>
                    </w:rPr>
                  </m:ctrlPr>
                </m:fName>
                <m:e>
                  <m:d>
                    <m:dPr>
                      <m:ctrlPr>
                        <w:rPr>
                          <w:rFonts w:ascii="Cambria Math" w:hAnsi="Cambria Math" w:cs="Times New Roman"/>
                          <w:i/>
                        </w:rPr>
                      </m:ctrlPr>
                    </m:dPr>
                    <m:e>
                      <m:f>
                        <m:fPr>
                          <m:ctrlPr>
                            <w:rPr>
                              <w:rFonts w:ascii="Cambria Math" w:hAnsi="Cambria Math" w:cs="Times New Roman"/>
                              <w:i/>
                            </w:rPr>
                          </m:ctrlPr>
                        </m:fPr>
                        <m:num>
                          <m:r>
                            <w:rPr>
                              <w:rFonts w:ascii="Cambria Math" w:hAnsi="Cambria Math" w:cs="Times New Roman"/>
                            </w:rPr>
                            <m:t>x</m:t>
                          </m:r>
                        </m:num>
                        <m:den>
                          <m:r>
                            <w:rPr>
                              <w:rFonts w:ascii="Cambria Math" w:hAnsi="Cambria Math" w:cs="Times New Roman"/>
                            </w:rPr>
                            <m:t>2</m:t>
                          </m:r>
                          <m:rad>
                            <m:radPr>
                              <m:degHide m:val="1"/>
                              <m:ctrlPr>
                                <w:rPr>
                                  <w:rFonts w:ascii="Cambria Math" w:hAnsi="Cambria Math" w:cs="Times New Roman"/>
                                  <w:i/>
                                  <w:iCs/>
                                </w:rPr>
                              </m:ctrlPr>
                            </m:radPr>
                            <m:deg/>
                            <m:e>
                              <m:sSub>
                                <m:sSubPr>
                                  <m:ctrlPr>
                                    <w:rPr>
                                      <w:rFonts w:ascii="Cambria Math" w:hAnsi="Cambria Math" w:cs="Times New Roman"/>
                                      <w:i/>
                                      <w:iCs/>
                                    </w:rPr>
                                  </m:ctrlPr>
                                </m:sSubPr>
                                <m:e>
                                  <m:r>
                                    <w:rPr>
                                      <w:rFonts w:ascii="Cambria Math" w:hAnsi="Cambria Math" w:cs="Times New Roman"/>
                                    </w:rPr>
                                    <m:t>α</m:t>
                                  </m:r>
                                </m:e>
                                <m:sub>
                                  <m:r>
                                    <w:rPr>
                                      <w:rFonts w:ascii="Cambria Math" w:hAnsi="Cambria Math" w:cs="Times New Roman"/>
                                    </w:rPr>
                                    <m:t>s</m:t>
                                  </m:r>
                                </m:sub>
                              </m:sSub>
                              <m:r>
                                <w:rPr>
                                  <w:rFonts w:ascii="Cambria Math" w:hAnsi="Cambria Math" w:cs="Times New Roman"/>
                                </w:rPr>
                                <m:t>t</m:t>
                              </m:r>
                            </m:e>
                          </m:rad>
                        </m:den>
                      </m:f>
                    </m:e>
                  </m:d>
                </m:e>
              </m:func>
            </m:num>
            <m:den>
              <m:func>
                <m:funcPr>
                  <m:ctrlPr>
                    <w:rPr>
                      <w:rFonts w:ascii="Cambria Math" w:hAnsi="Cambria Math" w:cs="Times New Roman"/>
                      <w:i/>
                    </w:rPr>
                  </m:ctrlPr>
                </m:funcPr>
                <m:fName>
                  <m:r>
                    <m:rPr>
                      <m:sty m:val="p"/>
                    </m:rPr>
                    <w:rPr>
                      <w:rFonts w:ascii="Cambria Math" w:hAnsi="Cambria Math" w:cs="Times New Roman"/>
                    </w:rPr>
                    <m:t>erfc</m:t>
                  </m:r>
                  <m:ctrlPr>
                    <w:rPr>
                      <w:rFonts w:ascii="Cambria Math" w:hAnsi="Cambria Math" w:cs="Times New Roman"/>
                    </w:rPr>
                  </m:ctrlPr>
                </m:fName>
                <m:e>
                  <m:d>
                    <m:dPr>
                      <m:ctrlPr>
                        <w:rPr>
                          <w:rFonts w:ascii="Cambria Math" w:hAnsi="Cambria Math" w:cs="Times New Roman"/>
                          <w:i/>
                        </w:rPr>
                      </m:ctrlPr>
                    </m:dPr>
                    <m:e>
                      <m:r>
                        <w:rPr>
                          <w:rFonts w:ascii="Cambria Math" w:hAnsi="Cambria Math" w:cs="Times New Roman"/>
                        </w:rPr>
                        <m:t>λ</m:t>
                      </m:r>
                      <m:rad>
                        <m:radPr>
                          <m:degHide m:val="1"/>
                          <m:ctrlPr>
                            <w:rPr>
                              <w:rFonts w:ascii="Cambria Math" w:hAnsi="Cambria Math" w:cs="Times New Roman"/>
                              <w:i/>
                              <w:iCs/>
                            </w:rPr>
                          </m:ctrlPr>
                        </m:radPr>
                        <m:deg/>
                        <m:e>
                          <m:f>
                            <m:fPr>
                              <m:ctrlPr>
                                <w:rPr>
                                  <w:rFonts w:ascii="Cambria Math" w:hAnsi="Cambria Math" w:cs="Times New Roman"/>
                                  <w:i/>
                                </w:rPr>
                              </m:ctrlPr>
                            </m:fPr>
                            <m:num>
                              <m:sSub>
                                <m:sSubPr>
                                  <m:ctrlPr>
                                    <w:rPr>
                                      <w:rFonts w:ascii="Cambria Math" w:hAnsi="Cambria Math" w:cs="Times New Roman"/>
                                      <w:i/>
                                      <w:iCs/>
                                    </w:rPr>
                                  </m:ctrlPr>
                                </m:sSubPr>
                                <m:e>
                                  <m:r>
                                    <w:rPr>
                                      <w:rFonts w:ascii="Cambria Math" w:hAnsi="Cambria Math" w:cs="Times New Roman"/>
                                    </w:rPr>
                                    <m:t>α</m:t>
                                  </m:r>
                                </m:e>
                                <m:sub>
                                  <m:r>
                                    <w:rPr>
                                      <w:rFonts w:ascii="Cambria Math" w:hAnsi="Cambria Math" w:cs="Times New Roman"/>
                                    </w:rPr>
                                    <m:t>L</m:t>
                                  </m:r>
                                </m:sub>
                              </m:sSub>
                              <m:ctrlPr>
                                <w:rPr>
                                  <w:rFonts w:ascii="Cambria Math" w:hAnsi="Cambria Math" w:cs="Times New Roman"/>
                                  <w:i/>
                                  <w:iCs/>
                                </w:rPr>
                              </m:ctrlPr>
                            </m:num>
                            <m:den>
                              <m:sSub>
                                <m:sSubPr>
                                  <m:ctrlPr>
                                    <w:rPr>
                                      <w:rFonts w:ascii="Cambria Math" w:hAnsi="Cambria Math" w:cs="Times New Roman"/>
                                      <w:i/>
                                      <w:iCs/>
                                    </w:rPr>
                                  </m:ctrlPr>
                                </m:sSubPr>
                                <m:e>
                                  <m:r>
                                    <w:rPr>
                                      <w:rFonts w:ascii="Cambria Math" w:hAnsi="Cambria Math" w:cs="Times New Roman"/>
                                    </w:rPr>
                                    <m:t>α</m:t>
                                  </m:r>
                                </m:e>
                                <m:sub>
                                  <m:r>
                                    <w:rPr>
                                      <w:rFonts w:ascii="Cambria Math" w:hAnsi="Cambria Math" w:cs="Times New Roman"/>
                                    </w:rPr>
                                    <m:t>s</m:t>
                                  </m:r>
                                </m:sub>
                              </m:sSub>
                            </m:den>
                          </m:f>
                        </m:e>
                      </m:rad>
                    </m:e>
                  </m:d>
                </m:e>
              </m:func>
            </m:den>
          </m:f>
          <m:r>
            <w:rPr>
              <w:rFonts w:ascii="Cambria Math" w:hAnsi="Cambria Math" w:cs="Times New Roman"/>
            </w:rPr>
            <m:t xml:space="preserve">                                                   (59)</m:t>
          </m:r>
        </m:oMath>
      </m:oMathPara>
    </w:p>
    <w:p w14:paraId="4F378051" w14:textId="77777777" w:rsidR="00625AD6" w:rsidRPr="00625AD6" w:rsidRDefault="00625AD6" w:rsidP="00625AD6">
      <w:pPr>
        <w:tabs>
          <w:tab w:val="left" w:pos="1820"/>
        </w:tabs>
        <w:rPr>
          <w:rFonts w:cs="Times New Roman"/>
          <w:lang w:val="en-US"/>
        </w:rPr>
      </w:pPr>
      <w:r w:rsidRPr="00625AD6">
        <w:rPr>
          <w:rFonts w:cs="Times New Roman"/>
          <w:lang w:val="en-US"/>
        </w:rPr>
        <w:t xml:space="preserve">The parameter </w:t>
      </w:r>
      <m:oMath>
        <m:r>
          <m:rPr>
            <m:sty m:val="p"/>
          </m:rPr>
          <w:rPr>
            <w:rFonts w:ascii="Cambria Math" w:hAnsi="Cambria Math" w:cs="Times New Roman"/>
          </w:rPr>
          <m:t>λ</m:t>
        </m:r>
        <m:r>
          <m:rPr>
            <m:sty m:val="p"/>
          </m:rPr>
          <w:rPr>
            <w:rFonts w:ascii="Cambria Math" w:hAnsi="Cambria Math" w:cs="Times New Roman"/>
            <w:lang w:val="en-US"/>
          </w:rPr>
          <m:t xml:space="preserve"> </m:t>
        </m:r>
      </m:oMath>
      <w:r w:rsidRPr="00625AD6">
        <w:rPr>
          <w:rFonts w:cs="Times New Roman"/>
          <w:lang w:val="en-US"/>
        </w:rPr>
        <w:t>is found by enforcing the Stefan condition at the moving interface, leading to the following transcendental equation Eq. (60):</w:t>
      </w:r>
    </w:p>
    <w:p w14:paraId="1F428775" w14:textId="73B2780A" w:rsidR="00625AD6" w:rsidRPr="00625AD6" w:rsidRDefault="00000000" w:rsidP="00625AD6">
      <w:pPr>
        <w:tabs>
          <w:tab w:val="left" w:pos="1820"/>
        </w:tabs>
        <w:rPr>
          <w:rFonts w:cs="Times New Roman"/>
          <w:lang w:val="en-US"/>
        </w:rPr>
      </w:pPr>
      <m:oMathPara>
        <m:oMathParaPr>
          <m:jc m:val="right"/>
        </m:oMathParaPr>
        <m:oMath>
          <m:f>
            <m:fPr>
              <m:ctrlPr>
                <w:rPr>
                  <w:rFonts w:ascii="Cambria Math" w:hAnsi="Cambria Math" w:cs="Times New Roman"/>
                  <w:i/>
                  <w:lang w:val="nb-NO"/>
                </w:rPr>
              </m:ctrlPr>
            </m:fPr>
            <m:num>
              <m:r>
                <w:rPr>
                  <w:rFonts w:ascii="Cambria Math" w:hAnsi="Cambria Math" w:cs="Times New Roman"/>
                  <w:lang w:val="nb-NO"/>
                </w:rPr>
                <m:t>S</m:t>
              </m:r>
              <m:sSub>
                <m:sSubPr>
                  <m:ctrlPr>
                    <w:rPr>
                      <w:rFonts w:ascii="Cambria Math" w:hAnsi="Cambria Math" w:cs="Times New Roman"/>
                      <w:i/>
                      <w:lang w:val="nb-NO"/>
                    </w:rPr>
                  </m:ctrlPr>
                </m:sSubPr>
                <m:e>
                  <m:r>
                    <w:rPr>
                      <w:rFonts w:ascii="Cambria Math" w:hAnsi="Cambria Math" w:cs="Times New Roman"/>
                      <w:lang w:val="nb-NO"/>
                    </w:rPr>
                    <m:t>t</m:t>
                  </m:r>
                </m:e>
                <m:sub>
                  <m:r>
                    <w:rPr>
                      <w:rFonts w:ascii="Cambria Math" w:hAnsi="Cambria Math" w:cs="Times New Roman"/>
                      <w:lang w:val="nb-NO"/>
                    </w:rPr>
                    <m:t>L</m:t>
                  </m:r>
                </m:sub>
              </m:sSub>
            </m:num>
            <m:den>
              <m:func>
                <m:funcPr>
                  <m:ctrlPr>
                    <w:rPr>
                      <w:rFonts w:ascii="Cambria Math" w:hAnsi="Cambria Math" w:cs="Times New Roman"/>
                      <w:i/>
                      <w:lang w:val="nb-NO"/>
                    </w:rPr>
                  </m:ctrlPr>
                </m:funcPr>
                <m:fName>
                  <m:r>
                    <w:rPr>
                      <w:rFonts w:ascii="Cambria Math" w:hAnsi="Cambria Math" w:cs="Times New Roman"/>
                      <w:lang w:val="nb-NO"/>
                    </w:rPr>
                    <m:t>exp</m:t>
                  </m:r>
                </m:fName>
                <m:e>
                  <m:d>
                    <m:dPr>
                      <m:ctrlPr>
                        <w:rPr>
                          <w:rFonts w:ascii="Cambria Math" w:hAnsi="Cambria Math" w:cs="Times New Roman"/>
                          <w:i/>
                          <w:lang w:val="nb-NO"/>
                        </w:rPr>
                      </m:ctrlPr>
                    </m:dPr>
                    <m:e>
                      <m:sSup>
                        <m:sSupPr>
                          <m:ctrlPr>
                            <w:rPr>
                              <w:rFonts w:ascii="Cambria Math" w:hAnsi="Cambria Math" w:cs="Times New Roman"/>
                              <w:i/>
                              <w:lang w:val="nb-NO"/>
                            </w:rPr>
                          </m:ctrlPr>
                        </m:sSupPr>
                        <m:e>
                          <m:r>
                            <w:rPr>
                              <w:rFonts w:ascii="Cambria Math" w:hAnsi="Cambria Math" w:cs="Times New Roman"/>
                              <w:lang w:val="nb-NO"/>
                            </w:rPr>
                            <m:t>λ</m:t>
                          </m:r>
                        </m:e>
                        <m:sup>
                          <m:r>
                            <w:rPr>
                              <w:rFonts w:ascii="Cambria Math" w:hAnsi="Cambria Math" w:cs="Times New Roman"/>
                              <w:lang w:val="en-US"/>
                            </w:rPr>
                            <m:t>2</m:t>
                          </m:r>
                        </m:sup>
                      </m:sSup>
                    </m:e>
                  </m:d>
                </m:e>
              </m:func>
              <m:func>
                <m:funcPr>
                  <m:ctrlPr>
                    <w:rPr>
                      <w:rFonts w:ascii="Cambria Math" w:hAnsi="Cambria Math" w:cs="Times New Roman"/>
                      <w:i/>
                      <w:lang w:val="nb-NO"/>
                    </w:rPr>
                  </m:ctrlPr>
                </m:funcPr>
                <m:fName>
                  <m:r>
                    <w:rPr>
                      <w:rFonts w:ascii="Cambria Math" w:hAnsi="Cambria Math" w:cs="Times New Roman"/>
                      <w:lang w:val="nb-NO"/>
                    </w:rPr>
                    <m:t>erf</m:t>
                  </m:r>
                </m:fName>
                <m:e>
                  <m:r>
                    <w:rPr>
                      <w:rFonts w:ascii="Cambria Math" w:hAnsi="Cambria Math" w:cs="Times New Roman"/>
                      <w:lang w:val="en-US"/>
                    </w:rPr>
                    <m:t>(</m:t>
                  </m:r>
                  <m:r>
                    <w:rPr>
                      <w:rFonts w:ascii="Cambria Math" w:hAnsi="Cambria Math" w:cs="Times New Roman"/>
                      <w:lang w:val="nb-NO"/>
                    </w:rPr>
                    <m:t>λ</m:t>
                  </m:r>
                  <m:r>
                    <w:rPr>
                      <w:rFonts w:ascii="Cambria Math" w:hAnsi="Cambria Math" w:cs="Times New Roman"/>
                      <w:lang w:val="en-US"/>
                    </w:rPr>
                    <m:t>)</m:t>
                  </m:r>
                </m:e>
              </m:func>
            </m:den>
          </m:f>
          <m:r>
            <w:rPr>
              <w:rFonts w:ascii="Cambria Math" w:hAnsi="Cambria Math" w:cs="Times New Roman"/>
              <w:lang w:val="en-US"/>
            </w:rPr>
            <m:t>-</m:t>
          </m:r>
          <m:f>
            <m:fPr>
              <m:ctrlPr>
                <w:rPr>
                  <w:rFonts w:ascii="Cambria Math" w:hAnsi="Cambria Math" w:cs="Times New Roman"/>
                  <w:i/>
                  <w:lang w:val="nb-NO"/>
                </w:rPr>
              </m:ctrlPr>
            </m:fPr>
            <m:num>
              <m:r>
                <w:rPr>
                  <w:rFonts w:ascii="Cambria Math" w:hAnsi="Cambria Math" w:cs="Times New Roman"/>
                  <w:lang w:val="nb-NO"/>
                </w:rPr>
                <m:t>S</m:t>
              </m:r>
              <m:sSub>
                <m:sSubPr>
                  <m:ctrlPr>
                    <w:rPr>
                      <w:rFonts w:ascii="Cambria Math" w:hAnsi="Cambria Math" w:cs="Times New Roman"/>
                      <w:i/>
                      <w:lang w:val="nb-NO"/>
                    </w:rPr>
                  </m:ctrlPr>
                </m:sSubPr>
                <m:e>
                  <m:r>
                    <w:rPr>
                      <w:rFonts w:ascii="Cambria Math" w:hAnsi="Cambria Math" w:cs="Times New Roman"/>
                      <w:lang w:val="nb-NO"/>
                    </w:rPr>
                    <m:t>t</m:t>
                  </m:r>
                </m:e>
                <m:sub>
                  <m:r>
                    <w:rPr>
                      <w:rFonts w:ascii="Cambria Math" w:hAnsi="Cambria Math" w:cs="Times New Roman"/>
                      <w:lang w:val="nb-NO"/>
                    </w:rPr>
                    <m:t>S</m:t>
                  </m:r>
                </m:sub>
              </m:sSub>
              <m:r>
                <w:rPr>
                  <w:rFonts w:ascii="Cambria Math" w:hAnsi="Cambria Math" w:cs="Times New Roman"/>
                  <w:lang w:val="en-US"/>
                </w:rPr>
                <m:t xml:space="preserve"> </m:t>
              </m:r>
              <m:rad>
                <m:radPr>
                  <m:degHide m:val="1"/>
                  <m:ctrlPr>
                    <w:rPr>
                      <w:rFonts w:ascii="Cambria Math" w:hAnsi="Cambria Math" w:cs="Times New Roman"/>
                      <w:i/>
                      <w:lang w:val="nb-NO"/>
                    </w:rPr>
                  </m:ctrlPr>
                </m:radPr>
                <m:deg/>
                <m:e>
                  <m:sSub>
                    <m:sSubPr>
                      <m:ctrlPr>
                        <w:rPr>
                          <w:rFonts w:ascii="Cambria Math" w:hAnsi="Cambria Math" w:cs="Times New Roman"/>
                          <w:i/>
                          <w:lang w:val="nb-NO"/>
                        </w:rPr>
                      </m:ctrlPr>
                    </m:sSubPr>
                    <m:e>
                      <m:r>
                        <w:rPr>
                          <w:rFonts w:ascii="Cambria Math" w:hAnsi="Cambria Math" w:cs="Times New Roman"/>
                          <w:lang w:val="nb-NO"/>
                        </w:rPr>
                        <m:t>α</m:t>
                      </m:r>
                    </m:e>
                    <m:sub>
                      <m:r>
                        <w:rPr>
                          <w:rFonts w:ascii="Cambria Math" w:hAnsi="Cambria Math" w:cs="Times New Roman"/>
                          <w:lang w:val="nb-NO"/>
                        </w:rPr>
                        <m:t>S</m:t>
                      </m:r>
                    </m:sub>
                  </m:sSub>
                </m:e>
              </m:rad>
            </m:num>
            <m:den>
              <m:rad>
                <m:radPr>
                  <m:degHide m:val="1"/>
                  <m:ctrlPr>
                    <w:rPr>
                      <w:rFonts w:ascii="Cambria Math" w:hAnsi="Cambria Math" w:cs="Times New Roman"/>
                      <w:i/>
                      <w:lang w:val="nb-NO"/>
                    </w:rPr>
                  </m:ctrlPr>
                </m:radPr>
                <m:deg/>
                <m:e>
                  <m:sSub>
                    <m:sSubPr>
                      <m:ctrlPr>
                        <w:rPr>
                          <w:rFonts w:ascii="Cambria Math" w:hAnsi="Cambria Math" w:cs="Times New Roman"/>
                          <w:i/>
                          <w:lang w:val="nb-NO"/>
                        </w:rPr>
                      </m:ctrlPr>
                    </m:sSubPr>
                    <m:e>
                      <m:r>
                        <w:rPr>
                          <w:rFonts w:ascii="Cambria Math" w:hAnsi="Cambria Math" w:cs="Times New Roman"/>
                          <w:lang w:val="nb-NO"/>
                        </w:rPr>
                        <m:t>α</m:t>
                      </m:r>
                    </m:e>
                    <m:sub>
                      <m:r>
                        <w:rPr>
                          <w:rFonts w:ascii="Cambria Math" w:hAnsi="Cambria Math" w:cs="Times New Roman"/>
                          <w:lang w:val="nb-NO"/>
                        </w:rPr>
                        <m:t>L</m:t>
                      </m:r>
                    </m:sub>
                  </m:sSub>
                </m:e>
              </m:rad>
              <m:func>
                <m:funcPr>
                  <m:ctrlPr>
                    <w:rPr>
                      <w:rFonts w:ascii="Cambria Math" w:hAnsi="Cambria Math" w:cs="Times New Roman"/>
                      <w:i/>
                      <w:lang w:val="nb-NO"/>
                    </w:rPr>
                  </m:ctrlPr>
                </m:funcPr>
                <m:fName>
                  <m:r>
                    <w:rPr>
                      <w:rFonts w:ascii="Cambria Math" w:hAnsi="Cambria Math" w:cs="Times New Roman"/>
                      <w:lang w:val="nb-NO"/>
                    </w:rPr>
                    <m:t>exp</m:t>
                  </m:r>
                </m:fName>
                <m:e>
                  <m:d>
                    <m:dPr>
                      <m:ctrlPr>
                        <w:rPr>
                          <w:rFonts w:ascii="Cambria Math" w:hAnsi="Cambria Math" w:cs="Times New Roman"/>
                          <w:i/>
                          <w:lang w:val="nb-NO"/>
                        </w:rPr>
                      </m:ctrlPr>
                    </m:dPr>
                    <m:e>
                      <m:f>
                        <m:fPr>
                          <m:ctrlPr>
                            <w:rPr>
                              <w:rFonts w:ascii="Cambria Math" w:hAnsi="Cambria Math" w:cs="Times New Roman"/>
                              <w:i/>
                              <w:lang w:val="nb-NO"/>
                            </w:rPr>
                          </m:ctrlPr>
                        </m:fPr>
                        <m:num>
                          <m:sSub>
                            <m:sSubPr>
                              <m:ctrlPr>
                                <w:rPr>
                                  <w:rFonts w:ascii="Cambria Math" w:hAnsi="Cambria Math" w:cs="Times New Roman"/>
                                  <w:i/>
                                  <w:lang w:val="nb-NO"/>
                                </w:rPr>
                              </m:ctrlPr>
                            </m:sSubPr>
                            <m:e>
                              <m:r>
                                <w:rPr>
                                  <w:rFonts w:ascii="Cambria Math" w:hAnsi="Cambria Math" w:cs="Times New Roman"/>
                                  <w:lang w:val="nb-NO"/>
                                </w:rPr>
                                <m:t>α</m:t>
                              </m:r>
                            </m:e>
                            <m:sub>
                              <m:r>
                                <w:rPr>
                                  <w:rFonts w:ascii="Cambria Math" w:hAnsi="Cambria Math" w:cs="Times New Roman"/>
                                  <w:lang w:val="nb-NO"/>
                                </w:rPr>
                                <m:t>L</m:t>
                              </m:r>
                            </m:sub>
                          </m:sSub>
                          <m:sSup>
                            <m:sSupPr>
                              <m:ctrlPr>
                                <w:rPr>
                                  <w:rFonts w:ascii="Cambria Math" w:hAnsi="Cambria Math" w:cs="Times New Roman"/>
                                  <w:i/>
                                  <w:lang w:val="nb-NO"/>
                                </w:rPr>
                              </m:ctrlPr>
                            </m:sSupPr>
                            <m:e>
                              <m:r>
                                <w:rPr>
                                  <w:rFonts w:ascii="Cambria Math" w:hAnsi="Cambria Math" w:cs="Times New Roman"/>
                                  <w:lang w:val="nb-NO"/>
                                </w:rPr>
                                <m:t>λ</m:t>
                              </m:r>
                            </m:e>
                            <m:sup>
                              <m:r>
                                <w:rPr>
                                  <w:rFonts w:ascii="Cambria Math" w:hAnsi="Cambria Math" w:cs="Times New Roman"/>
                                  <w:lang w:val="en-US"/>
                                </w:rPr>
                                <m:t>2</m:t>
                              </m:r>
                            </m:sup>
                          </m:sSup>
                        </m:num>
                        <m:den>
                          <m:sSub>
                            <m:sSubPr>
                              <m:ctrlPr>
                                <w:rPr>
                                  <w:rFonts w:ascii="Cambria Math" w:hAnsi="Cambria Math" w:cs="Times New Roman"/>
                                  <w:i/>
                                  <w:lang w:val="nb-NO"/>
                                </w:rPr>
                              </m:ctrlPr>
                            </m:sSubPr>
                            <m:e>
                              <m:r>
                                <w:rPr>
                                  <w:rFonts w:ascii="Cambria Math" w:hAnsi="Cambria Math" w:cs="Times New Roman"/>
                                  <w:lang w:val="nb-NO"/>
                                </w:rPr>
                                <m:t>α</m:t>
                              </m:r>
                            </m:e>
                            <m:sub>
                              <m:r>
                                <w:rPr>
                                  <w:rFonts w:ascii="Cambria Math" w:hAnsi="Cambria Math" w:cs="Times New Roman"/>
                                  <w:lang w:val="nb-NO"/>
                                </w:rPr>
                                <m:t>S</m:t>
                              </m:r>
                            </m:sub>
                          </m:sSub>
                        </m:den>
                      </m:f>
                    </m:e>
                  </m:d>
                </m:e>
              </m:func>
              <m:r>
                <w:rPr>
                  <w:rFonts w:ascii="Cambria Math" w:hAnsi="Cambria Math" w:cs="Times New Roman"/>
                  <w:lang w:val="nb-NO"/>
                </w:rPr>
                <m:t>erfc</m:t>
              </m:r>
              <m:r>
                <w:rPr>
                  <w:rFonts w:ascii="Cambria Math" w:hAnsi="Cambria Math" w:cs="Times New Roman"/>
                  <w:lang w:val="en-US"/>
                </w:rPr>
                <m:t xml:space="preserve"> </m:t>
              </m:r>
              <m:d>
                <m:dPr>
                  <m:ctrlPr>
                    <w:rPr>
                      <w:rFonts w:ascii="Cambria Math" w:hAnsi="Cambria Math" w:cs="Times New Roman"/>
                      <w:i/>
                      <w:lang w:val="nb-NO"/>
                    </w:rPr>
                  </m:ctrlPr>
                </m:dPr>
                <m:e>
                  <m:r>
                    <w:rPr>
                      <w:rFonts w:ascii="Cambria Math" w:hAnsi="Cambria Math" w:cs="Times New Roman"/>
                      <w:lang w:val="nb-NO"/>
                    </w:rPr>
                    <m:t>λ</m:t>
                  </m:r>
                  <m:rad>
                    <m:radPr>
                      <m:degHide m:val="1"/>
                      <m:ctrlPr>
                        <w:rPr>
                          <w:rFonts w:ascii="Cambria Math" w:hAnsi="Cambria Math" w:cs="Times New Roman"/>
                          <w:i/>
                          <w:lang w:val="nb-NO"/>
                        </w:rPr>
                      </m:ctrlPr>
                    </m:radPr>
                    <m:deg/>
                    <m:e>
                      <m:f>
                        <m:fPr>
                          <m:ctrlPr>
                            <w:rPr>
                              <w:rFonts w:ascii="Cambria Math" w:hAnsi="Cambria Math" w:cs="Times New Roman"/>
                              <w:i/>
                              <w:lang w:val="nb-NO"/>
                            </w:rPr>
                          </m:ctrlPr>
                        </m:fPr>
                        <m:num>
                          <m:sSub>
                            <m:sSubPr>
                              <m:ctrlPr>
                                <w:rPr>
                                  <w:rFonts w:ascii="Cambria Math" w:hAnsi="Cambria Math" w:cs="Times New Roman"/>
                                  <w:i/>
                                  <w:lang w:val="nb-NO"/>
                                </w:rPr>
                              </m:ctrlPr>
                            </m:sSubPr>
                            <m:e>
                              <m:r>
                                <w:rPr>
                                  <w:rFonts w:ascii="Cambria Math" w:hAnsi="Cambria Math" w:cs="Times New Roman"/>
                                  <w:lang w:val="nb-NO"/>
                                </w:rPr>
                                <m:t>α</m:t>
                              </m:r>
                            </m:e>
                            <m:sub>
                              <m:r>
                                <w:rPr>
                                  <w:rFonts w:ascii="Cambria Math" w:hAnsi="Cambria Math" w:cs="Times New Roman"/>
                                  <w:lang w:val="nb-NO"/>
                                </w:rPr>
                                <m:t>L</m:t>
                              </m:r>
                            </m:sub>
                          </m:sSub>
                        </m:num>
                        <m:den>
                          <m:sSub>
                            <m:sSubPr>
                              <m:ctrlPr>
                                <w:rPr>
                                  <w:rFonts w:ascii="Cambria Math" w:hAnsi="Cambria Math" w:cs="Times New Roman"/>
                                  <w:i/>
                                  <w:lang w:val="nb-NO"/>
                                </w:rPr>
                              </m:ctrlPr>
                            </m:sSubPr>
                            <m:e>
                              <m:r>
                                <w:rPr>
                                  <w:rFonts w:ascii="Cambria Math" w:hAnsi="Cambria Math" w:cs="Times New Roman"/>
                                  <w:lang w:val="nb-NO"/>
                                </w:rPr>
                                <m:t>α</m:t>
                              </m:r>
                            </m:e>
                            <m:sub>
                              <m:r>
                                <w:rPr>
                                  <w:rFonts w:ascii="Cambria Math" w:hAnsi="Cambria Math" w:cs="Times New Roman"/>
                                  <w:lang w:val="nb-NO"/>
                                </w:rPr>
                                <m:t>s</m:t>
                              </m:r>
                            </m:sub>
                          </m:sSub>
                        </m:den>
                      </m:f>
                    </m:e>
                  </m:rad>
                </m:e>
              </m:d>
            </m:den>
          </m:f>
          <m:r>
            <w:rPr>
              <w:rFonts w:ascii="Cambria Math" w:hAnsi="Cambria Math" w:cs="Times New Roman"/>
              <w:lang w:val="en-US"/>
            </w:rPr>
            <m:t>=</m:t>
          </m:r>
          <m:r>
            <w:rPr>
              <w:rFonts w:ascii="Cambria Math" w:hAnsi="Cambria Math" w:cs="Times New Roman"/>
              <w:lang w:val="nb-NO"/>
            </w:rPr>
            <m:t>λ</m:t>
          </m:r>
          <m:rad>
            <m:radPr>
              <m:degHide m:val="1"/>
              <m:ctrlPr>
                <w:rPr>
                  <w:rFonts w:ascii="Cambria Math" w:hAnsi="Cambria Math" w:cs="Times New Roman"/>
                  <w:i/>
                  <w:lang w:val="nb-NO"/>
                </w:rPr>
              </m:ctrlPr>
            </m:radPr>
            <m:deg/>
            <m:e>
              <m:r>
                <w:rPr>
                  <w:rFonts w:ascii="Cambria Math" w:hAnsi="Cambria Math" w:cs="Times New Roman"/>
                  <w:lang w:val="nb-NO"/>
                </w:rPr>
                <m:t>π</m:t>
              </m:r>
            </m:e>
          </m:rad>
          <m:r>
            <m:rPr>
              <m:sty m:val="p"/>
            </m:rPr>
            <w:rPr>
              <w:rFonts w:ascii="Cambria Math" w:hAnsi="Cambria Math" w:cs="Times New Roman"/>
              <w:lang w:val="en-US"/>
            </w:rPr>
            <m:t xml:space="preserve">                                    (60)</m:t>
          </m:r>
          <m:r>
            <m:rPr>
              <m:sty m:val="p"/>
            </m:rPr>
            <w:rPr>
              <w:rFonts w:ascii="Cambria Math" w:hAnsi="Cambria Math" w:cs="Times New Roman"/>
              <w:lang w:val="en-US"/>
            </w:rPr>
            <w:br/>
          </m:r>
        </m:oMath>
      </m:oMathPara>
      <w:r w:rsidR="00625AD6" w:rsidRPr="00625AD6">
        <w:rPr>
          <w:rFonts w:cs="Times New Roman"/>
          <w:lang w:val="en-US"/>
        </w:rPr>
        <w:t>The dimensionless Stefan numbers for the liquid and solid phases are in Eq. (61) and Eq. (62)</w:t>
      </w:r>
      <w:r w:rsidR="00FE0BFC">
        <w:rPr>
          <w:rFonts w:cs="Times New Roman"/>
          <w:lang w:val="en-US"/>
        </w:rPr>
        <w:t>,</w:t>
      </w:r>
      <w:r w:rsidR="00625AD6" w:rsidRPr="00625AD6">
        <w:rPr>
          <w:rFonts w:cs="Times New Roman"/>
          <w:lang w:val="en-US"/>
        </w:rPr>
        <w:t xml:space="preserve"> defined as:</w:t>
      </w:r>
    </w:p>
    <w:p w14:paraId="565359C9" w14:textId="77777777" w:rsidR="00625AD6" w:rsidRPr="00625AD6" w:rsidRDefault="00000000" w:rsidP="00625AD6">
      <w:pPr>
        <w:tabs>
          <w:tab w:val="left" w:pos="1820"/>
        </w:tabs>
        <w:rPr>
          <w:rFonts w:eastAsiaTheme="minorEastAsia" w:cs="Times New Roman"/>
          <w:i/>
          <w:iCs/>
          <w:lang w:val="en-US"/>
        </w:rPr>
      </w:pPr>
      <m:oMathPara>
        <m:oMathParaPr>
          <m:jc m:val="right"/>
        </m:oMathParaPr>
        <m:oMath>
          <m:sSub>
            <m:sSubPr>
              <m:ctrlPr>
                <w:rPr>
                  <w:rFonts w:ascii="Cambria Math" w:hAnsi="Cambria Math" w:cs="Times New Roman"/>
                  <w:i/>
                  <w:iCs/>
                </w:rPr>
              </m:ctrlPr>
            </m:sSubPr>
            <m:e>
              <m:r>
                <m:rPr>
                  <m:nor/>
                </m:rPr>
                <w:rPr>
                  <w:rFonts w:cs="Times New Roman"/>
                  <w:i/>
                  <w:iCs/>
                  <w:lang w:val="en-US"/>
                </w:rPr>
                <m:t>St</m:t>
              </m:r>
            </m:e>
            <m:sub>
              <m:r>
                <w:rPr>
                  <w:rFonts w:ascii="Cambria Math" w:hAnsi="Cambria Math" w:cs="Times New Roman"/>
                </w:rPr>
                <m:t>L</m:t>
              </m:r>
            </m:sub>
          </m:sSub>
          <m:r>
            <w:rPr>
              <w:rFonts w:ascii="Cambria Math" w:hAnsi="Cambria Math" w:cs="Times New Roman"/>
              <w:lang w:val="en-US"/>
            </w:rPr>
            <m:t>=</m:t>
          </m:r>
          <m:f>
            <m:fPr>
              <m:ctrlPr>
                <w:rPr>
                  <w:rFonts w:ascii="Cambria Math" w:hAnsi="Cambria Math" w:cs="Times New Roman"/>
                  <w:i/>
                  <w:iCs/>
                </w:rPr>
              </m:ctrlPr>
            </m:fPr>
            <m:num>
              <m:sSub>
                <m:sSubPr>
                  <m:ctrlPr>
                    <w:rPr>
                      <w:rFonts w:ascii="Cambria Math" w:hAnsi="Cambria Math" w:cs="Times New Roman"/>
                      <w:i/>
                      <w:iCs/>
                    </w:rPr>
                  </m:ctrlPr>
                </m:sSubPr>
                <m:e>
                  <m:r>
                    <w:rPr>
                      <w:rFonts w:ascii="Cambria Math" w:hAnsi="Cambria Math" w:cs="Times New Roman"/>
                      <w:lang w:val="nb-NO"/>
                    </w:rPr>
                    <m:t>C</m:t>
                  </m:r>
                </m:e>
                <m:sub>
                  <m:r>
                    <w:rPr>
                      <w:rFonts w:ascii="Cambria Math" w:hAnsi="Cambria Math" w:cs="Times New Roman"/>
                      <w:lang w:val="nb-NO"/>
                    </w:rPr>
                    <m:t>L</m:t>
                  </m:r>
                </m:sub>
              </m:sSub>
              <m:d>
                <m:dPr>
                  <m:ctrlPr>
                    <w:rPr>
                      <w:rFonts w:ascii="Cambria Math" w:hAnsi="Cambria Math" w:cs="Times New Roman"/>
                      <w:i/>
                      <w:iCs/>
                      <w:lang w:val="nb-NO"/>
                    </w:rPr>
                  </m:ctrlPr>
                </m:dPr>
                <m:e>
                  <m:sSub>
                    <m:sSubPr>
                      <m:ctrlPr>
                        <w:rPr>
                          <w:rFonts w:ascii="Cambria Math" w:hAnsi="Cambria Math" w:cs="Times New Roman"/>
                          <w:i/>
                          <w:iCs/>
                        </w:rPr>
                      </m:ctrlPr>
                    </m:sSubPr>
                    <m:e>
                      <m:r>
                        <w:rPr>
                          <w:rFonts w:ascii="Cambria Math" w:hAnsi="Cambria Math" w:cs="Times New Roman"/>
                          <w:lang w:val="nb-NO"/>
                        </w:rPr>
                        <m:t>T</m:t>
                      </m:r>
                    </m:e>
                    <m:sub>
                      <m:r>
                        <w:rPr>
                          <w:rFonts w:ascii="Cambria Math" w:hAnsi="Cambria Math" w:cs="Times New Roman"/>
                          <w:lang w:val="nb-NO"/>
                        </w:rPr>
                        <m:t>L</m:t>
                      </m:r>
                    </m:sub>
                  </m:sSub>
                  <m:r>
                    <w:rPr>
                      <w:rFonts w:ascii="Cambria Math" w:hAnsi="Cambria Math" w:cs="Times New Roman"/>
                      <w:lang w:val="en-US"/>
                    </w:rPr>
                    <m:t>-</m:t>
                  </m:r>
                  <m:sSub>
                    <m:sSubPr>
                      <m:ctrlPr>
                        <w:rPr>
                          <w:rFonts w:ascii="Cambria Math" w:hAnsi="Cambria Math" w:cs="Times New Roman"/>
                          <w:i/>
                          <w:iCs/>
                        </w:rPr>
                      </m:ctrlPr>
                    </m:sSubPr>
                    <m:e>
                      <m:r>
                        <w:rPr>
                          <w:rFonts w:ascii="Cambria Math" w:hAnsi="Cambria Math" w:cs="Times New Roman"/>
                          <w:lang w:val="nb-NO"/>
                        </w:rPr>
                        <m:t>T</m:t>
                      </m:r>
                    </m:e>
                    <m:sub>
                      <m:r>
                        <w:rPr>
                          <w:rFonts w:ascii="Cambria Math" w:hAnsi="Cambria Math" w:cs="Times New Roman"/>
                          <w:lang w:val="nb-NO"/>
                        </w:rPr>
                        <m:t>m</m:t>
                      </m:r>
                    </m:sub>
                  </m:sSub>
                </m:e>
              </m:d>
            </m:num>
            <m:den>
              <m:sSub>
                <m:sSubPr>
                  <m:ctrlPr>
                    <w:rPr>
                      <w:rFonts w:ascii="Cambria Math" w:hAnsi="Cambria Math" w:cs="Times New Roman"/>
                      <w:i/>
                      <w:iCs/>
                    </w:rPr>
                  </m:ctrlPr>
                </m:sSubPr>
                <m:e>
                  <m:r>
                    <w:rPr>
                      <w:rFonts w:ascii="Cambria Math" w:hAnsi="Cambria Math" w:cs="Times New Roman"/>
                      <w:lang w:val="nb-NO"/>
                    </w:rPr>
                    <m:t>H</m:t>
                  </m:r>
                </m:e>
                <m:sub>
                  <m:r>
                    <w:rPr>
                      <w:rFonts w:ascii="Cambria Math" w:hAnsi="Cambria Math" w:cs="Times New Roman"/>
                      <w:lang w:val="nb-NO"/>
                    </w:rPr>
                    <m:t>f</m:t>
                  </m:r>
                </m:sub>
              </m:sSub>
            </m:den>
          </m:f>
          <m:r>
            <m:rPr>
              <m:sty m:val="p"/>
            </m:rPr>
            <w:rPr>
              <w:rFonts w:ascii="Cambria Math" w:hAnsi="Cambria Math" w:cs="Times New Roman"/>
              <w:lang w:val="en-US"/>
            </w:rPr>
            <m:t xml:space="preserve">                                                                  (61)</m:t>
          </m:r>
          <m:r>
            <m:rPr>
              <m:sty m:val="p"/>
            </m:rPr>
            <w:rPr>
              <w:rFonts w:ascii="Cambria Math" w:hAnsi="Cambria Math" w:cs="Times New Roman"/>
              <w:lang w:val="en-US"/>
            </w:rPr>
            <w:br/>
          </m:r>
        </m:oMath>
        <m:oMath>
          <m:sSub>
            <m:sSubPr>
              <m:ctrlPr>
                <w:rPr>
                  <w:rFonts w:ascii="Cambria Math" w:hAnsi="Cambria Math" w:cs="Times New Roman"/>
                  <w:i/>
                  <w:iCs/>
                </w:rPr>
              </m:ctrlPr>
            </m:sSubPr>
            <m:e>
              <m:r>
                <m:rPr>
                  <m:nor/>
                </m:rPr>
                <w:rPr>
                  <w:rFonts w:cs="Times New Roman"/>
                  <w:i/>
                  <w:iCs/>
                  <w:lang w:val="en-US"/>
                </w:rPr>
                <m:t>St</m:t>
              </m:r>
            </m:e>
            <m:sub>
              <m:r>
                <w:rPr>
                  <w:rFonts w:ascii="Cambria Math" w:hAnsi="Cambria Math" w:cs="Times New Roman"/>
                  <w:lang w:val="nb-NO"/>
                </w:rPr>
                <m:t>s</m:t>
              </m:r>
            </m:sub>
          </m:sSub>
          <m:r>
            <w:rPr>
              <w:rFonts w:ascii="Cambria Math" w:hAnsi="Cambria Math" w:cs="Times New Roman"/>
              <w:lang w:val="en-US"/>
            </w:rPr>
            <m:t>=</m:t>
          </m:r>
          <m:f>
            <m:fPr>
              <m:ctrlPr>
                <w:rPr>
                  <w:rFonts w:ascii="Cambria Math" w:hAnsi="Cambria Math" w:cs="Times New Roman"/>
                  <w:i/>
                  <w:iCs/>
                </w:rPr>
              </m:ctrlPr>
            </m:fPr>
            <m:num>
              <m:sSub>
                <m:sSubPr>
                  <m:ctrlPr>
                    <w:rPr>
                      <w:rFonts w:ascii="Cambria Math" w:hAnsi="Cambria Math" w:cs="Times New Roman"/>
                      <w:i/>
                      <w:iCs/>
                    </w:rPr>
                  </m:ctrlPr>
                </m:sSubPr>
                <m:e>
                  <m:r>
                    <w:rPr>
                      <w:rFonts w:ascii="Cambria Math" w:hAnsi="Cambria Math" w:cs="Times New Roman"/>
                      <w:lang w:val="nb-NO"/>
                    </w:rPr>
                    <m:t>C</m:t>
                  </m:r>
                </m:e>
                <m:sub>
                  <m:r>
                    <w:rPr>
                      <w:rFonts w:ascii="Cambria Math" w:hAnsi="Cambria Math" w:cs="Times New Roman"/>
                      <w:lang w:val="nb-NO"/>
                    </w:rPr>
                    <m:t>s</m:t>
                  </m:r>
                </m:sub>
              </m:sSub>
              <m:d>
                <m:dPr>
                  <m:ctrlPr>
                    <w:rPr>
                      <w:rFonts w:ascii="Cambria Math" w:hAnsi="Cambria Math" w:cs="Times New Roman"/>
                      <w:i/>
                      <w:iCs/>
                      <w:lang w:val="nb-NO"/>
                    </w:rPr>
                  </m:ctrlPr>
                </m:dPr>
                <m:e>
                  <m:sSub>
                    <m:sSubPr>
                      <m:ctrlPr>
                        <w:rPr>
                          <w:rFonts w:ascii="Cambria Math" w:hAnsi="Cambria Math" w:cs="Times New Roman"/>
                          <w:i/>
                          <w:iCs/>
                        </w:rPr>
                      </m:ctrlPr>
                    </m:sSubPr>
                    <m:e>
                      <m:r>
                        <w:rPr>
                          <w:rFonts w:ascii="Cambria Math" w:hAnsi="Cambria Math" w:cs="Times New Roman"/>
                          <w:lang w:val="nb-NO"/>
                        </w:rPr>
                        <m:t>T</m:t>
                      </m:r>
                    </m:e>
                    <m:sub>
                      <m:r>
                        <w:rPr>
                          <w:rFonts w:ascii="Cambria Math" w:hAnsi="Cambria Math" w:cs="Times New Roman"/>
                          <w:lang w:val="nb-NO"/>
                        </w:rPr>
                        <m:t>m</m:t>
                      </m:r>
                    </m:sub>
                  </m:sSub>
                  <m:r>
                    <w:rPr>
                      <w:rFonts w:ascii="Cambria Math" w:hAnsi="Cambria Math" w:cs="Times New Roman"/>
                      <w:lang w:val="en-US"/>
                    </w:rPr>
                    <m:t>-</m:t>
                  </m:r>
                  <m:sSub>
                    <m:sSubPr>
                      <m:ctrlPr>
                        <w:rPr>
                          <w:rFonts w:ascii="Cambria Math" w:hAnsi="Cambria Math" w:cs="Times New Roman"/>
                          <w:i/>
                          <w:iCs/>
                        </w:rPr>
                      </m:ctrlPr>
                    </m:sSubPr>
                    <m:e>
                      <m:r>
                        <w:rPr>
                          <w:rFonts w:ascii="Cambria Math" w:hAnsi="Cambria Math" w:cs="Times New Roman"/>
                          <w:lang w:val="nb-NO"/>
                        </w:rPr>
                        <m:t>T</m:t>
                      </m:r>
                    </m:e>
                    <m:sub>
                      <m:r>
                        <w:rPr>
                          <w:rFonts w:ascii="Cambria Math" w:hAnsi="Cambria Math" w:cs="Times New Roman"/>
                          <w:lang w:val="nb-NO"/>
                        </w:rPr>
                        <m:t>s</m:t>
                      </m:r>
                    </m:sub>
                  </m:sSub>
                </m:e>
              </m:d>
            </m:num>
            <m:den>
              <m:sSub>
                <m:sSubPr>
                  <m:ctrlPr>
                    <w:rPr>
                      <w:rFonts w:ascii="Cambria Math" w:hAnsi="Cambria Math" w:cs="Times New Roman"/>
                      <w:i/>
                      <w:iCs/>
                    </w:rPr>
                  </m:ctrlPr>
                </m:sSubPr>
                <m:e>
                  <m:r>
                    <w:rPr>
                      <w:rFonts w:ascii="Cambria Math" w:hAnsi="Cambria Math" w:cs="Times New Roman"/>
                      <w:lang w:val="nb-NO"/>
                    </w:rPr>
                    <m:t>H</m:t>
                  </m:r>
                </m:e>
                <m:sub>
                  <m:r>
                    <w:rPr>
                      <w:rFonts w:ascii="Cambria Math" w:hAnsi="Cambria Math" w:cs="Times New Roman"/>
                      <w:lang w:val="nb-NO"/>
                    </w:rPr>
                    <m:t>f</m:t>
                  </m:r>
                </m:sub>
              </m:sSub>
            </m:den>
          </m:f>
          <m:r>
            <w:rPr>
              <w:rFonts w:ascii="Cambria Math" w:hAnsi="Cambria Math" w:cs="Times New Roman"/>
              <w:lang w:val="en-US"/>
            </w:rPr>
            <m:t xml:space="preserve">                                                                 (62) </m:t>
          </m:r>
        </m:oMath>
      </m:oMathPara>
    </w:p>
    <w:p w14:paraId="56A85C65" w14:textId="77777777" w:rsidR="00625AD6" w:rsidRPr="00625AD6" w:rsidRDefault="00625AD6" w:rsidP="00625AD6">
      <w:pPr>
        <w:tabs>
          <w:tab w:val="left" w:pos="1820"/>
        </w:tabs>
        <w:rPr>
          <w:rFonts w:eastAsiaTheme="minorEastAsia" w:cs="Times New Roman"/>
          <w:lang w:val="en-US"/>
        </w:rPr>
      </w:pPr>
      <w:r w:rsidRPr="00625AD6">
        <w:rPr>
          <w:rFonts w:cs="Times New Roman"/>
          <w:lang w:val="en-US"/>
        </w:rPr>
        <w:t>which represent the ratio between sensible heat and latent heat, thus quantifying the relative contribution of thermal conduction to the phase-change process.</w:t>
      </w:r>
    </w:p>
    <w:p w14:paraId="15F55966" w14:textId="0D883DDE" w:rsidR="00625AD6" w:rsidRPr="00625AD6" w:rsidRDefault="00C232D5" w:rsidP="00625AD6">
      <w:pPr>
        <w:pStyle w:val="Heading2"/>
        <w:rPr>
          <w:lang w:val="en-US"/>
        </w:rPr>
      </w:pPr>
      <w:bookmarkStart w:id="211" w:name="_Toc213354100"/>
      <w:bookmarkStart w:id="212" w:name="_Toc214356320"/>
      <w:r>
        <w:rPr>
          <w:lang w:val="en-US"/>
        </w:rPr>
        <w:t>Numerical</w:t>
      </w:r>
      <w:r w:rsidR="00625AD6" w:rsidRPr="00625AD6">
        <w:rPr>
          <w:lang w:val="en-US"/>
        </w:rPr>
        <w:t xml:space="preserve"> models</w:t>
      </w:r>
      <w:bookmarkEnd w:id="211"/>
      <w:bookmarkEnd w:id="212"/>
    </w:p>
    <w:p w14:paraId="0073683D" w14:textId="77777777" w:rsidR="00625AD6" w:rsidRPr="00625AD6" w:rsidRDefault="00625AD6" w:rsidP="00625AD6">
      <w:pPr>
        <w:rPr>
          <w:lang w:val="en-US"/>
        </w:rPr>
      </w:pPr>
      <w:r w:rsidRPr="00625AD6">
        <w:rPr>
          <w:rFonts w:cs="Times New Roman"/>
          <w:lang w:val="en-US"/>
        </w:rPr>
        <w:t xml:space="preserve">The analytical formulation of the Stefan problem and its generalization through the Neumann method provide a rigorous description of solid–liquid phase change phenomena, allowing the determination of the moving front based on the energy </w:t>
      </w:r>
      <w:r w:rsidRPr="00625AD6">
        <w:rPr>
          <w:rFonts w:cs="Times New Roman"/>
          <w:lang w:val="en-US"/>
        </w:rPr>
        <w:lastRenderedPageBreak/>
        <w:t>balance at the interface. However, these classical models are applicable only to simple geometries, ideal boundary conditions, and constant thermophysical properties. In practical applications, the exact tracking of the phase interface becomes computationally demanding and often unfeasible. To overcome these limitations, several approximate models have been developed, which reformulate the phase-change problem in terms of continuous field variables, thus avoiding the explicit treatment of the moving boundary. Among these, the most widely used are the enthalpy method and the effective and apparent heat capacity methods</w:t>
      </w:r>
      <w:r w:rsidRPr="00625AD6">
        <w:rPr>
          <w:lang w:val="en-US"/>
        </w:rPr>
        <w:t>.</w:t>
      </w:r>
    </w:p>
    <w:p w14:paraId="667298E4" w14:textId="35147FEC" w:rsidR="00625AD6" w:rsidRPr="00625AD6" w:rsidRDefault="00625AD6" w:rsidP="00625AD6">
      <w:pPr>
        <w:pStyle w:val="Heading3"/>
      </w:pPr>
      <w:bookmarkStart w:id="213" w:name="_Toc213354101"/>
      <w:bookmarkStart w:id="214" w:name="_Toc214356321"/>
      <w:r w:rsidRPr="00625AD6">
        <w:t>Enthalpy model</w:t>
      </w:r>
      <w:bookmarkEnd w:id="213"/>
      <w:bookmarkEnd w:id="214"/>
    </w:p>
    <w:p w14:paraId="55604D87" w14:textId="0AD6612D" w:rsidR="00625AD6" w:rsidRPr="00625AD6" w:rsidRDefault="00625AD6" w:rsidP="00625AD6">
      <w:pPr>
        <w:rPr>
          <w:rFonts w:cs="Times New Roman"/>
          <w:lang w:val="en-US"/>
        </w:rPr>
      </w:pPr>
      <w:r w:rsidRPr="00625AD6">
        <w:rPr>
          <w:rFonts w:cs="Times New Roman"/>
          <w:lang w:val="en-US"/>
        </w:rPr>
        <w:t xml:space="preserve">Li et al. </w:t>
      </w:r>
      <w:sdt>
        <w:sdtPr>
          <w:rPr>
            <w:rFonts w:cs="Times New Roman"/>
            <w:lang w:val="en-US"/>
          </w:rPr>
          <w:id w:val="-891429391"/>
          <w:citation/>
        </w:sdtPr>
        <w:sdtContent>
          <w:r>
            <w:rPr>
              <w:rFonts w:cs="Times New Roman"/>
              <w:lang w:val="en-US"/>
            </w:rPr>
            <w:fldChar w:fldCharType="begin"/>
          </w:r>
          <w:r w:rsidRPr="00F501EC">
            <w:rPr>
              <w:rFonts w:cs="Times New Roman"/>
              <w:lang w:val="en-US"/>
            </w:rPr>
            <w:instrText xml:space="preserve"> CITATION Placeholder218 \l 1040 </w:instrText>
          </w:r>
          <w:r>
            <w:rPr>
              <w:rFonts w:cs="Times New Roman"/>
              <w:lang w:val="en-US"/>
            </w:rPr>
            <w:fldChar w:fldCharType="separate"/>
          </w:r>
          <w:r w:rsidR="00855396" w:rsidRPr="00855396">
            <w:rPr>
              <w:rFonts w:cs="Times New Roman"/>
              <w:noProof/>
              <w:lang w:val="en-US"/>
            </w:rPr>
            <w:t>[200]</w:t>
          </w:r>
          <w:r>
            <w:rPr>
              <w:rFonts w:cs="Times New Roman"/>
              <w:lang w:val="en-US"/>
            </w:rPr>
            <w:fldChar w:fldCharType="end"/>
          </w:r>
        </w:sdtContent>
      </w:sdt>
      <w:r w:rsidRPr="00625AD6">
        <w:rPr>
          <w:rFonts w:cs="Times New Roman"/>
          <w:lang w:val="en-US"/>
        </w:rPr>
        <w:t xml:space="preserve"> present </w:t>
      </w:r>
      <w:r w:rsidRPr="00625AD6">
        <w:rPr>
          <w:rFonts w:cs="Times New Roman"/>
          <w:i/>
          <w:iCs/>
          <w:lang w:val="en-US"/>
        </w:rPr>
        <w:t>A Review of the Mathematical Models for the Flow and Heat Transfer of Microencapsulated Phase Change Slurry</w:t>
      </w:r>
      <w:r w:rsidRPr="00625AD6">
        <w:rPr>
          <w:rFonts w:cs="Times New Roman"/>
          <w:lang w:val="en-US"/>
        </w:rPr>
        <w:t xml:space="preserve"> and devote a specific section to the enthalpy model. The enthalpy model is based on the formulation of a single energy equation for the entire PCM domain, including the liquid phase, the solid phase, and the two-phase interface, by introducing the concept of enthalpy. With this approach, the phase-change problem becomes much simpler, since the energy equations for the different phases of the PCM are unified into the same form, and explicit boundary conditions at the phase-change interface are no longer required. This allows the numerical computation to be performed on a fixed grid. The total enthalpy H is defined as the sum of the sensible heat and the latent heat of the slurry, as expressed in the following equation Eq. (63):</w:t>
      </w:r>
    </w:p>
    <w:p w14:paraId="6A8B0C28" w14:textId="77777777" w:rsidR="00625AD6" w:rsidRPr="00625AD6" w:rsidRDefault="00625AD6" w:rsidP="00625AD6">
      <w:pPr>
        <w:rPr>
          <w:rFonts w:eastAsiaTheme="minorEastAsia" w:cs="Times New Roman"/>
        </w:rPr>
      </w:pPr>
      <m:oMathPara>
        <m:oMathParaPr>
          <m:jc m:val="right"/>
        </m:oMathParaPr>
        <m:oMath>
          <m:r>
            <w:rPr>
              <w:rFonts w:ascii="Cambria Math" w:hAnsi="Cambria Math" w:cs="Times New Roman"/>
            </w:rPr>
            <m:t>H=</m:t>
          </m:r>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e</m:t>
              </m:r>
            </m:sub>
          </m:sSub>
          <m:r>
            <w:rPr>
              <w:rFonts w:ascii="Cambria Math" w:hAnsi="Cambria Math" w:cs="Times New Roman"/>
            </w:rPr>
            <m:t>+</m:t>
          </m:r>
          <m:r>
            <w:rPr>
              <w:rFonts w:ascii="Cambria Math" w:eastAsiaTheme="minorEastAsia" w:hAnsi="Cambria Math" w:cs="Times New Roman"/>
            </w:rPr>
            <m:t>Δh                                                                   (63)</m:t>
          </m:r>
        </m:oMath>
      </m:oMathPara>
    </w:p>
    <w:p w14:paraId="735E4BBF" w14:textId="77777777" w:rsidR="00625AD6" w:rsidRPr="00625AD6" w:rsidRDefault="00625AD6" w:rsidP="00625AD6">
      <w:pPr>
        <w:rPr>
          <w:rFonts w:eastAsiaTheme="minorEastAsia" w:cs="Times New Roman"/>
          <w:lang w:val="en-US"/>
        </w:rPr>
      </w:pPr>
      <w:r w:rsidRPr="00625AD6">
        <w:rPr>
          <w:rFonts w:eastAsiaTheme="minorEastAsia" w:cs="Times New Roman"/>
          <w:lang w:val="en-US"/>
        </w:rPr>
        <w:t>Where the sensible heat h</w:t>
      </w:r>
      <w:r w:rsidRPr="00625AD6">
        <w:rPr>
          <w:rFonts w:ascii="Cambria Math" w:eastAsiaTheme="minorEastAsia" w:hAnsi="Cambria Math" w:cs="Cambria Math"/>
          <w:lang w:val="en-US"/>
        </w:rPr>
        <w:t>ₑ</w:t>
      </w:r>
      <w:r w:rsidRPr="00625AD6">
        <w:rPr>
          <w:rFonts w:eastAsiaTheme="minorEastAsia" w:cs="Times New Roman"/>
          <w:lang w:val="en-US"/>
        </w:rPr>
        <w:t xml:space="preserve"> is given by Eq. (64), where h</w:t>
      </w:r>
      <w:r w:rsidRPr="00625AD6">
        <w:rPr>
          <w:rFonts w:eastAsiaTheme="minorEastAsia" w:cs="Times New Roman"/>
          <w:vertAlign w:val="subscript"/>
          <w:lang w:val="en-US"/>
        </w:rPr>
        <w:t>e, ref</w:t>
      </w:r>
      <w:r w:rsidRPr="00625AD6">
        <w:rPr>
          <w:rFonts w:eastAsiaTheme="minorEastAsia" w:cs="Times New Roman"/>
          <w:lang w:val="en-US"/>
        </w:rPr>
        <w:t xml:space="preserve"> is the reference enthalpy at the temperature T</w:t>
      </w:r>
      <w:r w:rsidRPr="00625AD6">
        <w:rPr>
          <w:rFonts w:eastAsiaTheme="minorEastAsia" w:cs="Times New Roman"/>
          <w:vertAlign w:val="subscript"/>
          <w:lang w:val="en-US"/>
        </w:rPr>
        <w:t>ref</w:t>
      </w:r>
      <w:r w:rsidRPr="00625AD6">
        <w:rPr>
          <w:rFonts w:eastAsiaTheme="minorEastAsia" w:cs="Times New Roman"/>
          <w:lang w:val="en-US"/>
        </w:rPr>
        <w:t>:</w:t>
      </w:r>
    </w:p>
    <w:p w14:paraId="038CC9D7" w14:textId="77777777" w:rsidR="00625AD6" w:rsidRPr="00625AD6" w:rsidRDefault="00000000" w:rsidP="00625AD6">
      <w:pPr>
        <w:rPr>
          <w:rFonts w:eastAsiaTheme="minorEastAsia" w:cs="Times New Roman"/>
          <w:lang w:val="en-US"/>
        </w:rPr>
      </w:pPr>
      <m:oMathPara>
        <m:oMathParaPr>
          <m:jc m:val="right"/>
        </m:oMathParaPr>
        <m:oMath>
          <m:sSub>
            <m:sSubPr>
              <m:ctrlPr>
                <w:rPr>
                  <w:rFonts w:ascii="Cambria Math" w:hAnsi="Cambria Math" w:cs="Times New Roman"/>
                  <w:i/>
                </w:rPr>
              </m:ctrlPr>
            </m:sSubPr>
            <m:e>
              <m:r>
                <w:rPr>
                  <w:rFonts w:ascii="Cambria Math" w:hAnsi="Cambria Math" w:cs="Times New Roman"/>
                  <w:lang w:val="en-US"/>
                </w:rPr>
                <m:t>h</m:t>
              </m:r>
            </m:e>
            <m:sub>
              <m:r>
                <w:rPr>
                  <w:rFonts w:ascii="Cambria Math" w:hAnsi="Cambria Math" w:cs="Times New Roman"/>
                </w:rPr>
                <m:t>e</m:t>
              </m:r>
            </m:sub>
          </m:sSub>
          <m:r>
            <w:rPr>
              <w:rFonts w:ascii="Cambria Math" w:hAnsi="Cambria Math" w:cs="Times New Roman"/>
              <w:lang w:val="en-US"/>
            </w:rPr>
            <m:t>=</m:t>
          </m:r>
          <m:sSub>
            <m:sSubPr>
              <m:ctrlPr>
                <w:rPr>
                  <w:rFonts w:ascii="Cambria Math" w:hAnsi="Cambria Math" w:cs="Times New Roman"/>
                  <w:i/>
                </w:rPr>
              </m:ctrlPr>
            </m:sSubPr>
            <m:e>
              <m:r>
                <w:rPr>
                  <w:rFonts w:ascii="Cambria Math" w:hAnsi="Cambria Math" w:cs="Times New Roman"/>
                  <w:lang w:val="en-US"/>
                </w:rPr>
                <m:t>h</m:t>
              </m:r>
            </m:e>
            <m:sub>
              <m:r>
                <w:rPr>
                  <w:rFonts w:ascii="Cambria Math" w:hAnsi="Cambria Math" w:cs="Times New Roman"/>
                </w:rPr>
                <m:t>e</m:t>
              </m:r>
              <m:r>
                <w:rPr>
                  <w:rFonts w:ascii="Cambria Math" w:hAnsi="Cambria Math" w:cs="Times New Roman"/>
                  <w:lang w:val="en-US"/>
                </w:rPr>
                <m:t>,</m:t>
              </m:r>
              <m:r>
                <w:rPr>
                  <w:rFonts w:ascii="Cambria Math" w:hAnsi="Cambria Math" w:cs="Times New Roman"/>
                </w:rPr>
                <m:t>ref</m:t>
              </m:r>
            </m:sub>
          </m:sSub>
          <m:r>
            <w:rPr>
              <w:rFonts w:ascii="Cambria Math" w:hAnsi="Cambria Math" w:cs="Times New Roman"/>
              <w:lang w:val="en-US"/>
            </w:rPr>
            <m:t>+</m:t>
          </m:r>
          <m:nary>
            <m:naryPr>
              <m:limLoc m:val="subSup"/>
              <m:ctrlPr>
                <w:rPr>
                  <w:rFonts w:ascii="Cambria Math" w:hAnsi="Cambria Math" w:cs="Times New Roman"/>
                  <w:i/>
                </w:rPr>
              </m:ctrlPr>
            </m:naryPr>
            <m:sub>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ref</m:t>
                  </m:r>
                </m:sub>
              </m:sSub>
            </m:sub>
            <m:sup>
              <m:r>
                <w:rPr>
                  <w:rFonts w:ascii="Cambria Math" w:hAnsi="Cambria Math" w:cs="Times New Roman"/>
                </w:rPr>
                <m:t>T</m:t>
              </m:r>
            </m:sup>
            <m:e>
              <m:r>
                <w:rPr>
                  <w:rFonts w:ascii="Cambria Math" w:hAnsi="Cambria Math" w:cs="Times New Roman"/>
                </w:rPr>
                <m:t>c</m:t>
              </m:r>
              <m:r>
                <w:rPr>
                  <w:rFonts w:ascii="Cambria Math" w:hAnsi="Cambria Math" w:cs="Times New Roman"/>
                  <w:lang w:val="en-US"/>
                </w:rPr>
                <m:t>∙</m:t>
              </m:r>
              <m:r>
                <w:rPr>
                  <w:rFonts w:ascii="Cambria Math" w:hAnsi="Cambria Math" w:cs="Times New Roman"/>
                </w:rPr>
                <m:t>dT</m:t>
              </m:r>
            </m:e>
          </m:nary>
          <m:r>
            <w:rPr>
              <w:rFonts w:ascii="Cambria Math" w:eastAsiaTheme="minorEastAsia" w:hAnsi="Cambria Math" w:cs="Times New Roman"/>
              <w:lang w:val="en-US"/>
            </w:rPr>
            <m:t xml:space="preserve">                                                      (64)</m:t>
          </m:r>
        </m:oMath>
      </m:oMathPara>
    </w:p>
    <w:p w14:paraId="4B27DC80" w14:textId="272AEB1C" w:rsidR="00625AD6" w:rsidRPr="00625AD6" w:rsidRDefault="00625AD6" w:rsidP="00625AD6">
      <w:pPr>
        <w:rPr>
          <w:rFonts w:cs="Times New Roman"/>
          <w:vertAlign w:val="subscript"/>
          <w:lang w:val="en-US"/>
        </w:rPr>
      </w:pPr>
      <w:r w:rsidRPr="00625AD6">
        <w:rPr>
          <w:rFonts w:cs="Times New Roman"/>
          <w:lang w:val="en-US"/>
        </w:rPr>
        <w:t xml:space="preserve">The latent heat </w:t>
      </w:r>
      <w:r w:rsidRPr="00625AD6">
        <w:rPr>
          <w:rFonts w:cs="Times New Roman"/>
        </w:rPr>
        <w:t>Δ</w:t>
      </w:r>
      <w:r w:rsidRPr="00625AD6">
        <w:rPr>
          <w:rFonts w:cs="Times New Roman"/>
          <w:lang w:val="en-US"/>
        </w:rPr>
        <w:t>h is expressed by Eq. (65), where H</w:t>
      </w:r>
      <w:r w:rsidRPr="00625AD6">
        <w:rPr>
          <w:rFonts w:cs="Times New Roman"/>
          <w:vertAlign w:val="subscript"/>
          <w:lang w:val="en-US"/>
        </w:rPr>
        <w:t>f</w:t>
      </w:r>
      <w:r w:rsidRPr="00625AD6">
        <w:rPr>
          <w:rFonts w:cs="Times New Roman"/>
          <w:lang w:val="en-US"/>
        </w:rPr>
        <w:t xml:space="preserve"> is the latent heat of the PCM, </w:t>
      </w:r>
      <m:oMath>
        <m:r>
          <w:rPr>
            <w:rFonts w:ascii="Cambria Math" w:hAnsi="Cambria Math" w:cs="Times New Roman"/>
          </w:rPr>
          <m:t>ϕ</m:t>
        </m:r>
      </m:oMath>
      <w:r w:rsidRPr="00625AD6">
        <w:rPr>
          <w:rFonts w:cs="Times New Roman"/>
          <w:lang w:val="en-US"/>
        </w:rPr>
        <w:t xml:space="preserve">  is the mass fraction of particles, and </w:t>
      </w:r>
      <w:r w:rsidR="00C15B72" w:rsidRPr="001C6FAB">
        <w:rPr>
          <w:rFonts w:cs="Times New Roman"/>
          <w:lang w:val="en-US"/>
        </w:rPr>
        <w:t>x</w:t>
      </w:r>
      <w:r w:rsidR="00C15B72" w:rsidRPr="001C6FAB">
        <w:rPr>
          <w:rFonts w:cs="Times New Roman"/>
          <w:vertAlign w:val="subscript"/>
          <w:lang w:val="en-US"/>
        </w:rPr>
        <w:t xml:space="preserve">L </w:t>
      </w:r>
      <w:r w:rsidRPr="00625AD6">
        <w:rPr>
          <w:rFonts w:cs="Times New Roman"/>
          <w:lang w:val="en-US"/>
        </w:rPr>
        <w:t xml:space="preserve"> is the volume fraction of the liquid phase within the capsule Eq. (66). The PCM starts melting at the temperature T</w:t>
      </w:r>
      <w:r w:rsidRPr="00625AD6">
        <w:rPr>
          <w:rFonts w:cs="Times New Roman"/>
          <w:vertAlign w:val="subscript"/>
          <w:lang w:val="en-US"/>
        </w:rPr>
        <w:t>S</w:t>
      </w:r>
      <w:r w:rsidRPr="00625AD6">
        <w:rPr>
          <w:rFonts w:cs="Times New Roman"/>
          <w:lang w:val="en-US"/>
        </w:rPr>
        <w:t xml:space="preserve"> and becomes completely melted at T</w:t>
      </w:r>
      <w:r w:rsidRPr="00625AD6">
        <w:rPr>
          <w:rFonts w:cs="Times New Roman"/>
          <w:vertAlign w:val="subscript"/>
          <w:lang w:val="en-US"/>
        </w:rPr>
        <w:t>L</w:t>
      </w:r>
      <w:r w:rsidRPr="00625AD6">
        <w:rPr>
          <w:rFonts w:cs="Times New Roman"/>
          <w:lang w:val="en-US"/>
        </w:rPr>
        <w:t>. The liquid fraction</w:t>
      </w:r>
      <w:r w:rsidR="00C15B72">
        <w:rPr>
          <w:rFonts w:cs="Times New Roman"/>
          <w:lang w:val="en-US"/>
        </w:rPr>
        <w:t xml:space="preserve"> x</w:t>
      </w:r>
      <w:r w:rsidR="00C15B72">
        <w:rPr>
          <w:rFonts w:cs="Times New Roman"/>
          <w:vertAlign w:val="subscript"/>
          <w:lang w:val="en-US"/>
        </w:rPr>
        <w:t>L</w:t>
      </w:r>
      <w:r w:rsidRPr="00625AD6">
        <w:rPr>
          <w:rFonts w:cs="Times New Roman"/>
          <w:lang w:val="en-US"/>
        </w:rPr>
        <w:t xml:space="preserve"> varies from zero at T</w:t>
      </w:r>
      <w:r w:rsidRPr="00625AD6">
        <w:rPr>
          <w:rFonts w:cs="Times New Roman"/>
          <w:vertAlign w:val="subscript"/>
          <w:lang w:val="en-US"/>
        </w:rPr>
        <w:t>S</w:t>
      </w:r>
      <w:r w:rsidRPr="00625AD6">
        <w:rPr>
          <w:rFonts w:cs="Times New Roman"/>
          <w:lang w:val="en-US"/>
        </w:rPr>
        <w:t xml:space="preserve"> to one at T</w:t>
      </w:r>
      <w:r w:rsidRPr="00625AD6">
        <w:rPr>
          <w:rFonts w:cs="Times New Roman"/>
          <w:vertAlign w:val="subscript"/>
          <w:lang w:val="en-US"/>
        </w:rPr>
        <w:t>L</w:t>
      </w:r>
    </w:p>
    <w:p w14:paraId="5342F876" w14:textId="30DC8C5B" w:rsidR="00625AD6" w:rsidRPr="00625AD6" w:rsidRDefault="00625AD6" w:rsidP="00625AD6">
      <w:pPr>
        <w:rPr>
          <w:rFonts w:eastAsiaTheme="minorEastAsia" w:cs="Times New Roman"/>
          <w:i/>
          <w:lang w:val="en-US"/>
        </w:rPr>
      </w:pPr>
      <m:oMathPara>
        <m:oMathParaPr>
          <m:jc m:val="right"/>
        </m:oMathParaPr>
        <m:oMath>
          <m:r>
            <m:rPr>
              <m:sty m:val="p"/>
            </m:rPr>
            <w:rPr>
              <w:rFonts w:ascii="Cambria Math" w:hAnsi="Cambria Math" w:cs="Times New Roman"/>
            </w:rPr>
            <m:t>Δ</m:t>
          </m:r>
          <m:r>
            <w:rPr>
              <w:rFonts w:ascii="Cambria Math" w:hAnsi="Cambria Math" w:cs="Times New Roman"/>
              <w:lang w:val="en-US"/>
            </w:rPr>
            <m:t>h=</m:t>
          </m:r>
          <m:sSub>
            <m:sSubPr>
              <m:ctrlPr>
                <w:rPr>
                  <w:rFonts w:ascii="Cambria Math" w:hAnsi="Cambria Math" w:cs="Times New Roman"/>
                  <w:i/>
                </w:rPr>
              </m:ctrlPr>
            </m:sSubPr>
            <m:e>
              <m:r>
                <w:rPr>
                  <w:rFonts w:ascii="Cambria Math" w:hAnsi="Cambria Math" w:cs="Times New Roman"/>
                </w:rPr>
                <m:t>x</m:t>
              </m:r>
            </m:e>
            <m:sub>
              <m:r>
                <w:rPr>
                  <w:rFonts w:ascii="Cambria Math" w:hAnsi="Cambria Math" w:cs="Times New Roman"/>
                </w:rPr>
                <m:t>L</m:t>
              </m:r>
            </m:sub>
          </m:sSub>
          <m:r>
            <m:rPr>
              <m:nor/>
            </m:rPr>
            <w:rPr>
              <w:rFonts w:cs="Times New Roman"/>
              <w:lang w:val="en-US"/>
            </w:rPr>
            <m:t> </m:t>
          </m:r>
          <m:r>
            <w:rPr>
              <w:rFonts w:ascii="Cambria Math" w:hAnsi="Cambria Math" w:cs="Times New Roman"/>
            </w:rPr>
            <m:t>ϕ</m:t>
          </m:r>
          <m:r>
            <m:rPr>
              <m:nor/>
            </m:rPr>
            <w:rPr>
              <w:rFonts w:cs="Times New Roman"/>
              <w:lang w:val="en-US"/>
            </w:rPr>
            <m:t> </m:t>
          </m:r>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F</m:t>
              </m:r>
            </m:sub>
          </m:sSub>
          <m:r>
            <m:rPr>
              <m:sty m:val="p"/>
            </m:rPr>
            <w:rPr>
              <w:rFonts w:ascii="Cambria Math" w:hAnsi="Cambria Math" w:cs="Times New Roman"/>
              <w:lang w:val="en-US"/>
            </w:rPr>
            <m:t xml:space="preserve">                                                                      (65)</m:t>
          </m:r>
          <m:r>
            <m:rPr>
              <m:sty m:val="p"/>
            </m:rPr>
            <w:rPr>
              <w:rFonts w:ascii="Cambria Math" w:hAnsi="Cambria Math" w:cs="Times New Roman"/>
              <w:lang w:val="en-US"/>
            </w:rPr>
            <w:br/>
          </m:r>
        </m:oMath>
        <m:oMath>
          <m:sSub>
            <m:sSubPr>
              <m:ctrlPr>
                <w:rPr>
                  <w:rFonts w:ascii="Cambria Math" w:hAnsi="Cambria Math" w:cs="Times New Roman"/>
                  <w:i/>
                </w:rPr>
              </m:ctrlPr>
            </m:sSubPr>
            <m:e>
              <m:r>
                <w:rPr>
                  <w:rFonts w:ascii="Cambria Math" w:hAnsi="Cambria Math" w:cs="Times New Roman"/>
                </w:rPr>
                <m:t>x</m:t>
              </m:r>
            </m:e>
            <m:sub>
              <m:r>
                <w:rPr>
                  <w:rFonts w:ascii="Cambria Math" w:hAnsi="Cambria Math" w:cs="Times New Roman"/>
                </w:rPr>
                <m:t>L</m:t>
              </m:r>
            </m:sub>
          </m:sSub>
          <m:r>
            <w:rPr>
              <w:rFonts w:ascii="Cambria Math" w:hAnsi="Cambria Math" w:cs="Times New Roman"/>
              <w:lang w:val="en-US"/>
            </w:rPr>
            <m:t>=</m:t>
          </m:r>
          <m:d>
            <m:dPr>
              <m:begChr m:val="{"/>
              <m:endChr m:val=""/>
              <m:ctrlPr>
                <w:rPr>
                  <w:rFonts w:ascii="Cambria Math" w:hAnsi="Cambria Math" w:cs="Times New Roman"/>
                  <w:i/>
                </w:rPr>
              </m:ctrlPr>
            </m:dPr>
            <m:e>
              <m:eqArr>
                <m:eqArrPr>
                  <m:ctrlPr>
                    <w:rPr>
                      <w:rFonts w:ascii="Cambria Math" w:hAnsi="Cambria Math" w:cs="Times New Roman"/>
                      <w:i/>
                    </w:rPr>
                  </m:ctrlPr>
                </m:eqArrPr>
                <m:e>
                  <m:r>
                    <w:rPr>
                      <w:rFonts w:ascii="Cambria Math" w:hAnsi="Cambria Math" w:cs="Times New Roman"/>
                      <w:lang w:val="en-US"/>
                    </w:rPr>
                    <m:t xml:space="preserve">0  </m:t>
                  </m:r>
                  <m:r>
                    <w:rPr>
                      <w:rFonts w:ascii="Cambria Math" w:hAnsi="Cambria Math" w:cs="Times New Roman"/>
                    </w:rPr>
                    <m:t>if</m:t>
                  </m:r>
                  <m:r>
                    <w:rPr>
                      <w:rFonts w:ascii="Cambria Math" w:hAnsi="Cambria Math" w:cs="Times New Roman"/>
                      <w:lang w:val="en-US"/>
                    </w:rPr>
                    <m:t xml:space="preserve"> </m:t>
                  </m:r>
                  <m:r>
                    <w:rPr>
                      <w:rFonts w:ascii="Cambria Math" w:hAnsi="Cambria Math" w:cs="Times New Roman"/>
                    </w:rPr>
                    <m:t>T</m:t>
                  </m:r>
                  <m:r>
                    <w:rPr>
                      <w:rFonts w:ascii="Cambria Math" w:hAnsi="Cambria Math" w:cs="Times New Roman"/>
                      <w:lang w:val="en-US"/>
                    </w:rPr>
                    <m:t>&lt;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S</m:t>
                      </m:r>
                    </m:sub>
                  </m:sSub>
                </m:e>
                <m:e>
                  <m:f>
                    <m:fPr>
                      <m:ctrlPr>
                        <w:rPr>
                          <w:rFonts w:ascii="Cambria Math" w:hAnsi="Cambria Math" w:cs="Times New Roman"/>
                          <w:i/>
                        </w:rPr>
                      </m:ctrlPr>
                    </m:fPr>
                    <m:num>
                      <m:r>
                        <w:rPr>
                          <w:rFonts w:ascii="Cambria Math" w:hAnsi="Cambria Math" w:cs="Times New Roman"/>
                        </w:rPr>
                        <m:t>T</m:t>
                      </m:r>
                      <m:r>
                        <w:rPr>
                          <w:rFonts w:ascii="Cambria Math" w:hAnsi="Cambria Math" w:cs="Times New Roman"/>
                          <w:lang w:val="en-US"/>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S</m:t>
                          </m:r>
                        </m:sub>
                      </m:sSub>
                      <m:ctrlPr>
                        <w:rPr>
                          <w:rFonts w:ascii="Cambria Math" w:eastAsia="Cambria Math" w:hAnsi="Cambria Math" w:cs="Cambria Math"/>
                          <w:i/>
                        </w:rPr>
                      </m:ctrlPr>
                    </m:num>
                    <m:den>
                      <m:sSub>
                        <m:sSubPr>
                          <m:ctrlPr>
                            <w:rPr>
                              <w:rFonts w:ascii="Cambria Math" w:eastAsia="Cambria Math" w:hAnsi="Cambria Math" w:cs="Cambria Math"/>
                              <w:i/>
                            </w:rPr>
                          </m:ctrlPr>
                        </m:sSubPr>
                        <m:e>
                          <m:r>
                            <w:rPr>
                              <w:rFonts w:ascii="Cambria Math" w:eastAsia="Cambria Math" w:hAnsi="Cambria Math" w:cs="Cambria Math"/>
                            </w:rPr>
                            <m:t>T</m:t>
                          </m:r>
                        </m:e>
                        <m:sub>
                          <m:r>
                            <w:rPr>
                              <w:rFonts w:ascii="Cambria Math" w:eastAsia="Cambria Math" w:hAnsi="Cambria Math" w:cs="Cambria Math"/>
                            </w:rPr>
                            <m:t>L</m:t>
                          </m:r>
                        </m:sub>
                      </m:sSub>
                      <m:r>
                        <w:rPr>
                          <w:rFonts w:ascii="Cambria Math" w:eastAsia="Cambria Math" w:hAnsi="Cambria Math" w:cs="Cambria Math"/>
                          <w:lang w:val="en-US"/>
                        </w:rPr>
                        <m:t>-</m:t>
                      </m:r>
                      <m:sSub>
                        <m:sSubPr>
                          <m:ctrlPr>
                            <w:rPr>
                              <w:rFonts w:ascii="Cambria Math" w:eastAsia="Cambria Math" w:hAnsi="Cambria Math" w:cs="Cambria Math"/>
                              <w:i/>
                            </w:rPr>
                          </m:ctrlPr>
                        </m:sSubPr>
                        <m:e>
                          <m:r>
                            <w:rPr>
                              <w:rFonts w:ascii="Cambria Math" w:eastAsia="Cambria Math" w:hAnsi="Cambria Math" w:cs="Cambria Math"/>
                            </w:rPr>
                            <m:t>T</m:t>
                          </m:r>
                        </m:e>
                        <m:sub>
                          <m:r>
                            <w:rPr>
                              <w:rFonts w:ascii="Cambria Math" w:eastAsia="Cambria Math" w:hAnsi="Cambria Math" w:cs="Cambria Math"/>
                            </w:rPr>
                            <m:t>S</m:t>
                          </m:r>
                        </m:sub>
                      </m:sSub>
                    </m:den>
                  </m:f>
                  <m:r>
                    <w:rPr>
                      <w:rFonts w:ascii="Cambria Math" w:hAnsi="Cambria Math" w:cs="Times New Roman"/>
                      <w:lang w:val="en-US"/>
                    </w:rPr>
                    <m:t xml:space="preserve"> </m:t>
                  </m:r>
                  <m:r>
                    <w:rPr>
                      <w:rFonts w:ascii="Cambria Math" w:hAnsi="Cambria Math" w:cs="Times New Roman"/>
                    </w:rPr>
                    <m:t>if</m:t>
                  </m:r>
                  <m:r>
                    <w:rPr>
                      <w:rFonts w:ascii="Cambria Math" w:hAnsi="Cambria Math" w:cs="Times New Roman"/>
                      <w:lang w:val="en-US"/>
                    </w:rPr>
                    <m:t xml:space="preserve"> </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S</m:t>
                      </m:r>
                    </m:sub>
                  </m:sSub>
                  <m:r>
                    <w:rPr>
                      <w:rFonts w:ascii="Cambria Math" w:hAnsi="Cambria Math" w:cs="Times New Roman"/>
                      <w:lang w:val="en-US"/>
                    </w:rPr>
                    <m:t>≤</m:t>
                  </m:r>
                  <m:r>
                    <w:rPr>
                      <w:rFonts w:ascii="Cambria Math" w:hAnsi="Cambria Math" w:cs="Times New Roman"/>
                    </w:rPr>
                    <m:t>T</m:t>
                  </m:r>
                  <m:r>
                    <w:rPr>
                      <w:rFonts w:ascii="Cambria Math" w:hAnsi="Cambria Math" w:cs="Times New Roman"/>
                      <w:lang w:val="en-US"/>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L</m:t>
                      </m:r>
                    </m:sub>
                  </m:sSub>
                  <m:ctrlPr>
                    <w:rPr>
                      <w:rFonts w:ascii="Cambria Math" w:eastAsia="Cambria Math" w:hAnsi="Cambria Math" w:cs="Cambria Math"/>
                      <w:i/>
                    </w:rPr>
                  </m:ctrlPr>
                </m:e>
                <m:e>
                  <m:r>
                    <w:rPr>
                      <w:rFonts w:ascii="Cambria Math" w:eastAsia="Cambria Math" w:hAnsi="Cambria Math" w:cs="Cambria Math"/>
                      <w:lang w:val="en-US"/>
                    </w:rPr>
                    <m:t xml:space="preserve">1 </m:t>
                  </m:r>
                  <m:r>
                    <w:rPr>
                      <w:rFonts w:ascii="Cambria Math" w:eastAsia="Cambria Math" w:hAnsi="Cambria Math" w:cs="Cambria Math"/>
                    </w:rPr>
                    <m:t>if</m:t>
                  </m:r>
                  <m:r>
                    <w:rPr>
                      <w:rFonts w:ascii="Cambria Math" w:eastAsia="Cambria Math" w:hAnsi="Cambria Math" w:cs="Cambria Math"/>
                      <w:lang w:val="en-US"/>
                    </w:rPr>
                    <m:t xml:space="preserve"> </m:t>
                  </m:r>
                  <m:r>
                    <w:rPr>
                      <w:rFonts w:ascii="Cambria Math" w:eastAsia="Cambria Math" w:hAnsi="Cambria Math" w:cs="Cambria Math"/>
                    </w:rPr>
                    <m:t>T</m:t>
                  </m:r>
                  <m:r>
                    <w:rPr>
                      <w:rFonts w:ascii="Cambria Math" w:eastAsia="Cambria Math" w:hAnsi="Cambria Math" w:cs="Cambria Math"/>
                      <w:lang w:val="en-US"/>
                    </w:rPr>
                    <m:t>&gt;</m:t>
                  </m:r>
                  <m:sSub>
                    <m:sSubPr>
                      <m:ctrlPr>
                        <w:rPr>
                          <w:rFonts w:ascii="Cambria Math" w:eastAsia="Cambria Math" w:hAnsi="Cambria Math" w:cs="Cambria Math"/>
                          <w:i/>
                        </w:rPr>
                      </m:ctrlPr>
                    </m:sSubPr>
                    <m:e>
                      <m:r>
                        <w:rPr>
                          <w:rFonts w:ascii="Cambria Math" w:eastAsia="Cambria Math" w:hAnsi="Cambria Math" w:cs="Cambria Math"/>
                        </w:rPr>
                        <m:t>T</m:t>
                      </m:r>
                    </m:e>
                    <m:sub>
                      <m:r>
                        <w:rPr>
                          <w:rFonts w:ascii="Cambria Math" w:eastAsia="Cambria Math" w:hAnsi="Cambria Math" w:cs="Cambria Math"/>
                        </w:rPr>
                        <m:t>L</m:t>
                      </m:r>
                    </m:sub>
                  </m:sSub>
                </m:e>
              </m:eqArr>
            </m:e>
          </m:d>
          <m:r>
            <w:rPr>
              <w:rFonts w:ascii="Cambria Math" w:eastAsiaTheme="minorEastAsia" w:hAnsi="Cambria Math" w:cs="Times New Roman"/>
              <w:lang w:val="en-US"/>
            </w:rPr>
            <m:t xml:space="preserve">                                               (66)</m:t>
          </m:r>
        </m:oMath>
      </m:oMathPara>
    </w:p>
    <w:p w14:paraId="4B42982A" w14:textId="77777777" w:rsidR="00625AD6" w:rsidRPr="00625AD6" w:rsidRDefault="00625AD6" w:rsidP="00625AD6">
      <w:pPr>
        <w:rPr>
          <w:rFonts w:cs="Times New Roman"/>
          <w:iCs/>
          <w:lang w:val="en-US"/>
        </w:rPr>
      </w:pPr>
      <w:r w:rsidRPr="00625AD6">
        <w:rPr>
          <w:rFonts w:cs="Times New Roman"/>
          <w:iCs/>
          <w:lang w:val="en-US"/>
        </w:rPr>
        <w:t xml:space="preserve">The enthalpy model is the most widely used approach for analyzing the phase-change process due to its simplicity and low computational cost, as it does not require temperature-dependent specific heat measurements. However, like the effective heat capacity model, it relies on the assumption of a homogenized temperature, which oversimplifies the actual phase-change process. Moreover, this model has limitations </w:t>
      </w:r>
      <w:r w:rsidRPr="00625AD6">
        <w:rPr>
          <w:rFonts w:cs="Times New Roman"/>
          <w:iCs/>
          <w:lang w:val="en-US"/>
        </w:rPr>
        <w:lastRenderedPageBreak/>
        <w:t>in addressing supercooling and temperature fluctuation phenomena. Within the enthalpy framework, both single-phase and two-phase formulations are commonly employed.</w:t>
      </w:r>
    </w:p>
    <w:p w14:paraId="54D4602B" w14:textId="46C6E8B6" w:rsidR="00625AD6" w:rsidRPr="00625AD6" w:rsidRDefault="00625AD6" w:rsidP="0027222B">
      <w:pPr>
        <w:pStyle w:val="Heading4"/>
        <w:rPr>
          <w:lang w:val="en-US"/>
        </w:rPr>
      </w:pPr>
      <w:r w:rsidRPr="00625AD6">
        <w:rPr>
          <w:lang w:val="en-US"/>
        </w:rPr>
        <w:t>Single-</w:t>
      </w:r>
      <w:r w:rsidRPr="0027222B">
        <w:t>phase</w:t>
      </w:r>
      <w:r w:rsidRPr="00625AD6">
        <w:rPr>
          <w:lang w:val="en-US"/>
        </w:rPr>
        <w:t xml:space="preserve"> enthalpy model</w:t>
      </w:r>
    </w:p>
    <w:p w14:paraId="727A3473" w14:textId="77777777" w:rsidR="00625AD6" w:rsidRPr="00625AD6" w:rsidRDefault="00625AD6" w:rsidP="00625AD6">
      <w:pPr>
        <w:rPr>
          <w:rFonts w:cs="Times New Roman"/>
          <w:lang w:val="en-US"/>
        </w:rPr>
      </w:pPr>
      <w:r w:rsidRPr="00625AD6">
        <w:rPr>
          <w:rFonts w:cs="Times New Roman"/>
          <w:lang w:val="en-US"/>
        </w:rPr>
        <w:t>The formulation of the single-phase enthalpy model is conceptually very similar to that of the equivalent specific heat model; the main difference lies in how the latent heat associated with the phase-change process is treated within the energy equation. In this approach, the energy equation is expressed directly in terms of enthalpy, as shown in the following relation Eq. (67):</w:t>
      </w:r>
    </w:p>
    <w:p w14:paraId="553B1005" w14:textId="72B978F7" w:rsidR="00625AD6" w:rsidRPr="00625AD6" w:rsidRDefault="00625AD6" w:rsidP="00625AD6">
      <w:pPr>
        <w:rPr>
          <w:rFonts w:cs="Times New Roman"/>
          <w:i/>
          <w:iCs/>
        </w:rPr>
      </w:pPr>
      <m:oMathPara>
        <m:oMathParaPr>
          <m:jc m:val="right"/>
        </m:oMathParaPr>
        <m:oMath>
          <m:r>
            <w:rPr>
              <w:rFonts w:ascii="Cambria Math" w:hAnsi="Cambria Math" w:cs="Times New Roman"/>
            </w:rPr>
            <m:t>∇⋅</m:t>
          </m:r>
          <m:d>
            <m:dPr>
              <m:begChr m:val="["/>
              <m:endChr m:val="]"/>
              <m:ctrlPr>
                <w:rPr>
                  <w:rFonts w:ascii="Cambria Math" w:hAnsi="Cambria Math" w:cs="Times New Roman"/>
                  <w:i/>
                </w:rPr>
              </m:ctrlPr>
            </m:dPr>
            <m:e>
              <m:r>
                <w:rPr>
                  <w:rFonts w:ascii="Cambria Math" w:hAnsi="Cambria Math" w:cs="Times New Roman"/>
                </w:rPr>
                <m:t>u</m:t>
              </m:r>
              <m:d>
                <m:dPr>
                  <m:ctrlPr>
                    <w:rPr>
                      <w:rFonts w:ascii="Cambria Math" w:hAnsi="Cambria Math" w:cs="Times New Roman"/>
                      <w:i/>
                    </w:rPr>
                  </m:ctrlPr>
                </m:dPr>
                <m:e>
                  <m:sSub>
                    <m:sSubPr>
                      <m:ctrlPr>
                        <w:rPr>
                          <w:rFonts w:ascii="Cambria Math" w:hAnsi="Cambria Math" w:cs="Times New Roman"/>
                          <w:i/>
                          <w:iCs/>
                        </w:rPr>
                      </m:ctrlPr>
                    </m:sSubPr>
                    <m:e>
                      <m:r>
                        <w:rPr>
                          <w:rFonts w:ascii="Cambria Math" w:hAnsi="Cambria Math" w:cs="Times New Roman"/>
                        </w:rPr>
                        <m:t>ρ</m:t>
                      </m:r>
                    </m:e>
                    <m:sub>
                      <m:r>
                        <w:rPr>
                          <w:rFonts w:ascii="Cambria Math" w:hAnsi="Cambria Math" w:cs="Times New Roman"/>
                        </w:rPr>
                        <m:t>L</m:t>
                      </m:r>
                    </m:sub>
                  </m:sSub>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F</m:t>
                      </m:r>
                    </m:sub>
                  </m:sSub>
                </m:e>
              </m:d>
            </m:e>
          </m:d>
          <m:r>
            <w:rPr>
              <w:rFonts w:ascii="Cambria Math" w:hAnsi="Cambria Math" w:cs="Times New Roman"/>
            </w:rPr>
            <m:t>=∇⋅</m:t>
          </m:r>
          <m:d>
            <m:dPr>
              <m:ctrlPr>
                <w:rPr>
                  <w:rFonts w:ascii="Cambria Math" w:hAnsi="Cambria Math" w:cs="Times New Roman"/>
                  <w:i/>
                </w:rPr>
              </m:ctrlPr>
            </m:dPr>
            <m:e>
              <m:sSub>
                <m:sSubPr>
                  <m:ctrlPr>
                    <w:rPr>
                      <w:rFonts w:ascii="Cambria Math" w:hAnsi="Cambria Math" w:cs="Times New Roman"/>
                      <w:i/>
                      <w:iCs/>
                    </w:rPr>
                  </m:ctrlPr>
                </m:sSubPr>
                <m:e>
                  <m:r>
                    <w:rPr>
                      <w:rFonts w:ascii="Cambria Math" w:hAnsi="Cambria Math" w:cs="Times New Roman"/>
                    </w:rPr>
                    <m:t>k</m:t>
                  </m:r>
                </m:e>
                <m:sub>
                  <m:r>
                    <w:rPr>
                      <w:rFonts w:ascii="Cambria Math" w:hAnsi="Cambria Math" w:cs="Times New Roman"/>
                    </w:rPr>
                    <m:t>eff</m:t>
                  </m:r>
                </m:sub>
              </m:sSub>
              <m:r>
                <w:rPr>
                  <w:rFonts w:ascii="Cambria Math" w:hAnsi="Cambria Math" w:cs="Times New Roman"/>
                </w:rPr>
                <m:t>∇</m:t>
              </m:r>
              <m:sSub>
                <m:sSubPr>
                  <m:ctrlPr>
                    <w:rPr>
                      <w:rFonts w:ascii="Cambria Math" w:hAnsi="Cambria Math" w:cs="Times New Roman"/>
                      <w:i/>
                      <w:iCs/>
                    </w:rPr>
                  </m:ctrlPr>
                </m:sSubPr>
                <m:e>
                  <m:r>
                    <w:rPr>
                      <w:rFonts w:ascii="Cambria Math" w:hAnsi="Cambria Math" w:cs="Times New Roman"/>
                    </w:rPr>
                    <m:t>T</m:t>
                  </m:r>
                </m:e>
                <m:sub>
                  <m:r>
                    <w:rPr>
                      <w:rFonts w:ascii="Cambria Math" w:hAnsi="Cambria Math" w:cs="Times New Roman"/>
                    </w:rPr>
                    <m:t>L</m:t>
                  </m:r>
                </m:sub>
              </m:sSub>
            </m:e>
          </m:d>
          <m:r>
            <w:rPr>
              <w:rFonts w:ascii="Cambria Math" w:hAnsi="Cambria Math" w:cs="Times New Roman"/>
            </w:rPr>
            <m:t xml:space="preserve">                                                      (67)</m:t>
          </m:r>
          <m:r>
            <m:rPr>
              <m:sty m:val="p"/>
            </m:rPr>
            <w:rPr>
              <w:rFonts w:ascii="Cambria Math" w:hAnsi="Cambria Math" w:cs="Times New Roman"/>
            </w:rPr>
            <w:br/>
          </m:r>
        </m:oMath>
      </m:oMathPara>
    </w:p>
    <w:p w14:paraId="55E26D8D" w14:textId="2062D32A" w:rsidR="00625AD6" w:rsidRPr="00625AD6" w:rsidRDefault="00625AD6" w:rsidP="00625AD6">
      <w:pPr>
        <w:rPr>
          <w:rFonts w:cs="Times New Roman"/>
          <w:lang w:val="en-US"/>
        </w:rPr>
      </w:pPr>
      <w:r w:rsidRPr="00625AD6">
        <w:rPr>
          <w:rFonts w:cs="Times New Roman"/>
          <w:lang w:val="en-US"/>
        </w:rPr>
        <w:t>Single-phase enthalpy models belong to the category of macroscopic models, and therefore offer the advantages of simple numerical implementation and reduced computational time. However, they do not completely overcome the typical limitations of macroscopic formulations, particularly the difficulty of accurately representing the microscopic details of the phase-change process. In the case of the phase transition occurring inside the microcapsules, the model retains the homogenized temperature assumption, which simplifies the actual thermal behavior of the material. Moreover, it does not explicitly account for the heat transfer between the capsule and the carrier fluid, which may lead to significant deviations between numerical predictions and experimental results under certain operating conditions. Several studies have applied the single-phase enthalpy model to analyze the thermal behavior of MEPCS, confirming its reliability.</w:t>
      </w:r>
      <w:r>
        <w:rPr>
          <w:rFonts w:cs="Times New Roman"/>
          <w:lang w:val="en-US"/>
        </w:rPr>
        <w:t xml:space="preserve"> </w:t>
      </w:r>
      <w:r w:rsidRPr="00625AD6">
        <w:rPr>
          <w:rFonts w:cs="Times New Roman"/>
          <w:lang w:val="en-US"/>
        </w:rPr>
        <w:t>Inaba et al.</w:t>
      </w:r>
      <w:r>
        <w:rPr>
          <w:rFonts w:cs="Times New Roman"/>
          <w:lang w:val="en-US"/>
        </w:rPr>
        <w:t xml:space="preserve"> </w:t>
      </w:r>
      <w:sdt>
        <w:sdtPr>
          <w:rPr>
            <w:rFonts w:cs="Times New Roman"/>
            <w:lang w:val="en-US"/>
          </w:rPr>
          <w:id w:val="-1830663958"/>
          <w:citation/>
        </w:sdtPr>
        <w:sdtContent>
          <w:r>
            <w:rPr>
              <w:rFonts w:cs="Times New Roman"/>
              <w:lang w:val="en-US"/>
            </w:rPr>
            <w:fldChar w:fldCharType="begin"/>
          </w:r>
          <w:r w:rsidRPr="00F501EC">
            <w:rPr>
              <w:rFonts w:cs="Times New Roman"/>
              <w:lang w:val="en-US"/>
            </w:rPr>
            <w:instrText xml:space="preserve"> CITATION Placeholder219 \l 1040 </w:instrText>
          </w:r>
          <w:r>
            <w:rPr>
              <w:rFonts w:cs="Times New Roman"/>
              <w:lang w:val="en-US"/>
            </w:rPr>
            <w:fldChar w:fldCharType="separate"/>
          </w:r>
          <w:r w:rsidR="00855396" w:rsidRPr="00855396">
            <w:rPr>
              <w:rFonts w:cs="Times New Roman"/>
              <w:noProof/>
              <w:lang w:val="en-US"/>
            </w:rPr>
            <w:t>[201]</w:t>
          </w:r>
          <w:r>
            <w:rPr>
              <w:rFonts w:cs="Times New Roman"/>
              <w:lang w:val="en-US"/>
            </w:rPr>
            <w:fldChar w:fldCharType="end"/>
          </w:r>
        </w:sdtContent>
      </w:sdt>
      <w:r w:rsidRPr="00625AD6">
        <w:rPr>
          <w:rFonts w:cs="Times New Roman"/>
          <w:lang w:val="en-US"/>
        </w:rPr>
        <w:t xml:space="preserve"> investigated heat storage and transfer in a horizontal rectangular shell, reporting a deviation of 10% between numerical and experimental results. Zeng et al.</w:t>
      </w:r>
      <w:r>
        <w:rPr>
          <w:rFonts w:cs="Times New Roman"/>
          <w:lang w:val="en-US"/>
        </w:rPr>
        <w:t xml:space="preserve"> </w:t>
      </w:r>
      <w:sdt>
        <w:sdtPr>
          <w:rPr>
            <w:rFonts w:cs="Times New Roman"/>
            <w:lang w:val="en-US"/>
          </w:rPr>
          <w:id w:val="267896173"/>
          <w:citation/>
        </w:sdtPr>
        <w:sdtContent>
          <w:r>
            <w:rPr>
              <w:rFonts w:cs="Times New Roman"/>
              <w:lang w:val="en-US"/>
            </w:rPr>
            <w:fldChar w:fldCharType="begin"/>
          </w:r>
          <w:r w:rsidRPr="00F501EC">
            <w:rPr>
              <w:rFonts w:cs="Times New Roman"/>
              <w:lang w:val="en-US"/>
            </w:rPr>
            <w:instrText xml:space="preserve"> CITATION Placeholder220 \l 1040 </w:instrText>
          </w:r>
          <w:r>
            <w:rPr>
              <w:rFonts w:cs="Times New Roman"/>
              <w:lang w:val="en-US"/>
            </w:rPr>
            <w:fldChar w:fldCharType="separate"/>
          </w:r>
          <w:r w:rsidR="00855396" w:rsidRPr="00855396">
            <w:rPr>
              <w:rFonts w:cs="Times New Roman"/>
              <w:noProof/>
              <w:lang w:val="en-US"/>
            </w:rPr>
            <w:t>[202]</w:t>
          </w:r>
          <w:r>
            <w:rPr>
              <w:rFonts w:cs="Times New Roman"/>
              <w:lang w:val="en-US"/>
            </w:rPr>
            <w:fldChar w:fldCharType="end"/>
          </w:r>
        </w:sdtContent>
      </w:sdt>
      <w:r w:rsidRPr="00625AD6">
        <w:rPr>
          <w:rFonts w:cs="Times New Roman"/>
          <w:lang w:val="en-US"/>
        </w:rPr>
        <w:t xml:space="preserve"> analyzed convective heat transfer in a circular tube, validating the Nusselt number with a deviation of 9.4%. Sabbah et al. </w:t>
      </w:r>
      <w:sdt>
        <w:sdtPr>
          <w:rPr>
            <w:rFonts w:cs="Times New Roman"/>
            <w:lang w:val="en-US"/>
          </w:rPr>
          <w:id w:val="-1442760091"/>
          <w:citation/>
        </w:sdtPr>
        <w:sdtContent>
          <w:r>
            <w:rPr>
              <w:rFonts w:cs="Times New Roman"/>
              <w:lang w:val="en-US"/>
            </w:rPr>
            <w:fldChar w:fldCharType="begin"/>
          </w:r>
          <w:r w:rsidRPr="00F501EC">
            <w:rPr>
              <w:rFonts w:cs="Times New Roman"/>
              <w:lang w:val="en-US"/>
            </w:rPr>
            <w:instrText xml:space="preserve"> CITATION Placeholder221 \l 1040 </w:instrText>
          </w:r>
          <w:r>
            <w:rPr>
              <w:rFonts w:cs="Times New Roman"/>
              <w:lang w:val="en-US"/>
            </w:rPr>
            <w:fldChar w:fldCharType="separate"/>
          </w:r>
          <w:r w:rsidR="00855396" w:rsidRPr="00855396">
            <w:rPr>
              <w:rFonts w:cs="Times New Roman"/>
              <w:noProof/>
              <w:lang w:val="en-US"/>
            </w:rPr>
            <w:t>[203]</w:t>
          </w:r>
          <w:r>
            <w:rPr>
              <w:rFonts w:cs="Times New Roman"/>
              <w:lang w:val="en-US"/>
            </w:rPr>
            <w:fldChar w:fldCharType="end"/>
          </w:r>
        </w:sdtContent>
      </w:sdt>
      <w:r w:rsidRPr="00625AD6">
        <w:rPr>
          <w:rFonts w:cs="Times New Roman"/>
          <w:lang w:val="en-US"/>
        </w:rPr>
        <w:t xml:space="preserve"> developed a three-dimensional model to study laminar flow and heat transfer in a microchannel heat sink, achieving good agreement with experimental data. Finally, Hasan</w:t>
      </w:r>
      <w:sdt>
        <w:sdtPr>
          <w:rPr>
            <w:rFonts w:cs="Times New Roman"/>
            <w:lang w:val="en-US"/>
          </w:rPr>
          <w:id w:val="1946500117"/>
          <w:citation/>
        </w:sdtPr>
        <w:sdtContent>
          <w:r>
            <w:rPr>
              <w:rFonts w:cs="Times New Roman"/>
              <w:lang w:val="en-US"/>
            </w:rPr>
            <w:fldChar w:fldCharType="begin"/>
          </w:r>
          <w:r w:rsidRPr="00625AD6">
            <w:rPr>
              <w:rFonts w:cs="Times New Roman"/>
              <w:lang w:val="en-US"/>
            </w:rPr>
            <w:instrText xml:space="preserve"> CITATION Placeholder222 \l 1040 </w:instrText>
          </w:r>
          <w:r>
            <w:rPr>
              <w:rFonts w:cs="Times New Roman"/>
              <w:lang w:val="en-US"/>
            </w:rPr>
            <w:fldChar w:fldCharType="separate"/>
          </w:r>
          <w:r w:rsidR="00855396">
            <w:rPr>
              <w:rFonts w:cs="Times New Roman"/>
              <w:noProof/>
              <w:lang w:val="en-US"/>
            </w:rPr>
            <w:t xml:space="preserve"> </w:t>
          </w:r>
          <w:r w:rsidR="00855396" w:rsidRPr="00855396">
            <w:rPr>
              <w:rFonts w:cs="Times New Roman"/>
              <w:noProof/>
              <w:lang w:val="en-US"/>
            </w:rPr>
            <w:t>[204]</w:t>
          </w:r>
          <w:r>
            <w:rPr>
              <w:rFonts w:cs="Times New Roman"/>
              <w:lang w:val="en-US"/>
            </w:rPr>
            <w:fldChar w:fldCharType="end"/>
          </w:r>
        </w:sdtContent>
      </w:sdt>
      <w:r w:rsidRPr="00625AD6">
        <w:rPr>
          <w:rFonts w:cs="Times New Roman"/>
          <w:lang w:val="en-US"/>
        </w:rPr>
        <w:t xml:space="preserve"> applied the model to a counterflow microchannel heat exchanger, obtaining a deviation of 2.1% from the experimental results. </w:t>
      </w:r>
    </w:p>
    <w:p w14:paraId="6A919CFA" w14:textId="77777777" w:rsidR="00625AD6" w:rsidRPr="00625AD6" w:rsidRDefault="00625AD6" w:rsidP="00625AD6">
      <w:pPr>
        <w:rPr>
          <w:rFonts w:cs="Times New Roman"/>
          <w:lang w:val="en-US"/>
        </w:rPr>
      </w:pPr>
    </w:p>
    <w:p w14:paraId="6F400C18" w14:textId="4F33BFE9" w:rsidR="00625AD6" w:rsidRPr="00625AD6" w:rsidRDefault="00625AD6" w:rsidP="00625AD6">
      <w:pPr>
        <w:pStyle w:val="Heading4"/>
        <w:rPr>
          <w:lang w:val="en-US"/>
        </w:rPr>
      </w:pPr>
      <w:r w:rsidRPr="00625AD6">
        <w:rPr>
          <w:lang w:val="en-US"/>
        </w:rPr>
        <w:t>Two-phase enthalpy model</w:t>
      </w:r>
    </w:p>
    <w:p w14:paraId="071CD66E" w14:textId="4545EC9C" w:rsidR="00625AD6" w:rsidRPr="00625AD6" w:rsidRDefault="00625AD6" w:rsidP="00625AD6">
      <w:pPr>
        <w:rPr>
          <w:rFonts w:cs="Times New Roman"/>
          <w:lang w:val="en-US"/>
        </w:rPr>
      </w:pPr>
      <w:r w:rsidRPr="00625AD6">
        <w:rPr>
          <w:rFonts w:cs="Times New Roman"/>
          <w:lang w:val="en-US"/>
        </w:rPr>
        <w:t>The two-phase enthalpy model treats the carrier fluid and the particles as two interacting continuous phases. It is likewise a macroscopic model, which defines the conservation equations of mass, momentum, and energy for each phase</w:t>
      </w:r>
      <w:r w:rsidR="00A27ED0">
        <w:rPr>
          <w:rFonts w:cs="Times New Roman"/>
          <w:lang w:val="en-US"/>
        </w:rPr>
        <w:t>,</w:t>
      </w:r>
      <w:r w:rsidRPr="00625AD6">
        <w:rPr>
          <w:rFonts w:cs="Times New Roman"/>
          <w:lang w:val="en-US"/>
        </w:rPr>
        <w:t xml:space="preserve"> allowing for a clearer and more realistic description of the thermal and fluid-dynamic interactions between them. Since the conservation equations are formulated separately for the two phases, the numerical resolution of the model is more computationally demanding, </w:t>
      </w:r>
      <w:r w:rsidRPr="00625AD6">
        <w:rPr>
          <w:rFonts w:cs="Times New Roman"/>
          <w:lang w:val="en-US"/>
        </w:rPr>
        <w:lastRenderedPageBreak/>
        <w:t>requiring roughly twice the calculation time of the single-phase enthalpy model and often exhibiting lower numerical stability. Although two-phase models share some of the same limitations as single-phase formulations, they are generally more accurate and versatile, and for this reason, they have been widely adopted in recent scientific studies. Within this framework, the continuity, momentum, and energy equations are established for both the liquid phase and the solid phase. Several studies have applied the two-phase enthalpy model to analyze the thermal and fluid-dynamic behavior of MEPCS in microchannels. Hao et al.</w:t>
      </w:r>
      <w:sdt>
        <w:sdtPr>
          <w:rPr>
            <w:rFonts w:cs="Times New Roman"/>
            <w:lang w:val="en-US"/>
          </w:rPr>
          <w:id w:val="1907494224"/>
          <w:citation/>
        </w:sdtPr>
        <w:sdtContent>
          <w:r>
            <w:rPr>
              <w:rFonts w:cs="Times New Roman"/>
              <w:lang w:val="en-US"/>
            </w:rPr>
            <w:fldChar w:fldCharType="begin"/>
          </w:r>
          <w:r w:rsidRPr="00625AD6">
            <w:rPr>
              <w:rFonts w:cs="Times New Roman"/>
              <w:lang w:val="en-US"/>
            </w:rPr>
            <w:instrText xml:space="preserve"> CITATION Placeholder223 \l 1040 </w:instrText>
          </w:r>
          <w:r>
            <w:rPr>
              <w:rFonts w:cs="Times New Roman"/>
              <w:lang w:val="en-US"/>
            </w:rPr>
            <w:fldChar w:fldCharType="separate"/>
          </w:r>
          <w:r w:rsidR="00855396">
            <w:rPr>
              <w:rFonts w:cs="Times New Roman"/>
              <w:noProof/>
              <w:lang w:val="en-US"/>
            </w:rPr>
            <w:t xml:space="preserve"> </w:t>
          </w:r>
          <w:r w:rsidR="00855396" w:rsidRPr="00855396">
            <w:rPr>
              <w:rFonts w:cs="Times New Roman"/>
              <w:noProof/>
              <w:lang w:val="en-US"/>
            </w:rPr>
            <w:t>[205]</w:t>
          </w:r>
          <w:r>
            <w:rPr>
              <w:rFonts w:cs="Times New Roman"/>
              <w:lang w:val="en-US"/>
            </w:rPr>
            <w:fldChar w:fldCharType="end"/>
          </w:r>
        </w:sdtContent>
      </w:sdt>
      <w:r w:rsidRPr="00625AD6">
        <w:rPr>
          <w:rFonts w:cs="Times New Roman"/>
          <w:lang w:val="en-US"/>
        </w:rPr>
        <w:t xml:space="preserve"> developed a model capable of describing the separation between solid and liquid flow and the coupling between thermal diffusion, convection, and inter-particle interactions, obtaining numerical results in good agreement with experimental observations. Subsequently, Xing et al. </w:t>
      </w:r>
      <w:sdt>
        <w:sdtPr>
          <w:rPr>
            <w:rFonts w:cs="Times New Roman"/>
            <w:lang w:val="en-US"/>
          </w:rPr>
          <w:id w:val="368810597"/>
          <w:citation/>
        </w:sdtPr>
        <w:sdtContent>
          <w:r>
            <w:rPr>
              <w:rFonts w:cs="Times New Roman"/>
              <w:lang w:val="en-US"/>
            </w:rPr>
            <w:fldChar w:fldCharType="begin"/>
          </w:r>
          <w:r w:rsidRPr="00F501EC">
            <w:rPr>
              <w:rFonts w:cs="Times New Roman"/>
              <w:lang w:val="en-US"/>
            </w:rPr>
            <w:instrText xml:space="preserve"> CITATION Placeholder224 \l 1040 </w:instrText>
          </w:r>
          <w:r>
            <w:rPr>
              <w:rFonts w:cs="Times New Roman"/>
              <w:lang w:val="en-US"/>
            </w:rPr>
            <w:fldChar w:fldCharType="separate"/>
          </w:r>
          <w:r w:rsidR="00855396" w:rsidRPr="00855396">
            <w:rPr>
              <w:rFonts w:cs="Times New Roman"/>
              <w:noProof/>
              <w:lang w:val="en-US"/>
            </w:rPr>
            <w:t>[206]</w:t>
          </w:r>
          <w:r>
            <w:rPr>
              <w:rFonts w:cs="Times New Roman"/>
              <w:lang w:val="en-US"/>
            </w:rPr>
            <w:fldChar w:fldCharType="end"/>
          </w:r>
        </w:sdtContent>
      </w:sdt>
      <w:r w:rsidRPr="00625AD6">
        <w:rPr>
          <w:rFonts w:cs="Times New Roman"/>
          <w:lang w:val="en-US"/>
        </w:rPr>
        <w:t xml:space="preserve"> </w:t>
      </w:r>
      <w:r w:rsidR="00A27ED0">
        <w:rPr>
          <w:rFonts w:cs="Times New Roman"/>
          <w:lang w:val="en-US"/>
        </w:rPr>
        <w:t>u</w:t>
      </w:r>
      <w:r w:rsidRPr="00625AD6">
        <w:rPr>
          <w:rFonts w:cs="Times New Roman"/>
          <w:lang w:val="en-US"/>
        </w:rPr>
        <w:t>sed the same model to investigate the laminar flow and heat transfer of MEPCS in microchannels, reporting a deviation of 3.8% compared with experimental data. Finally, Lian</w:t>
      </w:r>
      <w:sdt>
        <w:sdtPr>
          <w:rPr>
            <w:rFonts w:cs="Times New Roman"/>
            <w:lang w:val="en-US"/>
          </w:rPr>
          <w:id w:val="-1894640138"/>
          <w:citation/>
        </w:sdtPr>
        <w:sdtContent>
          <w:r>
            <w:rPr>
              <w:rFonts w:cs="Times New Roman"/>
              <w:lang w:val="en-US"/>
            </w:rPr>
            <w:fldChar w:fldCharType="begin"/>
          </w:r>
          <w:r w:rsidRPr="00625AD6">
            <w:rPr>
              <w:rFonts w:cs="Times New Roman"/>
              <w:lang w:val="en-US"/>
            </w:rPr>
            <w:instrText xml:space="preserve"> CITATION Placeholder225 \l 1040 </w:instrText>
          </w:r>
          <w:r>
            <w:rPr>
              <w:rFonts w:cs="Times New Roman"/>
              <w:lang w:val="en-US"/>
            </w:rPr>
            <w:fldChar w:fldCharType="separate"/>
          </w:r>
          <w:r w:rsidR="00855396">
            <w:rPr>
              <w:rFonts w:cs="Times New Roman"/>
              <w:noProof/>
              <w:lang w:val="en-US"/>
            </w:rPr>
            <w:t xml:space="preserve"> </w:t>
          </w:r>
          <w:r w:rsidR="00855396" w:rsidRPr="00855396">
            <w:rPr>
              <w:rFonts w:cs="Times New Roman"/>
              <w:noProof/>
              <w:lang w:val="en-US"/>
            </w:rPr>
            <w:t>[207]</w:t>
          </w:r>
          <w:r>
            <w:rPr>
              <w:rFonts w:cs="Times New Roman"/>
              <w:lang w:val="en-US"/>
            </w:rPr>
            <w:fldChar w:fldCharType="end"/>
          </w:r>
        </w:sdtContent>
      </w:sdt>
      <w:r w:rsidRPr="00625AD6">
        <w:rPr>
          <w:rFonts w:cs="Times New Roman"/>
          <w:lang w:val="en-US"/>
        </w:rPr>
        <w:t xml:space="preserve"> et al. applied the two-phase enthalpy model to evaluate the cooling performance of MEPCS in a liquid-cooled plate, achieving results consistent with experimental measurements.</w:t>
      </w:r>
    </w:p>
    <w:p w14:paraId="785AE80A" w14:textId="609DA692" w:rsidR="00625AD6" w:rsidRPr="003A65E5" w:rsidRDefault="00625AD6" w:rsidP="003A65E5">
      <w:pPr>
        <w:pStyle w:val="Heading3"/>
        <w:rPr>
          <w:lang w:val="en-US"/>
        </w:rPr>
      </w:pPr>
      <w:bookmarkStart w:id="215" w:name="_Toc213354102"/>
      <w:bookmarkStart w:id="216" w:name="_Toc214356322"/>
      <w:r w:rsidRPr="003A65E5">
        <w:rPr>
          <w:lang w:val="en-US"/>
        </w:rPr>
        <w:t>Equivalent specific heat capacity model</w:t>
      </w:r>
      <w:bookmarkEnd w:id="215"/>
      <w:bookmarkEnd w:id="216"/>
    </w:p>
    <w:p w14:paraId="5284BCAC" w14:textId="675A4079" w:rsidR="00625AD6" w:rsidRPr="00625AD6" w:rsidRDefault="00625AD6" w:rsidP="00625AD6">
      <w:pPr>
        <w:rPr>
          <w:rFonts w:cs="Times New Roman"/>
          <w:lang w:val="en-US"/>
        </w:rPr>
      </w:pPr>
      <w:r w:rsidRPr="00625AD6">
        <w:rPr>
          <w:rFonts w:cs="Times New Roman"/>
          <w:lang w:val="en-US"/>
        </w:rPr>
        <w:t>The information reported in the review by Li et al. [</w:t>
      </w:r>
      <w:r>
        <w:rPr>
          <w:rFonts w:cs="Times New Roman"/>
          <w:lang w:val="en-US"/>
        </w:rPr>
        <w:t>208</w:t>
      </w:r>
      <w:r w:rsidRPr="00625AD6">
        <w:rPr>
          <w:rFonts w:cs="Times New Roman"/>
          <w:lang w:val="en-US"/>
        </w:rPr>
        <w:t xml:space="preserve">] clearly describes the functioning and characteristics of the equivalent specific heat capacity model, one of the main thermo-hydraulic approaches used to analyze the thermal behavior of MEPCS. In this model, the effect of the phase change of the particles is represented through the variation of the equivalent specific heat capacity of the slurry. The effective specific heat of the suspension is determined from the correlation between temperature and enthalpy, which can be experimentally obtained using calorimetric techniques such </w:t>
      </w:r>
      <w:r w:rsidRPr="00D619A3">
        <w:rPr>
          <w:rFonts w:cs="Times New Roman"/>
          <w:lang w:val="en-US"/>
        </w:rPr>
        <w:t xml:space="preserve">as </w:t>
      </w:r>
      <w:r w:rsidR="00703A54" w:rsidRPr="00D619A3">
        <w:rPr>
          <w:rFonts w:cs="Times New Roman"/>
          <w:lang w:val="en-US"/>
        </w:rPr>
        <w:t>DSC</w:t>
      </w:r>
      <w:r w:rsidRPr="00D619A3">
        <w:rPr>
          <w:rFonts w:cs="Times New Roman"/>
          <w:lang w:val="en-US"/>
        </w:rPr>
        <w:t>.</w:t>
      </w:r>
      <w:r w:rsidRPr="00625AD6">
        <w:rPr>
          <w:rFonts w:cs="Times New Roman"/>
          <w:lang w:val="en-US"/>
        </w:rPr>
        <w:t xml:space="preserve"> The main advantage of this method lies in its simplicity of implementation: it avoids the need to introduce complex heat source terms into the mathematical equations, thereby simplifying the modeling of the phase-change process and enabling results with reasonable accuracy. However, as noted by the authors, this model has some inherent limitations. In particular, the equivalent specific heat capacity method becomes unreliable when the phase-change temperature range is narrow and is unsuitable for describing stepwise phase-change processes. Moreover, it relies on the assumption of a homogenized temperature inside the capsule, which tends to oversimplify the actual phase-change behavior and may lead to significant deviations from experimental results. Depending on the complexity of the analyzed system, Li et al. distinguish between two variants of this approach: the single-phase equivalent specific heat capacity model and the two-phase equivalent specific heat capacity model, which differ in their treatment of the interactions between the carrier fluid and the PCM particles.</w:t>
      </w:r>
    </w:p>
    <w:p w14:paraId="4946E1D5" w14:textId="18434D88" w:rsidR="00625AD6" w:rsidRPr="00625AD6" w:rsidRDefault="00625AD6" w:rsidP="00F501EC">
      <w:pPr>
        <w:pStyle w:val="Heading4"/>
        <w:rPr>
          <w:lang w:val="en-US"/>
        </w:rPr>
      </w:pPr>
      <w:r w:rsidRPr="00625AD6">
        <w:rPr>
          <w:lang w:val="en-US"/>
        </w:rPr>
        <w:lastRenderedPageBreak/>
        <w:t>Single-phase equivalent specific heat capacity model</w:t>
      </w:r>
    </w:p>
    <w:p w14:paraId="3F528FEE" w14:textId="5C5921E3" w:rsidR="00625AD6" w:rsidRPr="00625AD6" w:rsidRDefault="00625AD6" w:rsidP="00625AD6">
      <w:pPr>
        <w:rPr>
          <w:rFonts w:cs="Times New Roman"/>
          <w:lang w:val="en-US"/>
        </w:rPr>
      </w:pPr>
      <w:r w:rsidRPr="00625AD6">
        <w:rPr>
          <w:rFonts w:cs="Times New Roman"/>
          <w:lang w:val="en-US"/>
        </w:rPr>
        <w:t>The single-phase equivalent specific heat capacity model, described by Li et al. [</w:t>
      </w:r>
      <w:r w:rsidR="00F501EC">
        <w:rPr>
          <w:rFonts w:cs="Times New Roman"/>
          <w:lang w:val="en-US"/>
        </w:rPr>
        <w:t>208</w:t>
      </w:r>
      <w:r w:rsidRPr="00625AD6">
        <w:rPr>
          <w:rFonts w:cs="Times New Roman"/>
          <w:lang w:val="en-US"/>
        </w:rPr>
        <w:t>], treats the MEPCS as a homogeneous single-phase fluid, in which the phase-change effect is represented by variations in the equivalent specific heat capacity. In this approach, the PCM particles are modeled as a continuous part of the carrier fluid, and the thermal behavior is described through the continuity Eq. (68), momentum Eq. (69), and energy Eq. (70) equations:</w:t>
      </w:r>
    </w:p>
    <w:p w14:paraId="5D687859" w14:textId="77777777" w:rsidR="00625AD6" w:rsidRPr="00625AD6" w:rsidRDefault="00625AD6" w:rsidP="00625AD6">
      <w:pPr>
        <w:rPr>
          <w:rFonts w:cs="Times New Roman"/>
          <w:i/>
          <w:iCs/>
        </w:rPr>
      </w:pPr>
      <m:oMathPara>
        <m:oMathParaPr>
          <m:jc m:val="right"/>
        </m:oMathParaPr>
        <m:oMath>
          <m:r>
            <w:rPr>
              <w:rFonts w:ascii="Cambria Math" w:hAnsi="Cambria Math" w:cs="Times New Roman"/>
            </w:rPr>
            <m:t>∇⋅u=0                                                                                         (68)</m:t>
          </m:r>
          <m:r>
            <m:rPr>
              <m:sty m:val="p"/>
            </m:rPr>
            <w:rPr>
              <w:rFonts w:ascii="Cambria Math" w:hAnsi="Cambria Math" w:cs="Times New Roman"/>
            </w:rPr>
            <w:br/>
          </m:r>
        </m:oMath>
        <m:oMath>
          <m:sSub>
            <m:sSubPr>
              <m:ctrlPr>
                <w:rPr>
                  <w:rFonts w:ascii="Cambria Math" w:hAnsi="Cambria Math" w:cs="Times New Roman"/>
                  <w:i/>
                  <w:iCs/>
                </w:rPr>
              </m:ctrlPr>
            </m:sSubPr>
            <m:e>
              <m:r>
                <w:rPr>
                  <w:rFonts w:ascii="Cambria Math" w:hAnsi="Cambria Math" w:cs="Times New Roman"/>
                </w:rPr>
                <m:t>ρ</m:t>
              </m:r>
            </m:e>
            <m:sub>
              <m:r>
                <w:rPr>
                  <w:rFonts w:ascii="Cambria Math" w:hAnsi="Cambria Math" w:cs="Times New Roman"/>
                </w:rPr>
                <m:t>ef</m:t>
              </m:r>
            </m:sub>
          </m:sSub>
          <m:d>
            <m:dPr>
              <m:ctrlPr>
                <w:rPr>
                  <w:rFonts w:ascii="Cambria Math" w:hAnsi="Cambria Math" w:cs="Times New Roman"/>
                  <w:i/>
                </w:rPr>
              </m:ctrlPr>
            </m:dPr>
            <m:e>
              <m:r>
                <w:rPr>
                  <w:rFonts w:ascii="Cambria Math" w:hAnsi="Cambria Math" w:cs="Times New Roman"/>
                </w:rPr>
                <m:t>u⋅∇</m:t>
              </m:r>
            </m:e>
          </m:d>
          <m:r>
            <w:rPr>
              <w:rFonts w:ascii="Cambria Math" w:hAnsi="Cambria Math" w:cs="Times New Roman"/>
            </w:rPr>
            <m:t>u=-∇p+</m:t>
          </m:r>
          <m:sSub>
            <m:sSubPr>
              <m:ctrlPr>
                <w:rPr>
                  <w:rFonts w:ascii="Cambria Math" w:hAnsi="Cambria Math" w:cs="Times New Roman"/>
                  <w:i/>
                  <w:iCs/>
                </w:rPr>
              </m:ctrlPr>
            </m:sSubPr>
            <m:e>
              <m:r>
                <w:rPr>
                  <w:rFonts w:ascii="Cambria Math" w:hAnsi="Cambria Math" w:cs="Times New Roman"/>
                </w:rPr>
                <m:t>μ</m:t>
              </m:r>
            </m:e>
            <m:sub>
              <m:r>
                <w:rPr>
                  <w:rFonts w:ascii="Cambria Math" w:hAnsi="Cambria Math" w:cs="Times New Roman"/>
                </w:rPr>
                <m:t>ef</m:t>
              </m:r>
            </m:sub>
          </m:sSub>
          <m:sSup>
            <m:sSupPr>
              <m:ctrlPr>
                <w:rPr>
                  <w:rFonts w:ascii="Cambria Math" w:hAnsi="Cambria Math" w:cs="Times New Roman"/>
                  <w:i/>
                  <w:iCs/>
                </w:rPr>
              </m:ctrlPr>
            </m:sSupPr>
            <m:e>
              <m:r>
                <w:rPr>
                  <w:rFonts w:ascii="Cambria Math" w:hAnsi="Cambria Math" w:cs="Times New Roman"/>
                </w:rPr>
                <m:t>∇</m:t>
              </m:r>
            </m:e>
            <m:sup>
              <m:r>
                <w:rPr>
                  <w:rFonts w:ascii="Cambria Math" w:hAnsi="Cambria Math" w:cs="Times New Roman"/>
                </w:rPr>
                <m:t>2</m:t>
              </m:r>
            </m:sup>
          </m:sSup>
          <m:r>
            <w:rPr>
              <w:rFonts w:ascii="Cambria Math" w:hAnsi="Cambria Math" w:cs="Times New Roman"/>
            </w:rPr>
            <m:t>u+</m:t>
          </m:r>
          <m:d>
            <m:dPr>
              <m:ctrlPr>
                <w:rPr>
                  <w:rFonts w:ascii="Cambria Math" w:hAnsi="Cambria Math" w:cs="Times New Roman"/>
                  <w:i/>
                </w:rPr>
              </m:ctrlPr>
            </m:dPr>
            <m:e>
              <m:r>
                <w:rPr>
                  <w:rFonts w:ascii="Cambria Math" w:hAnsi="Cambria Math" w:cs="Times New Roman"/>
                </w:rPr>
                <m:t>∇u+∇</m:t>
              </m:r>
              <m:sSup>
                <m:sSupPr>
                  <m:ctrlPr>
                    <w:rPr>
                      <w:rFonts w:ascii="Cambria Math" w:hAnsi="Cambria Math" w:cs="Times New Roman"/>
                      <w:i/>
                      <w:iCs/>
                    </w:rPr>
                  </m:ctrlPr>
                </m:sSupPr>
                <m:e>
                  <m:r>
                    <w:rPr>
                      <w:rFonts w:ascii="Cambria Math" w:hAnsi="Cambria Math" w:cs="Times New Roman"/>
                    </w:rPr>
                    <m:t>u</m:t>
                  </m:r>
                </m:e>
                <m:sup>
                  <m:r>
                    <w:rPr>
                      <w:rFonts w:ascii="Cambria Math" w:hAnsi="Cambria Math" w:cs="Times New Roman"/>
                    </w:rPr>
                    <m:t>T</m:t>
                  </m:r>
                </m:sup>
              </m:sSup>
            </m:e>
          </m:d>
          <m:r>
            <w:rPr>
              <w:rFonts w:ascii="Cambria Math" w:hAnsi="Cambria Math" w:cs="Times New Roman"/>
            </w:rPr>
            <m:t xml:space="preserve">                                             (69)</m:t>
          </m:r>
          <m:r>
            <m:rPr>
              <m:sty m:val="p"/>
            </m:rPr>
            <w:rPr>
              <w:rFonts w:ascii="Cambria Math" w:hAnsi="Cambria Math" w:cs="Times New Roman"/>
            </w:rPr>
            <w:br/>
          </m:r>
        </m:oMath>
        <m:oMath>
          <m:sSub>
            <m:sSubPr>
              <m:ctrlPr>
                <w:rPr>
                  <w:rFonts w:ascii="Cambria Math" w:hAnsi="Cambria Math" w:cs="Times New Roman"/>
                  <w:i/>
                  <w:iCs/>
                </w:rPr>
              </m:ctrlPr>
            </m:sSubPr>
            <m:e>
              <m:r>
                <w:rPr>
                  <w:rFonts w:ascii="Cambria Math" w:hAnsi="Cambria Math" w:cs="Times New Roman"/>
                </w:rPr>
                <m:t>ρ</m:t>
              </m:r>
            </m:e>
            <m:sub>
              <m:r>
                <w:rPr>
                  <w:rFonts w:ascii="Cambria Math" w:hAnsi="Cambria Math" w:cs="Times New Roman"/>
                </w:rPr>
                <m:t>ef</m:t>
              </m:r>
            </m:sub>
          </m:sSub>
          <m:sSub>
            <m:sSubPr>
              <m:ctrlPr>
                <w:rPr>
                  <w:rFonts w:ascii="Cambria Math" w:hAnsi="Cambria Math" w:cs="Times New Roman"/>
                  <w:i/>
                  <w:iCs/>
                </w:rPr>
              </m:ctrlPr>
            </m:sSubPr>
            <m:e>
              <m:r>
                <w:rPr>
                  <w:rFonts w:ascii="Cambria Math" w:hAnsi="Cambria Math" w:cs="Times New Roman"/>
                </w:rPr>
                <m:t>c</m:t>
              </m:r>
            </m:e>
            <m:sub>
              <m:r>
                <w:rPr>
                  <w:rFonts w:ascii="Cambria Math" w:hAnsi="Cambria Math" w:cs="Times New Roman"/>
                </w:rPr>
                <m:t>p,ef</m:t>
              </m:r>
            </m:sub>
          </m:sSub>
          <m:d>
            <m:dPr>
              <m:ctrlPr>
                <w:rPr>
                  <w:rFonts w:ascii="Cambria Math" w:hAnsi="Cambria Math" w:cs="Times New Roman"/>
                  <w:i/>
                </w:rPr>
              </m:ctrlPr>
            </m:dPr>
            <m:e>
              <m:r>
                <w:rPr>
                  <w:rFonts w:ascii="Cambria Math" w:hAnsi="Cambria Math" w:cs="Times New Roman"/>
                </w:rPr>
                <m:t>u⋅∇T</m:t>
              </m:r>
            </m:e>
          </m:d>
          <m:r>
            <w:rPr>
              <w:rFonts w:ascii="Cambria Math" w:hAnsi="Cambria Math" w:cs="Times New Roman"/>
            </w:rPr>
            <m:t>=∇⋅</m:t>
          </m:r>
          <m:d>
            <m:dPr>
              <m:ctrlPr>
                <w:rPr>
                  <w:rFonts w:ascii="Cambria Math" w:hAnsi="Cambria Math" w:cs="Times New Roman"/>
                  <w:i/>
                </w:rPr>
              </m:ctrlPr>
            </m:dPr>
            <m:e>
              <m:sSub>
                <m:sSubPr>
                  <m:ctrlPr>
                    <w:rPr>
                      <w:rFonts w:ascii="Cambria Math" w:hAnsi="Cambria Math" w:cs="Times New Roman"/>
                      <w:i/>
                      <w:iCs/>
                    </w:rPr>
                  </m:ctrlPr>
                </m:sSubPr>
                <m:e>
                  <m:r>
                    <w:rPr>
                      <w:rFonts w:ascii="Cambria Math" w:hAnsi="Cambria Math" w:cs="Times New Roman"/>
                    </w:rPr>
                    <m:t>k</m:t>
                  </m:r>
                </m:e>
                <m:sub>
                  <m:r>
                    <w:rPr>
                      <w:rFonts w:ascii="Cambria Math" w:hAnsi="Cambria Math" w:cs="Times New Roman"/>
                    </w:rPr>
                    <m:t>ef</m:t>
                  </m:r>
                </m:sub>
              </m:sSub>
              <m:r>
                <w:rPr>
                  <w:rFonts w:ascii="Cambria Math" w:hAnsi="Cambria Math" w:cs="Times New Roman"/>
                </w:rPr>
                <m:t>∇T</m:t>
              </m:r>
            </m:e>
          </m:d>
          <m:r>
            <w:rPr>
              <w:rFonts w:ascii="Cambria Math" w:hAnsi="Cambria Math" w:cs="Times New Roman"/>
            </w:rPr>
            <m:t>+</m:t>
          </m:r>
          <m:sSup>
            <m:sSupPr>
              <m:ctrlPr>
                <w:rPr>
                  <w:rFonts w:ascii="Cambria Math" w:hAnsi="Cambria Math" w:cs="Times New Roman"/>
                  <w:i/>
                  <w:iCs/>
                </w:rPr>
              </m:ctrlPr>
            </m:sSupPr>
            <m:e>
              <m:r>
                <w:rPr>
                  <w:rFonts w:ascii="Cambria Math" w:hAnsi="Cambria Math" w:cs="Times New Roman"/>
                </w:rPr>
                <m:t>Φ</m:t>
              </m:r>
            </m:e>
            <m:sup>
              <m:r>
                <w:rPr>
                  <w:rFonts w:ascii="Cambria Math" w:hAnsi="Cambria Math" w:cs="Times New Roman"/>
                </w:rPr>
                <m:t>2</m:t>
              </m:r>
            </m:sup>
          </m:sSup>
          <m:r>
            <m:rPr>
              <m:sty m:val="p"/>
            </m:rPr>
            <w:rPr>
              <w:rFonts w:ascii="Cambria Math" w:hAnsi="Cambria Math" w:cs="Times New Roman"/>
            </w:rPr>
            <m:t xml:space="preserve">                                             (70)</m:t>
          </m:r>
          <m:r>
            <m:rPr>
              <m:sty m:val="p"/>
            </m:rPr>
            <w:rPr>
              <w:rFonts w:ascii="Cambria Math" w:hAnsi="Cambria Math" w:cs="Times New Roman"/>
            </w:rPr>
            <w:br/>
          </m:r>
        </m:oMath>
      </m:oMathPara>
    </w:p>
    <w:p w14:paraId="0BDDD4D6" w14:textId="6299F9DB" w:rsidR="00625AD6" w:rsidRPr="00625AD6" w:rsidRDefault="00625AD6" w:rsidP="00625AD6">
      <w:pPr>
        <w:rPr>
          <w:rFonts w:cs="Times New Roman"/>
          <w:lang w:val="en-US"/>
        </w:rPr>
      </w:pPr>
      <w:r w:rsidRPr="00625AD6">
        <w:rPr>
          <w:rFonts w:cs="Times New Roman"/>
          <w:lang w:val="en-US"/>
        </w:rPr>
        <w:t xml:space="preserve">where </w:t>
      </w:r>
      <m:oMath>
        <m:sSub>
          <m:sSubPr>
            <m:ctrlPr>
              <w:rPr>
                <w:rFonts w:ascii="Cambria Math" w:hAnsi="Cambria Math" w:cs="Times New Roman"/>
              </w:rPr>
            </m:ctrlPr>
          </m:sSubPr>
          <m:e>
            <m:r>
              <m:rPr>
                <m:sty m:val="p"/>
              </m:rPr>
              <w:rPr>
                <w:rFonts w:ascii="Cambria Math" w:hAnsi="Cambria Math" w:cs="Times New Roman"/>
                <w:lang w:val="en-US"/>
              </w:rPr>
              <m:t>k</m:t>
            </m:r>
          </m:e>
          <m:sub>
            <m:r>
              <m:rPr>
                <m:sty m:val="p"/>
              </m:rPr>
              <w:rPr>
                <w:rFonts w:ascii="Cambria Math" w:hAnsi="Cambria Math" w:cs="Times New Roman"/>
                <w:lang w:val="en-US"/>
              </w:rPr>
              <m:t>ef</m:t>
            </m:r>
          </m:sub>
        </m:sSub>
      </m:oMath>
      <w:r w:rsidRPr="00625AD6">
        <w:rPr>
          <w:rFonts w:eastAsiaTheme="minorEastAsia" w:cs="Times New Roman"/>
          <w:lang w:val="en-US"/>
        </w:rPr>
        <w:t xml:space="preserve"> </w:t>
      </w:r>
      <w:r w:rsidRPr="00625AD6">
        <w:rPr>
          <w:rFonts w:cs="Times New Roman"/>
          <w:lang w:val="en-US"/>
        </w:rPr>
        <w:t>represents the effective thermal conductivity of the slurry, accounting for the influence of PCM particles. This model is characterized by its ease of implementation, low computational cost, and fast calculation speed, as it avoids the need to explicitly track the solid–liquid interface. Several studies have validated this approach under different thermal configurations. Hu et al.</w:t>
      </w:r>
      <w:sdt>
        <w:sdtPr>
          <w:rPr>
            <w:rFonts w:cs="Times New Roman"/>
            <w:lang w:val="en-US"/>
          </w:rPr>
          <w:id w:val="-1884397441"/>
          <w:citation/>
        </w:sdtPr>
        <w:sdtContent>
          <w:r w:rsidR="00F501EC">
            <w:rPr>
              <w:rFonts w:cs="Times New Roman"/>
              <w:lang w:val="en-US"/>
            </w:rPr>
            <w:fldChar w:fldCharType="begin"/>
          </w:r>
          <w:r w:rsidR="00F501EC" w:rsidRPr="00F501EC">
            <w:rPr>
              <w:rFonts w:cs="Times New Roman"/>
              <w:lang w:val="en-US"/>
            </w:rPr>
            <w:instrText xml:space="preserve"> CITATION Placeholder226 \l 1040 </w:instrText>
          </w:r>
          <w:r w:rsidR="00F501EC">
            <w:rPr>
              <w:rFonts w:cs="Times New Roman"/>
              <w:lang w:val="en-US"/>
            </w:rPr>
            <w:fldChar w:fldCharType="separate"/>
          </w:r>
          <w:r w:rsidR="00855396">
            <w:rPr>
              <w:rFonts w:cs="Times New Roman"/>
              <w:noProof/>
              <w:lang w:val="en-US"/>
            </w:rPr>
            <w:t xml:space="preserve"> </w:t>
          </w:r>
          <w:r w:rsidR="00855396" w:rsidRPr="00855396">
            <w:rPr>
              <w:rFonts w:cs="Times New Roman"/>
              <w:noProof/>
              <w:lang w:val="en-US"/>
            </w:rPr>
            <w:t>[208]</w:t>
          </w:r>
          <w:r w:rsidR="00F501EC">
            <w:rPr>
              <w:rFonts w:cs="Times New Roman"/>
              <w:lang w:val="en-US"/>
            </w:rPr>
            <w:fldChar w:fldCharType="end"/>
          </w:r>
        </w:sdtContent>
      </w:sdt>
      <w:r w:rsidRPr="00625AD6">
        <w:rPr>
          <w:rFonts w:cs="Times New Roman"/>
          <w:lang w:val="en-US"/>
        </w:rPr>
        <w:t xml:space="preserve"> simulated laminar forced convection in a circular tube, identifying the Stefan number and PCM mass fraction as key influencing parameters. Languri et al. </w:t>
      </w:r>
      <w:sdt>
        <w:sdtPr>
          <w:rPr>
            <w:rFonts w:cs="Times New Roman"/>
            <w:lang w:val="en-US"/>
          </w:rPr>
          <w:id w:val="-1353798341"/>
          <w:citation/>
        </w:sdtPr>
        <w:sdtContent>
          <w:r w:rsidR="00F501EC">
            <w:rPr>
              <w:rFonts w:cs="Times New Roman"/>
              <w:lang w:val="en-US"/>
            </w:rPr>
            <w:fldChar w:fldCharType="begin"/>
          </w:r>
          <w:r w:rsidR="00F501EC" w:rsidRPr="00F501EC">
            <w:rPr>
              <w:rFonts w:cs="Times New Roman"/>
              <w:lang w:val="en-US"/>
            </w:rPr>
            <w:instrText xml:space="preserve"> CITATION Placeholder227 \l 1040 </w:instrText>
          </w:r>
          <w:r w:rsidR="00F501EC">
            <w:rPr>
              <w:rFonts w:cs="Times New Roman"/>
              <w:lang w:val="en-US"/>
            </w:rPr>
            <w:fldChar w:fldCharType="separate"/>
          </w:r>
          <w:r w:rsidR="00855396" w:rsidRPr="00855396">
            <w:rPr>
              <w:rFonts w:cs="Times New Roman"/>
              <w:noProof/>
              <w:lang w:val="en-US"/>
            </w:rPr>
            <w:t>[209]</w:t>
          </w:r>
          <w:r w:rsidR="00F501EC">
            <w:rPr>
              <w:rFonts w:cs="Times New Roman"/>
              <w:lang w:val="en-US"/>
            </w:rPr>
            <w:fldChar w:fldCharType="end"/>
          </w:r>
        </w:sdtContent>
      </w:sdt>
      <w:r w:rsidRPr="00625AD6">
        <w:rPr>
          <w:rFonts w:cs="Times New Roman"/>
          <w:lang w:val="en-US"/>
        </w:rPr>
        <w:t xml:space="preserve"> and </w:t>
      </w:r>
      <w:r w:rsidR="00DA32CD">
        <w:rPr>
          <w:rFonts w:cs="Times New Roman"/>
          <w:lang w:val="en-US"/>
        </w:rPr>
        <w:t>R</w:t>
      </w:r>
      <w:r w:rsidRPr="00625AD6">
        <w:rPr>
          <w:rFonts w:cs="Times New Roman"/>
          <w:lang w:val="en-US"/>
        </w:rPr>
        <w:t xml:space="preserve">an et al. </w:t>
      </w:r>
      <w:sdt>
        <w:sdtPr>
          <w:rPr>
            <w:rFonts w:cs="Times New Roman"/>
            <w:lang w:val="en-US"/>
          </w:rPr>
          <w:id w:val="1123819062"/>
          <w:citation/>
        </w:sdtPr>
        <w:sdtContent>
          <w:r w:rsidR="00F501EC">
            <w:rPr>
              <w:rFonts w:cs="Times New Roman"/>
              <w:lang w:val="en-US"/>
            </w:rPr>
            <w:fldChar w:fldCharType="begin"/>
          </w:r>
          <w:r w:rsidR="00F501EC" w:rsidRPr="00F501EC">
            <w:rPr>
              <w:rFonts w:cs="Times New Roman"/>
              <w:lang w:val="en-US"/>
            </w:rPr>
            <w:instrText xml:space="preserve"> CITATION Placeholder228 \l 1040 </w:instrText>
          </w:r>
          <w:r w:rsidR="00F501EC">
            <w:rPr>
              <w:rFonts w:cs="Times New Roman"/>
              <w:lang w:val="en-US"/>
            </w:rPr>
            <w:fldChar w:fldCharType="separate"/>
          </w:r>
          <w:r w:rsidR="00855396" w:rsidRPr="00855396">
            <w:rPr>
              <w:rFonts w:cs="Times New Roman"/>
              <w:noProof/>
              <w:lang w:val="en-US"/>
            </w:rPr>
            <w:t>[210]</w:t>
          </w:r>
          <w:r w:rsidR="00F501EC">
            <w:rPr>
              <w:rFonts w:cs="Times New Roman"/>
              <w:lang w:val="en-US"/>
            </w:rPr>
            <w:fldChar w:fldCharType="end"/>
          </w:r>
        </w:sdtContent>
      </w:sdt>
      <w:r w:rsidRPr="00625AD6">
        <w:rPr>
          <w:rFonts w:cs="Times New Roman"/>
          <w:lang w:val="en-US"/>
        </w:rPr>
        <w:t xml:space="preserve"> applied the model to spiral heat exchangers, obtaining deviations from experimental data below 5%. Finally, Shaukat et al. </w:t>
      </w:r>
      <w:sdt>
        <w:sdtPr>
          <w:rPr>
            <w:rFonts w:cs="Times New Roman"/>
            <w:lang w:val="en-US"/>
          </w:rPr>
          <w:id w:val="1076093647"/>
          <w:citation/>
        </w:sdtPr>
        <w:sdtContent>
          <w:r w:rsidR="00F501EC">
            <w:rPr>
              <w:rFonts w:cs="Times New Roman"/>
              <w:lang w:val="en-US"/>
            </w:rPr>
            <w:fldChar w:fldCharType="begin"/>
          </w:r>
          <w:r w:rsidR="00F501EC" w:rsidRPr="00F501EC">
            <w:rPr>
              <w:rFonts w:cs="Times New Roman"/>
              <w:lang w:val="en-US"/>
            </w:rPr>
            <w:instrText xml:space="preserve"> CITATION Placeholder229 \l 1040 </w:instrText>
          </w:r>
          <w:r w:rsidR="00F501EC">
            <w:rPr>
              <w:rFonts w:cs="Times New Roman"/>
              <w:lang w:val="en-US"/>
            </w:rPr>
            <w:fldChar w:fldCharType="separate"/>
          </w:r>
          <w:r w:rsidR="00855396" w:rsidRPr="00855396">
            <w:rPr>
              <w:rFonts w:cs="Times New Roman"/>
              <w:noProof/>
              <w:lang w:val="en-US"/>
            </w:rPr>
            <w:t>[211]</w:t>
          </w:r>
          <w:r w:rsidR="00F501EC">
            <w:rPr>
              <w:rFonts w:cs="Times New Roman"/>
              <w:lang w:val="en-US"/>
            </w:rPr>
            <w:fldChar w:fldCharType="end"/>
          </w:r>
        </w:sdtContent>
      </w:sdt>
      <w:r w:rsidRPr="00625AD6">
        <w:rPr>
          <w:rFonts w:cs="Times New Roman"/>
          <w:lang w:val="en-US"/>
        </w:rPr>
        <w:t xml:space="preserve"> analyzed laminar flow in a microchannel heat sink, reporting a maximum deviation of 16.4%. Despite its efficiency and simplicity, the model has some limitations: it assumes a uniform temperature within the capsules and neglects thermal interactions between the microcapsules and the carrier fluid, thus oversimplifying the phase-change process and occasionally leading to discrepancies with experimental results.</w:t>
      </w:r>
    </w:p>
    <w:p w14:paraId="583ADBCD" w14:textId="65E381E7" w:rsidR="00625AD6" w:rsidRPr="00625AD6" w:rsidRDefault="00625AD6" w:rsidP="00F501EC">
      <w:pPr>
        <w:pStyle w:val="Heading4"/>
        <w:rPr>
          <w:lang w:val="en-US"/>
        </w:rPr>
      </w:pPr>
      <w:r w:rsidRPr="00625AD6">
        <w:rPr>
          <w:lang w:val="en-US"/>
        </w:rPr>
        <w:t>Two-phase equivalent specific heat capacity model</w:t>
      </w:r>
    </w:p>
    <w:p w14:paraId="650F1AF1" w14:textId="3C60F242" w:rsidR="00625AD6" w:rsidRPr="00625AD6" w:rsidRDefault="00625AD6" w:rsidP="00625AD6">
      <w:pPr>
        <w:rPr>
          <w:rFonts w:cs="Times New Roman"/>
          <w:lang w:val="en-US"/>
        </w:rPr>
      </w:pPr>
      <w:r w:rsidRPr="00625AD6">
        <w:rPr>
          <w:rFonts w:cs="Times New Roman"/>
          <w:lang w:val="en-US"/>
        </w:rPr>
        <w:t>The two-phase equivalent specific heat capacity model, also discussed in Li et al. [</w:t>
      </w:r>
      <w:r w:rsidR="00F501EC">
        <w:rPr>
          <w:rFonts w:cs="Times New Roman"/>
          <w:lang w:val="en-US"/>
        </w:rPr>
        <w:t>208</w:t>
      </w:r>
      <w:r w:rsidRPr="00625AD6">
        <w:rPr>
          <w:rFonts w:cs="Times New Roman"/>
          <w:lang w:val="en-US"/>
        </w:rPr>
        <w:t>], improves upon the single-phase formulation by treating the carrier fluid and the microencapsulated particles as two interacting continuous phases. This approach provides a more accurate description of the heat and momentum transfer between phases, as well as the effects of particle sedimentation and dispersion under gravity. In this framework, separate continuity Eq. (71), momentum Eq. (72), and energy equations Eq. (73) are established for each phase — liquid and solid — as follows:</w:t>
      </w:r>
    </w:p>
    <w:p w14:paraId="0F8976BB" w14:textId="1971AA98" w:rsidR="00625AD6" w:rsidRPr="00625AD6" w:rsidRDefault="00000000" w:rsidP="00625AD6">
      <w:pPr>
        <w:rPr>
          <w:rFonts w:cs="Times New Roman"/>
        </w:rPr>
      </w:pPr>
      <m:oMathPara>
        <m:oMathParaPr>
          <m:jc m:val="right"/>
        </m:oMathParaPr>
        <m:oMath>
          <m:f>
            <m:fPr>
              <m:ctrlPr>
                <w:rPr>
                  <w:rFonts w:ascii="Cambria Math" w:hAnsi="Cambria Math" w:cs="Times New Roman"/>
                </w:rPr>
              </m:ctrlPr>
            </m:fPr>
            <m:num>
              <m:r>
                <m:rPr>
                  <m:sty m:val="p"/>
                </m:rPr>
                <w:rPr>
                  <w:rFonts w:ascii="Cambria Math" w:hAnsi="Cambria Math" w:cs="Times New Roman"/>
                </w:rPr>
                <m:t>∂</m:t>
              </m:r>
              <m:d>
                <m:dPr>
                  <m:ctrlPr>
                    <w:rPr>
                      <w:rFonts w:ascii="Cambria Math" w:hAnsi="Cambria Math" w:cs="Times New Roman"/>
                    </w:rPr>
                  </m:ctrlPr>
                </m:dPr>
                <m:e>
                  <m:sSub>
                    <m:sSubPr>
                      <m:ctrlPr>
                        <w:rPr>
                          <w:rFonts w:ascii="Cambria Math" w:hAnsi="Cambria Math" w:cs="Times New Roman"/>
                        </w:rPr>
                      </m:ctrlPr>
                    </m:sSubPr>
                    <m:e>
                      <m:r>
                        <m:rPr>
                          <m:sty m:val="p"/>
                        </m:rPr>
                        <w:rPr>
                          <w:rFonts w:ascii="Cambria Math" w:hAnsi="Cambria Math" w:cs="Times New Roman"/>
                        </w:rPr>
                        <m:t>α</m:t>
                      </m:r>
                    </m:e>
                    <m:sub>
                      <m:r>
                        <m:rPr>
                          <m:sty m:val="p"/>
                        </m:rPr>
                        <w:rPr>
                          <w:rFonts w:ascii="Cambria Math" w:hAnsi="Cambria Math" w:cs="Times New Roman"/>
                        </w:rPr>
                        <m:t>i</m:t>
                      </m:r>
                    </m:sub>
                  </m:sSub>
                  <m:sSub>
                    <m:sSubPr>
                      <m:ctrlPr>
                        <w:rPr>
                          <w:rFonts w:ascii="Cambria Math" w:hAnsi="Cambria Math" w:cs="Times New Roman"/>
                        </w:rPr>
                      </m:ctrlPr>
                    </m:sSubPr>
                    <m:e>
                      <m:r>
                        <m:rPr>
                          <m:sty m:val="p"/>
                        </m:rPr>
                        <w:rPr>
                          <w:rFonts w:ascii="Cambria Math" w:hAnsi="Cambria Math" w:cs="Times New Roman"/>
                        </w:rPr>
                        <m:t>ρ</m:t>
                      </m:r>
                    </m:e>
                    <m:sub>
                      <m:r>
                        <m:rPr>
                          <m:sty m:val="p"/>
                        </m:rPr>
                        <w:rPr>
                          <w:rFonts w:ascii="Cambria Math" w:hAnsi="Cambria Math" w:cs="Times New Roman"/>
                        </w:rPr>
                        <m:t>i</m:t>
                      </m:r>
                    </m:sub>
                  </m:sSub>
                </m:e>
              </m:d>
            </m:num>
            <m:den>
              <m:r>
                <m:rPr>
                  <m:sty m:val="p"/>
                </m:rPr>
                <w:rPr>
                  <w:rFonts w:ascii="Cambria Math" w:hAnsi="Cambria Math" w:cs="Times New Roman"/>
                </w:rPr>
                <m:t>∂t</m:t>
              </m:r>
            </m:den>
          </m:f>
          <m:r>
            <m:rPr>
              <m:sty m:val="p"/>
            </m:rPr>
            <w:rPr>
              <w:rFonts w:ascii="Cambria Math" w:hAnsi="Cambria Math" w:cs="Times New Roman"/>
            </w:rPr>
            <m:t>+∇⋅</m:t>
          </m:r>
          <m:d>
            <m:dPr>
              <m:ctrlPr>
                <w:rPr>
                  <w:rFonts w:ascii="Cambria Math" w:hAnsi="Cambria Math" w:cs="Times New Roman"/>
                </w:rPr>
              </m:ctrlPr>
            </m:dPr>
            <m:e>
              <m:sSub>
                <m:sSubPr>
                  <m:ctrlPr>
                    <w:rPr>
                      <w:rFonts w:ascii="Cambria Math" w:hAnsi="Cambria Math" w:cs="Times New Roman"/>
                    </w:rPr>
                  </m:ctrlPr>
                </m:sSubPr>
                <m:e>
                  <m:r>
                    <m:rPr>
                      <m:sty m:val="p"/>
                    </m:rPr>
                    <w:rPr>
                      <w:rFonts w:ascii="Cambria Math" w:hAnsi="Cambria Math" w:cs="Times New Roman"/>
                    </w:rPr>
                    <m:t>α</m:t>
                  </m:r>
                </m:e>
                <m:sub>
                  <m:r>
                    <m:rPr>
                      <m:sty m:val="p"/>
                    </m:rPr>
                    <w:rPr>
                      <w:rFonts w:ascii="Cambria Math" w:hAnsi="Cambria Math" w:cs="Times New Roman"/>
                    </w:rPr>
                    <m:t>i</m:t>
                  </m:r>
                </m:sub>
              </m:sSub>
              <m:sSub>
                <m:sSubPr>
                  <m:ctrlPr>
                    <w:rPr>
                      <w:rFonts w:ascii="Cambria Math" w:hAnsi="Cambria Math" w:cs="Times New Roman"/>
                    </w:rPr>
                  </m:ctrlPr>
                </m:sSubPr>
                <m:e>
                  <m:r>
                    <m:rPr>
                      <m:sty m:val="p"/>
                    </m:rPr>
                    <w:rPr>
                      <w:rFonts w:ascii="Cambria Math" w:hAnsi="Cambria Math" w:cs="Times New Roman"/>
                    </w:rPr>
                    <m:t>ρ</m:t>
                  </m:r>
                </m:e>
                <m:sub>
                  <m:r>
                    <m:rPr>
                      <m:sty m:val="p"/>
                    </m:rPr>
                    <w:rPr>
                      <w:rFonts w:ascii="Cambria Math" w:hAnsi="Cambria Math" w:cs="Times New Roman"/>
                    </w:rPr>
                    <m:t>i</m:t>
                  </m:r>
                </m:sub>
              </m:sSub>
              <m:sSub>
                <m:sSubPr>
                  <m:ctrlPr>
                    <w:rPr>
                      <w:rFonts w:ascii="Cambria Math" w:hAnsi="Cambria Math" w:cs="Times New Roman"/>
                    </w:rPr>
                  </m:ctrlPr>
                </m:sSubPr>
                <m:e>
                  <m:r>
                    <m:rPr>
                      <m:sty m:val="p"/>
                    </m:rPr>
                    <w:rPr>
                      <w:rFonts w:ascii="Cambria Math" w:hAnsi="Cambria Math" w:cs="Times New Roman"/>
                    </w:rPr>
                    <m:t>v</m:t>
                  </m:r>
                </m:e>
                <m:sub>
                  <m:r>
                    <m:rPr>
                      <m:sty m:val="p"/>
                    </m:rPr>
                    <w:rPr>
                      <w:rFonts w:ascii="Cambria Math" w:hAnsi="Cambria Math" w:cs="Times New Roman"/>
                    </w:rPr>
                    <m:t>i</m:t>
                  </m:r>
                </m:sub>
              </m:sSub>
            </m:e>
          </m:d>
          <m:r>
            <m:rPr>
              <m:sty m:val="p"/>
            </m:rPr>
            <w:rPr>
              <w:rFonts w:ascii="Cambria Math" w:hAnsi="Cambria Math" w:cs="Times New Roman"/>
            </w:rPr>
            <m:t xml:space="preserve">=0                                                                      </m:t>
          </m:r>
          <m:r>
            <w:rPr>
              <w:rFonts w:ascii="Cambria Math" w:eastAsiaTheme="minorEastAsia" w:hAnsi="Cambria Math" w:cs="Times New Roman"/>
            </w:rPr>
            <m:t xml:space="preserve"> (71)</m:t>
          </m:r>
          <m:r>
            <m:rPr>
              <m:sty m:val="p"/>
            </m:rPr>
            <w:rPr>
              <w:rFonts w:ascii="Cambria Math" w:hAnsi="Cambria Math" w:cs="Times New Roman"/>
            </w:rPr>
            <w:br/>
          </m:r>
        </m:oMath>
        <m:oMath>
          <m:f>
            <m:fPr>
              <m:ctrlPr>
                <w:rPr>
                  <w:rFonts w:ascii="Cambria Math" w:hAnsi="Cambria Math" w:cs="Times New Roman"/>
                  <w:sz w:val="22"/>
                  <w:szCs w:val="20"/>
                </w:rPr>
              </m:ctrlPr>
            </m:fPr>
            <m:num>
              <m:r>
                <m:rPr>
                  <m:sty m:val="p"/>
                </m:rPr>
                <w:rPr>
                  <w:rFonts w:ascii="Cambria Math" w:hAnsi="Cambria Math" w:cs="Times New Roman"/>
                  <w:sz w:val="22"/>
                  <w:szCs w:val="20"/>
                </w:rPr>
                <m:t>∂</m:t>
              </m:r>
              <m:d>
                <m:dPr>
                  <m:ctrlPr>
                    <w:rPr>
                      <w:rFonts w:ascii="Cambria Math" w:hAnsi="Cambria Math" w:cs="Times New Roman"/>
                      <w:sz w:val="22"/>
                      <w:szCs w:val="20"/>
                    </w:rPr>
                  </m:ctrlPr>
                </m:dPr>
                <m:e>
                  <m:sSub>
                    <m:sSubPr>
                      <m:ctrlPr>
                        <w:rPr>
                          <w:rFonts w:ascii="Cambria Math" w:hAnsi="Cambria Math" w:cs="Times New Roman"/>
                          <w:sz w:val="22"/>
                          <w:szCs w:val="20"/>
                        </w:rPr>
                      </m:ctrlPr>
                    </m:sSubPr>
                    <m:e>
                      <m:r>
                        <m:rPr>
                          <m:sty m:val="p"/>
                        </m:rPr>
                        <w:rPr>
                          <w:rFonts w:ascii="Cambria Math" w:hAnsi="Cambria Math" w:cs="Times New Roman"/>
                          <w:sz w:val="22"/>
                          <w:szCs w:val="20"/>
                        </w:rPr>
                        <m:t>α</m:t>
                      </m:r>
                    </m:e>
                    <m:sub>
                      <m:r>
                        <m:rPr>
                          <m:sty m:val="p"/>
                        </m:rPr>
                        <w:rPr>
                          <w:rFonts w:ascii="Cambria Math" w:hAnsi="Cambria Math" w:cs="Times New Roman"/>
                          <w:sz w:val="22"/>
                          <w:szCs w:val="20"/>
                        </w:rPr>
                        <m:t>i</m:t>
                      </m:r>
                    </m:sub>
                  </m:sSub>
                  <m:sSub>
                    <m:sSubPr>
                      <m:ctrlPr>
                        <w:rPr>
                          <w:rFonts w:ascii="Cambria Math" w:hAnsi="Cambria Math" w:cs="Times New Roman"/>
                          <w:sz w:val="22"/>
                          <w:szCs w:val="20"/>
                        </w:rPr>
                      </m:ctrlPr>
                    </m:sSubPr>
                    <m:e>
                      <m:r>
                        <m:rPr>
                          <m:sty m:val="p"/>
                        </m:rPr>
                        <w:rPr>
                          <w:rFonts w:ascii="Cambria Math" w:hAnsi="Cambria Math" w:cs="Times New Roman"/>
                          <w:sz w:val="22"/>
                          <w:szCs w:val="20"/>
                        </w:rPr>
                        <m:t>ρ</m:t>
                      </m:r>
                    </m:e>
                    <m:sub>
                      <m:r>
                        <m:rPr>
                          <m:sty m:val="p"/>
                        </m:rPr>
                        <w:rPr>
                          <w:rFonts w:ascii="Cambria Math" w:hAnsi="Cambria Math" w:cs="Times New Roman"/>
                          <w:sz w:val="22"/>
                          <w:szCs w:val="20"/>
                        </w:rPr>
                        <m:t>i</m:t>
                      </m:r>
                    </m:sub>
                  </m:sSub>
                  <m:sSub>
                    <m:sSubPr>
                      <m:ctrlPr>
                        <w:rPr>
                          <w:rFonts w:ascii="Cambria Math" w:hAnsi="Cambria Math" w:cs="Times New Roman"/>
                          <w:sz w:val="22"/>
                          <w:szCs w:val="20"/>
                        </w:rPr>
                      </m:ctrlPr>
                    </m:sSubPr>
                    <m:e>
                      <m:r>
                        <m:rPr>
                          <m:sty m:val="p"/>
                        </m:rPr>
                        <w:rPr>
                          <w:rFonts w:ascii="Cambria Math" w:hAnsi="Cambria Math" w:cs="Times New Roman"/>
                          <w:sz w:val="22"/>
                          <w:szCs w:val="20"/>
                        </w:rPr>
                        <m:t>v</m:t>
                      </m:r>
                    </m:e>
                    <m:sub>
                      <m:r>
                        <m:rPr>
                          <m:sty m:val="p"/>
                        </m:rPr>
                        <w:rPr>
                          <w:rFonts w:ascii="Cambria Math" w:hAnsi="Cambria Math" w:cs="Times New Roman"/>
                          <w:sz w:val="22"/>
                          <w:szCs w:val="20"/>
                        </w:rPr>
                        <m:t>i</m:t>
                      </m:r>
                    </m:sub>
                  </m:sSub>
                </m:e>
              </m:d>
            </m:num>
            <m:den>
              <m:r>
                <m:rPr>
                  <m:sty m:val="p"/>
                </m:rPr>
                <w:rPr>
                  <w:rFonts w:ascii="Cambria Math" w:hAnsi="Cambria Math" w:cs="Times New Roman"/>
                  <w:sz w:val="22"/>
                  <w:szCs w:val="20"/>
                </w:rPr>
                <m:t>∂t</m:t>
              </m:r>
            </m:den>
          </m:f>
          <m:r>
            <m:rPr>
              <m:sty m:val="p"/>
            </m:rPr>
            <w:rPr>
              <w:rFonts w:ascii="Cambria Math" w:hAnsi="Cambria Math" w:cs="Times New Roman"/>
              <w:sz w:val="22"/>
              <w:szCs w:val="20"/>
            </w:rPr>
            <m:t>+∇⋅</m:t>
          </m:r>
          <m:d>
            <m:dPr>
              <m:ctrlPr>
                <w:rPr>
                  <w:rFonts w:ascii="Cambria Math" w:hAnsi="Cambria Math" w:cs="Times New Roman"/>
                  <w:sz w:val="22"/>
                  <w:szCs w:val="20"/>
                </w:rPr>
              </m:ctrlPr>
            </m:dPr>
            <m:e>
              <m:sSub>
                <m:sSubPr>
                  <m:ctrlPr>
                    <w:rPr>
                      <w:rFonts w:ascii="Cambria Math" w:hAnsi="Cambria Math" w:cs="Times New Roman"/>
                      <w:sz w:val="22"/>
                      <w:szCs w:val="20"/>
                    </w:rPr>
                  </m:ctrlPr>
                </m:sSubPr>
                <m:e>
                  <m:r>
                    <m:rPr>
                      <m:sty m:val="p"/>
                    </m:rPr>
                    <w:rPr>
                      <w:rFonts w:ascii="Cambria Math" w:hAnsi="Cambria Math" w:cs="Times New Roman"/>
                      <w:sz w:val="22"/>
                      <w:szCs w:val="20"/>
                    </w:rPr>
                    <m:t>α</m:t>
                  </m:r>
                </m:e>
                <m:sub>
                  <m:r>
                    <m:rPr>
                      <m:sty m:val="p"/>
                    </m:rPr>
                    <w:rPr>
                      <w:rFonts w:ascii="Cambria Math" w:hAnsi="Cambria Math" w:cs="Times New Roman"/>
                      <w:sz w:val="22"/>
                      <w:szCs w:val="20"/>
                    </w:rPr>
                    <m:t>i</m:t>
                  </m:r>
                </m:sub>
              </m:sSub>
              <m:sSub>
                <m:sSubPr>
                  <m:ctrlPr>
                    <w:rPr>
                      <w:rFonts w:ascii="Cambria Math" w:hAnsi="Cambria Math" w:cs="Times New Roman"/>
                      <w:sz w:val="22"/>
                      <w:szCs w:val="20"/>
                    </w:rPr>
                  </m:ctrlPr>
                </m:sSubPr>
                <m:e>
                  <m:r>
                    <m:rPr>
                      <m:sty m:val="p"/>
                    </m:rPr>
                    <w:rPr>
                      <w:rFonts w:ascii="Cambria Math" w:hAnsi="Cambria Math" w:cs="Times New Roman"/>
                      <w:sz w:val="22"/>
                      <w:szCs w:val="20"/>
                    </w:rPr>
                    <m:t>ρ</m:t>
                  </m:r>
                </m:e>
                <m:sub>
                  <m:r>
                    <m:rPr>
                      <m:sty m:val="p"/>
                    </m:rPr>
                    <w:rPr>
                      <w:rFonts w:ascii="Cambria Math" w:hAnsi="Cambria Math" w:cs="Times New Roman"/>
                      <w:sz w:val="22"/>
                      <w:szCs w:val="20"/>
                    </w:rPr>
                    <m:t>i</m:t>
                  </m:r>
                </m:sub>
              </m:sSub>
              <m:sSub>
                <m:sSubPr>
                  <m:ctrlPr>
                    <w:rPr>
                      <w:rFonts w:ascii="Cambria Math" w:hAnsi="Cambria Math" w:cs="Times New Roman"/>
                      <w:sz w:val="22"/>
                      <w:szCs w:val="20"/>
                    </w:rPr>
                  </m:ctrlPr>
                </m:sSubPr>
                <m:e>
                  <m:r>
                    <m:rPr>
                      <m:sty m:val="p"/>
                    </m:rPr>
                    <w:rPr>
                      <w:rFonts w:ascii="Cambria Math" w:hAnsi="Cambria Math" w:cs="Times New Roman"/>
                      <w:sz w:val="22"/>
                      <w:szCs w:val="20"/>
                    </w:rPr>
                    <m:t>v</m:t>
                  </m:r>
                </m:e>
                <m:sub>
                  <m:r>
                    <m:rPr>
                      <m:sty m:val="p"/>
                    </m:rPr>
                    <w:rPr>
                      <w:rFonts w:ascii="Cambria Math" w:hAnsi="Cambria Math" w:cs="Times New Roman"/>
                      <w:sz w:val="22"/>
                      <w:szCs w:val="20"/>
                    </w:rPr>
                    <m:t>i</m:t>
                  </m:r>
                </m:sub>
              </m:sSub>
              <m:sSub>
                <m:sSubPr>
                  <m:ctrlPr>
                    <w:rPr>
                      <w:rFonts w:ascii="Cambria Math" w:hAnsi="Cambria Math" w:cs="Times New Roman"/>
                      <w:sz w:val="22"/>
                      <w:szCs w:val="20"/>
                    </w:rPr>
                  </m:ctrlPr>
                </m:sSubPr>
                <m:e>
                  <m:r>
                    <m:rPr>
                      <m:sty m:val="p"/>
                    </m:rPr>
                    <w:rPr>
                      <w:rFonts w:ascii="Cambria Math" w:hAnsi="Cambria Math" w:cs="Times New Roman"/>
                      <w:sz w:val="22"/>
                      <w:szCs w:val="20"/>
                    </w:rPr>
                    <m:t>v</m:t>
                  </m:r>
                </m:e>
                <m:sub>
                  <m:r>
                    <m:rPr>
                      <m:sty m:val="p"/>
                    </m:rPr>
                    <w:rPr>
                      <w:rFonts w:ascii="Cambria Math" w:hAnsi="Cambria Math" w:cs="Times New Roman"/>
                      <w:sz w:val="22"/>
                      <w:szCs w:val="20"/>
                    </w:rPr>
                    <m:t>i</m:t>
                  </m:r>
                </m:sub>
              </m:sSub>
            </m:e>
          </m:d>
          <m:r>
            <m:rPr>
              <m:sty m:val="p"/>
            </m:rPr>
            <w:rPr>
              <w:rFonts w:ascii="Cambria Math" w:hAnsi="Cambria Math" w:cs="Times New Roman"/>
              <w:sz w:val="22"/>
              <w:szCs w:val="20"/>
            </w:rPr>
            <m:t>=-</m:t>
          </m:r>
          <m:sSub>
            <m:sSubPr>
              <m:ctrlPr>
                <w:rPr>
                  <w:rFonts w:ascii="Cambria Math" w:hAnsi="Cambria Math" w:cs="Times New Roman"/>
                  <w:sz w:val="22"/>
                  <w:szCs w:val="20"/>
                </w:rPr>
              </m:ctrlPr>
            </m:sSubPr>
            <m:e>
              <m:r>
                <m:rPr>
                  <m:sty m:val="p"/>
                </m:rPr>
                <w:rPr>
                  <w:rFonts w:ascii="Cambria Math" w:hAnsi="Cambria Math" w:cs="Times New Roman"/>
                  <w:sz w:val="22"/>
                  <w:szCs w:val="20"/>
                </w:rPr>
                <m:t>α</m:t>
              </m:r>
            </m:e>
            <m:sub>
              <m:r>
                <m:rPr>
                  <m:sty m:val="p"/>
                </m:rPr>
                <w:rPr>
                  <w:rFonts w:ascii="Cambria Math" w:hAnsi="Cambria Math" w:cs="Times New Roman"/>
                  <w:sz w:val="22"/>
                  <w:szCs w:val="20"/>
                </w:rPr>
                <m:t>i</m:t>
              </m:r>
            </m:sub>
          </m:sSub>
          <m:r>
            <m:rPr>
              <m:sty m:val="p"/>
            </m:rPr>
            <w:rPr>
              <w:rFonts w:ascii="Cambria Math" w:hAnsi="Cambria Math" w:cs="Times New Roman"/>
              <w:sz w:val="22"/>
              <w:szCs w:val="20"/>
            </w:rPr>
            <m:t>∇P-∇</m:t>
          </m:r>
          <m:sSub>
            <m:sSubPr>
              <m:ctrlPr>
                <w:rPr>
                  <w:rFonts w:ascii="Cambria Math" w:hAnsi="Cambria Math" w:cs="Times New Roman"/>
                  <w:sz w:val="22"/>
                  <w:szCs w:val="20"/>
                </w:rPr>
              </m:ctrlPr>
            </m:sSubPr>
            <m:e>
              <m:r>
                <m:rPr>
                  <m:sty m:val="p"/>
                </m:rPr>
                <w:rPr>
                  <w:rFonts w:ascii="Cambria Math" w:hAnsi="Cambria Math" w:cs="Times New Roman"/>
                  <w:sz w:val="22"/>
                  <w:szCs w:val="20"/>
                </w:rPr>
                <m:t>P</m:t>
              </m:r>
            </m:e>
            <m:sub>
              <m:r>
                <m:rPr>
                  <m:sty m:val="p"/>
                </m:rPr>
                <w:rPr>
                  <w:rFonts w:ascii="Cambria Math" w:hAnsi="Cambria Math" w:cs="Times New Roman"/>
                  <w:sz w:val="22"/>
                  <w:szCs w:val="20"/>
                </w:rPr>
                <m:t>s</m:t>
              </m:r>
            </m:sub>
          </m:sSub>
          <m:r>
            <m:rPr>
              <m:sty m:val="p"/>
            </m:rPr>
            <w:rPr>
              <w:rFonts w:ascii="Cambria Math" w:hAnsi="Cambria Math" w:cs="Times New Roman"/>
              <w:sz w:val="22"/>
              <w:szCs w:val="20"/>
            </w:rPr>
            <m:t>+∇⋅</m:t>
          </m:r>
          <m:sSub>
            <m:sSubPr>
              <m:ctrlPr>
                <w:rPr>
                  <w:rFonts w:ascii="Cambria Math" w:hAnsi="Cambria Math" w:cs="Times New Roman"/>
                  <w:sz w:val="22"/>
                  <w:szCs w:val="20"/>
                </w:rPr>
              </m:ctrlPr>
            </m:sSubPr>
            <m:e>
              <m:acc>
                <m:accPr>
                  <m:chr m:val="̿"/>
                  <m:ctrlPr>
                    <w:rPr>
                      <w:rFonts w:ascii="Cambria Math" w:hAnsi="Cambria Math" w:cs="Times New Roman"/>
                      <w:i/>
                      <w:sz w:val="22"/>
                      <w:szCs w:val="20"/>
                    </w:rPr>
                  </m:ctrlPr>
                </m:accPr>
                <m:e>
                  <m:r>
                    <w:rPr>
                      <w:rFonts w:ascii="Cambria Math" w:hAnsi="Cambria Math" w:cs="Times New Roman"/>
                      <w:sz w:val="22"/>
                      <w:szCs w:val="20"/>
                    </w:rPr>
                    <m:t>τ</m:t>
                  </m:r>
                </m:e>
              </m:acc>
            </m:e>
            <m:sub>
              <m:r>
                <m:rPr>
                  <m:sty m:val="p"/>
                </m:rPr>
                <w:rPr>
                  <w:rFonts w:ascii="Cambria Math" w:hAnsi="Cambria Math" w:cs="Times New Roman"/>
                  <w:sz w:val="22"/>
                  <w:szCs w:val="20"/>
                </w:rPr>
                <m:t>i</m:t>
              </m:r>
            </m:sub>
          </m:sSub>
          <m:r>
            <m:rPr>
              <m:sty m:val="p"/>
            </m:rPr>
            <w:rPr>
              <w:rFonts w:ascii="Cambria Math" w:hAnsi="Cambria Math" w:cs="Times New Roman"/>
              <w:sz w:val="22"/>
              <w:szCs w:val="20"/>
            </w:rPr>
            <m:t>+</m:t>
          </m:r>
          <m:sSub>
            <m:sSubPr>
              <m:ctrlPr>
                <w:rPr>
                  <w:rFonts w:ascii="Cambria Math" w:hAnsi="Cambria Math" w:cs="Times New Roman"/>
                  <w:sz w:val="22"/>
                  <w:szCs w:val="20"/>
                </w:rPr>
              </m:ctrlPr>
            </m:sSubPr>
            <m:e>
              <m:r>
                <m:rPr>
                  <m:sty m:val="p"/>
                </m:rPr>
                <w:rPr>
                  <w:rFonts w:ascii="Cambria Math" w:hAnsi="Cambria Math" w:cs="Times New Roman"/>
                  <w:sz w:val="22"/>
                  <w:szCs w:val="20"/>
                </w:rPr>
                <m:t>α</m:t>
              </m:r>
            </m:e>
            <m:sub>
              <m:r>
                <m:rPr>
                  <m:sty m:val="p"/>
                </m:rPr>
                <w:rPr>
                  <w:rFonts w:ascii="Cambria Math" w:hAnsi="Cambria Math" w:cs="Times New Roman"/>
                  <w:sz w:val="22"/>
                  <w:szCs w:val="20"/>
                </w:rPr>
                <m:t>i</m:t>
              </m:r>
            </m:sub>
          </m:sSub>
          <m:sSub>
            <m:sSubPr>
              <m:ctrlPr>
                <w:rPr>
                  <w:rFonts w:ascii="Cambria Math" w:hAnsi="Cambria Math" w:cs="Times New Roman"/>
                  <w:sz w:val="22"/>
                  <w:szCs w:val="20"/>
                </w:rPr>
              </m:ctrlPr>
            </m:sSubPr>
            <m:e>
              <m:r>
                <m:rPr>
                  <m:sty m:val="p"/>
                </m:rPr>
                <w:rPr>
                  <w:rFonts w:ascii="Cambria Math" w:hAnsi="Cambria Math" w:cs="Times New Roman"/>
                  <w:sz w:val="22"/>
                  <w:szCs w:val="20"/>
                </w:rPr>
                <m:t>ρ</m:t>
              </m:r>
            </m:e>
            <m:sub>
              <m:r>
                <m:rPr>
                  <m:sty m:val="p"/>
                </m:rPr>
                <w:rPr>
                  <w:rFonts w:ascii="Cambria Math" w:hAnsi="Cambria Math" w:cs="Times New Roman"/>
                  <w:sz w:val="22"/>
                  <w:szCs w:val="20"/>
                </w:rPr>
                <m:t>i</m:t>
              </m:r>
            </m:sub>
          </m:sSub>
          <m:r>
            <m:rPr>
              <m:sty m:val="p"/>
            </m:rPr>
            <w:rPr>
              <w:rFonts w:ascii="Cambria Math" w:hAnsi="Cambria Math" w:cs="Times New Roman"/>
              <w:sz w:val="22"/>
              <w:szCs w:val="20"/>
            </w:rPr>
            <m:t>g+</m:t>
          </m:r>
          <m:sSub>
            <m:sSubPr>
              <m:ctrlPr>
                <w:rPr>
                  <w:rFonts w:ascii="Cambria Math" w:hAnsi="Cambria Math" w:cs="Times New Roman"/>
                  <w:sz w:val="22"/>
                  <w:szCs w:val="20"/>
                </w:rPr>
              </m:ctrlPr>
            </m:sSubPr>
            <m:e>
              <m:r>
                <m:rPr>
                  <m:sty m:val="p"/>
                </m:rPr>
                <w:rPr>
                  <w:rFonts w:ascii="Cambria Math" w:hAnsi="Cambria Math" w:cs="Times New Roman"/>
                  <w:sz w:val="22"/>
                  <w:szCs w:val="20"/>
                </w:rPr>
                <m:t>F</m:t>
              </m:r>
            </m:e>
            <m:sub>
              <m:r>
                <m:rPr>
                  <m:sty m:val="p"/>
                </m:rPr>
                <w:rPr>
                  <w:rFonts w:ascii="Cambria Math" w:hAnsi="Cambria Math" w:cs="Times New Roman"/>
                  <w:sz w:val="22"/>
                  <w:szCs w:val="20"/>
                </w:rPr>
                <m:t>D,i</m:t>
              </m:r>
            </m:sub>
          </m:sSub>
          <m:r>
            <m:rPr>
              <m:sty m:val="p"/>
            </m:rPr>
            <w:rPr>
              <w:rFonts w:ascii="Cambria Math" w:hAnsi="Cambria Math" w:cs="Times New Roman"/>
              <w:sz w:val="22"/>
              <w:szCs w:val="20"/>
            </w:rPr>
            <m:t>+</m:t>
          </m:r>
          <m:sSub>
            <m:sSubPr>
              <m:ctrlPr>
                <w:rPr>
                  <w:rFonts w:ascii="Cambria Math" w:hAnsi="Cambria Math" w:cs="Times New Roman"/>
                  <w:sz w:val="22"/>
                  <w:szCs w:val="20"/>
                </w:rPr>
              </m:ctrlPr>
            </m:sSubPr>
            <m:e>
              <m:r>
                <m:rPr>
                  <m:sty m:val="p"/>
                </m:rPr>
                <w:rPr>
                  <w:rFonts w:ascii="Cambria Math" w:hAnsi="Cambria Math" w:cs="Times New Roman"/>
                  <w:sz w:val="22"/>
                  <w:szCs w:val="20"/>
                </w:rPr>
                <m:t>F</m:t>
              </m:r>
            </m:e>
            <m:sub>
              <m:r>
                <m:rPr>
                  <m:sty m:val="p"/>
                </m:rPr>
                <w:rPr>
                  <w:rFonts w:ascii="Cambria Math" w:hAnsi="Cambria Math" w:cs="Times New Roman"/>
                  <w:sz w:val="22"/>
                  <w:szCs w:val="20"/>
                </w:rPr>
                <m:t>L,i</m:t>
              </m:r>
            </m:sub>
          </m:sSub>
          <m:r>
            <w:rPr>
              <w:rFonts w:ascii="Cambria Math" w:hAnsi="Cambria Math" w:cs="Times New Roman"/>
              <w:sz w:val="22"/>
              <w:szCs w:val="20"/>
            </w:rPr>
            <m:t>+</m:t>
          </m:r>
          <m:sSub>
            <m:sSubPr>
              <m:ctrlPr>
                <w:rPr>
                  <w:rFonts w:ascii="Cambria Math" w:hAnsi="Cambria Math" w:cs="Times New Roman"/>
                  <w:i/>
                  <w:sz w:val="22"/>
                  <w:szCs w:val="20"/>
                </w:rPr>
              </m:ctrlPr>
            </m:sSubPr>
            <m:e>
              <m:r>
                <w:rPr>
                  <w:rFonts w:ascii="Cambria Math" w:hAnsi="Cambria Math" w:cs="Times New Roman"/>
                  <w:sz w:val="22"/>
                  <w:szCs w:val="20"/>
                </w:rPr>
                <m:t>F</m:t>
              </m:r>
            </m:e>
            <m:sub>
              <m:r>
                <w:rPr>
                  <w:rFonts w:ascii="Cambria Math" w:hAnsi="Cambria Math" w:cs="Times New Roman"/>
                  <w:sz w:val="22"/>
                  <w:szCs w:val="20"/>
                </w:rPr>
                <m:t>td,i</m:t>
              </m:r>
            </m:sub>
          </m:sSub>
          <m:r>
            <m:rPr>
              <m:sty m:val="p"/>
            </m:rPr>
            <w:rPr>
              <w:rFonts w:ascii="Cambria Math" w:hAnsi="Cambria Math" w:cs="Times New Roman"/>
              <w:sz w:val="22"/>
              <w:szCs w:val="20"/>
            </w:rPr>
            <m:t xml:space="preserve">                      (72)</m:t>
          </m:r>
          <m:r>
            <m:rPr>
              <m:sty m:val="p"/>
            </m:rPr>
            <w:rPr>
              <w:rFonts w:ascii="Cambria Math" w:hAnsi="Cambria Math" w:cs="Times New Roman"/>
              <w:sz w:val="22"/>
              <w:szCs w:val="20"/>
            </w:rPr>
            <w:br/>
          </m:r>
        </m:oMath>
        <m:oMath>
          <m:f>
            <m:fPr>
              <m:ctrlPr>
                <w:rPr>
                  <w:rFonts w:ascii="Cambria Math" w:hAnsi="Cambria Math" w:cs="Times New Roman"/>
                </w:rPr>
              </m:ctrlPr>
            </m:fPr>
            <m:num>
              <m:r>
                <m:rPr>
                  <m:sty m:val="p"/>
                </m:rPr>
                <w:rPr>
                  <w:rFonts w:ascii="Cambria Math" w:hAnsi="Cambria Math" w:cs="Times New Roman"/>
                </w:rPr>
                <m:t>∂(</m:t>
              </m:r>
              <m:sSub>
                <m:sSubPr>
                  <m:ctrlPr>
                    <w:rPr>
                      <w:rFonts w:ascii="Cambria Math" w:hAnsi="Cambria Math" w:cs="Times New Roman"/>
                    </w:rPr>
                  </m:ctrlPr>
                </m:sSubPr>
                <m:e>
                  <m:r>
                    <m:rPr>
                      <m:sty m:val="p"/>
                    </m:rPr>
                    <w:rPr>
                      <w:rFonts w:ascii="Cambria Math" w:hAnsi="Cambria Math" w:cs="Times New Roman"/>
                    </w:rPr>
                    <m:t>α</m:t>
                  </m:r>
                </m:e>
                <m:sub>
                  <m:r>
                    <m:rPr>
                      <m:sty m:val="p"/>
                    </m:rPr>
                    <w:rPr>
                      <w:rFonts w:ascii="Cambria Math" w:hAnsi="Cambria Math" w:cs="Times New Roman"/>
                    </w:rPr>
                    <m:t>i</m:t>
                  </m:r>
                </m:sub>
              </m:sSub>
              <m:sSub>
                <m:sSubPr>
                  <m:ctrlPr>
                    <w:rPr>
                      <w:rFonts w:ascii="Cambria Math" w:hAnsi="Cambria Math" w:cs="Times New Roman"/>
                    </w:rPr>
                  </m:ctrlPr>
                </m:sSubPr>
                <m:e>
                  <m:r>
                    <m:rPr>
                      <m:sty m:val="p"/>
                    </m:rPr>
                    <w:rPr>
                      <w:rFonts w:ascii="Cambria Math" w:hAnsi="Cambria Math" w:cs="Times New Roman"/>
                    </w:rPr>
                    <m:t>ρ</m:t>
                  </m:r>
                </m:e>
                <m:sub>
                  <m:r>
                    <m:rPr>
                      <m:sty m:val="p"/>
                    </m:rPr>
                    <w:rPr>
                      <w:rFonts w:ascii="Cambria Math" w:hAnsi="Cambria Math" w:cs="Times New Roman"/>
                    </w:rPr>
                    <m:t>i</m:t>
                  </m:r>
                </m:sub>
              </m:sSub>
              <m:sSub>
                <m:sSubPr>
                  <m:ctrlPr>
                    <w:rPr>
                      <w:rFonts w:ascii="Cambria Math" w:hAnsi="Cambria Math" w:cs="Times New Roman"/>
                    </w:rPr>
                  </m:ctrlPr>
                </m:sSubPr>
                <m:e>
                  <m:r>
                    <m:rPr>
                      <m:sty m:val="p"/>
                    </m:rPr>
                    <w:rPr>
                      <w:rFonts w:ascii="Cambria Math" w:hAnsi="Cambria Math" w:cs="Times New Roman"/>
                    </w:rPr>
                    <m:t>c</m:t>
                  </m:r>
                </m:e>
                <m:sub>
                  <m:r>
                    <m:rPr>
                      <m:sty m:val="p"/>
                    </m:rPr>
                    <w:rPr>
                      <w:rFonts w:ascii="Cambria Math" w:hAnsi="Cambria Math" w:cs="Times New Roman"/>
                    </w:rPr>
                    <m:t>p,p,e</m:t>
                  </m:r>
                </m:sub>
              </m:sSub>
              <m:sSub>
                <m:sSubPr>
                  <m:ctrlPr>
                    <w:rPr>
                      <w:rFonts w:ascii="Cambria Math" w:hAnsi="Cambria Math" w:cs="Times New Roman"/>
                    </w:rPr>
                  </m:ctrlPr>
                </m:sSubPr>
                <m:e>
                  <m:r>
                    <m:rPr>
                      <m:sty m:val="p"/>
                    </m:rPr>
                    <w:rPr>
                      <w:rFonts w:ascii="Cambria Math" w:hAnsi="Cambria Math" w:cs="Times New Roman"/>
                    </w:rPr>
                    <m:t>T</m:t>
                  </m:r>
                </m:e>
                <m:sub>
                  <m:r>
                    <m:rPr>
                      <m:sty m:val="p"/>
                    </m:rPr>
                    <w:rPr>
                      <w:rFonts w:ascii="Cambria Math" w:hAnsi="Cambria Math" w:cs="Times New Roman"/>
                    </w:rPr>
                    <m:t>i</m:t>
                  </m:r>
                </m:sub>
              </m:sSub>
              <m:r>
                <m:rPr>
                  <m:sty m:val="p"/>
                </m:rPr>
                <w:rPr>
                  <w:rFonts w:ascii="Cambria Math" w:hAnsi="Cambria Math" w:cs="Times New Roman"/>
                </w:rPr>
                <m:t>)</m:t>
              </m:r>
            </m:num>
            <m:den>
              <m:r>
                <m:rPr>
                  <m:sty m:val="p"/>
                </m:rPr>
                <w:rPr>
                  <w:rFonts w:ascii="Cambria Math" w:hAnsi="Cambria Math" w:cs="Times New Roman"/>
                </w:rPr>
                <m:t>∂t</m:t>
              </m:r>
            </m:den>
          </m:f>
          <m:r>
            <m:rPr>
              <m:sty m:val="p"/>
            </m:rPr>
            <w:rPr>
              <w:rFonts w:ascii="Cambria Math" w:hAnsi="Cambria Math" w:cs="Times New Roman"/>
            </w:rPr>
            <m:t>+∇⋅</m:t>
          </m:r>
          <m:d>
            <m:dPr>
              <m:ctrlPr>
                <w:rPr>
                  <w:rFonts w:ascii="Cambria Math" w:hAnsi="Cambria Math" w:cs="Times New Roman"/>
                </w:rPr>
              </m:ctrlPr>
            </m:dPr>
            <m:e>
              <m:sSub>
                <m:sSubPr>
                  <m:ctrlPr>
                    <w:rPr>
                      <w:rFonts w:ascii="Cambria Math" w:hAnsi="Cambria Math" w:cs="Times New Roman"/>
                    </w:rPr>
                  </m:ctrlPr>
                </m:sSubPr>
                <m:e>
                  <m:r>
                    <m:rPr>
                      <m:sty m:val="p"/>
                    </m:rPr>
                    <w:rPr>
                      <w:rFonts w:ascii="Cambria Math" w:hAnsi="Cambria Math" w:cs="Times New Roman"/>
                    </w:rPr>
                    <m:t>α</m:t>
                  </m:r>
                </m:e>
                <m:sub>
                  <m:r>
                    <m:rPr>
                      <m:sty m:val="p"/>
                    </m:rPr>
                    <w:rPr>
                      <w:rFonts w:ascii="Cambria Math" w:hAnsi="Cambria Math" w:cs="Times New Roman"/>
                    </w:rPr>
                    <m:t>i</m:t>
                  </m:r>
                </m:sub>
              </m:sSub>
              <m:sSub>
                <m:sSubPr>
                  <m:ctrlPr>
                    <w:rPr>
                      <w:rFonts w:ascii="Cambria Math" w:hAnsi="Cambria Math" w:cs="Times New Roman"/>
                    </w:rPr>
                  </m:ctrlPr>
                </m:sSubPr>
                <m:e>
                  <m:r>
                    <m:rPr>
                      <m:sty m:val="p"/>
                    </m:rPr>
                    <w:rPr>
                      <w:rFonts w:ascii="Cambria Math" w:hAnsi="Cambria Math" w:cs="Times New Roman"/>
                    </w:rPr>
                    <m:t>ρ</m:t>
                  </m:r>
                </m:e>
                <m:sub>
                  <m:r>
                    <m:rPr>
                      <m:sty m:val="p"/>
                    </m:rPr>
                    <w:rPr>
                      <w:rFonts w:ascii="Cambria Math" w:hAnsi="Cambria Math" w:cs="Times New Roman"/>
                    </w:rPr>
                    <m:t>i</m:t>
                  </m:r>
                </m:sub>
              </m:sSub>
              <m:sSub>
                <m:sSubPr>
                  <m:ctrlPr>
                    <w:rPr>
                      <w:rFonts w:ascii="Cambria Math" w:hAnsi="Cambria Math" w:cs="Times New Roman"/>
                    </w:rPr>
                  </m:ctrlPr>
                </m:sSubPr>
                <m:e>
                  <m:r>
                    <m:rPr>
                      <m:sty m:val="p"/>
                    </m:rPr>
                    <w:rPr>
                      <w:rFonts w:ascii="Cambria Math" w:hAnsi="Cambria Math" w:cs="Times New Roman"/>
                    </w:rPr>
                    <m:t>c</m:t>
                  </m:r>
                </m:e>
                <m:sub>
                  <m:r>
                    <m:rPr>
                      <m:sty m:val="p"/>
                    </m:rPr>
                    <w:rPr>
                      <w:rFonts w:ascii="Cambria Math" w:hAnsi="Cambria Math" w:cs="Times New Roman"/>
                    </w:rPr>
                    <m:t>p,p,e</m:t>
                  </m:r>
                </m:sub>
              </m:sSub>
              <m:sSub>
                <m:sSubPr>
                  <m:ctrlPr>
                    <w:rPr>
                      <w:rFonts w:ascii="Cambria Math" w:hAnsi="Cambria Math" w:cs="Times New Roman"/>
                    </w:rPr>
                  </m:ctrlPr>
                </m:sSubPr>
                <m:e>
                  <m:r>
                    <m:rPr>
                      <m:sty m:val="p"/>
                    </m:rPr>
                    <w:rPr>
                      <w:rFonts w:ascii="Cambria Math" w:hAnsi="Cambria Math" w:cs="Times New Roman"/>
                    </w:rPr>
                    <m:t>v</m:t>
                  </m:r>
                </m:e>
                <m:sub>
                  <m:r>
                    <m:rPr>
                      <m:sty m:val="p"/>
                    </m:rPr>
                    <w:rPr>
                      <w:rFonts w:ascii="Cambria Math" w:hAnsi="Cambria Math" w:cs="Times New Roman"/>
                    </w:rPr>
                    <m:t>i</m:t>
                  </m:r>
                </m:sub>
              </m:sSub>
              <m:sSub>
                <m:sSubPr>
                  <m:ctrlPr>
                    <w:rPr>
                      <w:rFonts w:ascii="Cambria Math" w:hAnsi="Cambria Math" w:cs="Times New Roman"/>
                    </w:rPr>
                  </m:ctrlPr>
                </m:sSubPr>
                <m:e>
                  <m:r>
                    <m:rPr>
                      <m:sty m:val="p"/>
                    </m:rPr>
                    <w:rPr>
                      <w:rFonts w:ascii="Cambria Math" w:hAnsi="Cambria Math" w:cs="Times New Roman"/>
                    </w:rPr>
                    <m:t>T</m:t>
                  </m:r>
                </m:e>
                <m:sub>
                  <m:r>
                    <m:rPr>
                      <m:sty m:val="p"/>
                    </m:rPr>
                    <w:rPr>
                      <w:rFonts w:ascii="Cambria Math" w:hAnsi="Cambria Math" w:cs="Times New Roman"/>
                    </w:rPr>
                    <m:t>i</m:t>
                  </m:r>
                </m:sub>
              </m:sSub>
            </m:e>
          </m:d>
          <m:r>
            <m:rPr>
              <m:sty m:val="p"/>
            </m:rPr>
            <w:rPr>
              <w:rFonts w:ascii="Cambria Math" w:hAnsi="Cambria Math" w:cs="Times New Roman"/>
            </w:rPr>
            <m:t>=∇⋅</m:t>
          </m:r>
          <m:d>
            <m:dPr>
              <m:ctrlPr>
                <w:rPr>
                  <w:rFonts w:ascii="Cambria Math" w:hAnsi="Cambria Math" w:cs="Times New Roman"/>
                </w:rPr>
              </m:ctrlPr>
            </m:dPr>
            <m:e>
              <m:sSub>
                <m:sSubPr>
                  <m:ctrlPr>
                    <w:rPr>
                      <w:rFonts w:ascii="Cambria Math" w:hAnsi="Cambria Math" w:cs="Times New Roman"/>
                    </w:rPr>
                  </m:ctrlPr>
                </m:sSubPr>
                <m:e>
                  <m:r>
                    <w:rPr>
                      <w:rFonts w:ascii="Cambria Math" w:hAnsi="Cambria Math" w:cs="Times New Roman"/>
                    </w:rPr>
                    <m:t>λ</m:t>
                  </m:r>
                </m:e>
                <m:sub>
                  <m:r>
                    <m:rPr>
                      <m:sty m:val="p"/>
                    </m:rPr>
                    <w:rPr>
                      <w:rFonts w:ascii="Cambria Math" w:hAnsi="Cambria Math" w:cs="Times New Roman"/>
                    </w:rPr>
                    <m:t>e,i</m:t>
                  </m:r>
                </m:sub>
              </m:sSub>
              <m:r>
                <m:rPr>
                  <m:sty m:val="p"/>
                </m:rPr>
                <w:rPr>
                  <w:rFonts w:ascii="Cambria Math" w:hAnsi="Cambria Math" w:cs="Times New Roman"/>
                </w:rPr>
                <m:t>∇</m:t>
              </m:r>
              <m:sSub>
                <m:sSubPr>
                  <m:ctrlPr>
                    <w:rPr>
                      <w:rFonts w:ascii="Cambria Math" w:hAnsi="Cambria Math" w:cs="Times New Roman"/>
                    </w:rPr>
                  </m:ctrlPr>
                </m:sSubPr>
                <m:e>
                  <m:r>
                    <m:rPr>
                      <m:sty m:val="p"/>
                    </m:rPr>
                    <w:rPr>
                      <w:rFonts w:ascii="Cambria Math" w:hAnsi="Cambria Math" w:cs="Times New Roman"/>
                    </w:rPr>
                    <m:t>T</m:t>
                  </m:r>
                </m:e>
                <m:sub>
                  <m:r>
                    <m:rPr>
                      <m:sty m:val="p"/>
                    </m:rPr>
                    <w:rPr>
                      <w:rFonts w:ascii="Cambria Math" w:hAnsi="Cambria Math" w:cs="Times New Roman"/>
                    </w:rPr>
                    <m:t>i</m:t>
                  </m:r>
                </m:sub>
              </m:sSub>
            </m:e>
          </m:d>
          <m:r>
            <m:rPr>
              <m:sty m:val="p"/>
            </m:rPr>
            <w:rPr>
              <w:rFonts w:ascii="Cambria Math" w:hAnsi="Cambria Math" w:cs="Times New Roman"/>
            </w:rPr>
            <m:t>+</m:t>
          </m:r>
          <m:sSub>
            <m:sSubPr>
              <m:ctrlPr>
                <w:rPr>
                  <w:rFonts w:ascii="Cambria Math" w:hAnsi="Cambria Math" w:cs="Times New Roman"/>
                </w:rPr>
              </m:ctrlPr>
            </m:sSubPr>
            <m:e>
              <m:acc>
                <m:accPr>
                  <m:chr m:val="̿"/>
                  <m:ctrlPr>
                    <w:rPr>
                      <w:rFonts w:ascii="Cambria Math" w:hAnsi="Cambria Math" w:cs="Times New Roman"/>
                      <w:i/>
                    </w:rPr>
                  </m:ctrlPr>
                </m:accPr>
                <m:e>
                  <m:r>
                    <w:rPr>
                      <w:rFonts w:ascii="Cambria Math" w:hAnsi="Cambria Math" w:cs="Times New Roman"/>
                    </w:rPr>
                    <m:t>τ</m:t>
                  </m:r>
                </m:e>
              </m:acc>
            </m:e>
            <m:sub>
              <m:r>
                <m:rPr>
                  <m:sty m:val="p"/>
                </m:rPr>
                <w:rPr>
                  <w:rFonts w:ascii="Cambria Math" w:hAnsi="Cambria Math" w:cs="Times New Roman"/>
                </w:rPr>
                <m:t>i</m:t>
              </m:r>
            </m:sub>
          </m:sSub>
          <m:r>
            <m:rPr>
              <m:sty m:val="p"/>
            </m:rPr>
            <w:rPr>
              <w:rFonts w:ascii="Cambria Math" w:hAnsi="Cambria Math" w:cs="Times New Roman"/>
            </w:rPr>
            <m:t>:∇</m:t>
          </m:r>
          <m:sSub>
            <m:sSubPr>
              <m:ctrlPr>
                <w:rPr>
                  <w:rFonts w:ascii="Cambria Math" w:hAnsi="Cambria Math" w:cs="Times New Roman"/>
                </w:rPr>
              </m:ctrlPr>
            </m:sSubPr>
            <m:e>
              <m:r>
                <m:rPr>
                  <m:sty m:val="p"/>
                </m:rPr>
                <w:rPr>
                  <w:rFonts w:ascii="Cambria Math" w:hAnsi="Cambria Math" w:cs="Times New Roman"/>
                </w:rPr>
                <m:t>v</m:t>
              </m:r>
            </m:e>
            <m:sub>
              <m:r>
                <m:rPr>
                  <m:sty m:val="p"/>
                </m:rPr>
                <w:rPr>
                  <w:rFonts w:ascii="Cambria Math" w:hAnsi="Cambria Math" w:cs="Times New Roman"/>
                </w:rPr>
                <m:t>i</m:t>
              </m:r>
            </m:sub>
          </m:sSub>
          <m:r>
            <w:rPr>
              <w:rFonts w:ascii="Cambria Math" w:hAnsi="Cambria Math" w:cs="Times New Roman"/>
            </w:rPr>
            <m:t>-</m:t>
          </m:r>
          <m:sSub>
            <m:sSubPr>
              <m:ctrlPr>
                <w:rPr>
                  <w:rFonts w:ascii="Cambria Math" w:hAnsi="Cambria Math" w:cs="Times New Roman"/>
                </w:rPr>
              </m:ctrlPr>
            </m:sSubPr>
            <m:e>
              <m:r>
                <m:rPr>
                  <m:sty m:val="p"/>
                </m:rPr>
                <w:rPr>
                  <w:rFonts w:ascii="Cambria Math" w:hAnsi="Cambria Math" w:cs="Times New Roman"/>
                </w:rPr>
                <m:t>h</m:t>
              </m:r>
            </m:e>
            <m:sub>
              <m:r>
                <m:rPr>
                  <m:sty m:val="p"/>
                </m:rPr>
                <w:rPr>
                  <w:rFonts w:ascii="Cambria Math" w:hAnsi="Cambria Math" w:cs="Times New Roman"/>
                </w:rPr>
                <m:t>sl</m:t>
              </m:r>
            </m:sub>
          </m:sSub>
          <m:d>
            <m:dPr>
              <m:ctrlPr>
                <w:rPr>
                  <w:rFonts w:ascii="Cambria Math" w:hAnsi="Cambria Math" w:cs="Times New Roman"/>
                </w:rPr>
              </m:ctrlPr>
            </m:dPr>
            <m:e>
              <m:sSub>
                <m:sSubPr>
                  <m:ctrlPr>
                    <w:rPr>
                      <w:rFonts w:ascii="Cambria Math" w:hAnsi="Cambria Math" w:cs="Times New Roman"/>
                    </w:rPr>
                  </m:ctrlPr>
                </m:sSubPr>
                <m:e>
                  <m:r>
                    <m:rPr>
                      <m:sty m:val="p"/>
                    </m:rPr>
                    <w:rPr>
                      <w:rFonts w:ascii="Cambria Math" w:hAnsi="Cambria Math" w:cs="Times New Roman"/>
                    </w:rPr>
                    <m:t>T</m:t>
                  </m:r>
                </m:e>
                <m:sub>
                  <m:r>
                    <w:rPr>
                      <w:rFonts w:ascii="Cambria Math" w:hAnsi="Cambria Math" w:cs="Times New Roman"/>
                    </w:rPr>
                    <m:t>i</m:t>
                  </m:r>
                </m:sub>
              </m:sSub>
              <m:r>
                <m:rPr>
                  <m:sty m:val="p"/>
                </m:rPr>
                <w:rPr>
                  <w:rFonts w:ascii="Cambria Math" w:hAnsi="Cambria Math" w:cs="Times New Roman"/>
                </w:rPr>
                <m:t>-</m:t>
              </m:r>
              <m:sSub>
                <m:sSubPr>
                  <m:ctrlPr>
                    <w:rPr>
                      <w:rFonts w:ascii="Cambria Math" w:hAnsi="Cambria Math" w:cs="Times New Roman"/>
                    </w:rPr>
                  </m:ctrlPr>
                </m:sSubPr>
                <m:e>
                  <m:r>
                    <m:rPr>
                      <m:sty m:val="p"/>
                    </m:rPr>
                    <w:rPr>
                      <w:rFonts w:ascii="Cambria Math" w:hAnsi="Cambria Math" w:cs="Times New Roman"/>
                    </w:rPr>
                    <m:t>T</m:t>
                  </m:r>
                </m:e>
                <m:sub>
                  <m:r>
                    <m:rPr>
                      <m:sty m:val="p"/>
                    </m:rPr>
                    <w:rPr>
                      <w:rFonts w:ascii="Cambria Math" w:hAnsi="Cambria Math" w:cs="Times New Roman"/>
                    </w:rPr>
                    <m:t>q</m:t>
                  </m:r>
                </m:sub>
              </m:sSub>
            </m:e>
          </m:d>
          <m:r>
            <m:rPr>
              <m:sty m:val="p"/>
            </m:rPr>
            <w:rPr>
              <w:rFonts w:ascii="Cambria Math" w:hAnsi="Cambria Math" w:cs="Times New Roman"/>
            </w:rPr>
            <m:t xml:space="preserve">                    (73)</m:t>
          </m:r>
        </m:oMath>
      </m:oMathPara>
    </w:p>
    <w:p w14:paraId="279C9BFB" w14:textId="77777777" w:rsidR="00625AD6" w:rsidRPr="00625AD6" w:rsidRDefault="00625AD6" w:rsidP="00625AD6">
      <w:pPr>
        <w:rPr>
          <w:rFonts w:cs="Times New Roman"/>
          <w:lang w:val="en-US"/>
        </w:rPr>
      </w:pPr>
      <w:r w:rsidRPr="00625AD6">
        <w:rPr>
          <w:rFonts w:cs="Times New Roman"/>
          <w:lang w:val="en-US"/>
        </w:rPr>
        <w:lastRenderedPageBreak/>
        <w:t xml:space="preserve">where </w:t>
      </w:r>
      <m:oMath>
        <m:r>
          <w:rPr>
            <w:rFonts w:ascii="Cambria Math" w:hAnsi="Cambria Math" w:cs="Times New Roman"/>
            <w:lang w:val="nb-NO"/>
          </w:rPr>
          <m:t>i</m:t>
        </m:r>
        <m:r>
          <w:rPr>
            <w:rFonts w:ascii="Cambria Math" w:hAnsi="Cambria Math" w:cs="Times New Roman"/>
            <w:lang w:val="en-US"/>
          </w:rPr>
          <m:t>=</m:t>
        </m:r>
        <m:r>
          <w:rPr>
            <w:rFonts w:ascii="Cambria Math" w:hAnsi="Cambria Math" w:cs="Times New Roman"/>
            <w:lang w:val="nb-NO"/>
          </w:rPr>
          <m:t>l</m:t>
        </m:r>
        <m:r>
          <w:rPr>
            <w:rFonts w:ascii="Cambria Math" w:hAnsi="Cambria Math" w:cs="Times New Roman"/>
            <w:lang w:val="en-US"/>
          </w:rPr>
          <m:t>,</m:t>
        </m:r>
        <m:r>
          <w:rPr>
            <w:rFonts w:ascii="Cambria Math" w:hAnsi="Cambria Math" w:cs="Times New Roman"/>
            <w:lang w:val="nb-NO"/>
          </w:rPr>
          <m:t>s</m:t>
        </m:r>
        <m:r>
          <m:rPr>
            <m:sty m:val="p"/>
          </m:rPr>
          <w:rPr>
            <w:rFonts w:ascii="Cambria Math" w:hAnsi="Cambria Math" w:cs="Times New Roman"/>
            <w:lang w:val="en-US"/>
          </w:rPr>
          <m:t xml:space="preserve"> </m:t>
        </m:r>
      </m:oMath>
      <w:r w:rsidRPr="00625AD6">
        <w:rPr>
          <w:rFonts w:cs="Times New Roman"/>
          <w:lang w:val="en-US"/>
        </w:rPr>
        <w:t xml:space="preserve">denotes the liquid and solid phases, respectively. The latent heat of the PCM is expressed in Eq. (74) as the effective specific heat capacity </w:t>
      </w:r>
      <m:oMath>
        <m:sSub>
          <m:sSubPr>
            <m:ctrlPr>
              <w:rPr>
                <w:rFonts w:ascii="Cambria Math" w:hAnsi="Cambria Math" w:cs="Times New Roman"/>
              </w:rPr>
            </m:ctrlPr>
          </m:sSubPr>
          <m:e>
            <m:r>
              <m:rPr>
                <m:sty m:val="p"/>
              </m:rPr>
              <w:rPr>
                <w:rFonts w:ascii="Cambria Math" w:hAnsi="Cambria Math" w:cs="Times New Roman"/>
                <w:lang w:val="en-US"/>
              </w:rPr>
              <m:t>c</m:t>
            </m:r>
          </m:e>
          <m:sub>
            <m:r>
              <m:rPr>
                <m:sty m:val="p"/>
              </m:rPr>
              <w:rPr>
                <w:rFonts w:ascii="Cambria Math" w:hAnsi="Cambria Math" w:cs="Times New Roman"/>
                <w:lang w:val="en-US"/>
              </w:rPr>
              <m:t>p,p,e</m:t>
            </m:r>
          </m:sub>
        </m:sSub>
      </m:oMath>
      <w:r w:rsidRPr="00625AD6">
        <w:rPr>
          <w:rFonts w:cs="Times New Roman"/>
          <w:lang w:val="en-US"/>
        </w:rPr>
        <w:t>, defined by:</w:t>
      </w:r>
    </w:p>
    <w:p w14:paraId="3E18C0EE" w14:textId="77777777" w:rsidR="00625AD6" w:rsidRPr="00625AD6" w:rsidRDefault="00000000" w:rsidP="00625AD6">
      <w:pPr>
        <w:rPr>
          <w:rFonts w:cs="Times New Roman"/>
          <w:lang w:val="nb-NO"/>
        </w:rPr>
      </w:pPr>
      <m:oMathPara>
        <m:oMathParaPr>
          <m:jc m:val="right"/>
        </m:oMathParaPr>
        <m:oMath>
          <m:nary>
            <m:naryPr>
              <m:limLoc m:val="subSup"/>
              <m:grow m:val="1"/>
              <m:ctrlPr>
                <w:rPr>
                  <w:rFonts w:ascii="Cambria Math" w:hAnsi="Cambria Math" w:cs="Times New Roman"/>
                </w:rPr>
              </m:ctrlPr>
            </m:naryPr>
            <m:sub>
              <m:sSub>
                <m:sSubPr>
                  <m:ctrlPr>
                    <w:rPr>
                      <w:rFonts w:ascii="Cambria Math" w:hAnsi="Cambria Math" w:cs="Times New Roman"/>
                    </w:rPr>
                  </m:ctrlPr>
                </m:sSubPr>
                <m:e>
                  <m:r>
                    <m:rPr>
                      <m:sty m:val="p"/>
                    </m:rPr>
                    <w:rPr>
                      <w:rFonts w:ascii="Cambria Math" w:hAnsi="Cambria Math" w:cs="Times New Roman"/>
                      <w:lang w:val="nb-NO"/>
                    </w:rPr>
                    <m:t>T</m:t>
                  </m:r>
                </m:e>
                <m:sub>
                  <m:r>
                    <m:rPr>
                      <m:sty m:val="p"/>
                    </m:rPr>
                    <w:rPr>
                      <w:rFonts w:ascii="Cambria Math" w:hAnsi="Cambria Math" w:cs="Times New Roman"/>
                      <w:lang w:val="nb-NO"/>
                    </w:rPr>
                    <m:t>ref</m:t>
                  </m:r>
                </m:sub>
              </m:sSub>
            </m:sub>
            <m:sup>
              <m:r>
                <m:rPr>
                  <m:sty m:val="p"/>
                </m:rPr>
                <w:rPr>
                  <w:rFonts w:ascii="Cambria Math" w:hAnsi="Cambria Math" w:cs="Times New Roman"/>
                  <w:lang w:val="nb-NO"/>
                </w:rPr>
                <m:t>T</m:t>
              </m:r>
            </m:sup>
            <m:e>
              <m:sSub>
                <m:sSubPr>
                  <m:ctrlPr>
                    <w:rPr>
                      <w:rFonts w:ascii="Cambria Math" w:hAnsi="Cambria Math" w:cs="Times New Roman"/>
                    </w:rPr>
                  </m:ctrlPr>
                </m:sSubPr>
                <m:e>
                  <m:r>
                    <m:rPr>
                      <m:sty m:val="p"/>
                    </m:rPr>
                    <w:rPr>
                      <w:rFonts w:ascii="Cambria Math" w:hAnsi="Cambria Math" w:cs="Times New Roman"/>
                    </w:rPr>
                    <m:t>c</m:t>
                  </m:r>
                </m:e>
                <m:sub>
                  <m:r>
                    <m:rPr>
                      <m:sty m:val="p"/>
                    </m:rPr>
                    <w:rPr>
                      <w:rFonts w:ascii="Cambria Math" w:hAnsi="Cambria Math" w:cs="Times New Roman"/>
                    </w:rPr>
                    <m:t>p,p,e</m:t>
                  </m:r>
                </m:sub>
              </m:sSub>
              <m:r>
                <m:rPr>
                  <m:sty m:val="p"/>
                </m:rPr>
                <w:rPr>
                  <w:rFonts w:ascii="Cambria Math" w:hAnsi="Cambria Math" w:cs="Times New Roman"/>
                  <w:lang w:val="nb-NO"/>
                </w:rPr>
                <m:t>dT</m:t>
              </m:r>
            </m:e>
          </m:nary>
          <m:r>
            <m:rPr>
              <m:sty m:val="p"/>
            </m:rPr>
            <w:rPr>
              <w:rFonts w:ascii="Cambria Math" w:hAnsi="Cambria Math" w:cs="Times New Roman"/>
              <w:lang w:val="nb-NO"/>
            </w:rPr>
            <m:t>=</m:t>
          </m:r>
          <m:r>
            <m:rPr>
              <m:sty m:val="p"/>
            </m:rPr>
            <w:rPr>
              <w:rFonts w:ascii="Cambria Math" w:hAnsi="Cambria Math" w:cs="Times New Roman"/>
            </w:rPr>
            <m:t>Δ</m:t>
          </m:r>
          <m:sSub>
            <m:sSubPr>
              <m:ctrlPr>
                <w:rPr>
                  <w:rFonts w:ascii="Cambria Math" w:hAnsi="Cambria Math" w:cs="Times New Roman"/>
                </w:rPr>
              </m:ctrlPr>
            </m:sSubPr>
            <m:e>
              <m:r>
                <m:rPr>
                  <m:sty m:val="p"/>
                </m:rPr>
                <w:rPr>
                  <w:rFonts w:ascii="Cambria Math" w:hAnsi="Cambria Math" w:cs="Times New Roman"/>
                  <w:lang w:val="nb-NO"/>
                </w:rPr>
                <m:t>H</m:t>
              </m:r>
            </m:e>
            <m:sub>
              <m:r>
                <m:rPr>
                  <m:sty m:val="p"/>
                </m:rPr>
                <w:rPr>
                  <w:rFonts w:ascii="Cambria Math" w:hAnsi="Cambria Math" w:cs="Times New Roman"/>
                  <w:lang w:val="nb-NO"/>
                </w:rPr>
                <m:t>p</m:t>
              </m:r>
            </m:sub>
          </m:sSub>
          <m:r>
            <m:rPr>
              <m:sty m:val="p"/>
            </m:rPr>
            <w:rPr>
              <w:rFonts w:ascii="Cambria Math" w:hAnsi="Cambria Math" w:cs="Times New Roman"/>
              <w:lang w:val="nb-NO"/>
            </w:rPr>
            <m:t>+</m:t>
          </m:r>
          <m:f>
            <m:fPr>
              <m:ctrlPr>
                <w:rPr>
                  <w:rFonts w:ascii="Cambria Math" w:hAnsi="Cambria Math" w:cs="Times New Roman"/>
                </w:rPr>
              </m:ctrlPr>
            </m:fPr>
            <m:num>
              <m:sSub>
                <m:sSubPr>
                  <m:ctrlPr>
                    <w:rPr>
                      <w:rFonts w:ascii="Cambria Math" w:hAnsi="Cambria Math" w:cs="Times New Roman"/>
                    </w:rPr>
                  </m:ctrlPr>
                </m:sSubPr>
                <m:e>
                  <m:r>
                    <m:rPr>
                      <m:sty m:val="p"/>
                    </m:rPr>
                    <w:rPr>
                      <w:rFonts w:ascii="Cambria Math" w:hAnsi="Cambria Math" w:cs="Times New Roman"/>
                      <w:lang w:val="nb-NO"/>
                    </w:rPr>
                    <m:t>c</m:t>
                  </m:r>
                </m:e>
                <m:sub>
                  <m:r>
                    <m:rPr>
                      <m:sty m:val="p"/>
                    </m:rPr>
                    <w:rPr>
                      <w:rFonts w:ascii="Cambria Math" w:hAnsi="Cambria Math" w:cs="Times New Roman"/>
                      <w:lang w:val="nb-NO"/>
                    </w:rPr>
                    <m:t>p,p,s</m:t>
                  </m:r>
                </m:sub>
              </m:sSub>
              <m:r>
                <m:rPr>
                  <m:sty m:val="p"/>
                </m:rPr>
                <w:rPr>
                  <w:rFonts w:ascii="Cambria Math" w:hAnsi="Cambria Math" w:cs="Times New Roman"/>
                  <w:lang w:val="nb-NO"/>
                </w:rPr>
                <m:t>+</m:t>
              </m:r>
              <m:sSub>
                <m:sSubPr>
                  <m:ctrlPr>
                    <w:rPr>
                      <w:rFonts w:ascii="Cambria Math" w:hAnsi="Cambria Math" w:cs="Times New Roman"/>
                    </w:rPr>
                  </m:ctrlPr>
                </m:sSubPr>
                <m:e>
                  <m:r>
                    <m:rPr>
                      <m:sty m:val="p"/>
                    </m:rPr>
                    <w:rPr>
                      <w:rFonts w:ascii="Cambria Math" w:hAnsi="Cambria Math" w:cs="Times New Roman"/>
                      <w:lang w:val="nb-NO"/>
                    </w:rPr>
                    <m:t>c</m:t>
                  </m:r>
                </m:e>
                <m:sub>
                  <m:r>
                    <m:rPr>
                      <m:sty m:val="p"/>
                    </m:rPr>
                    <w:rPr>
                      <w:rFonts w:ascii="Cambria Math" w:hAnsi="Cambria Math" w:cs="Times New Roman"/>
                      <w:lang w:val="nb-NO"/>
                    </w:rPr>
                    <m:t>p,p,l</m:t>
                  </m:r>
                </m:sub>
              </m:sSub>
            </m:num>
            <m:den>
              <m:r>
                <m:rPr>
                  <m:sty m:val="p"/>
                </m:rPr>
                <w:rPr>
                  <w:rFonts w:ascii="Cambria Math" w:hAnsi="Cambria Math" w:cs="Times New Roman"/>
                  <w:lang w:val="nb-NO"/>
                </w:rPr>
                <m:t>2</m:t>
              </m:r>
            </m:den>
          </m:f>
          <m:d>
            <m:dPr>
              <m:ctrlPr>
                <w:rPr>
                  <w:rFonts w:ascii="Cambria Math" w:hAnsi="Cambria Math" w:cs="Times New Roman"/>
                  <w:lang w:val="nb-NO"/>
                </w:rPr>
              </m:ctrlPr>
            </m:dPr>
            <m:e>
              <m:sSub>
                <m:sSubPr>
                  <m:ctrlPr>
                    <w:rPr>
                      <w:rFonts w:ascii="Cambria Math" w:hAnsi="Cambria Math" w:cs="Times New Roman"/>
                    </w:rPr>
                  </m:ctrlPr>
                </m:sSubPr>
                <m:e>
                  <m:r>
                    <m:rPr>
                      <m:sty m:val="p"/>
                    </m:rPr>
                    <w:rPr>
                      <w:rFonts w:ascii="Cambria Math" w:hAnsi="Cambria Math" w:cs="Times New Roman"/>
                      <w:lang w:val="nb-NO"/>
                    </w:rPr>
                    <m:t>T</m:t>
                  </m:r>
                </m:e>
                <m:sub>
                  <m:r>
                    <m:rPr>
                      <m:sty m:val="p"/>
                    </m:rPr>
                    <w:rPr>
                      <w:rFonts w:ascii="Cambria Math" w:hAnsi="Cambria Math" w:cs="Times New Roman"/>
                      <w:lang w:val="nb-NO"/>
                    </w:rPr>
                    <m:t>p,l</m:t>
                  </m:r>
                </m:sub>
              </m:sSub>
              <m:r>
                <m:rPr>
                  <m:sty m:val="p"/>
                </m:rPr>
                <w:rPr>
                  <w:rFonts w:ascii="Cambria Math" w:hAnsi="Cambria Math" w:cs="Times New Roman"/>
                  <w:lang w:val="nb-NO"/>
                </w:rPr>
                <m:t>-</m:t>
              </m:r>
              <m:sSub>
                <m:sSubPr>
                  <m:ctrlPr>
                    <w:rPr>
                      <w:rFonts w:ascii="Cambria Math" w:hAnsi="Cambria Math" w:cs="Times New Roman"/>
                    </w:rPr>
                  </m:ctrlPr>
                </m:sSubPr>
                <m:e>
                  <m:r>
                    <m:rPr>
                      <m:sty m:val="p"/>
                    </m:rPr>
                    <w:rPr>
                      <w:rFonts w:ascii="Cambria Math" w:hAnsi="Cambria Math" w:cs="Times New Roman"/>
                      <w:lang w:val="nb-NO"/>
                    </w:rPr>
                    <m:t>T</m:t>
                  </m:r>
                </m:e>
                <m:sub>
                  <m:r>
                    <m:rPr>
                      <m:sty m:val="p"/>
                    </m:rPr>
                    <w:rPr>
                      <w:rFonts w:ascii="Cambria Math" w:hAnsi="Cambria Math" w:cs="Times New Roman"/>
                      <w:lang w:val="nb-NO"/>
                    </w:rPr>
                    <m:t>p,s</m:t>
                  </m:r>
                </m:sub>
              </m:sSub>
            </m:e>
          </m:d>
          <m:r>
            <m:rPr>
              <m:sty m:val="p"/>
            </m:rPr>
            <w:rPr>
              <w:rFonts w:ascii="Cambria Math" w:hAnsi="Cambria Math" w:cs="Times New Roman"/>
              <w:lang w:val="nb-NO"/>
            </w:rPr>
            <m:t xml:space="preserve">                                         (74)</m:t>
          </m:r>
          <m:r>
            <m:rPr>
              <m:sty m:val="p"/>
            </m:rPr>
            <w:rPr>
              <w:rFonts w:ascii="Cambria Math" w:hAnsi="Cambria Math" w:cs="Times New Roman"/>
              <w:lang w:val="nb-NO"/>
            </w:rPr>
            <w:br/>
          </m:r>
        </m:oMath>
      </m:oMathPara>
    </w:p>
    <w:p w14:paraId="56AE2EA5" w14:textId="52DD168F" w:rsidR="00625AD6" w:rsidRPr="00625AD6" w:rsidRDefault="00625AD6" w:rsidP="00625AD6">
      <w:pPr>
        <w:rPr>
          <w:rFonts w:cs="Times New Roman"/>
          <w:lang w:val="en-US"/>
        </w:rPr>
      </w:pPr>
      <w:r w:rsidRPr="00625AD6">
        <w:rPr>
          <w:rFonts w:cs="Times New Roman"/>
          <w:lang w:val="en-US"/>
        </w:rPr>
        <w:t xml:space="preserve">Compared with the single-phase model, the two-phase approach offers a more realistic representation of the physical processes by accounting for phase separation and thermal coupling between the liquid and solid components. However, it requires </w:t>
      </w:r>
      <w:r w:rsidR="001C4CBD">
        <w:rPr>
          <w:rFonts w:cs="Times New Roman"/>
          <w:lang w:val="en-US"/>
        </w:rPr>
        <w:t xml:space="preserve">a </w:t>
      </w:r>
      <w:r w:rsidRPr="00625AD6">
        <w:rPr>
          <w:rFonts w:cs="Times New Roman"/>
          <w:lang w:val="en-US"/>
        </w:rPr>
        <w:t xml:space="preserve">higher computational cost and may experience numerical stability issues. Several studies have validated this model. Bai et al. </w:t>
      </w:r>
      <w:sdt>
        <w:sdtPr>
          <w:rPr>
            <w:rFonts w:cs="Times New Roman"/>
            <w:lang w:val="en-US"/>
          </w:rPr>
          <w:id w:val="1887993180"/>
          <w:citation/>
        </w:sdtPr>
        <w:sdtContent>
          <w:r w:rsidR="00F501EC">
            <w:rPr>
              <w:rFonts w:cs="Times New Roman"/>
              <w:lang w:val="en-US"/>
            </w:rPr>
            <w:fldChar w:fldCharType="begin"/>
          </w:r>
          <w:r w:rsidR="00F501EC" w:rsidRPr="00F501EC">
            <w:rPr>
              <w:rFonts w:cs="Times New Roman"/>
              <w:lang w:val="en-US"/>
            </w:rPr>
            <w:instrText xml:space="preserve"> CITATION Placeholder230 \l 1040 </w:instrText>
          </w:r>
          <w:r w:rsidR="00F501EC">
            <w:rPr>
              <w:rFonts w:cs="Times New Roman"/>
              <w:lang w:val="en-US"/>
            </w:rPr>
            <w:fldChar w:fldCharType="separate"/>
          </w:r>
          <w:r w:rsidR="00855396" w:rsidRPr="00855396">
            <w:rPr>
              <w:rFonts w:cs="Times New Roman"/>
              <w:noProof/>
              <w:lang w:val="en-US"/>
            </w:rPr>
            <w:t>[212]</w:t>
          </w:r>
          <w:r w:rsidR="00F501EC">
            <w:rPr>
              <w:rFonts w:cs="Times New Roman"/>
              <w:lang w:val="en-US"/>
            </w:rPr>
            <w:fldChar w:fldCharType="end"/>
          </w:r>
        </w:sdtContent>
      </w:sdt>
      <w:r w:rsidRPr="00625AD6">
        <w:rPr>
          <w:rFonts w:cs="Times New Roman"/>
          <w:lang w:val="en-US"/>
        </w:rPr>
        <w:t xml:space="preserve"> applied it to laminar flow in circular ducts, reporting good agreement with experimental data and a maximum deviation of 10%. Dai et al. </w:t>
      </w:r>
      <w:sdt>
        <w:sdtPr>
          <w:rPr>
            <w:rFonts w:cs="Times New Roman"/>
            <w:lang w:val="en-US"/>
          </w:rPr>
          <w:id w:val="-898587926"/>
          <w:citation/>
        </w:sdtPr>
        <w:sdtContent>
          <w:r w:rsidR="00F501EC">
            <w:rPr>
              <w:rFonts w:cs="Times New Roman"/>
              <w:lang w:val="en-US"/>
            </w:rPr>
            <w:fldChar w:fldCharType="begin"/>
          </w:r>
          <w:r w:rsidR="00F501EC" w:rsidRPr="00F501EC">
            <w:rPr>
              <w:rFonts w:cs="Times New Roman"/>
              <w:lang w:val="en-US"/>
            </w:rPr>
            <w:instrText xml:space="preserve"> CITATION Placeholder231 \l 1040 </w:instrText>
          </w:r>
          <w:r w:rsidR="00F501EC">
            <w:rPr>
              <w:rFonts w:cs="Times New Roman"/>
              <w:lang w:val="en-US"/>
            </w:rPr>
            <w:fldChar w:fldCharType="separate"/>
          </w:r>
          <w:r w:rsidR="00855396" w:rsidRPr="00855396">
            <w:rPr>
              <w:rFonts w:cs="Times New Roman"/>
              <w:noProof/>
              <w:lang w:val="en-US"/>
            </w:rPr>
            <w:t>[213]</w:t>
          </w:r>
          <w:r w:rsidR="00F501EC">
            <w:rPr>
              <w:rFonts w:cs="Times New Roman"/>
              <w:lang w:val="en-US"/>
            </w:rPr>
            <w:fldChar w:fldCharType="end"/>
          </w:r>
        </w:sdtContent>
      </w:sdt>
      <w:r w:rsidRPr="00625AD6">
        <w:rPr>
          <w:rFonts w:cs="Times New Roman"/>
          <w:lang w:val="en-US"/>
        </w:rPr>
        <w:t xml:space="preserve"> investigated heat and mass transfer in a two-layer microchannel, with deviations below 1%. Finally, Dai et al. </w:t>
      </w:r>
      <w:sdt>
        <w:sdtPr>
          <w:rPr>
            <w:rFonts w:cs="Times New Roman"/>
            <w:lang w:val="en-US"/>
          </w:rPr>
          <w:id w:val="1088964608"/>
          <w:citation/>
        </w:sdtPr>
        <w:sdtContent>
          <w:r w:rsidR="00F501EC">
            <w:rPr>
              <w:rFonts w:cs="Times New Roman"/>
              <w:lang w:val="en-US"/>
            </w:rPr>
            <w:fldChar w:fldCharType="begin"/>
          </w:r>
          <w:r w:rsidR="00F501EC" w:rsidRPr="00F501EC">
            <w:rPr>
              <w:rFonts w:cs="Times New Roman"/>
              <w:lang w:val="en-US"/>
            </w:rPr>
            <w:instrText xml:space="preserve"> CITATION Placeholder232 \l 1040 </w:instrText>
          </w:r>
          <w:r w:rsidR="00F501EC">
            <w:rPr>
              <w:rFonts w:cs="Times New Roman"/>
              <w:lang w:val="en-US"/>
            </w:rPr>
            <w:fldChar w:fldCharType="separate"/>
          </w:r>
          <w:r w:rsidR="00855396" w:rsidRPr="00855396">
            <w:rPr>
              <w:rFonts w:cs="Times New Roman"/>
              <w:noProof/>
              <w:lang w:val="en-US"/>
            </w:rPr>
            <w:t>[214]</w:t>
          </w:r>
          <w:r w:rsidR="00F501EC">
            <w:rPr>
              <w:rFonts w:cs="Times New Roman"/>
              <w:lang w:val="en-US"/>
            </w:rPr>
            <w:fldChar w:fldCharType="end"/>
          </w:r>
        </w:sdtContent>
      </w:sdt>
      <w:sdt>
        <w:sdtPr>
          <w:rPr>
            <w:rFonts w:cs="Times New Roman"/>
            <w:lang w:val="en-US"/>
          </w:rPr>
          <w:id w:val="2108234113"/>
          <w:citation/>
        </w:sdtPr>
        <w:sdtContent>
          <w:r w:rsidR="00F501EC">
            <w:rPr>
              <w:rFonts w:cs="Times New Roman"/>
              <w:lang w:val="en-US"/>
            </w:rPr>
            <w:fldChar w:fldCharType="begin"/>
          </w:r>
          <w:r w:rsidR="00F501EC" w:rsidRPr="00F501EC">
            <w:rPr>
              <w:rFonts w:cs="Times New Roman"/>
              <w:lang w:val="en-US"/>
            </w:rPr>
            <w:instrText xml:space="preserve"> CITATION Placeholder233 \l 1040 </w:instrText>
          </w:r>
          <w:r w:rsidR="00F501EC">
            <w:rPr>
              <w:rFonts w:cs="Times New Roman"/>
              <w:lang w:val="en-US"/>
            </w:rPr>
            <w:fldChar w:fldCharType="separate"/>
          </w:r>
          <w:r w:rsidR="00855396">
            <w:rPr>
              <w:rFonts w:cs="Times New Roman"/>
              <w:noProof/>
              <w:lang w:val="en-US"/>
            </w:rPr>
            <w:t xml:space="preserve"> </w:t>
          </w:r>
          <w:r w:rsidR="00855396" w:rsidRPr="00855396">
            <w:rPr>
              <w:rFonts w:cs="Times New Roman"/>
              <w:noProof/>
              <w:lang w:val="en-US"/>
            </w:rPr>
            <w:t>[215]</w:t>
          </w:r>
          <w:r w:rsidR="00F501EC">
            <w:rPr>
              <w:rFonts w:cs="Times New Roman"/>
              <w:lang w:val="en-US"/>
            </w:rPr>
            <w:fldChar w:fldCharType="end"/>
          </w:r>
        </w:sdtContent>
      </w:sdt>
      <w:r w:rsidRPr="00625AD6">
        <w:rPr>
          <w:rFonts w:cs="Times New Roman"/>
          <w:lang w:val="en-US"/>
        </w:rPr>
        <w:t xml:space="preserve"> extended the model to porous microchannels, obtaining numerical predictions consistent with experimental observations.</w:t>
      </w:r>
    </w:p>
    <w:p w14:paraId="73405504" w14:textId="1910F16C" w:rsidR="00625AD6" w:rsidRPr="00625AD6" w:rsidRDefault="00625AD6" w:rsidP="00F501EC">
      <w:pPr>
        <w:pStyle w:val="Heading3"/>
        <w:rPr>
          <w:lang w:val="en-US"/>
        </w:rPr>
      </w:pPr>
      <w:bookmarkStart w:id="217" w:name="_Toc213354103"/>
      <w:bookmarkStart w:id="218" w:name="_Toc214356323"/>
      <w:r w:rsidRPr="00625AD6">
        <w:rPr>
          <w:lang w:val="en-US"/>
        </w:rPr>
        <w:t>Apparent specific heat capacity model</w:t>
      </w:r>
      <w:bookmarkEnd w:id="217"/>
      <w:bookmarkEnd w:id="218"/>
    </w:p>
    <w:p w14:paraId="516EDA9C" w14:textId="77777777" w:rsidR="00771D46" w:rsidRDefault="00625AD6" w:rsidP="00625AD6">
      <w:pPr>
        <w:rPr>
          <w:rFonts w:eastAsiaTheme="minorEastAsia" w:cs="Times New Roman"/>
        </w:rPr>
      </w:pPr>
      <w:r w:rsidRPr="00625AD6">
        <w:rPr>
          <w:rFonts w:cs="Times New Roman"/>
          <w:lang w:val="en-US"/>
        </w:rPr>
        <w:t>The apparent heat capacity formulation provides an implicit representation of the phase change interface by solving a single heat conduction equation for both phases, using effective material properties.</w:t>
      </w:r>
      <w:r w:rsidR="00F501EC">
        <w:rPr>
          <w:rFonts w:cs="Times New Roman"/>
          <w:lang w:val="en-US"/>
        </w:rPr>
        <w:t xml:space="preserve"> </w:t>
      </w:r>
      <w:r w:rsidRPr="00625AD6">
        <w:rPr>
          <w:rFonts w:cs="Times New Roman"/>
          <w:lang w:val="en-US"/>
        </w:rPr>
        <w:t xml:space="preserve">The contribution of latent heat associated with the phase transition is accounted for by modifying the equivalent heat capacity. This approach is particularly suitable for materials that exhibit a mushy or partially melted zone around the phase change interface, and it also allows the topological variations of the interface to be described. The PCM domain condition is applied to both phase regions in order to solve the energy equation after defining the thermophysical properties of the PCM according to the apparent heat capacity formulation. Instead of explicitly adding the latent heat </w:t>
      </w:r>
      <m:oMath>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F</m:t>
            </m:r>
          </m:sub>
        </m:sSub>
      </m:oMath>
      <w:r w:rsidRPr="00625AD6">
        <w:rPr>
          <w:rFonts w:eastAsiaTheme="minorEastAsia" w:cs="Times New Roman"/>
          <w:lang w:val="en-US"/>
        </w:rPr>
        <w:t xml:space="preserve"> </w:t>
      </w:r>
      <w:r w:rsidRPr="00625AD6">
        <w:rPr>
          <w:rFonts w:cs="Times New Roman"/>
          <w:lang w:val="en-US"/>
        </w:rPr>
        <w:t xml:space="preserve">to the energy balance equation at the point where the material reaches the phase change temperature </w:t>
      </w:r>
      <m:oMath>
        <m:sSub>
          <m:sSubPr>
            <m:ctrlPr>
              <w:rPr>
                <w:rFonts w:ascii="Cambria Math" w:hAnsi="Cambria Math" w:cs="Times New Roman"/>
              </w:rPr>
            </m:ctrlPr>
          </m:sSubPr>
          <m:e>
            <m:r>
              <m:rPr>
                <m:sty m:val="p"/>
              </m:rPr>
              <w:rPr>
                <w:rFonts w:ascii="Cambria Math" w:hAnsi="Cambria Math" w:cs="Times New Roman"/>
                <w:lang w:val="en-US"/>
              </w:rPr>
              <m:t>T</m:t>
            </m:r>
          </m:e>
          <m:sub>
            <m:r>
              <m:rPr>
                <m:sty m:val="p"/>
              </m:rPr>
              <w:rPr>
                <w:rFonts w:ascii="Cambria Math" w:hAnsi="Cambria Math" w:cs="Times New Roman"/>
                <w:lang w:val="en-US"/>
              </w:rPr>
              <m:t>pc</m:t>
            </m:r>
          </m:sub>
        </m:sSub>
      </m:oMath>
      <w:r w:rsidRPr="00625AD6">
        <w:rPr>
          <w:rFonts w:cs="Times New Roman"/>
          <w:lang w:val="en-US"/>
        </w:rPr>
        <w:t xml:space="preserve">, it is assumed that the transformation occurs over a finite temperature interval </w:t>
      </w:r>
      <m:oMath>
        <m:r>
          <m:rPr>
            <m:sty m:val="p"/>
          </m:rPr>
          <w:rPr>
            <w:rFonts w:ascii="Cambria Math" w:hAnsi="Cambria Math" w:cs="Times New Roman"/>
          </w:rPr>
          <m:t>Δ</m:t>
        </m:r>
        <m:r>
          <m:rPr>
            <m:sty m:val="p"/>
          </m:rPr>
          <w:rPr>
            <w:rFonts w:ascii="Cambria Math" w:hAnsi="Cambria Math" w:cs="Times New Roman"/>
            <w:lang w:val="en-US"/>
          </w:rPr>
          <m:t>T</m:t>
        </m:r>
      </m:oMath>
      <w:r w:rsidRPr="00625AD6">
        <w:rPr>
          <w:rFonts w:cs="Times New Roman"/>
          <w:lang w:val="en-US"/>
        </w:rPr>
        <w:t xml:space="preserve">. Within this interval, the material gradually changes from phase 1 to phase 2. The corresponding volume fractions of the phases are described by the phase transition function </w:t>
      </w:r>
      <m:oMath>
        <m:sSub>
          <m:sSubPr>
            <m:ctrlPr>
              <w:rPr>
                <w:rFonts w:ascii="Cambria Math" w:hAnsi="Cambria Math" w:cs="Times New Roman"/>
              </w:rPr>
            </m:ctrlPr>
          </m:sSubPr>
          <m:e>
            <m:r>
              <m:rPr>
                <m:sty m:val="p"/>
              </m:rPr>
              <w:rPr>
                <w:rFonts w:ascii="Cambria Math" w:hAnsi="Cambria Math" w:cs="Times New Roman"/>
              </w:rPr>
              <m:t>α</m:t>
            </m:r>
          </m:e>
          <m:sub>
            <m:r>
              <m:rPr>
                <m:sty m:val="p"/>
              </m:rPr>
              <w:rPr>
                <w:rFonts w:ascii="Cambria Math" w:hAnsi="Cambria Math" w:cs="Times New Roman"/>
                <w:lang w:val="en-US"/>
              </w:rPr>
              <m:t>1→2</m:t>
            </m:r>
          </m:sub>
        </m:sSub>
      </m:oMath>
      <w:r w:rsidRPr="00625AD6">
        <w:rPr>
          <w:rFonts w:cs="Times New Roman"/>
          <w:lang w:val="en-US"/>
        </w:rPr>
        <w:t>, where</w:t>
      </w:r>
      <w:r w:rsidR="00771D46">
        <w:rPr>
          <w:rFonts w:cs="Times New Roman"/>
          <w:lang w:val="en-US"/>
        </w:rPr>
        <w:t xml:space="preserve"> </w:t>
      </w:r>
      <m:oMath>
        <m:sSub>
          <m:sSubPr>
            <m:ctrlPr>
              <w:rPr>
                <w:rFonts w:ascii="Cambria Math" w:hAnsi="Cambria Math" w:cs="Times New Roman"/>
              </w:rPr>
            </m:ctrlPr>
          </m:sSubPr>
          <m:e>
            <m:r>
              <m:rPr>
                <m:sty m:val="p"/>
              </m:rPr>
              <w:rPr>
                <w:rFonts w:ascii="Cambria Math" w:hAnsi="Cambria Math" w:cs="Times New Roman"/>
              </w:rPr>
              <m:t>θ</m:t>
            </m:r>
          </m:e>
          <m:sub>
            <m:r>
              <m:rPr>
                <m:sty m:val="p"/>
              </m:rPr>
              <w:rPr>
                <w:rFonts w:ascii="Cambria Math" w:hAnsi="Cambria Math" w:cs="Times New Roman"/>
                <w:lang w:val="en-US"/>
              </w:rPr>
              <m:t>1</m:t>
            </m:r>
          </m:sub>
        </m:sSub>
      </m:oMath>
      <w:r w:rsidR="00771D46" w:rsidRPr="00736B36">
        <w:rPr>
          <w:rFonts w:eastAsiaTheme="minorEastAsia" w:cs="Times New Roman"/>
          <w:lang w:val="en-US"/>
        </w:rPr>
        <w:t xml:space="preserve"> is found as written in Eq. </w:t>
      </w:r>
      <w:r w:rsidR="00771D46">
        <w:rPr>
          <w:rFonts w:eastAsiaTheme="minorEastAsia" w:cs="Times New Roman"/>
        </w:rPr>
        <w:t>(75)</w:t>
      </w:r>
    </w:p>
    <w:p w14:paraId="060A7BEF" w14:textId="3AD3263E" w:rsidR="00625AD6" w:rsidRPr="00625AD6" w:rsidRDefault="00625AD6" w:rsidP="00625AD6">
      <w:pPr>
        <w:rPr>
          <w:rFonts w:eastAsiaTheme="minorEastAsia" w:cs="Times New Roman"/>
          <w:lang w:val="en-US"/>
        </w:rPr>
      </w:pPr>
      <w:r w:rsidRPr="00625AD6">
        <w:rPr>
          <w:rFonts w:cs="Times New Roman"/>
          <w:lang w:val="en-US"/>
        </w:rPr>
        <w:br/>
      </w:r>
      <m:oMathPara>
        <m:oMathParaPr>
          <m:jc m:val="right"/>
        </m:oMathParaPr>
        <m:oMath>
          <m:sSub>
            <m:sSubPr>
              <m:ctrlPr>
                <w:rPr>
                  <w:rFonts w:ascii="Cambria Math" w:hAnsi="Cambria Math" w:cs="Times New Roman"/>
                </w:rPr>
              </m:ctrlPr>
            </m:sSubPr>
            <m:e>
              <m:r>
                <m:rPr>
                  <m:sty m:val="p"/>
                </m:rPr>
                <w:rPr>
                  <w:rFonts w:ascii="Cambria Math" w:hAnsi="Cambria Math" w:cs="Times New Roman"/>
                </w:rPr>
                <m:t>θ</m:t>
              </m:r>
            </m:e>
            <m:sub>
              <m:r>
                <m:rPr>
                  <m:sty m:val="p"/>
                </m:rPr>
                <w:rPr>
                  <w:rFonts w:ascii="Cambria Math" w:hAnsi="Cambria Math" w:cs="Times New Roman"/>
                  <w:lang w:val="en-US"/>
                </w:rPr>
                <m:t>1</m:t>
              </m:r>
            </m:sub>
          </m:sSub>
          <m:r>
            <m:rPr>
              <m:sty m:val="p"/>
            </m:rPr>
            <w:rPr>
              <w:rFonts w:ascii="Cambria Math" w:hAnsi="Cambria Math" w:cs="Times New Roman"/>
              <w:lang w:val="en-US"/>
            </w:rPr>
            <m:t>=1-</m:t>
          </m:r>
          <m:sSub>
            <m:sSubPr>
              <m:ctrlPr>
                <w:rPr>
                  <w:rFonts w:ascii="Cambria Math" w:hAnsi="Cambria Math" w:cs="Times New Roman"/>
                </w:rPr>
              </m:ctrlPr>
            </m:sSubPr>
            <m:e>
              <m:r>
                <m:rPr>
                  <m:sty m:val="p"/>
                </m:rPr>
                <w:rPr>
                  <w:rFonts w:ascii="Cambria Math" w:hAnsi="Cambria Math" w:cs="Times New Roman"/>
                </w:rPr>
                <m:t>α</m:t>
              </m:r>
            </m:e>
            <m:sub>
              <m:r>
                <m:rPr>
                  <m:sty m:val="p"/>
                </m:rPr>
                <w:rPr>
                  <w:rFonts w:ascii="Cambria Math" w:hAnsi="Cambria Math" w:cs="Times New Roman"/>
                  <w:lang w:val="en-US"/>
                </w:rPr>
                <m:t>1→2</m:t>
              </m:r>
            </m:sub>
          </m:sSub>
          <m:r>
            <w:rPr>
              <w:rFonts w:ascii="Cambria Math" w:hAnsi="Cambria Math" w:cs="Times New Roman"/>
              <w:lang w:val="en-US"/>
            </w:rPr>
            <m:t xml:space="preserve">                                                                     (75)</m:t>
          </m:r>
        </m:oMath>
      </m:oMathPara>
    </w:p>
    <w:p w14:paraId="5B412E81" w14:textId="042D5C05" w:rsidR="00625AD6" w:rsidRPr="00625AD6" w:rsidRDefault="00771D46" w:rsidP="00625AD6">
      <w:pPr>
        <w:rPr>
          <w:rFonts w:cs="Times New Roman"/>
          <w:lang w:val="en-US"/>
        </w:rPr>
      </w:pPr>
      <w:r>
        <w:rPr>
          <w:rFonts w:cs="Times New Roman"/>
          <w:lang w:val="en-US"/>
        </w:rPr>
        <w:t xml:space="preserve">and </w:t>
      </w:r>
      <w:r w:rsidR="00625AD6" w:rsidRPr="00625AD6">
        <w:rPr>
          <w:rFonts w:cs="Times New Roman"/>
          <w:lang w:val="en-US"/>
        </w:rPr>
        <w:t>represents the fraction of the material in the initial phase, and</w:t>
      </w:r>
      <w:r>
        <w:rPr>
          <w:rFonts w:cs="Times New Roman"/>
          <w:lang w:val="en-US"/>
        </w:rPr>
        <w:t xml:space="preserve"> </w:t>
      </w:r>
      <m:oMath>
        <m:sSub>
          <m:sSubPr>
            <m:ctrlPr>
              <w:rPr>
                <w:rFonts w:ascii="Cambria Math" w:hAnsi="Cambria Math" w:cs="Times New Roman"/>
              </w:rPr>
            </m:ctrlPr>
          </m:sSubPr>
          <m:e>
            <m:r>
              <m:rPr>
                <m:sty m:val="p"/>
              </m:rPr>
              <w:rPr>
                <w:rFonts w:ascii="Cambria Math" w:hAnsi="Cambria Math" w:cs="Times New Roman"/>
              </w:rPr>
              <m:t>θ</m:t>
            </m:r>
          </m:e>
          <m:sub>
            <m:r>
              <m:rPr>
                <m:sty m:val="p"/>
              </m:rPr>
              <w:rPr>
                <w:rFonts w:ascii="Cambria Math" w:hAnsi="Cambria Math" w:cs="Times New Roman"/>
                <w:lang w:val="en-US"/>
              </w:rPr>
              <m:t>2</m:t>
            </m:r>
          </m:sub>
        </m:sSub>
      </m:oMath>
      <w:r w:rsidRPr="00736B36">
        <w:rPr>
          <w:rFonts w:eastAsiaTheme="minorEastAsia" w:cs="Times New Roman"/>
          <w:lang w:val="en-US"/>
        </w:rPr>
        <w:t xml:space="preserve"> is written in Eq. </w:t>
      </w:r>
      <w:r>
        <w:rPr>
          <w:rFonts w:eastAsiaTheme="minorEastAsia" w:cs="Times New Roman"/>
        </w:rPr>
        <w:t>(76)</w:t>
      </w:r>
    </w:p>
    <w:p w14:paraId="6EA1EAEB" w14:textId="77777777" w:rsidR="00625AD6" w:rsidRPr="00625AD6" w:rsidRDefault="00000000" w:rsidP="00625AD6">
      <w:pPr>
        <w:rPr>
          <w:rFonts w:eastAsiaTheme="minorEastAsia" w:cs="Times New Roman"/>
        </w:rPr>
      </w:pPr>
      <m:oMathPara>
        <m:oMathParaPr>
          <m:jc m:val="right"/>
        </m:oMathParaPr>
        <m:oMath>
          <m:sSub>
            <m:sSubPr>
              <m:ctrlPr>
                <w:rPr>
                  <w:rFonts w:ascii="Cambria Math" w:hAnsi="Cambria Math" w:cs="Times New Roman"/>
                </w:rPr>
              </m:ctrlPr>
            </m:sSubPr>
            <m:e>
              <m:r>
                <m:rPr>
                  <m:sty m:val="p"/>
                </m:rPr>
                <w:rPr>
                  <w:rFonts w:ascii="Cambria Math" w:hAnsi="Cambria Math" w:cs="Times New Roman"/>
                </w:rPr>
                <m:t>θ</m:t>
              </m:r>
            </m:e>
            <m:sub>
              <m:r>
                <m:rPr>
                  <m:sty m:val="p"/>
                </m:rPr>
                <w:rPr>
                  <w:rFonts w:ascii="Cambria Math" w:hAnsi="Cambria Math" w:cs="Times New Roman"/>
                </w:rPr>
                <m:t>2</m:t>
              </m:r>
            </m:sub>
          </m:sSub>
          <m:r>
            <m:rPr>
              <m:sty m:val="p"/>
            </m:rPr>
            <w:rPr>
              <w:rFonts w:ascii="Cambria Math" w:hAnsi="Cambria Math" w:cs="Times New Roman"/>
            </w:rPr>
            <m:t>=</m:t>
          </m:r>
          <m:sSub>
            <m:sSubPr>
              <m:ctrlPr>
                <w:rPr>
                  <w:rFonts w:ascii="Cambria Math" w:hAnsi="Cambria Math" w:cs="Times New Roman"/>
                </w:rPr>
              </m:ctrlPr>
            </m:sSubPr>
            <m:e>
              <m:r>
                <m:rPr>
                  <m:sty m:val="p"/>
                </m:rPr>
                <w:rPr>
                  <w:rFonts w:ascii="Cambria Math" w:hAnsi="Cambria Math" w:cs="Times New Roman"/>
                </w:rPr>
                <m:t>α</m:t>
              </m:r>
            </m:e>
            <m:sub>
              <m:r>
                <m:rPr>
                  <m:sty m:val="p"/>
                </m:rPr>
                <w:rPr>
                  <w:rFonts w:ascii="Cambria Math" w:hAnsi="Cambria Math" w:cs="Times New Roman"/>
                </w:rPr>
                <m:t>1→2</m:t>
              </m:r>
            </m:sub>
          </m:sSub>
          <m:r>
            <w:rPr>
              <w:rFonts w:ascii="Cambria Math" w:eastAsiaTheme="minorEastAsia" w:hAnsi="Cambria Math" w:cs="Times New Roman"/>
            </w:rPr>
            <m:t xml:space="preserve">                                                                          (76)</m:t>
          </m:r>
        </m:oMath>
      </m:oMathPara>
    </w:p>
    <w:p w14:paraId="54BE3454" w14:textId="46FB49FE" w:rsidR="00625AD6" w:rsidRPr="00625AD6" w:rsidRDefault="00771D46" w:rsidP="00625AD6">
      <w:pPr>
        <w:rPr>
          <w:rFonts w:cs="Times New Roman"/>
          <w:lang w:val="en-US"/>
        </w:rPr>
      </w:pPr>
      <w:r>
        <w:rPr>
          <w:rFonts w:cs="Times New Roman"/>
          <w:lang w:val="en-US"/>
        </w:rPr>
        <w:t xml:space="preserve">and </w:t>
      </w:r>
      <w:r w:rsidR="00625AD6" w:rsidRPr="00625AD6">
        <w:rPr>
          <w:rFonts w:cs="Times New Roman"/>
          <w:lang w:val="en-US"/>
        </w:rPr>
        <w:t xml:space="preserve">represents the fraction of the material in the transformed phase. In the apparent heat capacity method, the thermal properties of the material are expressed as a </w:t>
      </w:r>
      <w:r w:rsidR="00625AD6" w:rsidRPr="00625AD6">
        <w:rPr>
          <w:rFonts w:cs="Times New Roman"/>
          <w:lang w:val="en-US"/>
        </w:rPr>
        <w:lastRenderedPageBreak/>
        <w:t>weighted combination of the two phases, solid and liquid. The density and specific enthalpy of the material are given by Eq. (77) and Eq. (78):</w:t>
      </w:r>
    </w:p>
    <w:p w14:paraId="1FEA5734" w14:textId="77777777" w:rsidR="00625AD6" w:rsidRPr="00625AD6" w:rsidRDefault="00625AD6" w:rsidP="00625AD6">
      <w:pPr>
        <w:rPr>
          <w:rFonts w:cs="Times New Roman"/>
          <w:lang w:val="en-US"/>
        </w:rPr>
      </w:pPr>
      <m:oMathPara>
        <m:oMathParaPr>
          <m:jc m:val="right"/>
        </m:oMathParaPr>
        <m:oMath>
          <m:r>
            <m:rPr>
              <m:sty m:val="p"/>
            </m:rPr>
            <w:rPr>
              <w:rFonts w:ascii="Cambria Math" w:hAnsi="Cambria Math" w:cs="Times New Roman"/>
            </w:rPr>
            <m:t>ρ</m:t>
          </m:r>
          <m:r>
            <m:rPr>
              <m:sty m:val="p"/>
            </m:rPr>
            <w:rPr>
              <w:rFonts w:ascii="Cambria Math" w:hAnsi="Cambria Math" w:cs="Times New Roman"/>
              <w:lang w:val="en-US"/>
            </w:rPr>
            <m:t>=</m:t>
          </m:r>
          <m:sSub>
            <m:sSubPr>
              <m:ctrlPr>
                <w:rPr>
                  <w:rFonts w:ascii="Cambria Math" w:hAnsi="Cambria Math" w:cs="Times New Roman"/>
                </w:rPr>
              </m:ctrlPr>
            </m:sSubPr>
            <m:e>
              <m:r>
                <m:rPr>
                  <m:sty m:val="p"/>
                </m:rPr>
                <w:rPr>
                  <w:rFonts w:ascii="Cambria Math" w:hAnsi="Cambria Math" w:cs="Times New Roman"/>
                </w:rPr>
                <m:t>θ</m:t>
              </m:r>
            </m:e>
            <m:sub>
              <m:r>
                <m:rPr>
                  <m:sty m:val="p"/>
                </m:rPr>
                <w:rPr>
                  <w:rFonts w:ascii="Cambria Math" w:hAnsi="Cambria Math" w:cs="Times New Roman"/>
                  <w:lang w:val="en-US"/>
                </w:rPr>
                <m:t>1</m:t>
              </m:r>
            </m:sub>
          </m:sSub>
          <m:sSub>
            <m:sSubPr>
              <m:ctrlPr>
                <w:rPr>
                  <w:rFonts w:ascii="Cambria Math" w:hAnsi="Cambria Math" w:cs="Times New Roman"/>
                </w:rPr>
              </m:ctrlPr>
            </m:sSubPr>
            <m:e>
              <m:r>
                <m:rPr>
                  <m:sty m:val="p"/>
                </m:rPr>
                <w:rPr>
                  <w:rFonts w:ascii="Cambria Math" w:hAnsi="Cambria Math" w:cs="Times New Roman"/>
                </w:rPr>
                <m:t>ρ</m:t>
              </m:r>
            </m:e>
            <m:sub>
              <m:r>
                <m:rPr>
                  <m:sty m:val="p"/>
                </m:rPr>
                <w:rPr>
                  <w:rFonts w:ascii="Cambria Math" w:hAnsi="Cambria Math" w:cs="Times New Roman"/>
                  <w:lang w:val="en-US"/>
                </w:rPr>
                <m:t>1</m:t>
              </m:r>
            </m:sub>
          </m:sSub>
          <m:r>
            <m:rPr>
              <m:sty m:val="p"/>
            </m:rPr>
            <w:rPr>
              <w:rFonts w:ascii="Cambria Math" w:hAnsi="Cambria Math" w:cs="Times New Roman"/>
              <w:lang w:val="en-US"/>
            </w:rPr>
            <m:t>+</m:t>
          </m:r>
          <m:sSub>
            <m:sSubPr>
              <m:ctrlPr>
                <w:rPr>
                  <w:rFonts w:ascii="Cambria Math" w:hAnsi="Cambria Math" w:cs="Times New Roman"/>
                </w:rPr>
              </m:ctrlPr>
            </m:sSubPr>
            <m:e>
              <m:r>
                <m:rPr>
                  <m:sty m:val="p"/>
                </m:rPr>
                <w:rPr>
                  <w:rFonts w:ascii="Cambria Math" w:hAnsi="Cambria Math" w:cs="Times New Roman"/>
                </w:rPr>
                <m:t>θ</m:t>
              </m:r>
            </m:e>
            <m:sub>
              <m:r>
                <m:rPr>
                  <m:sty m:val="p"/>
                </m:rPr>
                <w:rPr>
                  <w:rFonts w:ascii="Cambria Math" w:hAnsi="Cambria Math" w:cs="Times New Roman"/>
                  <w:lang w:val="en-US"/>
                </w:rPr>
                <m:t>2</m:t>
              </m:r>
            </m:sub>
          </m:sSub>
          <m:sSub>
            <m:sSubPr>
              <m:ctrlPr>
                <w:rPr>
                  <w:rFonts w:ascii="Cambria Math" w:hAnsi="Cambria Math" w:cs="Times New Roman"/>
                </w:rPr>
              </m:ctrlPr>
            </m:sSubPr>
            <m:e>
              <m:r>
                <m:rPr>
                  <m:sty m:val="p"/>
                </m:rPr>
                <w:rPr>
                  <w:rFonts w:ascii="Cambria Math" w:hAnsi="Cambria Math" w:cs="Times New Roman"/>
                </w:rPr>
                <m:t>ρ</m:t>
              </m:r>
            </m:e>
            <m:sub>
              <m:r>
                <m:rPr>
                  <m:sty m:val="p"/>
                </m:rPr>
                <w:rPr>
                  <w:rFonts w:ascii="Cambria Math" w:hAnsi="Cambria Math" w:cs="Times New Roman"/>
                  <w:lang w:val="en-US"/>
                </w:rPr>
                <m:t>2</m:t>
              </m:r>
            </m:sub>
          </m:sSub>
          <m:r>
            <m:rPr>
              <m:sty m:val="p"/>
            </m:rPr>
            <w:rPr>
              <w:rFonts w:ascii="Cambria Math" w:hAnsi="Cambria Math" w:cs="Times New Roman"/>
              <w:lang w:val="en-US"/>
            </w:rPr>
            <m:t xml:space="preserve">                                                                   (77)</m:t>
          </m:r>
          <m:r>
            <m:rPr>
              <m:sty m:val="p"/>
            </m:rPr>
            <w:rPr>
              <w:rFonts w:ascii="Cambria Math" w:hAnsi="Cambria Math" w:cs="Times New Roman"/>
              <w:lang w:val="en-US"/>
            </w:rPr>
            <w:br/>
          </m:r>
        </m:oMath>
        <m:oMath>
          <m:r>
            <m:rPr>
              <m:sty m:val="p"/>
            </m:rPr>
            <w:rPr>
              <w:rFonts w:ascii="Cambria Math" w:hAnsi="Cambria Math" w:cs="Times New Roman"/>
              <w:lang w:val="en-US"/>
            </w:rPr>
            <m:t>H=</m:t>
          </m:r>
          <m:f>
            <m:fPr>
              <m:ctrlPr>
                <w:rPr>
                  <w:rFonts w:ascii="Cambria Math" w:hAnsi="Cambria Math" w:cs="Times New Roman"/>
                </w:rPr>
              </m:ctrlPr>
            </m:fPr>
            <m:num>
              <m:r>
                <m:rPr>
                  <m:sty m:val="p"/>
                </m:rPr>
                <w:rPr>
                  <w:rFonts w:ascii="Cambria Math" w:hAnsi="Cambria Math" w:cs="Times New Roman"/>
                  <w:lang w:val="en-US"/>
                </w:rPr>
                <m:t>1</m:t>
              </m:r>
            </m:num>
            <m:den>
              <m:r>
                <m:rPr>
                  <m:sty m:val="p"/>
                </m:rPr>
                <w:rPr>
                  <w:rFonts w:ascii="Cambria Math" w:hAnsi="Cambria Math" w:cs="Times New Roman"/>
                </w:rPr>
                <m:t>ρ</m:t>
              </m:r>
            </m:den>
          </m:f>
          <m:d>
            <m:dPr>
              <m:ctrlPr>
                <w:rPr>
                  <w:rFonts w:ascii="Cambria Math" w:hAnsi="Cambria Math" w:cs="Times New Roman"/>
                  <w:lang w:val="en-US"/>
                </w:rPr>
              </m:ctrlPr>
            </m:dPr>
            <m:e>
              <m:sSub>
                <m:sSubPr>
                  <m:ctrlPr>
                    <w:rPr>
                      <w:rFonts w:ascii="Cambria Math" w:hAnsi="Cambria Math" w:cs="Times New Roman"/>
                    </w:rPr>
                  </m:ctrlPr>
                </m:sSubPr>
                <m:e>
                  <m:r>
                    <m:rPr>
                      <m:sty m:val="p"/>
                    </m:rPr>
                    <w:rPr>
                      <w:rFonts w:ascii="Cambria Math" w:hAnsi="Cambria Math" w:cs="Times New Roman"/>
                    </w:rPr>
                    <m:t>θ</m:t>
                  </m:r>
                </m:e>
                <m:sub>
                  <m:r>
                    <m:rPr>
                      <m:sty m:val="p"/>
                    </m:rPr>
                    <w:rPr>
                      <w:rFonts w:ascii="Cambria Math" w:hAnsi="Cambria Math" w:cs="Times New Roman"/>
                      <w:lang w:val="en-US"/>
                    </w:rPr>
                    <m:t>1</m:t>
                  </m:r>
                </m:sub>
              </m:sSub>
              <m:sSub>
                <m:sSubPr>
                  <m:ctrlPr>
                    <w:rPr>
                      <w:rFonts w:ascii="Cambria Math" w:hAnsi="Cambria Math" w:cs="Times New Roman"/>
                    </w:rPr>
                  </m:ctrlPr>
                </m:sSubPr>
                <m:e>
                  <m:r>
                    <m:rPr>
                      <m:sty m:val="p"/>
                    </m:rPr>
                    <w:rPr>
                      <w:rFonts w:ascii="Cambria Math" w:hAnsi="Cambria Math" w:cs="Times New Roman"/>
                    </w:rPr>
                    <m:t>ρ</m:t>
                  </m:r>
                </m:e>
                <m:sub>
                  <m:r>
                    <m:rPr>
                      <m:sty m:val="p"/>
                    </m:rPr>
                    <w:rPr>
                      <w:rFonts w:ascii="Cambria Math" w:hAnsi="Cambria Math" w:cs="Times New Roman"/>
                      <w:lang w:val="en-US"/>
                    </w:rPr>
                    <m:t>1</m:t>
                  </m:r>
                </m:sub>
              </m:sSub>
              <m:sSub>
                <m:sSubPr>
                  <m:ctrlPr>
                    <w:rPr>
                      <w:rFonts w:ascii="Cambria Math" w:hAnsi="Cambria Math" w:cs="Times New Roman"/>
                    </w:rPr>
                  </m:ctrlPr>
                </m:sSubPr>
                <m:e>
                  <m:r>
                    <m:rPr>
                      <m:sty m:val="p"/>
                    </m:rPr>
                    <w:rPr>
                      <w:rFonts w:ascii="Cambria Math" w:hAnsi="Cambria Math" w:cs="Times New Roman"/>
                      <w:lang w:val="en-US"/>
                    </w:rPr>
                    <m:t>H</m:t>
                  </m:r>
                </m:e>
                <m:sub>
                  <m:r>
                    <m:rPr>
                      <m:sty m:val="p"/>
                    </m:rPr>
                    <w:rPr>
                      <w:rFonts w:ascii="Cambria Math" w:hAnsi="Cambria Math" w:cs="Times New Roman"/>
                      <w:lang w:val="en-US"/>
                    </w:rPr>
                    <m:t>1</m:t>
                  </m:r>
                </m:sub>
              </m:sSub>
              <m:r>
                <m:rPr>
                  <m:sty m:val="p"/>
                </m:rPr>
                <w:rPr>
                  <w:rFonts w:ascii="Cambria Math" w:hAnsi="Cambria Math" w:cs="Times New Roman"/>
                  <w:lang w:val="en-US"/>
                </w:rPr>
                <m:t>+</m:t>
              </m:r>
              <m:sSub>
                <m:sSubPr>
                  <m:ctrlPr>
                    <w:rPr>
                      <w:rFonts w:ascii="Cambria Math" w:hAnsi="Cambria Math" w:cs="Times New Roman"/>
                    </w:rPr>
                  </m:ctrlPr>
                </m:sSubPr>
                <m:e>
                  <m:r>
                    <m:rPr>
                      <m:sty m:val="p"/>
                    </m:rPr>
                    <w:rPr>
                      <w:rFonts w:ascii="Cambria Math" w:hAnsi="Cambria Math" w:cs="Times New Roman"/>
                    </w:rPr>
                    <m:t>θ</m:t>
                  </m:r>
                </m:e>
                <m:sub>
                  <m:r>
                    <m:rPr>
                      <m:sty m:val="p"/>
                    </m:rPr>
                    <w:rPr>
                      <w:rFonts w:ascii="Cambria Math" w:hAnsi="Cambria Math" w:cs="Times New Roman"/>
                      <w:lang w:val="en-US"/>
                    </w:rPr>
                    <m:t>2</m:t>
                  </m:r>
                </m:sub>
              </m:sSub>
              <m:sSub>
                <m:sSubPr>
                  <m:ctrlPr>
                    <w:rPr>
                      <w:rFonts w:ascii="Cambria Math" w:hAnsi="Cambria Math" w:cs="Times New Roman"/>
                    </w:rPr>
                  </m:ctrlPr>
                </m:sSubPr>
                <m:e>
                  <m:r>
                    <m:rPr>
                      <m:sty m:val="p"/>
                    </m:rPr>
                    <w:rPr>
                      <w:rFonts w:ascii="Cambria Math" w:hAnsi="Cambria Math" w:cs="Times New Roman"/>
                    </w:rPr>
                    <m:t>ρ</m:t>
                  </m:r>
                </m:e>
                <m:sub>
                  <m:r>
                    <m:rPr>
                      <m:sty m:val="p"/>
                    </m:rPr>
                    <w:rPr>
                      <w:rFonts w:ascii="Cambria Math" w:hAnsi="Cambria Math" w:cs="Times New Roman"/>
                      <w:lang w:val="en-US"/>
                    </w:rPr>
                    <m:t>2</m:t>
                  </m:r>
                </m:sub>
              </m:sSub>
              <m:sSub>
                <m:sSubPr>
                  <m:ctrlPr>
                    <w:rPr>
                      <w:rFonts w:ascii="Cambria Math" w:hAnsi="Cambria Math" w:cs="Times New Roman"/>
                    </w:rPr>
                  </m:ctrlPr>
                </m:sSubPr>
                <m:e>
                  <m:r>
                    <m:rPr>
                      <m:sty m:val="p"/>
                    </m:rPr>
                    <w:rPr>
                      <w:rFonts w:ascii="Cambria Math" w:hAnsi="Cambria Math" w:cs="Times New Roman"/>
                      <w:lang w:val="en-US"/>
                    </w:rPr>
                    <m:t>H</m:t>
                  </m:r>
                </m:e>
                <m:sub>
                  <m:r>
                    <m:rPr>
                      <m:sty m:val="p"/>
                    </m:rPr>
                    <w:rPr>
                      <w:rFonts w:ascii="Cambria Math" w:hAnsi="Cambria Math" w:cs="Times New Roman"/>
                      <w:lang w:val="en-US"/>
                    </w:rPr>
                    <m:t>2</m:t>
                  </m:r>
                </m:sub>
              </m:sSub>
            </m:e>
          </m:d>
          <m:r>
            <m:rPr>
              <m:sty m:val="p"/>
            </m:rPr>
            <w:rPr>
              <w:rFonts w:ascii="Cambria Math" w:hAnsi="Cambria Math" w:cs="Times New Roman"/>
              <w:lang w:val="en-US"/>
            </w:rPr>
            <m:t xml:space="preserve">                                                         (78)</m:t>
          </m:r>
          <m:r>
            <m:rPr>
              <m:sty m:val="p"/>
            </m:rPr>
            <w:rPr>
              <w:rFonts w:ascii="Cambria Math" w:hAnsi="Cambria Math" w:cs="Times New Roman"/>
              <w:lang w:val="en-US"/>
            </w:rPr>
            <w:br/>
          </m:r>
        </m:oMath>
      </m:oMathPara>
      <w:r w:rsidRPr="00625AD6">
        <w:rPr>
          <w:rFonts w:cs="Times New Roman"/>
          <w:lang w:val="en-US"/>
        </w:rPr>
        <w:t>By differentiating the enthalpy with respect to temperature, the apparent heat capacity can be obtained in Eq. (79):</w:t>
      </w:r>
    </w:p>
    <w:p w14:paraId="7C2033D0" w14:textId="6E62E936" w:rsidR="00625AD6" w:rsidRPr="00625AD6" w:rsidRDefault="00000000" w:rsidP="00625AD6">
      <w:pPr>
        <w:rPr>
          <w:rFonts w:eastAsiaTheme="minorEastAsia" w:cs="Times New Roman"/>
          <w:iCs/>
          <w:lang w:val="en-US"/>
        </w:rPr>
      </w:pPr>
      <m:oMathPara>
        <m:oMathParaPr>
          <m:jc m:val="right"/>
        </m:oMathParaPr>
        <m:oMath>
          <m:sSub>
            <m:sSubPr>
              <m:ctrlPr>
                <w:rPr>
                  <w:rFonts w:ascii="Cambria Math" w:hAnsi="Cambria Math" w:cs="Times New Roman"/>
                  <w:i/>
                  <w:iCs/>
                </w:rPr>
              </m:ctrlPr>
            </m:sSubPr>
            <m:e>
              <m:r>
                <w:rPr>
                  <w:rFonts w:ascii="Cambria Math" w:hAnsi="Cambria Math" w:cs="Times New Roman"/>
                </w:rPr>
                <m:t>C</m:t>
              </m:r>
            </m:e>
            <m:sub>
              <m:r>
                <w:rPr>
                  <w:rFonts w:ascii="Cambria Math" w:hAnsi="Cambria Math" w:cs="Times New Roman"/>
                </w:rPr>
                <m:t>p</m:t>
              </m:r>
            </m:sub>
          </m:sSub>
          <m:r>
            <w:rPr>
              <w:rFonts w:ascii="Cambria Math" w:hAnsi="Cambria Math" w:cs="Times New Roman"/>
              <w:lang w:val="en-US"/>
            </w:rPr>
            <m:t>=</m:t>
          </m:r>
          <m:f>
            <m:fPr>
              <m:ctrlPr>
                <w:rPr>
                  <w:rFonts w:ascii="Cambria Math" w:hAnsi="Cambria Math" w:cs="Times New Roman"/>
                  <w:i/>
                  <w:iCs/>
                </w:rPr>
              </m:ctrlPr>
            </m:fPr>
            <m:num>
              <m:r>
                <w:rPr>
                  <w:rFonts w:ascii="Cambria Math" w:hAnsi="Cambria Math" w:cs="Times New Roman"/>
                  <w:lang w:val="en-US"/>
                </w:rPr>
                <m:t>1</m:t>
              </m:r>
            </m:num>
            <m:den>
              <m:r>
                <w:rPr>
                  <w:rFonts w:ascii="Cambria Math" w:hAnsi="Cambria Math" w:cs="Times New Roman"/>
                </w:rPr>
                <m:t>ρ</m:t>
              </m:r>
            </m:den>
          </m:f>
          <m:d>
            <m:dPr>
              <m:ctrlPr>
                <w:rPr>
                  <w:rFonts w:ascii="Cambria Math" w:hAnsi="Cambria Math" w:cs="Times New Roman"/>
                  <w:i/>
                  <w:lang w:val="en-US"/>
                </w:rPr>
              </m:ctrlPr>
            </m:dPr>
            <m:e>
              <m:sSub>
                <m:sSubPr>
                  <m:ctrlPr>
                    <w:rPr>
                      <w:rFonts w:ascii="Cambria Math" w:hAnsi="Cambria Math" w:cs="Times New Roman"/>
                      <w:i/>
                      <w:iCs/>
                    </w:rPr>
                  </m:ctrlPr>
                </m:sSubPr>
                <m:e>
                  <m:r>
                    <w:rPr>
                      <w:rFonts w:ascii="Cambria Math" w:hAnsi="Cambria Math" w:cs="Times New Roman"/>
                    </w:rPr>
                    <m:t>θ</m:t>
                  </m:r>
                </m:e>
                <m:sub>
                  <m:r>
                    <w:rPr>
                      <w:rFonts w:ascii="Cambria Math" w:hAnsi="Cambria Math" w:cs="Times New Roman"/>
                      <w:lang w:val="en-US"/>
                    </w:rPr>
                    <m:t>1</m:t>
                  </m:r>
                </m:sub>
              </m:sSub>
              <m:sSub>
                <m:sSubPr>
                  <m:ctrlPr>
                    <w:rPr>
                      <w:rFonts w:ascii="Cambria Math" w:hAnsi="Cambria Math" w:cs="Times New Roman"/>
                      <w:i/>
                      <w:iCs/>
                    </w:rPr>
                  </m:ctrlPr>
                </m:sSubPr>
                <m:e>
                  <m:r>
                    <w:rPr>
                      <w:rFonts w:ascii="Cambria Math" w:hAnsi="Cambria Math" w:cs="Times New Roman"/>
                    </w:rPr>
                    <m:t>ρ</m:t>
                  </m:r>
                </m:e>
                <m:sub>
                  <m:r>
                    <w:rPr>
                      <w:rFonts w:ascii="Cambria Math" w:hAnsi="Cambria Math" w:cs="Times New Roman"/>
                      <w:lang w:val="en-US"/>
                    </w:rPr>
                    <m:t>1</m:t>
                  </m:r>
                </m:sub>
              </m:sSub>
              <m:sSub>
                <m:sSubPr>
                  <m:ctrlPr>
                    <w:rPr>
                      <w:rFonts w:ascii="Cambria Math" w:hAnsi="Cambria Math" w:cs="Times New Roman"/>
                      <w:i/>
                      <w:iCs/>
                    </w:rPr>
                  </m:ctrlPr>
                </m:sSubPr>
                <m:e>
                  <m:r>
                    <w:rPr>
                      <w:rFonts w:ascii="Cambria Math" w:hAnsi="Cambria Math" w:cs="Times New Roman"/>
                    </w:rPr>
                    <m:t>C</m:t>
                  </m:r>
                </m:e>
                <m:sub>
                  <m:r>
                    <w:rPr>
                      <w:rFonts w:ascii="Cambria Math" w:hAnsi="Cambria Math" w:cs="Times New Roman"/>
                    </w:rPr>
                    <m:t>p</m:t>
                  </m:r>
                  <m:r>
                    <w:rPr>
                      <w:rFonts w:ascii="Cambria Math" w:hAnsi="Cambria Math" w:cs="Times New Roman"/>
                      <w:lang w:val="en-US"/>
                    </w:rPr>
                    <m:t>,1</m:t>
                  </m:r>
                </m:sub>
              </m:sSub>
              <m:r>
                <w:rPr>
                  <w:rFonts w:ascii="Cambria Math" w:hAnsi="Cambria Math" w:cs="Times New Roman"/>
                  <w:lang w:val="en-US"/>
                </w:rPr>
                <m:t>+</m:t>
              </m:r>
              <m:sSub>
                <m:sSubPr>
                  <m:ctrlPr>
                    <w:rPr>
                      <w:rFonts w:ascii="Cambria Math" w:hAnsi="Cambria Math" w:cs="Times New Roman"/>
                      <w:i/>
                      <w:iCs/>
                    </w:rPr>
                  </m:ctrlPr>
                </m:sSubPr>
                <m:e>
                  <m:r>
                    <w:rPr>
                      <w:rFonts w:ascii="Cambria Math" w:hAnsi="Cambria Math" w:cs="Times New Roman"/>
                    </w:rPr>
                    <m:t>θ</m:t>
                  </m:r>
                </m:e>
                <m:sub>
                  <m:r>
                    <w:rPr>
                      <w:rFonts w:ascii="Cambria Math" w:hAnsi="Cambria Math" w:cs="Times New Roman"/>
                      <w:lang w:val="en-US"/>
                    </w:rPr>
                    <m:t>2</m:t>
                  </m:r>
                </m:sub>
              </m:sSub>
              <m:sSub>
                <m:sSubPr>
                  <m:ctrlPr>
                    <w:rPr>
                      <w:rFonts w:ascii="Cambria Math" w:hAnsi="Cambria Math" w:cs="Times New Roman"/>
                      <w:i/>
                      <w:iCs/>
                    </w:rPr>
                  </m:ctrlPr>
                </m:sSubPr>
                <m:e>
                  <m:r>
                    <w:rPr>
                      <w:rFonts w:ascii="Cambria Math" w:hAnsi="Cambria Math" w:cs="Times New Roman"/>
                    </w:rPr>
                    <m:t>ρ</m:t>
                  </m:r>
                </m:e>
                <m:sub>
                  <m:r>
                    <w:rPr>
                      <w:rFonts w:ascii="Cambria Math" w:hAnsi="Cambria Math" w:cs="Times New Roman"/>
                      <w:lang w:val="en-US"/>
                    </w:rPr>
                    <m:t>2</m:t>
                  </m:r>
                </m:sub>
              </m:sSub>
              <m:sSub>
                <m:sSubPr>
                  <m:ctrlPr>
                    <w:rPr>
                      <w:rFonts w:ascii="Cambria Math" w:hAnsi="Cambria Math" w:cs="Times New Roman"/>
                      <w:i/>
                      <w:iCs/>
                    </w:rPr>
                  </m:ctrlPr>
                </m:sSubPr>
                <m:e>
                  <m:r>
                    <w:rPr>
                      <w:rFonts w:ascii="Cambria Math" w:hAnsi="Cambria Math" w:cs="Times New Roman"/>
                    </w:rPr>
                    <m:t>C</m:t>
                  </m:r>
                </m:e>
                <m:sub>
                  <m:r>
                    <w:rPr>
                      <w:rFonts w:ascii="Cambria Math" w:hAnsi="Cambria Math" w:cs="Times New Roman"/>
                    </w:rPr>
                    <m:t>p</m:t>
                  </m:r>
                  <m:r>
                    <w:rPr>
                      <w:rFonts w:ascii="Cambria Math" w:hAnsi="Cambria Math" w:cs="Times New Roman"/>
                      <w:lang w:val="en-US"/>
                    </w:rPr>
                    <m:t>,2</m:t>
                  </m:r>
                </m:sub>
              </m:sSub>
            </m:e>
          </m:d>
          <m:r>
            <w:rPr>
              <w:rFonts w:ascii="Cambria Math" w:hAnsi="Cambria Math" w:cs="Times New Roman"/>
              <w:lang w:val="en-US"/>
            </w:rPr>
            <m:t>+</m:t>
          </m:r>
          <m:d>
            <m:dPr>
              <m:ctrlPr>
                <w:rPr>
                  <w:rFonts w:ascii="Cambria Math" w:hAnsi="Cambria Math" w:cs="Times New Roman"/>
                  <w:i/>
                  <w:lang w:val="en-US"/>
                </w:rPr>
              </m:ctrlPr>
            </m:dPr>
            <m:e>
              <m:sSub>
                <m:sSubPr>
                  <m:ctrlPr>
                    <w:rPr>
                      <w:rFonts w:ascii="Cambria Math" w:hAnsi="Cambria Math" w:cs="Times New Roman"/>
                      <w:i/>
                      <w:iCs/>
                    </w:rPr>
                  </m:ctrlPr>
                </m:sSubPr>
                <m:e>
                  <m:r>
                    <w:rPr>
                      <w:rFonts w:ascii="Cambria Math" w:hAnsi="Cambria Math" w:cs="Times New Roman"/>
                    </w:rPr>
                    <m:t>H</m:t>
                  </m:r>
                </m:e>
                <m:sub>
                  <m:r>
                    <w:rPr>
                      <w:rFonts w:ascii="Cambria Math" w:hAnsi="Cambria Math" w:cs="Times New Roman"/>
                      <w:lang w:val="en-US"/>
                    </w:rPr>
                    <m:t>2</m:t>
                  </m:r>
                </m:sub>
              </m:sSub>
              <m:r>
                <w:rPr>
                  <w:rFonts w:ascii="Cambria Math" w:hAnsi="Cambria Math" w:cs="Times New Roman"/>
                  <w:lang w:val="en-US"/>
                </w:rPr>
                <m:t>-</m:t>
              </m:r>
              <m:sSub>
                <m:sSubPr>
                  <m:ctrlPr>
                    <w:rPr>
                      <w:rFonts w:ascii="Cambria Math" w:hAnsi="Cambria Math" w:cs="Times New Roman"/>
                      <w:i/>
                      <w:iCs/>
                    </w:rPr>
                  </m:ctrlPr>
                </m:sSubPr>
                <m:e>
                  <m:r>
                    <w:rPr>
                      <w:rFonts w:ascii="Cambria Math" w:hAnsi="Cambria Math" w:cs="Times New Roman"/>
                    </w:rPr>
                    <m:t>H</m:t>
                  </m:r>
                </m:e>
                <m:sub>
                  <m:r>
                    <w:rPr>
                      <w:rFonts w:ascii="Cambria Math" w:hAnsi="Cambria Math" w:cs="Times New Roman"/>
                      <w:lang w:val="en-US"/>
                    </w:rPr>
                    <m:t>1</m:t>
                  </m:r>
                </m:sub>
              </m:sSub>
            </m:e>
          </m:d>
          <m:f>
            <m:fPr>
              <m:ctrlPr>
                <w:rPr>
                  <w:rFonts w:ascii="Cambria Math" w:hAnsi="Cambria Math" w:cs="Times New Roman"/>
                  <w:i/>
                  <w:iCs/>
                </w:rPr>
              </m:ctrlPr>
            </m:fPr>
            <m:num>
              <m:r>
                <w:rPr>
                  <w:rFonts w:ascii="Cambria Math" w:hAnsi="Cambria Math" w:cs="Times New Roman"/>
                </w:rPr>
                <m:t>d</m:t>
              </m:r>
              <m:sSub>
                <m:sSubPr>
                  <m:ctrlPr>
                    <w:rPr>
                      <w:rFonts w:ascii="Cambria Math" w:hAnsi="Cambria Math" w:cs="Times New Roman"/>
                      <w:i/>
                      <w:iCs/>
                    </w:rPr>
                  </m:ctrlPr>
                </m:sSubPr>
                <m:e>
                  <m:r>
                    <w:rPr>
                      <w:rFonts w:ascii="Cambria Math" w:hAnsi="Cambria Math" w:cs="Times New Roman"/>
                    </w:rPr>
                    <m:t>α</m:t>
                  </m:r>
                </m:e>
                <m:sub>
                  <m:r>
                    <w:rPr>
                      <w:rFonts w:ascii="Cambria Math" w:hAnsi="Cambria Math" w:cs="Times New Roman"/>
                    </w:rPr>
                    <m:t>m</m:t>
                  </m:r>
                </m:sub>
              </m:sSub>
            </m:num>
            <m:den>
              <m:r>
                <w:rPr>
                  <w:rFonts w:ascii="Cambria Math" w:hAnsi="Cambria Math" w:cs="Times New Roman"/>
                </w:rPr>
                <m:t>dT</m:t>
              </m:r>
            </m:den>
          </m:f>
          <m:r>
            <m:rPr>
              <m:sty m:val="p"/>
            </m:rPr>
            <w:rPr>
              <w:rFonts w:ascii="Cambria Math" w:hAnsi="Cambria Math" w:cs="Times New Roman"/>
              <w:lang w:val="en-US"/>
            </w:rPr>
            <m:t xml:space="preserve">                             (79)</m:t>
          </m:r>
          <m:r>
            <m:rPr>
              <m:sty m:val="p"/>
            </m:rPr>
            <w:rPr>
              <w:rFonts w:ascii="Cambria Math" w:hAnsi="Cambria Math" w:cs="Times New Roman"/>
              <w:lang w:val="en-US"/>
            </w:rPr>
            <w:br/>
          </m:r>
        </m:oMath>
      </m:oMathPara>
      <w:r w:rsidR="00625AD6" w:rsidRPr="00625AD6">
        <w:rPr>
          <w:rFonts w:cs="Times New Roman"/>
          <w:lang w:val="en-US"/>
        </w:rPr>
        <w:t xml:space="preserve">Where </w:t>
      </w:r>
      <m:oMath>
        <m:sSub>
          <m:sSubPr>
            <m:ctrlPr>
              <w:rPr>
                <w:rFonts w:ascii="Cambria Math" w:hAnsi="Cambria Math" w:cs="Times New Roman"/>
                <w:i/>
                <w:iCs/>
              </w:rPr>
            </m:ctrlPr>
          </m:sSubPr>
          <m:e>
            <m:r>
              <w:rPr>
                <w:rFonts w:ascii="Cambria Math" w:hAnsi="Cambria Math" w:cs="Times New Roman"/>
              </w:rPr>
              <m:t>α</m:t>
            </m:r>
          </m:e>
          <m:sub>
            <m:r>
              <w:rPr>
                <w:rFonts w:ascii="Cambria Math" w:hAnsi="Cambria Math" w:cs="Times New Roman"/>
              </w:rPr>
              <m:t>m</m:t>
            </m:r>
          </m:sub>
        </m:sSub>
      </m:oMath>
      <w:r w:rsidR="001C4CBD" w:rsidRPr="003A65E5">
        <w:rPr>
          <w:rFonts w:eastAsiaTheme="minorEastAsia" w:cs="Times New Roman"/>
          <w:iCs/>
          <w:lang w:val="en-US"/>
        </w:rPr>
        <w:t xml:space="preserve"> </w:t>
      </w:r>
      <w:r w:rsidR="00625AD6" w:rsidRPr="00625AD6">
        <w:rPr>
          <w:rFonts w:eastAsiaTheme="minorEastAsia" w:cs="Times New Roman"/>
          <w:iCs/>
          <w:lang w:val="en-US"/>
        </w:rPr>
        <w:t>is the mass faction defined in Eq. (80) as:</w:t>
      </w:r>
    </w:p>
    <w:p w14:paraId="7A70AF2A" w14:textId="77777777" w:rsidR="00625AD6" w:rsidRPr="00625AD6" w:rsidRDefault="00000000" w:rsidP="00625AD6">
      <w:pPr>
        <w:rPr>
          <w:rFonts w:eastAsiaTheme="minorEastAsia" w:cs="Times New Roman"/>
          <w:iCs/>
          <w:lang w:val="nb-NO"/>
        </w:rPr>
      </w:pPr>
      <m:oMathPara>
        <m:oMathParaPr>
          <m:jc m:val="right"/>
        </m:oMathParaPr>
        <m:oMath>
          <m:sSub>
            <m:sSubPr>
              <m:ctrlPr>
                <w:rPr>
                  <w:rFonts w:ascii="Cambria Math" w:eastAsiaTheme="minorEastAsia" w:hAnsi="Cambria Math" w:cs="Times New Roman"/>
                  <w:i/>
                  <w:iCs/>
                  <w:lang w:val="nb-NO"/>
                </w:rPr>
              </m:ctrlPr>
            </m:sSubPr>
            <m:e>
              <m:r>
                <w:rPr>
                  <w:rFonts w:ascii="Cambria Math" w:eastAsiaTheme="minorEastAsia" w:hAnsi="Cambria Math" w:cs="Times New Roman"/>
                  <w:lang w:val="nb-NO"/>
                </w:rPr>
                <m:t>α</m:t>
              </m:r>
            </m:e>
            <m:sub>
              <m:r>
                <w:rPr>
                  <w:rFonts w:ascii="Cambria Math" w:eastAsiaTheme="minorEastAsia" w:hAnsi="Cambria Math" w:cs="Times New Roman"/>
                  <w:lang w:val="nb-NO"/>
                </w:rPr>
                <m:t>m</m:t>
              </m:r>
            </m:sub>
          </m:sSub>
          <m:r>
            <w:rPr>
              <w:rFonts w:ascii="Cambria Math" w:eastAsiaTheme="minorEastAsia" w:hAnsi="Cambria Math" w:cs="Times New Roman"/>
              <w:lang w:val="nb-NO"/>
            </w:rPr>
            <m:t>=</m:t>
          </m:r>
          <m:f>
            <m:fPr>
              <m:ctrlPr>
                <w:rPr>
                  <w:rFonts w:ascii="Cambria Math" w:eastAsiaTheme="minorEastAsia" w:hAnsi="Cambria Math" w:cs="Times New Roman"/>
                  <w:i/>
                  <w:iCs/>
                  <w:lang w:val="nb-NO"/>
                </w:rPr>
              </m:ctrlPr>
            </m:fPr>
            <m:num>
              <m:r>
                <w:rPr>
                  <w:rFonts w:ascii="Cambria Math" w:eastAsiaTheme="minorEastAsia" w:hAnsi="Cambria Math" w:cs="Times New Roman"/>
                  <w:lang w:val="nb-NO"/>
                </w:rPr>
                <m:t>1</m:t>
              </m:r>
            </m:num>
            <m:den>
              <m:r>
                <w:rPr>
                  <w:rFonts w:ascii="Cambria Math" w:eastAsiaTheme="minorEastAsia" w:hAnsi="Cambria Math" w:cs="Times New Roman"/>
                  <w:lang w:val="nb-NO"/>
                </w:rPr>
                <m:t>2</m:t>
              </m:r>
            </m:den>
          </m:f>
          <m:f>
            <m:fPr>
              <m:ctrlPr>
                <w:rPr>
                  <w:rFonts w:ascii="Cambria Math" w:eastAsiaTheme="minorEastAsia" w:hAnsi="Cambria Math" w:cs="Times New Roman"/>
                  <w:i/>
                  <w:iCs/>
                  <w:lang w:val="nb-NO"/>
                </w:rPr>
              </m:ctrlPr>
            </m:fPr>
            <m:num>
              <m:sSub>
                <m:sSubPr>
                  <m:ctrlPr>
                    <w:rPr>
                      <w:rFonts w:ascii="Cambria Math" w:hAnsi="Cambria Math" w:cs="Times New Roman"/>
                    </w:rPr>
                  </m:ctrlPr>
                </m:sSubPr>
                <m:e>
                  <m:r>
                    <m:rPr>
                      <m:sty m:val="p"/>
                    </m:rPr>
                    <w:rPr>
                      <w:rFonts w:ascii="Cambria Math" w:hAnsi="Cambria Math" w:cs="Times New Roman"/>
                    </w:rPr>
                    <m:t>θ</m:t>
                  </m:r>
                </m:e>
                <m:sub>
                  <m:r>
                    <m:rPr>
                      <m:sty m:val="p"/>
                    </m:rPr>
                    <w:rPr>
                      <w:rFonts w:ascii="Cambria Math" w:hAnsi="Cambria Math" w:cs="Times New Roman"/>
                      <w:lang w:val="nb-NO"/>
                    </w:rPr>
                    <m:t>2</m:t>
                  </m:r>
                </m:sub>
              </m:sSub>
              <m:sSub>
                <m:sSubPr>
                  <m:ctrlPr>
                    <w:rPr>
                      <w:rFonts w:ascii="Cambria Math" w:hAnsi="Cambria Math" w:cs="Times New Roman"/>
                    </w:rPr>
                  </m:ctrlPr>
                </m:sSubPr>
                <m:e>
                  <m:r>
                    <m:rPr>
                      <m:sty m:val="p"/>
                    </m:rPr>
                    <w:rPr>
                      <w:rFonts w:ascii="Cambria Math" w:hAnsi="Cambria Math" w:cs="Times New Roman"/>
                    </w:rPr>
                    <m:t>ρ</m:t>
                  </m:r>
                </m:e>
                <m:sub>
                  <m:r>
                    <m:rPr>
                      <m:sty m:val="p"/>
                    </m:rPr>
                    <w:rPr>
                      <w:rFonts w:ascii="Cambria Math" w:hAnsi="Cambria Math" w:cs="Times New Roman"/>
                      <w:lang w:val="nb-NO"/>
                    </w:rPr>
                    <m:t>2</m:t>
                  </m:r>
                </m:sub>
              </m:sSub>
              <m:r>
                <w:rPr>
                  <w:rFonts w:ascii="Cambria Math" w:hAnsi="Cambria Math" w:cs="Times New Roman"/>
                </w:rPr>
                <m:t>-</m:t>
              </m:r>
              <m:sSub>
                <m:sSubPr>
                  <m:ctrlPr>
                    <w:rPr>
                      <w:rFonts w:ascii="Cambria Math" w:hAnsi="Cambria Math" w:cs="Times New Roman"/>
                      <w:i/>
                      <w:iCs/>
                    </w:rPr>
                  </m:ctrlPr>
                </m:sSubPr>
                <m:e>
                  <m:r>
                    <w:rPr>
                      <w:rFonts w:ascii="Cambria Math" w:hAnsi="Cambria Math" w:cs="Times New Roman"/>
                    </w:rPr>
                    <m:t>θ</m:t>
                  </m:r>
                </m:e>
                <m:sub>
                  <m:r>
                    <w:rPr>
                      <w:rFonts w:ascii="Cambria Math" w:hAnsi="Cambria Math" w:cs="Times New Roman"/>
                      <w:lang w:val="nb-NO"/>
                    </w:rPr>
                    <m:t>1</m:t>
                  </m:r>
                </m:sub>
              </m:sSub>
              <m:sSub>
                <m:sSubPr>
                  <m:ctrlPr>
                    <w:rPr>
                      <w:rFonts w:ascii="Cambria Math" w:hAnsi="Cambria Math" w:cs="Times New Roman"/>
                      <w:i/>
                      <w:iCs/>
                    </w:rPr>
                  </m:ctrlPr>
                </m:sSubPr>
                <m:e>
                  <m:r>
                    <w:rPr>
                      <w:rFonts w:ascii="Cambria Math" w:hAnsi="Cambria Math" w:cs="Times New Roman"/>
                    </w:rPr>
                    <m:t>ρ</m:t>
                  </m:r>
                </m:e>
                <m:sub>
                  <m:r>
                    <w:rPr>
                      <w:rFonts w:ascii="Cambria Math" w:hAnsi="Cambria Math" w:cs="Times New Roman"/>
                      <w:lang w:val="nb-NO"/>
                    </w:rPr>
                    <m:t>1</m:t>
                  </m:r>
                </m:sub>
              </m:sSub>
            </m:num>
            <m:den>
              <m:sSub>
                <m:sSubPr>
                  <m:ctrlPr>
                    <w:rPr>
                      <w:rFonts w:ascii="Cambria Math" w:hAnsi="Cambria Math" w:cs="Times New Roman"/>
                      <w:i/>
                      <w:iCs/>
                    </w:rPr>
                  </m:ctrlPr>
                </m:sSubPr>
                <m:e>
                  <m:r>
                    <w:rPr>
                      <w:rFonts w:ascii="Cambria Math" w:hAnsi="Cambria Math" w:cs="Times New Roman"/>
                    </w:rPr>
                    <m:t>θ</m:t>
                  </m:r>
                </m:e>
                <m:sub>
                  <m:r>
                    <w:rPr>
                      <w:rFonts w:ascii="Cambria Math" w:hAnsi="Cambria Math" w:cs="Times New Roman"/>
                      <w:lang w:val="nb-NO"/>
                    </w:rPr>
                    <m:t>1</m:t>
                  </m:r>
                </m:sub>
              </m:sSub>
              <m:sSub>
                <m:sSubPr>
                  <m:ctrlPr>
                    <w:rPr>
                      <w:rFonts w:ascii="Cambria Math" w:hAnsi="Cambria Math" w:cs="Times New Roman"/>
                      <w:i/>
                      <w:iCs/>
                    </w:rPr>
                  </m:ctrlPr>
                </m:sSubPr>
                <m:e>
                  <m:r>
                    <w:rPr>
                      <w:rFonts w:ascii="Cambria Math" w:hAnsi="Cambria Math" w:cs="Times New Roman"/>
                    </w:rPr>
                    <m:t>ρ</m:t>
                  </m:r>
                </m:e>
                <m:sub>
                  <m:r>
                    <w:rPr>
                      <w:rFonts w:ascii="Cambria Math" w:hAnsi="Cambria Math" w:cs="Times New Roman"/>
                      <w:lang w:val="nb-NO"/>
                    </w:rPr>
                    <m:t>1</m:t>
                  </m:r>
                </m:sub>
              </m:sSub>
              <m:r>
                <w:rPr>
                  <w:rFonts w:ascii="Cambria Math" w:hAnsi="Cambria Math" w:cs="Times New Roman"/>
                </w:rPr>
                <m:t>+</m:t>
              </m:r>
              <m:sSub>
                <m:sSubPr>
                  <m:ctrlPr>
                    <w:rPr>
                      <w:rFonts w:ascii="Cambria Math" w:hAnsi="Cambria Math" w:cs="Times New Roman"/>
                    </w:rPr>
                  </m:ctrlPr>
                </m:sSubPr>
                <m:e>
                  <m:r>
                    <m:rPr>
                      <m:sty m:val="p"/>
                    </m:rPr>
                    <w:rPr>
                      <w:rFonts w:ascii="Cambria Math" w:hAnsi="Cambria Math" w:cs="Times New Roman"/>
                    </w:rPr>
                    <m:t>θ</m:t>
                  </m:r>
                </m:e>
                <m:sub>
                  <m:r>
                    <m:rPr>
                      <m:sty m:val="p"/>
                    </m:rPr>
                    <w:rPr>
                      <w:rFonts w:ascii="Cambria Math" w:hAnsi="Cambria Math" w:cs="Times New Roman"/>
                      <w:lang w:val="nb-NO"/>
                    </w:rPr>
                    <m:t>2</m:t>
                  </m:r>
                </m:sub>
              </m:sSub>
              <m:sSub>
                <m:sSubPr>
                  <m:ctrlPr>
                    <w:rPr>
                      <w:rFonts w:ascii="Cambria Math" w:hAnsi="Cambria Math" w:cs="Times New Roman"/>
                    </w:rPr>
                  </m:ctrlPr>
                </m:sSubPr>
                <m:e>
                  <m:r>
                    <m:rPr>
                      <m:sty m:val="p"/>
                    </m:rPr>
                    <w:rPr>
                      <w:rFonts w:ascii="Cambria Math" w:hAnsi="Cambria Math" w:cs="Times New Roman"/>
                    </w:rPr>
                    <m:t>ρ</m:t>
                  </m:r>
                </m:e>
                <m:sub>
                  <m:r>
                    <m:rPr>
                      <m:sty m:val="p"/>
                    </m:rPr>
                    <w:rPr>
                      <w:rFonts w:ascii="Cambria Math" w:hAnsi="Cambria Math" w:cs="Times New Roman"/>
                      <w:lang w:val="nb-NO"/>
                    </w:rPr>
                    <m:t>2</m:t>
                  </m:r>
                </m:sub>
              </m:sSub>
            </m:den>
          </m:f>
          <m:r>
            <w:rPr>
              <w:rFonts w:ascii="Cambria Math" w:eastAsiaTheme="minorEastAsia" w:hAnsi="Cambria Math" w:cs="Times New Roman"/>
              <w:lang w:val="nb-NO"/>
            </w:rPr>
            <m:t xml:space="preserve">                                                                  (80)</m:t>
          </m:r>
        </m:oMath>
      </m:oMathPara>
    </w:p>
    <w:p w14:paraId="4FFCE128" w14:textId="73CB13AC" w:rsidR="00625AD6" w:rsidRPr="00625AD6" w:rsidRDefault="00625AD6" w:rsidP="00625AD6">
      <w:pPr>
        <w:rPr>
          <w:rFonts w:cs="Times New Roman"/>
          <w:lang w:val="en-US"/>
        </w:rPr>
      </w:pPr>
      <w:r w:rsidRPr="00625AD6">
        <w:rPr>
          <w:rFonts w:cs="Times New Roman"/>
          <w:lang w:val="en-US"/>
        </w:rPr>
        <w:t xml:space="preserve">The first term represents the contribution of the sensible heat of the two phases, while the second term accounts for the latent heat associated with the phase change. In this way, the effect of the phase transition is incorporated into the total heat capacity of the material, eliminating the need to explicitly track the interface between the phases. The way the transition from phase 1 to phase 2 occurs is described by the phase transition function </w:t>
      </w:r>
      <m:oMath>
        <m:sSub>
          <m:sSubPr>
            <m:ctrlPr>
              <w:rPr>
                <w:rFonts w:ascii="Cambria Math" w:hAnsi="Cambria Math" w:cs="Times New Roman"/>
              </w:rPr>
            </m:ctrlPr>
          </m:sSubPr>
          <m:e>
            <m:r>
              <m:rPr>
                <m:sty m:val="p"/>
              </m:rPr>
              <w:rPr>
                <w:rFonts w:ascii="Cambria Math" w:hAnsi="Cambria Math" w:cs="Times New Roman"/>
              </w:rPr>
              <m:t>α</m:t>
            </m:r>
          </m:e>
          <m:sub>
            <m:r>
              <m:rPr>
                <m:sty m:val="p"/>
              </m:rPr>
              <w:rPr>
                <w:rFonts w:ascii="Cambria Math" w:hAnsi="Cambria Math" w:cs="Times New Roman"/>
                <w:lang w:val="en-US"/>
              </w:rPr>
              <m:t>1→2</m:t>
            </m:r>
          </m:sub>
        </m:sSub>
      </m:oMath>
      <w:r w:rsidRPr="00625AD6">
        <w:rPr>
          <w:rFonts w:cs="Times New Roman"/>
          <w:lang w:val="en-US"/>
        </w:rPr>
        <w:t xml:space="preserve">. By default, COMSOL uses a smoothed step function with a continuous second derivative (Heaviside function). </w:t>
      </w:r>
      <w:r w:rsidR="00F43E9A">
        <w:rPr>
          <w:rFonts w:cs="Times New Roman"/>
          <w:lang w:val="en-US"/>
        </w:rPr>
        <w:t>Figure 3</w:t>
      </w:r>
      <w:r w:rsidR="00F501EC">
        <w:rPr>
          <w:rFonts w:cs="Times New Roman"/>
          <w:lang w:val="en-US"/>
        </w:rPr>
        <w:t>.4</w:t>
      </w:r>
      <w:r w:rsidRPr="00625AD6">
        <w:rPr>
          <w:rFonts w:cs="Times New Roman"/>
          <w:lang w:val="en-US"/>
        </w:rPr>
        <w:t xml:space="preserve"> represents a continuous transition from phase 1 to phase 2 within the temperature interval </w:t>
      </w:r>
      <m:oMath>
        <m:r>
          <m:rPr>
            <m:sty m:val="p"/>
          </m:rPr>
          <w:rPr>
            <w:rFonts w:ascii="Cambria Math" w:hAnsi="Cambria Math" w:cs="Times New Roman"/>
          </w:rPr>
          <m:t>Δ</m:t>
        </m:r>
        <m:r>
          <m:rPr>
            <m:sty m:val="p"/>
          </m:rPr>
          <w:rPr>
            <w:rFonts w:ascii="Cambria Math" w:hAnsi="Cambria Math" w:cs="Times New Roman"/>
            <w:lang w:val="en-US"/>
          </w:rPr>
          <m:t xml:space="preserve">T </m:t>
        </m:r>
      </m:oMath>
      <w:r w:rsidRPr="00625AD6">
        <w:rPr>
          <w:rFonts w:cs="Times New Roman"/>
          <w:lang w:val="en-US"/>
        </w:rPr>
        <w:t xml:space="preserve">around the phase transition temperature </w:t>
      </w:r>
      <m:oMath>
        <m:sSub>
          <m:sSubPr>
            <m:ctrlPr>
              <w:rPr>
                <w:rFonts w:ascii="Cambria Math" w:hAnsi="Cambria Math" w:cs="Times New Roman"/>
              </w:rPr>
            </m:ctrlPr>
          </m:sSubPr>
          <m:e>
            <m:r>
              <m:rPr>
                <m:sty m:val="p"/>
              </m:rPr>
              <w:rPr>
                <w:rFonts w:ascii="Cambria Math" w:hAnsi="Cambria Math" w:cs="Times New Roman"/>
                <w:lang w:val="en-US"/>
              </w:rPr>
              <m:t>T</m:t>
            </m:r>
          </m:e>
          <m:sub>
            <m:r>
              <m:rPr>
                <m:sty m:val="p"/>
              </m:rPr>
              <w:rPr>
                <w:rFonts w:ascii="Cambria Math" w:hAnsi="Cambria Math" w:cs="Times New Roman"/>
                <w:lang w:val="en-US"/>
              </w:rPr>
              <m:t>pc</m:t>
            </m:r>
          </m:sub>
        </m:sSub>
      </m:oMath>
      <w:r w:rsidRPr="00625AD6">
        <w:rPr>
          <w:rFonts w:cs="Times New Roman"/>
          <w:lang w:val="en-US"/>
        </w:rPr>
        <w:t>. In addition to the Heaviside function, a linear function is also commonly used and available as a predefined option.</w:t>
      </w:r>
      <w:r w:rsidRPr="00625AD6">
        <w:rPr>
          <w:lang w:val="en-US"/>
        </w:rPr>
        <w:t xml:space="preserve"> </w:t>
      </w:r>
      <w:r w:rsidRPr="00625AD6">
        <w:rPr>
          <w:rFonts w:cs="Times New Roman"/>
          <w:lang w:val="en-US"/>
        </w:rPr>
        <w:t xml:space="preserve">When a user-defined phase transition function is used, the value range of </w:t>
      </w:r>
      <m:oMath>
        <m:sSub>
          <m:sSubPr>
            <m:ctrlPr>
              <w:rPr>
                <w:rFonts w:ascii="Cambria Math" w:hAnsi="Cambria Math" w:cs="Times New Roman"/>
              </w:rPr>
            </m:ctrlPr>
          </m:sSubPr>
          <m:e>
            <m:r>
              <m:rPr>
                <m:sty m:val="p"/>
              </m:rPr>
              <w:rPr>
                <w:rFonts w:ascii="Cambria Math" w:hAnsi="Cambria Math" w:cs="Times New Roman"/>
              </w:rPr>
              <m:t>α</m:t>
            </m:r>
          </m:e>
          <m:sub>
            <m:r>
              <m:rPr>
                <m:sty m:val="p"/>
              </m:rPr>
              <w:rPr>
                <w:rFonts w:ascii="Cambria Math" w:hAnsi="Cambria Math" w:cs="Times New Roman"/>
                <w:lang w:val="en-US"/>
              </w:rPr>
              <m:t>1→2</m:t>
            </m:r>
          </m:sub>
        </m:sSub>
      </m:oMath>
      <w:r w:rsidR="001C4CBD" w:rsidRPr="003A65E5">
        <w:rPr>
          <w:rFonts w:eastAsiaTheme="minorEastAsia" w:cs="Times New Roman"/>
          <w:lang w:val="en-US"/>
        </w:rPr>
        <w:t xml:space="preserve"> </w:t>
      </w:r>
      <w:r w:rsidRPr="00625AD6">
        <w:rPr>
          <w:rFonts w:cs="Times New Roman"/>
          <w:lang w:val="en-US"/>
        </w:rPr>
        <w:t xml:space="preserve">is explicitly specified. For reasonable results, the value of </w:t>
      </w:r>
      <m:oMath>
        <m:sSub>
          <m:sSubPr>
            <m:ctrlPr>
              <w:rPr>
                <w:rFonts w:ascii="Cambria Math" w:hAnsi="Cambria Math" w:cs="Times New Roman"/>
              </w:rPr>
            </m:ctrlPr>
          </m:sSubPr>
          <m:e>
            <m:r>
              <m:rPr>
                <m:sty m:val="p"/>
              </m:rPr>
              <w:rPr>
                <w:rFonts w:ascii="Cambria Math" w:hAnsi="Cambria Math" w:cs="Times New Roman"/>
              </w:rPr>
              <m:t>α</m:t>
            </m:r>
          </m:e>
          <m:sub>
            <m:r>
              <m:rPr>
                <m:sty m:val="p"/>
              </m:rPr>
              <w:rPr>
                <w:rFonts w:ascii="Cambria Math" w:hAnsi="Cambria Math" w:cs="Times New Roman"/>
                <w:lang w:val="en-US"/>
              </w:rPr>
              <m:t>1→2</m:t>
            </m:r>
          </m:sub>
        </m:sSub>
        <m:r>
          <w:rPr>
            <w:rFonts w:ascii="Cambria Math" w:eastAsiaTheme="minorEastAsia" w:hAnsi="Cambria Math" w:cs="Times New Roman"/>
            <w:lang w:val="en-US"/>
          </w:rPr>
          <m:t xml:space="preserve"> </m:t>
        </m:r>
      </m:oMath>
      <w:r w:rsidRPr="00625AD6">
        <w:rPr>
          <w:rFonts w:cs="Times New Roman"/>
          <w:lang w:val="en-US"/>
        </w:rPr>
        <w:t xml:space="preserve">should be between 0 and 1, satisfying </w:t>
      </w:r>
      <m:oMath>
        <m:sSub>
          <m:sSubPr>
            <m:ctrlPr>
              <w:rPr>
                <w:rFonts w:ascii="Cambria Math" w:hAnsi="Cambria Math" w:cs="Times New Roman"/>
              </w:rPr>
            </m:ctrlPr>
          </m:sSubPr>
          <m:e>
            <m:r>
              <m:rPr>
                <m:sty m:val="p"/>
              </m:rPr>
              <w:rPr>
                <w:rFonts w:ascii="Cambria Math" w:hAnsi="Cambria Math" w:cs="Times New Roman"/>
              </w:rPr>
              <m:t>θ</m:t>
            </m:r>
          </m:e>
          <m:sub>
            <m:r>
              <m:rPr>
                <m:sty m:val="p"/>
              </m:rPr>
              <w:rPr>
                <w:rFonts w:ascii="Cambria Math" w:hAnsi="Cambria Math" w:cs="Times New Roman"/>
                <w:lang w:val="en-US"/>
              </w:rPr>
              <m:t>1</m:t>
            </m:r>
          </m:sub>
        </m:sSub>
        <m:r>
          <m:rPr>
            <m:sty m:val="p"/>
          </m:rPr>
          <w:rPr>
            <w:rFonts w:ascii="Cambria Math" w:hAnsi="Cambria Math" w:cs="Times New Roman"/>
            <w:lang w:val="en-US"/>
          </w:rPr>
          <m:t>+</m:t>
        </m:r>
        <m:sSub>
          <m:sSubPr>
            <m:ctrlPr>
              <w:rPr>
                <w:rFonts w:ascii="Cambria Math" w:hAnsi="Cambria Math" w:cs="Times New Roman"/>
              </w:rPr>
            </m:ctrlPr>
          </m:sSubPr>
          <m:e>
            <m:r>
              <m:rPr>
                <m:sty m:val="p"/>
              </m:rPr>
              <w:rPr>
                <w:rFonts w:ascii="Cambria Math" w:hAnsi="Cambria Math" w:cs="Times New Roman"/>
              </w:rPr>
              <m:t>θ</m:t>
            </m:r>
          </m:e>
          <m:sub>
            <m:r>
              <m:rPr>
                <m:sty m:val="p"/>
              </m:rPr>
              <w:rPr>
                <w:rFonts w:ascii="Cambria Math" w:hAnsi="Cambria Math" w:cs="Times New Roman"/>
                <w:lang w:val="en-US"/>
              </w:rPr>
              <m:t>2</m:t>
            </m:r>
          </m:sub>
        </m:sSub>
        <m:r>
          <m:rPr>
            <m:sty m:val="p"/>
          </m:rPr>
          <w:rPr>
            <w:rFonts w:ascii="Cambria Math" w:hAnsi="Cambria Math" w:cs="Times New Roman"/>
            <w:lang w:val="en-US"/>
          </w:rPr>
          <m:t>=1</m:t>
        </m:r>
      </m:oMath>
      <w:r w:rsidRPr="00625AD6">
        <w:rPr>
          <w:rFonts w:cs="Times New Roman"/>
          <w:lang w:val="en-US"/>
        </w:rPr>
        <w:t>.</w:t>
      </w:r>
    </w:p>
    <w:p w14:paraId="3356A1F6" w14:textId="77777777" w:rsidR="00625AD6" w:rsidRPr="00625AD6" w:rsidRDefault="00625AD6" w:rsidP="00625AD6">
      <w:pPr>
        <w:keepNext/>
        <w:jc w:val="center"/>
      </w:pPr>
      <w:r w:rsidRPr="00625AD6">
        <w:rPr>
          <w:rFonts w:cs="Times New Roman"/>
          <w:noProof/>
          <w:lang w:val="nb-NO"/>
        </w:rPr>
        <w:drawing>
          <wp:inline distT="0" distB="0" distL="0" distR="0" wp14:anchorId="1D9603BC" wp14:editId="1F1A12E0">
            <wp:extent cx="2913682" cy="2186579"/>
            <wp:effectExtent l="0" t="0" r="1270" b="4445"/>
            <wp:docPr id="260571517" name="Immagine 1" descr="Immagine che contiene linea, diagramma, Diagramma, pendi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571517" name="Immagine 1" descr="Immagine che contiene linea, diagramma, Diagramma, pendio&#10;&#10;Il contenuto generato dall'IA potrebbe non essere corretto."/>
                    <pic:cNvPicPr/>
                  </pic:nvPicPr>
                  <pic:blipFill>
                    <a:blip r:embed="rId157"/>
                    <a:stretch>
                      <a:fillRect/>
                    </a:stretch>
                  </pic:blipFill>
                  <pic:spPr>
                    <a:xfrm>
                      <a:off x="0" y="0"/>
                      <a:ext cx="2923148" cy="2193683"/>
                    </a:xfrm>
                    <a:prstGeom prst="rect">
                      <a:avLst/>
                    </a:prstGeom>
                  </pic:spPr>
                </pic:pic>
              </a:graphicData>
            </a:graphic>
          </wp:inline>
        </w:drawing>
      </w:r>
    </w:p>
    <w:p w14:paraId="1D901976" w14:textId="4542F8EB" w:rsidR="00625AD6" w:rsidRPr="00625AD6" w:rsidRDefault="00625AD6" w:rsidP="00625AD6">
      <w:pPr>
        <w:pStyle w:val="Caption"/>
        <w:rPr>
          <w:rFonts w:cs="Times New Roman"/>
        </w:rPr>
      </w:pPr>
      <w:bookmarkStart w:id="219" w:name="_Toc214357767"/>
      <w:r w:rsidRPr="00625AD6">
        <w:rPr>
          <w:rFonts w:cs="Times New Roman"/>
        </w:rPr>
        <w:t xml:space="preserve">Figure </w:t>
      </w:r>
      <w:r w:rsidR="00F824A5">
        <w:rPr>
          <w:rFonts w:cs="Times New Roman"/>
        </w:rPr>
        <w:fldChar w:fldCharType="begin"/>
      </w:r>
      <w:r w:rsidR="00F824A5">
        <w:rPr>
          <w:rFonts w:cs="Times New Roman"/>
        </w:rPr>
        <w:instrText xml:space="preserve"> STYLEREF 1 \s </w:instrText>
      </w:r>
      <w:r w:rsidR="00F824A5">
        <w:rPr>
          <w:rFonts w:cs="Times New Roman"/>
        </w:rPr>
        <w:fldChar w:fldCharType="separate"/>
      </w:r>
      <w:r w:rsidR="000412CE">
        <w:rPr>
          <w:rFonts w:cs="Times New Roman"/>
          <w:noProof/>
        </w:rPr>
        <w:t>3</w:t>
      </w:r>
      <w:r w:rsidR="00F824A5">
        <w:rPr>
          <w:rFonts w:cs="Times New Roman"/>
        </w:rPr>
        <w:fldChar w:fldCharType="end"/>
      </w:r>
      <w:r w:rsidR="00F824A5">
        <w:rPr>
          <w:rFonts w:cs="Times New Roman"/>
        </w:rPr>
        <w:t>.</w:t>
      </w:r>
      <w:r w:rsidR="00F824A5">
        <w:rPr>
          <w:rFonts w:cs="Times New Roman"/>
        </w:rPr>
        <w:fldChar w:fldCharType="begin"/>
      </w:r>
      <w:r w:rsidR="00F824A5">
        <w:rPr>
          <w:rFonts w:cs="Times New Roman"/>
        </w:rPr>
        <w:instrText xml:space="preserve"> SEQ Figure \* ARABIC \s 1 </w:instrText>
      </w:r>
      <w:r w:rsidR="00F824A5">
        <w:rPr>
          <w:rFonts w:cs="Times New Roman"/>
        </w:rPr>
        <w:fldChar w:fldCharType="separate"/>
      </w:r>
      <w:r w:rsidR="000412CE">
        <w:rPr>
          <w:rFonts w:cs="Times New Roman"/>
          <w:noProof/>
        </w:rPr>
        <w:t>4</w:t>
      </w:r>
      <w:r w:rsidR="00F824A5">
        <w:rPr>
          <w:rFonts w:cs="Times New Roman"/>
        </w:rPr>
        <w:fldChar w:fldCharType="end"/>
      </w:r>
      <w:r w:rsidRPr="00625AD6">
        <w:rPr>
          <w:rFonts w:cs="Times New Roman"/>
        </w:rPr>
        <w:t>. Phase fraction vs. temperature: smoothed step (solid) and linear (dashed) transitions from Phase 1 to Phase</w:t>
      </w:r>
      <w:r w:rsidRPr="00625AD6">
        <w:t xml:space="preserve"> 2</w:t>
      </w:r>
      <w:r w:rsidR="00A165BA">
        <w:t>.</w:t>
      </w:r>
      <w:bookmarkEnd w:id="219"/>
    </w:p>
    <w:p w14:paraId="3C2D7518" w14:textId="77777777" w:rsidR="00625AD6" w:rsidRPr="00625AD6" w:rsidRDefault="00625AD6" w:rsidP="00625AD6">
      <w:pPr>
        <w:rPr>
          <w:rFonts w:cs="Times New Roman"/>
          <w:lang w:val="en-US"/>
        </w:rPr>
      </w:pPr>
      <w:r w:rsidRPr="00625AD6">
        <w:rPr>
          <w:rFonts w:cs="Times New Roman"/>
          <w:lang w:val="en-US"/>
        </w:rPr>
        <w:t xml:space="preserve">The Apparent Heat Capacity (AHC) Method is a simple and widely used approach to model phase change processes in PCMs. Its main advantage lies in the fact that it allows the description of the melting and solidification process through a single energy </w:t>
      </w:r>
      <w:r w:rsidRPr="00625AD6">
        <w:rPr>
          <w:rFonts w:cs="Times New Roman"/>
          <w:lang w:val="en-US"/>
        </w:rPr>
        <w:lastRenderedPageBreak/>
        <w:t xml:space="preserve">equation, in which the latent heat is incorporated into the effective heat capacity of the material. This eliminates the need to explicitly track the phase interface and significantly reduces numerical complexity and computational cost. Furthermore, the method is particularly suitable for materials exhibiting a mushy or gradual transition zone, where temperature varies smoothly during the phase change. However, the method also presents some limitations. The assumption of homogenized thermal properties between the two phases may lead to an oversimplification of the physical phenomenon, especially when the transition occurs over a very narrow or nearly isothermal temperature range. In such cases, the method may fail to accurately represent the sharp enthalpy jump. Moreover, since it relies on a temperature-dependent apparent heat capacity curve </w:t>
      </w:r>
      <m:oMath>
        <m:sSub>
          <m:sSubPr>
            <m:ctrlPr>
              <w:rPr>
                <w:rFonts w:ascii="Cambria Math" w:hAnsi="Cambria Math" w:cs="Times New Roman"/>
              </w:rPr>
            </m:ctrlPr>
          </m:sSubPr>
          <m:e>
            <m:r>
              <m:rPr>
                <m:sty m:val="p"/>
              </m:rPr>
              <w:rPr>
                <w:rFonts w:ascii="Cambria Math" w:hAnsi="Cambria Math" w:cs="Times New Roman"/>
                <w:lang w:val="en-US"/>
              </w:rPr>
              <m:t>C</m:t>
            </m:r>
          </m:e>
          <m:sub>
            <m:r>
              <m:rPr>
                <m:sty m:val="p"/>
              </m:rPr>
              <w:rPr>
                <w:rFonts w:ascii="Cambria Math" w:hAnsi="Cambria Math" w:cs="Times New Roman"/>
                <w:lang w:val="en-US"/>
              </w:rPr>
              <m:t>p</m:t>
            </m:r>
          </m:sub>
        </m:sSub>
        <m:r>
          <m:rPr>
            <m:sty m:val="p"/>
          </m:rPr>
          <w:rPr>
            <w:rFonts w:ascii="Cambria Math" w:hAnsi="Cambria Math" w:cs="Times New Roman"/>
            <w:lang w:val="en-US"/>
          </w:rPr>
          <m:t>(T)</m:t>
        </m:r>
      </m:oMath>
      <w:r w:rsidRPr="00625AD6">
        <w:rPr>
          <w:rFonts w:cs="Times New Roman"/>
          <w:lang w:val="en-US"/>
        </w:rPr>
        <w:t xml:space="preserve">, the accuracy of the results strongly depends on the proper experimental definition and calibration of this function. </w:t>
      </w:r>
    </w:p>
    <w:p w14:paraId="36F20085" w14:textId="5DE7DCC7" w:rsidR="00625AD6" w:rsidRPr="003A65E5" w:rsidRDefault="00625AD6" w:rsidP="003A65E5">
      <w:pPr>
        <w:pStyle w:val="Heading2"/>
        <w:rPr>
          <w:lang w:val="en-US"/>
        </w:rPr>
      </w:pPr>
      <w:bookmarkStart w:id="220" w:name="_Toc213354104"/>
      <w:bookmarkStart w:id="221" w:name="_Toc214356324"/>
      <w:r w:rsidRPr="003A65E5">
        <w:t>COMSOL</w:t>
      </w:r>
      <w:r w:rsidRPr="003A65E5">
        <w:rPr>
          <w:lang w:val="en-US"/>
        </w:rPr>
        <w:t xml:space="preserve"> Multiphysics</w:t>
      </w:r>
      <w:bookmarkEnd w:id="220"/>
      <w:bookmarkEnd w:id="221"/>
    </w:p>
    <w:p w14:paraId="7D0AD03F" w14:textId="59728713" w:rsidR="00625AD6" w:rsidRPr="00625AD6" w:rsidRDefault="00625AD6" w:rsidP="00625AD6">
      <w:pPr>
        <w:rPr>
          <w:rFonts w:cs="Times New Roman"/>
          <w:lang w:val="en-US"/>
        </w:rPr>
      </w:pPr>
      <w:r w:rsidRPr="00625AD6">
        <w:rPr>
          <w:rFonts w:cs="Times New Roman"/>
          <w:lang w:val="en-US"/>
        </w:rPr>
        <w:t xml:space="preserve">COMSOL Multiphysics is a simulation software based on the Finite Element Method (FEM), widely used in engineering and research to model and analyze complex physical systems. Unlike other programs focused on a single field of physics, COMSOL is designed to couple multiple physical phenomena within a single model, offering a truly </w:t>
      </w:r>
      <w:r w:rsidRPr="00625AD6">
        <w:rPr>
          <w:rFonts w:cs="Times New Roman"/>
          <w:i/>
          <w:iCs/>
          <w:lang w:val="en-US"/>
        </w:rPr>
        <w:t>multiphysics</w:t>
      </w:r>
      <w:r w:rsidRPr="00625AD6">
        <w:rPr>
          <w:rFonts w:cs="Times New Roman"/>
          <w:lang w:val="en-US"/>
        </w:rPr>
        <w:t xml:space="preserve"> approach. This makes it especially useful for studying phase change phenomena (such as melting, solidification, or evaporation), which involve the interaction of several physical fields, particularly thermodynamics and heat transfer. COMSOL allows users to analyze in an integrated way the thermal, mechanical, and fluid-dynamic effects that occur during these processes. The software can accurately manage the variation of material properties during phase transitions, such as thermal conductivity or density, and calculate the latent heat absorbed or released. Moreover, with specialized modules like the Heat Transfer Module and the Metal Processing Module, it is possible to study heat transfer, metal melting and solidification, as well as related mechanical and structural effects. At the end of the simulation, COMSOL provides advanced tools for result visualization and analysis, enabling a complete understanding of the studied phenomena and a realistic representation of fusion and solidification processes. </w:t>
      </w:r>
    </w:p>
    <w:p w14:paraId="22E3EA3D" w14:textId="591F9404" w:rsidR="00625AD6" w:rsidRPr="00625AD6" w:rsidRDefault="00625AD6" w:rsidP="00625AD6">
      <w:pPr>
        <w:rPr>
          <w:rFonts w:cs="Times New Roman"/>
          <w:lang w:val="en-US"/>
        </w:rPr>
      </w:pPr>
      <w:r w:rsidRPr="00625AD6">
        <w:rPr>
          <w:noProof/>
        </w:rPr>
        <w:lastRenderedPageBreak/>
        <mc:AlternateContent>
          <mc:Choice Requires="wps">
            <w:drawing>
              <wp:anchor distT="0" distB="0" distL="114300" distR="114300" simplePos="0" relativeHeight="251746304" behindDoc="0" locked="0" layoutInCell="1" allowOverlap="1" wp14:anchorId="4652CB1B" wp14:editId="71469955">
                <wp:simplePos x="0" y="0"/>
                <wp:positionH relativeFrom="column">
                  <wp:posOffset>3089910</wp:posOffset>
                </wp:positionH>
                <wp:positionV relativeFrom="paragraph">
                  <wp:posOffset>2312670</wp:posOffset>
                </wp:positionV>
                <wp:extent cx="3019425" cy="635"/>
                <wp:effectExtent l="0" t="0" r="0" b="0"/>
                <wp:wrapSquare wrapText="bothSides"/>
                <wp:docPr id="1112988598" name="Text Box 1"/>
                <wp:cNvGraphicFramePr/>
                <a:graphic xmlns:a="http://schemas.openxmlformats.org/drawingml/2006/main">
                  <a:graphicData uri="http://schemas.microsoft.com/office/word/2010/wordprocessingShape">
                    <wps:wsp>
                      <wps:cNvSpPr txBox="1"/>
                      <wps:spPr>
                        <a:xfrm>
                          <a:off x="0" y="0"/>
                          <a:ext cx="3019425" cy="635"/>
                        </a:xfrm>
                        <a:prstGeom prst="rect">
                          <a:avLst/>
                        </a:prstGeom>
                        <a:solidFill>
                          <a:prstClr val="white"/>
                        </a:solidFill>
                        <a:ln>
                          <a:noFill/>
                        </a:ln>
                      </wps:spPr>
                      <wps:txbx>
                        <w:txbxContent>
                          <w:p w14:paraId="55F86A62" w14:textId="425DFAF8" w:rsidR="00625AD6" w:rsidRPr="0003758E" w:rsidRDefault="00625AD6" w:rsidP="00625AD6">
                            <w:pPr>
                              <w:pStyle w:val="Caption"/>
                              <w:rPr>
                                <w:rFonts w:ascii="Times New Roman" w:hAnsi="Times New Roman" w:cs="Times New Roman"/>
                                <w:noProof/>
                                <w:szCs w:val="22"/>
                              </w:rPr>
                            </w:pPr>
                            <w:bookmarkStart w:id="222" w:name="_Toc214357768"/>
                            <w:r w:rsidRPr="0003758E">
                              <w:rPr>
                                <w:rFonts w:ascii="Times New Roman" w:hAnsi="Times New Roman" w:cs="Times New Roman"/>
                              </w:rPr>
                              <w:t xml:space="preserve">Figure </w:t>
                            </w:r>
                            <w:r w:rsidR="00F824A5">
                              <w:rPr>
                                <w:rFonts w:ascii="Times New Roman" w:hAnsi="Times New Roman" w:cs="Times New Roman"/>
                              </w:rPr>
                              <w:fldChar w:fldCharType="begin"/>
                            </w:r>
                            <w:r w:rsidR="00F824A5">
                              <w:rPr>
                                <w:rFonts w:ascii="Times New Roman" w:hAnsi="Times New Roman" w:cs="Times New Roman"/>
                              </w:rPr>
                              <w:instrText xml:space="preserve"> STYLEREF 1 \s </w:instrText>
                            </w:r>
                            <w:r w:rsidR="00F824A5">
                              <w:rPr>
                                <w:rFonts w:ascii="Times New Roman" w:hAnsi="Times New Roman" w:cs="Times New Roman"/>
                              </w:rPr>
                              <w:fldChar w:fldCharType="separate"/>
                            </w:r>
                            <w:r w:rsidR="000412CE">
                              <w:rPr>
                                <w:rFonts w:ascii="Times New Roman" w:hAnsi="Times New Roman" w:cs="Times New Roman"/>
                                <w:noProof/>
                              </w:rPr>
                              <w:t>3</w:t>
                            </w:r>
                            <w:r w:rsidR="00F824A5">
                              <w:rPr>
                                <w:rFonts w:ascii="Times New Roman" w:hAnsi="Times New Roman" w:cs="Times New Roman"/>
                              </w:rPr>
                              <w:fldChar w:fldCharType="end"/>
                            </w:r>
                            <w:r w:rsidR="00F824A5">
                              <w:rPr>
                                <w:rFonts w:ascii="Times New Roman" w:hAnsi="Times New Roman" w:cs="Times New Roman"/>
                              </w:rPr>
                              <w:t>.</w:t>
                            </w:r>
                            <w:r w:rsidR="00F824A5">
                              <w:rPr>
                                <w:rFonts w:ascii="Times New Roman" w:hAnsi="Times New Roman" w:cs="Times New Roman"/>
                              </w:rPr>
                              <w:fldChar w:fldCharType="begin"/>
                            </w:r>
                            <w:r w:rsidR="00F824A5">
                              <w:rPr>
                                <w:rFonts w:ascii="Times New Roman" w:hAnsi="Times New Roman" w:cs="Times New Roman"/>
                              </w:rPr>
                              <w:instrText xml:space="preserve"> SEQ Figure \* ARABIC \s 1 </w:instrText>
                            </w:r>
                            <w:r w:rsidR="00F824A5">
                              <w:rPr>
                                <w:rFonts w:ascii="Times New Roman" w:hAnsi="Times New Roman" w:cs="Times New Roman"/>
                              </w:rPr>
                              <w:fldChar w:fldCharType="separate"/>
                            </w:r>
                            <w:r w:rsidR="000412CE">
                              <w:rPr>
                                <w:rFonts w:ascii="Times New Roman" w:hAnsi="Times New Roman" w:cs="Times New Roman"/>
                                <w:noProof/>
                              </w:rPr>
                              <w:t>5</w:t>
                            </w:r>
                            <w:r w:rsidR="00F824A5">
                              <w:rPr>
                                <w:rFonts w:ascii="Times New Roman" w:hAnsi="Times New Roman" w:cs="Times New Roman"/>
                              </w:rPr>
                              <w:fldChar w:fldCharType="end"/>
                            </w:r>
                            <w:r w:rsidRPr="0003758E">
                              <w:rPr>
                                <w:rFonts w:ascii="Times New Roman" w:hAnsi="Times New Roman" w:cs="Times New Roman"/>
                              </w:rPr>
                              <w:t>. Simulation and experimental temperature results of interior surfaces for REFPLASTER and PCMPLASTER5</w:t>
                            </w:r>
                            <w:r w:rsidR="00D619A3">
                              <w:rPr>
                                <w:rFonts w:ascii="Times New Roman" w:hAnsi="Times New Roman" w:cs="Times New Roman"/>
                              </w:rPr>
                              <w:t xml:space="preserve"> [216]</w:t>
                            </w:r>
                            <w:r w:rsidRPr="0003758E">
                              <w:t>.</w:t>
                            </w:r>
                            <w:bookmarkEnd w:id="22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652CB1B" id="_x0000_s1062" type="#_x0000_t202" style="position:absolute;left:0;text-align:left;margin-left:243.3pt;margin-top:182.1pt;width:237.75pt;height:.05pt;z-index:2517463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" stroked="f">
                <v:textbox style="mso-fit-shape-to-text:t" inset="0,0,0,0">
                  <w:txbxContent>
                    <w:p w14:paraId="55F86A62" w14:textId="425DFAF8" w:rsidR="00625AD6" w:rsidRPr="0003758E" w:rsidRDefault="00625AD6" w:rsidP="00625AD6">
                      <w:pPr>
                        <w:pStyle w:val="Caption"/>
                        <w:rPr>
                          <w:rFonts w:ascii="Times New Roman" w:hAnsi="Times New Roman" w:cs="Times New Roman"/>
                          <w:noProof/>
                          <w:szCs w:val="22"/>
                        </w:rPr>
                      </w:pPr>
                      <w:bookmarkStart w:id="223" w:name="_Toc214357768"/>
                      <w:r w:rsidRPr="0003758E">
                        <w:rPr>
                          <w:rFonts w:ascii="Times New Roman" w:hAnsi="Times New Roman" w:cs="Times New Roman"/>
                        </w:rPr>
                        <w:t xml:space="preserve">Figure </w:t>
                      </w:r>
                      <w:r w:rsidR="00F824A5">
                        <w:rPr>
                          <w:rFonts w:ascii="Times New Roman" w:hAnsi="Times New Roman" w:cs="Times New Roman"/>
                        </w:rPr>
                        <w:fldChar w:fldCharType="begin"/>
                      </w:r>
                      <w:r w:rsidR="00F824A5">
                        <w:rPr>
                          <w:rFonts w:ascii="Times New Roman" w:hAnsi="Times New Roman" w:cs="Times New Roman"/>
                        </w:rPr>
                        <w:instrText xml:space="preserve"> STYLEREF 1 \s </w:instrText>
                      </w:r>
                      <w:r w:rsidR="00F824A5">
                        <w:rPr>
                          <w:rFonts w:ascii="Times New Roman" w:hAnsi="Times New Roman" w:cs="Times New Roman"/>
                        </w:rPr>
                        <w:fldChar w:fldCharType="separate"/>
                      </w:r>
                      <w:r w:rsidR="000412CE">
                        <w:rPr>
                          <w:rFonts w:ascii="Times New Roman" w:hAnsi="Times New Roman" w:cs="Times New Roman"/>
                          <w:noProof/>
                        </w:rPr>
                        <w:t>3</w:t>
                      </w:r>
                      <w:r w:rsidR="00F824A5">
                        <w:rPr>
                          <w:rFonts w:ascii="Times New Roman" w:hAnsi="Times New Roman" w:cs="Times New Roman"/>
                        </w:rPr>
                        <w:fldChar w:fldCharType="end"/>
                      </w:r>
                      <w:r w:rsidR="00F824A5">
                        <w:rPr>
                          <w:rFonts w:ascii="Times New Roman" w:hAnsi="Times New Roman" w:cs="Times New Roman"/>
                        </w:rPr>
                        <w:t>.</w:t>
                      </w:r>
                      <w:r w:rsidR="00F824A5">
                        <w:rPr>
                          <w:rFonts w:ascii="Times New Roman" w:hAnsi="Times New Roman" w:cs="Times New Roman"/>
                        </w:rPr>
                        <w:fldChar w:fldCharType="begin"/>
                      </w:r>
                      <w:r w:rsidR="00F824A5">
                        <w:rPr>
                          <w:rFonts w:ascii="Times New Roman" w:hAnsi="Times New Roman" w:cs="Times New Roman"/>
                        </w:rPr>
                        <w:instrText xml:space="preserve"> SEQ Figure \* ARABIC \s 1 </w:instrText>
                      </w:r>
                      <w:r w:rsidR="00F824A5">
                        <w:rPr>
                          <w:rFonts w:ascii="Times New Roman" w:hAnsi="Times New Roman" w:cs="Times New Roman"/>
                        </w:rPr>
                        <w:fldChar w:fldCharType="separate"/>
                      </w:r>
                      <w:r w:rsidR="000412CE">
                        <w:rPr>
                          <w:rFonts w:ascii="Times New Roman" w:hAnsi="Times New Roman" w:cs="Times New Roman"/>
                          <w:noProof/>
                        </w:rPr>
                        <w:t>5</w:t>
                      </w:r>
                      <w:r w:rsidR="00F824A5">
                        <w:rPr>
                          <w:rFonts w:ascii="Times New Roman" w:hAnsi="Times New Roman" w:cs="Times New Roman"/>
                        </w:rPr>
                        <w:fldChar w:fldCharType="end"/>
                      </w:r>
                      <w:r w:rsidRPr="0003758E">
                        <w:rPr>
                          <w:rFonts w:ascii="Times New Roman" w:hAnsi="Times New Roman" w:cs="Times New Roman"/>
                        </w:rPr>
                        <w:t>. Simulation and experimental temperature results of interior surfaces for REFPLASTER and PCMPLASTER5</w:t>
                      </w:r>
                      <w:r w:rsidR="00D619A3">
                        <w:rPr>
                          <w:rFonts w:ascii="Times New Roman" w:hAnsi="Times New Roman" w:cs="Times New Roman"/>
                        </w:rPr>
                        <w:t xml:space="preserve"> [216]</w:t>
                      </w:r>
                      <w:r w:rsidRPr="0003758E">
                        <w:t>.</w:t>
                      </w:r>
                      <w:bookmarkEnd w:id="223"/>
                    </w:p>
                  </w:txbxContent>
                </v:textbox>
                <w10:wrap type="square"/>
              </v:shape>
            </w:pict>
          </mc:Fallback>
        </mc:AlternateContent>
      </w:r>
      <w:r w:rsidRPr="00625AD6">
        <w:rPr>
          <w:rFonts w:cs="Times New Roman"/>
          <w:noProof/>
          <w:lang w:val="nb-NO"/>
        </w:rPr>
        <w:drawing>
          <wp:anchor distT="0" distB="0" distL="114300" distR="114300" simplePos="0" relativeHeight="251741184" behindDoc="0" locked="0" layoutInCell="1" allowOverlap="1" wp14:anchorId="3C753981" wp14:editId="782BEBCB">
            <wp:simplePos x="0" y="0"/>
            <wp:positionH relativeFrom="margin">
              <wp:posOffset>3089910</wp:posOffset>
            </wp:positionH>
            <wp:positionV relativeFrom="paragraph">
              <wp:posOffset>125095</wp:posOffset>
            </wp:positionV>
            <wp:extent cx="3019425" cy="2130425"/>
            <wp:effectExtent l="0" t="0" r="9525" b="3175"/>
            <wp:wrapSquare wrapText="bothSides"/>
            <wp:docPr id="1510274764" name="Immagine 1" descr="Immagine che contiene testo, Diagramma, line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0274764" name="Immagine 1" descr="Immagine che contiene testo, Diagramma, linea, diagramma&#10;&#10;Il contenuto generato dall'IA potrebbe non essere corretto."/>
                    <pic:cNvPicPr/>
                  </pic:nvPicPr>
                  <pic:blipFill>
                    <a:blip r:embed="rId158">
                      <a:extLst>
                        <a:ext uri="{28A0092B-C50C-407E-A947-70E740481C1C}">
                          <a14:useLocalDpi xmlns:a14="http://schemas.microsoft.com/office/drawing/2010/main" val="0"/>
                        </a:ext>
                      </a:extLst>
                    </a:blip>
                    <a:stretch>
                      <a:fillRect/>
                    </a:stretch>
                  </pic:blipFill>
                  <pic:spPr>
                    <a:xfrm>
                      <a:off x="0" y="0"/>
                      <a:ext cx="3019425" cy="2130425"/>
                    </a:xfrm>
                    <a:prstGeom prst="rect">
                      <a:avLst/>
                    </a:prstGeom>
                  </pic:spPr>
                </pic:pic>
              </a:graphicData>
            </a:graphic>
            <wp14:sizeRelH relativeFrom="margin">
              <wp14:pctWidth>0</wp14:pctWidth>
            </wp14:sizeRelH>
            <wp14:sizeRelV relativeFrom="margin">
              <wp14:pctHeight>0</wp14:pctHeight>
            </wp14:sizeRelV>
          </wp:anchor>
        </w:drawing>
      </w:r>
      <w:r w:rsidRPr="00625AD6">
        <w:rPr>
          <w:rFonts w:cs="Times New Roman"/>
          <w:lang w:val="en-US"/>
        </w:rPr>
        <w:t>Fokaides et al.</w:t>
      </w:r>
      <w:r w:rsidR="00F501EC">
        <w:rPr>
          <w:rFonts w:cs="Times New Roman"/>
          <w:lang w:val="en-US"/>
        </w:rPr>
        <w:t xml:space="preserve"> </w:t>
      </w:r>
      <w:sdt>
        <w:sdtPr>
          <w:rPr>
            <w:rFonts w:cs="Times New Roman"/>
            <w:lang w:val="en-US"/>
          </w:rPr>
          <w:id w:val="843206396"/>
          <w:citation/>
        </w:sdtPr>
        <w:sdtContent>
          <w:r w:rsidR="00F501EC">
            <w:rPr>
              <w:rFonts w:cs="Times New Roman"/>
              <w:lang w:val="en-US"/>
            </w:rPr>
            <w:fldChar w:fldCharType="begin"/>
          </w:r>
          <w:r w:rsidR="00F501EC" w:rsidRPr="00F501EC">
            <w:rPr>
              <w:rFonts w:cs="Times New Roman"/>
              <w:lang w:val="en-US"/>
            </w:rPr>
            <w:instrText xml:space="preserve"> CITATION Placeholder234 \l 1040 </w:instrText>
          </w:r>
          <w:r w:rsidR="00F501EC">
            <w:rPr>
              <w:rFonts w:cs="Times New Roman"/>
              <w:lang w:val="en-US"/>
            </w:rPr>
            <w:fldChar w:fldCharType="separate"/>
          </w:r>
          <w:r w:rsidR="00855396" w:rsidRPr="00855396">
            <w:rPr>
              <w:rFonts w:cs="Times New Roman"/>
              <w:noProof/>
              <w:lang w:val="en-US"/>
            </w:rPr>
            <w:t>[216]</w:t>
          </w:r>
          <w:r w:rsidR="00F501EC">
            <w:rPr>
              <w:rFonts w:cs="Times New Roman"/>
              <w:lang w:val="en-US"/>
            </w:rPr>
            <w:fldChar w:fldCharType="end"/>
          </w:r>
        </w:sdtContent>
      </w:sdt>
      <w:r w:rsidR="00F501EC">
        <w:rPr>
          <w:rFonts w:cs="Times New Roman"/>
          <w:lang w:val="en-US"/>
        </w:rPr>
        <w:t xml:space="preserve"> </w:t>
      </w:r>
      <w:r w:rsidRPr="00625AD6">
        <w:rPr>
          <w:rFonts w:cs="Times New Roman"/>
          <w:lang w:val="en-US"/>
        </w:rPr>
        <w:t xml:space="preserve">conducted a heat transfer analysis of novel building materials to evaluate the thermal performance and impact of innovative plasters incorporating PCMs. The study focused on the thermal behavior of a building wall under summer-dominant climatic conditions. To this end, three-dimensional (3D) time-dependent models of building walls with PCM-enhanced plasters were developed using COMSOL Multiphysics. COMSOL was employed to perform the numerical investigation of thermal performance and to analyze the conjugate heat transfer problem, both with and without phase change. The simulation results were reported in </w:t>
      </w:r>
      <w:r w:rsidR="00F43E9A">
        <w:rPr>
          <w:rFonts w:cs="Times New Roman"/>
          <w:lang w:val="en-US"/>
        </w:rPr>
        <w:t>Figure 3</w:t>
      </w:r>
      <w:r w:rsidR="00F501EC">
        <w:rPr>
          <w:rFonts w:cs="Times New Roman"/>
          <w:lang w:val="en-US"/>
        </w:rPr>
        <w:t xml:space="preserve">.5 </w:t>
      </w:r>
      <w:r w:rsidRPr="00625AD6">
        <w:rPr>
          <w:rFonts w:cs="Times New Roman"/>
          <w:lang w:val="en-US"/>
        </w:rPr>
        <w:t xml:space="preserve">and experimentally validated, showing good agreement between numerical and measured data, and allowing for further analysis aimed at optimizing the thermal performance of PCM-based plaster systems. Four model configurations were considered: a reference wall with conventional lime plaster (REFPLASTER) and three PCM-enhanced lime plasters containing 5%, 10%, and 20% PCM by weight (PCMPLASTER5, PCMPLASTER10, PCMPLASTER20). Experimental validation of the reference and 5% PCM models revealed minor deviations (less than 1.5 °C) between simulated and experimental values, as well as good consistency in temperature response timing. Numerical results demonstrated that PCM-enhanced plasters effectively reduce the diurnal temperature fluctuations within buildings compared to the reference case, due to their lower thermal conductivity and density combined with a higher heat storage capacity. Moreover, a positive correlation was found between PCM content and the ability of the wall system to mitigate indoor temperature variations. Authors propose an optimized design approach for PCM-enhanced plasters in buildings located in summer-dominant climates, aiming to improve thermal comfort and reduce overall energy consumption. </w:t>
      </w:r>
    </w:p>
    <w:p w14:paraId="1C9DE8A0" w14:textId="0C7EC5F5" w:rsidR="00625AD6" w:rsidRPr="00625AD6" w:rsidRDefault="00625AD6" w:rsidP="00625AD6">
      <w:pPr>
        <w:rPr>
          <w:rFonts w:cs="Times New Roman"/>
          <w:lang w:val="en-US"/>
        </w:rPr>
      </w:pPr>
      <w:r w:rsidRPr="00625AD6">
        <w:rPr>
          <w:rFonts w:cs="Times New Roman"/>
          <w:lang w:val="en-US"/>
        </w:rPr>
        <w:t xml:space="preserve">Groulx et al. </w:t>
      </w:r>
      <w:sdt>
        <w:sdtPr>
          <w:rPr>
            <w:rFonts w:cs="Times New Roman"/>
            <w:lang w:val="en-US"/>
          </w:rPr>
          <w:id w:val="486214320"/>
          <w:citation/>
        </w:sdtPr>
        <w:sdtContent>
          <w:r w:rsidR="00F501EC">
            <w:rPr>
              <w:rFonts w:cs="Times New Roman"/>
              <w:lang w:val="en-US"/>
            </w:rPr>
            <w:fldChar w:fldCharType="begin"/>
          </w:r>
          <w:r w:rsidR="00F501EC" w:rsidRPr="00F501EC">
            <w:rPr>
              <w:rFonts w:cs="Times New Roman"/>
              <w:lang w:val="en-US"/>
            </w:rPr>
            <w:instrText xml:space="preserve"> CITATION Placeholder235 \l 1040 </w:instrText>
          </w:r>
          <w:r w:rsidR="00F501EC">
            <w:rPr>
              <w:rFonts w:cs="Times New Roman"/>
              <w:lang w:val="en-US"/>
            </w:rPr>
            <w:fldChar w:fldCharType="separate"/>
          </w:r>
          <w:r w:rsidR="00855396" w:rsidRPr="00855396">
            <w:rPr>
              <w:rFonts w:cs="Times New Roman"/>
              <w:noProof/>
              <w:lang w:val="en-US"/>
            </w:rPr>
            <w:t>[217]</w:t>
          </w:r>
          <w:r w:rsidR="00F501EC">
            <w:rPr>
              <w:rFonts w:cs="Times New Roman"/>
              <w:lang w:val="en-US"/>
            </w:rPr>
            <w:fldChar w:fldCharType="end"/>
          </w:r>
        </w:sdtContent>
      </w:sdt>
      <w:r w:rsidRPr="00625AD6">
        <w:rPr>
          <w:rFonts w:cs="Times New Roman"/>
          <w:lang w:val="en-US"/>
        </w:rPr>
        <w:t xml:space="preserve"> conducted a two-dimensional numerical study using COMSOL Multiphysics (versions 4.0a and 4.1) to simulate the melting of a PCM, taking into account both heat conduction and natural convection. The simulations, based on the </w:t>
      </w:r>
      <w:r w:rsidRPr="00625AD6">
        <w:rPr>
          <w:rFonts w:cs="Times New Roman"/>
          <w:i/>
          <w:iCs/>
          <w:lang w:val="en-US"/>
        </w:rPr>
        <w:t>Heat Transfer in Fluids</w:t>
      </w:r>
      <w:r w:rsidRPr="00625AD6">
        <w:rPr>
          <w:rFonts w:cs="Times New Roman"/>
          <w:lang w:val="en-US"/>
        </w:rPr>
        <w:t xml:space="preserve"> and </w:t>
      </w:r>
      <w:r w:rsidRPr="00625AD6">
        <w:rPr>
          <w:rFonts w:cs="Times New Roman"/>
          <w:i/>
          <w:iCs/>
          <w:lang w:val="en-US"/>
        </w:rPr>
        <w:t>Laminar Flow</w:t>
      </w:r>
      <w:r w:rsidRPr="00625AD6">
        <w:rPr>
          <w:rFonts w:cs="Times New Roman"/>
          <w:lang w:val="en-US"/>
        </w:rPr>
        <w:t xml:space="preserve"> interfaces, allowed for a detailed analysis of the thermal and fluid-dynamic behavior of the PCM during melting. To model natural convection, an appropriate body force was applied to the PCM, while the dynamic viscosity was defined as a continuous </w:t>
      </w:r>
      <w:r w:rsidRPr="00625AD6">
        <w:rPr>
          <w:rFonts w:cs="Times New Roman"/>
          <w:i/>
          <w:iCs/>
          <w:lang w:val="en-US"/>
        </w:rPr>
        <w:t>piecewise</w:t>
      </w:r>
      <w:r w:rsidRPr="00625AD6">
        <w:rPr>
          <w:rFonts w:cs="Times New Roman"/>
          <w:lang w:val="en-US"/>
        </w:rPr>
        <w:t xml:space="preserve"> function with a second derivative. This approach describes the viscosity of the liquid PCM in the melted region and keeps the solid PCM fixed by assigning it an artificially high viscosity of </w:t>
      </w:r>
      <m:oMath>
        <m:sSup>
          <m:sSupPr>
            <m:ctrlPr>
              <w:rPr>
                <w:rFonts w:ascii="Cambria Math" w:hAnsi="Cambria Math" w:cs="Times New Roman"/>
              </w:rPr>
            </m:ctrlPr>
          </m:sSupPr>
          <m:e>
            <m:r>
              <w:rPr>
                <w:rFonts w:ascii="Cambria Math" w:hAnsi="Cambria Math" w:cs="Times New Roman"/>
                <w:lang w:val="en-US"/>
              </w:rPr>
              <m:t>10</m:t>
            </m:r>
          </m:e>
          <m:sup>
            <m:r>
              <w:rPr>
                <w:rFonts w:ascii="Cambria Math" w:hAnsi="Cambria Math" w:cs="Times New Roman"/>
                <w:lang w:val="en-US"/>
              </w:rPr>
              <m:t>8</m:t>
            </m:r>
          </m:sup>
        </m:sSup>
      </m:oMath>
      <w:r w:rsidRPr="00625AD6">
        <w:rPr>
          <w:rFonts w:cs="Times New Roman"/>
          <w:lang w:val="en-US"/>
        </w:rPr>
        <w:t xml:space="preserve">. During the simulations, the molten PCM rises toward the top of the cavity, moves along the </w:t>
      </w:r>
      <w:r w:rsidRPr="00625AD6">
        <w:rPr>
          <w:rFonts w:cs="Times New Roman"/>
          <w:lang w:val="en-US"/>
        </w:rPr>
        <w:lastRenderedPageBreak/>
        <w:t xml:space="preserve">insulated wall, and then cools upon contact with the still-solid region, generating recirculating convection currents. This behavior confirms the importance of accounting for natural convection to accurately describe the melting process. Compared to earlier COMSOL-based studies, the work extends the modeling approach by including convective heat transfer in the liquid phase. The latent heat of fusion was modeled through a modified specific heat, written in Eq. (81) </w:t>
      </w:r>
    </w:p>
    <w:p w14:paraId="70F1FA05" w14:textId="77777777" w:rsidR="00625AD6" w:rsidRPr="00625AD6" w:rsidRDefault="00000000" w:rsidP="00625AD6">
      <w:pPr>
        <w:rPr>
          <w:rFonts w:cs="Times New Roman"/>
        </w:rPr>
      </w:pPr>
      <m:oMathPara>
        <m:oMathParaPr>
          <m:jc m:val="right"/>
        </m:oMathParaPr>
        <m:oMath>
          <m:sSub>
            <m:sSubPr>
              <m:ctrlPr>
                <w:rPr>
                  <w:rFonts w:ascii="Cambria Math" w:hAnsi="Cambria Math" w:cs="Times New Roman"/>
                </w:rPr>
              </m:ctrlPr>
            </m:sSubPr>
            <m:e>
              <m:r>
                <w:rPr>
                  <w:rFonts w:ascii="Cambria Math" w:hAnsi="Cambria Math" w:cs="Times New Roman"/>
                </w:rPr>
                <m:t>C</m:t>
              </m:r>
            </m:e>
            <m:sub>
              <m:r>
                <w:rPr>
                  <w:rFonts w:ascii="Cambria Math" w:hAnsi="Cambria Math" w:cs="Times New Roman"/>
                </w:rPr>
                <m:t>p,m</m:t>
              </m:r>
            </m:sub>
          </m:sSub>
          <m: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C</m:t>
              </m:r>
            </m:e>
            <m:sub>
              <m:r>
                <w:rPr>
                  <w:rFonts w:ascii="Cambria Math" w:hAnsi="Cambria Math" w:cs="Times New Roman"/>
                </w:rPr>
                <m:t>p</m:t>
              </m:r>
            </m:sub>
          </m:sSub>
          <m:r>
            <w:rPr>
              <w:rFonts w:ascii="Cambria Math" w:hAnsi="Cambria Math" w:cs="Times New Roman"/>
            </w:rPr>
            <m:t>+</m:t>
          </m:r>
          <m:f>
            <m:fPr>
              <m:ctrlPr>
                <w:rPr>
                  <w:rFonts w:ascii="Cambria Math" w:hAnsi="Cambria Math" w:cs="Times New Roman"/>
                </w:rPr>
              </m:ctrlPr>
            </m:fPr>
            <m:num>
              <m:sSub>
                <m:sSubPr>
                  <m:ctrlPr>
                    <w:rPr>
                      <w:rFonts w:ascii="Cambria Math" w:hAnsi="Cambria Math" w:cs="Times New Roman"/>
                    </w:rPr>
                  </m:ctrlPr>
                </m:sSubPr>
                <m:e>
                  <m:r>
                    <w:rPr>
                      <w:rFonts w:ascii="Cambria Math" w:hAnsi="Cambria Math" w:cs="Times New Roman"/>
                    </w:rPr>
                    <m:t>L</m:t>
                  </m:r>
                </m:e>
                <m:sub>
                  <m:r>
                    <w:rPr>
                      <w:rFonts w:ascii="Cambria Math" w:hAnsi="Cambria Math" w:cs="Times New Roman"/>
                    </w:rPr>
                    <m:t>f</m:t>
                  </m:r>
                </m:sub>
              </m:sSub>
            </m:num>
            <m:den>
              <m:r>
                <m:rPr>
                  <m:sty m:val="p"/>
                </m:rPr>
                <w:rPr>
                  <w:rFonts w:ascii="Cambria Math" w:hAnsi="Cambria Math" w:cs="Times New Roman"/>
                </w:rPr>
                <m:t>Δ</m:t>
              </m:r>
              <m:sSub>
                <m:sSubPr>
                  <m:ctrlPr>
                    <w:rPr>
                      <w:rFonts w:ascii="Cambria Math" w:hAnsi="Cambria Math" w:cs="Times New Roman"/>
                    </w:rPr>
                  </m:ctrlPr>
                </m:sSubPr>
                <m:e>
                  <m:r>
                    <w:rPr>
                      <w:rFonts w:ascii="Cambria Math" w:hAnsi="Cambria Math" w:cs="Times New Roman"/>
                    </w:rPr>
                    <m:t>T</m:t>
                  </m:r>
                </m:e>
                <m:sub>
                  <m:r>
                    <w:rPr>
                      <w:rFonts w:ascii="Cambria Math" w:hAnsi="Cambria Math" w:cs="Times New Roman"/>
                    </w:rPr>
                    <m:t>m</m:t>
                  </m:r>
                </m:sub>
              </m:sSub>
            </m:den>
          </m:f>
          <m:r>
            <w:rPr>
              <w:rFonts w:ascii="Cambria Math" w:eastAsiaTheme="minorEastAsia" w:hAnsi="Cambria Math" w:cs="Times New Roman"/>
            </w:rPr>
            <m:t xml:space="preserve">                                                                              (81)</m:t>
          </m:r>
        </m:oMath>
      </m:oMathPara>
    </w:p>
    <w:p w14:paraId="0E117EFE" w14:textId="634CF631" w:rsidR="00625AD6" w:rsidRPr="00625AD6" w:rsidRDefault="00625AD6" w:rsidP="00625AD6">
      <w:pPr>
        <w:rPr>
          <w:rFonts w:cs="Times New Roman"/>
          <w:lang w:val="en-US"/>
        </w:rPr>
      </w:pPr>
      <w:r w:rsidRPr="00625AD6">
        <w:rPr>
          <w:rFonts w:cs="Times New Roman"/>
          <w:lang w:val="en-US"/>
        </w:rPr>
        <w:t xml:space="preserve">calculated over a user-defined melting temperature range </w:t>
      </w:r>
      <m:oMath>
        <m:r>
          <m:rPr>
            <m:sty m:val="p"/>
          </m:rPr>
          <w:rPr>
            <w:rFonts w:ascii="Cambria Math" w:hAnsi="Cambria Math" w:cs="Times New Roman"/>
          </w:rPr>
          <m:t>Δ</m:t>
        </m:r>
        <m:sSub>
          <m:sSubPr>
            <m:ctrlPr>
              <w:rPr>
                <w:rFonts w:ascii="Cambria Math" w:hAnsi="Cambria Math" w:cs="Times New Roman"/>
              </w:rPr>
            </m:ctrlPr>
          </m:sSubPr>
          <m:e>
            <m:r>
              <w:rPr>
                <w:rFonts w:ascii="Cambria Math" w:hAnsi="Cambria Math" w:cs="Times New Roman"/>
              </w:rPr>
              <m:t>T</m:t>
            </m:r>
          </m:e>
          <m:sub>
            <m:r>
              <w:rPr>
                <w:rFonts w:ascii="Cambria Math" w:hAnsi="Cambria Math" w:cs="Times New Roman"/>
              </w:rPr>
              <m:t>m</m:t>
            </m:r>
          </m:sub>
        </m:sSub>
      </m:oMath>
      <w:r w:rsidRPr="00625AD6">
        <w:rPr>
          <w:rFonts w:cs="Times New Roman"/>
          <w:lang w:val="en-US"/>
        </w:rPr>
        <w:t>, while the body force driving convection was expressed in Eq. (82) as</w:t>
      </w:r>
    </w:p>
    <w:p w14:paraId="50417C69" w14:textId="77777777" w:rsidR="00625AD6" w:rsidRPr="00625AD6" w:rsidRDefault="00625AD6" w:rsidP="00625AD6">
      <w:pPr>
        <w:rPr>
          <w:rFonts w:cs="Times New Roman"/>
        </w:rPr>
      </w:pPr>
      <m:oMathPara>
        <m:oMathParaPr>
          <m:jc m:val="right"/>
        </m:oMathParaPr>
        <m:oMath>
          <m:r>
            <w:rPr>
              <w:rFonts w:ascii="Cambria Math" w:hAnsi="Cambria Math" w:cs="Times New Roman"/>
            </w:rPr>
            <m:t>F=ρgβ</m:t>
          </m:r>
          <m:d>
            <m:dPr>
              <m:ctrlPr>
                <w:rPr>
                  <w:rFonts w:ascii="Cambria Math" w:hAnsi="Cambria Math" w:cs="Times New Roman"/>
                  <w:i/>
                </w:rPr>
              </m:ctrlPr>
            </m:dPr>
            <m:e>
              <m:r>
                <w:rPr>
                  <w:rFonts w:ascii="Cambria Math" w:hAnsi="Cambria Math" w:cs="Times New Roman"/>
                </w:rPr>
                <m:t>T-</m:t>
              </m:r>
              <m:sSub>
                <m:sSubPr>
                  <m:ctrlPr>
                    <w:rPr>
                      <w:rFonts w:ascii="Cambria Math" w:hAnsi="Cambria Math" w:cs="Times New Roman"/>
                    </w:rPr>
                  </m:ctrlPr>
                </m:sSubPr>
                <m:e>
                  <m:r>
                    <w:rPr>
                      <w:rFonts w:ascii="Cambria Math" w:hAnsi="Cambria Math" w:cs="Times New Roman"/>
                    </w:rPr>
                    <m:t>T</m:t>
                  </m:r>
                </m:e>
                <m:sub>
                  <m:r>
                    <w:rPr>
                      <w:rFonts w:ascii="Cambria Math" w:hAnsi="Cambria Math" w:cs="Times New Roman"/>
                    </w:rPr>
                    <m:t>m</m:t>
                  </m:r>
                </m:sub>
              </m:sSub>
            </m:e>
          </m:d>
          <m:r>
            <w:rPr>
              <w:rFonts w:ascii="Cambria Math" w:hAnsi="Cambria Math" w:cs="Times New Roman"/>
            </w:rPr>
            <m:t xml:space="preserve">                                                                         (82)</m:t>
          </m:r>
        </m:oMath>
      </m:oMathPara>
    </w:p>
    <w:p w14:paraId="7B4EB370" w14:textId="77777777" w:rsidR="00625AD6" w:rsidRPr="00625AD6" w:rsidRDefault="00625AD6" w:rsidP="00625AD6">
      <w:pPr>
        <w:rPr>
          <w:rFonts w:cs="Times New Roman"/>
        </w:rPr>
      </w:pPr>
    </w:p>
    <w:p w14:paraId="1546D417" w14:textId="4AE42CDA" w:rsidR="00625AD6" w:rsidRPr="00625AD6" w:rsidRDefault="00625AD6" w:rsidP="00625AD6">
      <w:pPr>
        <w:rPr>
          <w:rFonts w:cs="Times New Roman"/>
          <w:lang w:val="en-US"/>
        </w:rPr>
      </w:pPr>
      <w:r w:rsidRPr="00625AD6">
        <w:rPr>
          <w:noProof/>
        </w:rPr>
        <mc:AlternateContent>
          <mc:Choice Requires="wps">
            <w:drawing>
              <wp:anchor distT="0" distB="0" distL="114300" distR="114300" simplePos="0" relativeHeight="251747328" behindDoc="0" locked="0" layoutInCell="1" allowOverlap="1" wp14:anchorId="4801B418" wp14:editId="014E2E3B">
                <wp:simplePos x="0" y="0"/>
                <wp:positionH relativeFrom="margin">
                  <wp:align>right</wp:align>
                </wp:positionH>
                <wp:positionV relativeFrom="paragraph">
                  <wp:posOffset>2526030</wp:posOffset>
                </wp:positionV>
                <wp:extent cx="2286000" cy="635"/>
                <wp:effectExtent l="0" t="0" r="0" b="2540"/>
                <wp:wrapSquare wrapText="bothSides"/>
                <wp:docPr id="1801609013" name="Text Box 1"/>
                <wp:cNvGraphicFramePr/>
                <a:graphic xmlns:a="http://schemas.openxmlformats.org/drawingml/2006/main">
                  <a:graphicData uri="http://schemas.microsoft.com/office/word/2010/wordprocessingShape">
                    <wps:wsp>
                      <wps:cNvSpPr txBox="1"/>
                      <wps:spPr>
                        <a:xfrm>
                          <a:off x="0" y="0"/>
                          <a:ext cx="2286000" cy="635"/>
                        </a:xfrm>
                        <a:prstGeom prst="rect">
                          <a:avLst/>
                        </a:prstGeom>
                        <a:solidFill>
                          <a:prstClr val="white"/>
                        </a:solidFill>
                        <a:ln>
                          <a:noFill/>
                        </a:ln>
                      </wps:spPr>
                      <wps:txbx>
                        <w:txbxContent>
                          <w:p w14:paraId="094E4DD5" w14:textId="5E38F099" w:rsidR="00625AD6" w:rsidRPr="00D21EEE" w:rsidRDefault="00625AD6" w:rsidP="00625AD6">
                            <w:pPr>
                              <w:pStyle w:val="Caption"/>
                              <w:rPr>
                                <w:rFonts w:ascii="Times New Roman" w:hAnsi="Times New Roman" w:cs="Times New Roman"/>
                                <w:noProof/>
                                <w:szCs w:val="22"/>
                              </w:rPr>
                            </w:pPr>
                            <w:bookmarkStart w:id="224" w:name="_Toc214357769"/>
                            <w:r w:rsidRPr="00D21EEE">
                              <w:rPr>
                                <w:rFonts w:ascii="Times New Roman" w:hAnsi="Times New Roman" w:cs="Times New Roman"/>
                              </w:rPr>
                              <w:t xml:space="preserve">Figure </w:t>
                            </w:r>
                            <w:r w:rsidR="00F824A5">
                              <w:rPr>
                                <w:rFonts w:ascii="Times New Roman" w:hAnsi="Times New Roman" w:cs="Times New Roman"/>
                              </w:rPr>
                              <w:fldChar w:fldCharType="begin"/>
                            </w:r>
                            <w:r w:rsidR="00F824A5">
                              <w:rPr>
                                <w:rFonts w:ascii="Times New Roman" w:hAnsi="Times New Roman" w:cs="Times New Roman"/>
                              </w:rPr>
                              <w:instrText xml:space="preserve"> STYLEREF 1 \s </w:instrText>
                            </w:r>
                            <w:r w:rsidR="00F824A5">
                              <w:rPr>
                                <w:rFonts w:ascii="Times New Roman" w:hAnsi="Times New Roman" w:cs="Times New Roman"/>
                              </w:rPr>
                              <w:fldChar w:fldCharType="separate"/>
                            </w:r>
                            <w:r w:rsidR="000412CE">
                              <w:rPr>
                                <w:rFonts w:ascii="Times New Roman" w:hAnsi="Times New Roman" w:cs="Times New Roman"/>
                                <w:noProof/>
                              </w:rPr>
                              <w:t>3</w:t>
                            </w:r>
                            <w:r w:rsidR="00F824A5">
                              <w:rPr>
                                <w:rFonts w:ascii="Times New Roman" w:hAnsi="Times New Roman" w:cs="Times New Roman"/>
                              </w:rPr>
                              <w:fldChar w:fldCharType="end"/>
                            </w:r>
                            <w:r w:rsidR="00F824A5">
                              <w:rPr>
                                <w:rFonts w:ascii="Times New Roman" w:hAnsi="Times New Roman" w:cs="Times New Roman"/>
                              </w:rPr>
                              <w:t>.</w:t>
                            </w:r>
                            <w:r w:rsidR="00F824A5">
                              <w:rPr>
                                <w:rFonts w:ascii="Times New Roman" w:hAnsi="Times New Roman" w:cs="Times New Roman"/>
                              </w:rPr>
                              <w:fldChar w:fldCharType="begin"/>
                            </w:r>
                            <w:r w:rsidR="00F824A5">
                              <w:rPr>
                                <w:rFonts w:ascii="Times New Roman" w:hAnsi="Times New Roman" w:cs="Times New Roman"/>
                              </w:rPr>
                              <w:instrText xml:space="preserve"> SEQ Figure \* ARABIC \s 1 </w:instrText>
                            </w:r>
                            <w:r w:rsidR="00F824A5">
                              <w:rPr>
                                <w:rFonts w:ascii="Times New Roman" w:hAnsi="Times New Roman" w:cs="Times New Roman"/>
                              </w:rPr>
                              <w:fldChar w:fldCharType="separate"/>
                            </w:r>
                            <w:r w:rsidR="000412CE">
                              <w:rPr>
                                <w:rFonts w:ascii="Times New Roman" w:hAnsi="Times New Roman" w:cs="Times New Roman"/>
                                <w:noProof/>
                              </w:rPr>
                              <w:t>6</w:t>
                            </w:r>
                            <w:r w:rsidR="00F824A5">
                              <w:rPr>
                                <w:rFonts w:ascii="Times New Roman" w:hAnsi="Times New Roman" w:cs="Times New Roman"/>
                              </w:rPr>
                              <w:fldChar w:fldCharType="end"/>
                            </w:r>
                            <w:r w:rsidRPr="00D21EEE">
                              <w:rPr>
                                <w:rFonts w:ascii="Times New Roman" w:hAnsi="Times New Roman" w:cs="Times New Roman"/>
                              </w:rPr>
                              <w:t>. Melting interface position for varying ΔTm after 5,000 s</w:t>
                            </w:r>
                            <w:r w:rsidR="00D619A3">
                              <w:rPr>
                                <w:rFonts w:ascii="Times New Roman" w:hAnsi="Times New Roman" w:cs="Times New Roman"/>
                              </w:rPr>
                              <w:t xml:space="preserve"> [217]</w:t>
                            </w:r>
                            <w:r w:rsidRPr="00D21EEE">
                              <w:rPr>
                                <w:rFonts w:ascii="Times New Roman" w:hAnsi="Times New Roman" w:cs="Times New Roman"/>
                              </w:rPr>
                              <w:t>.</w:t>
                            </w:r>
                            <w:bookmarkEnd w:id="22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801B418" id="_x0000_s1063" type="#_x0000_t202" style="position:absolute;left:0;text-align:left;margin-left:128.8pt;margin-top:198.9pt;width:180pt;height:.05pt;z-index:251747328;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" stroked="f">
                <v:textbox style="mso-fit-shape-to-text:t" inset="0,0,0,0">
                  <w:txbxContent>
                    <w:p w14:paraId="094E4DD5" w14:textId="5E38F099" w:rsidR="00625AD6" w:rsidRPr="00D21EEE" w:rsidRDefault="00625AD6" w:rsidP="00625AD6">
                      <w:pPr>
                        <w:pStyle w:val="Caption"/>
                        <w:rPr>
                          <w:rFonts w:ascii="Times New Roman" w:hAnsi="Times New Roman" w:cs="Times New Roman"/>
                          <w:noProof/>
                          <w:szCs w:val="22"/>
                        </w:rPr>
                      </w:pPr>
                      <w:bookmarkStart w:id="225" w:name="_Toc214357769"/>
                      <w:r w:rsidRPr="00D21EEE">
                        <w:rPr>
                          <w:rFonts w:ascii="Times New Roman" w:hAnsi="Times New Roman" w:cs="Times New Roman"/>
                        </w:rPr>
                        <w:t xml:space="preserve">Figure </w:t>
                      </w:r>
                      <w:r w:rsidR="00F824A5">
                        <w:rPr>
                          <w:rFonts w:ascii="Times New Roman" w:hAnsi="Times New Roman" w:cs="Times New Roman"/>
                        </w:rPr>
                        <w:fldChar w:fldCharType="begin"/>
                      </w:r>
                      <w:r w:rsidR="00F824A5">
                        <w:rPr>
                          <w:rFonts w:ascii="Times New Roman" w:hAnsi="Times New Roman" w:cs="Times New Roman"/>
                        </w:rPr>
                        <w:instrText xml:space="preserve"> STYLEREF 1 \s </w:instrText>
                      </w:r>
                      <w:r w:rsidR="00F824A5">
                        <w:rPr>
                          <w:rFonts w:ascii="Times New Roman" w:hAnsi="Times New Roman" w:cs="Times New Roman"/>
                        </w:rPr>
                        <w:fldChar w:fldCharType="separate"/>
                      </w:r>
                      <w:r w:rsidR="000412CE">
                        <w:rPr>
                          <w:rFonts w:ascii="Times New Roman" w:hAnsi="Times New Roman" w:cs="Times New Roman"/>
                          <w:noProof/>
                        </w:rPr>
                        <w:t>3</w:t>
                      </w:r>
                      <w:r w:rsidR="00F824A5">
                        <w:rPr>
                          <w:rFonts w:ascii="Times New Roman" w:hAnsi="Times New Roman" w:cs="Times New Roman"/>
                        </w:rPr>
                        <w:fldChar w:fldCharType="end"/>
                      </w:r>
                      <w:r w:rsidR="00F824A5">
                        <w:rPr>
                          <w:rFonts w:ascii="Times New Roman" w:hAnsi="Times New Roman" w:cs="Times New Roman"/>
                        </w:rPr>
                        <w:t>.</w:t>
                      </w:r>
                      <w:r w:rsidR="00F824A5">
                        <w:rPr>
                          <w:rFonts w:ascii="Times New Roman" w:hAnsi="Times New Roman" w:cs="Times New Roman"/>
                        </w:rPr>
                        <w:fldChar w:fldCharType="begin"/>
                      </w:r>
                      <w:r w:rsidR="00F824A5">
                        <w:rPr>
                          <w:rFonts w:ascii="Times New Roman" w:hAnsi="Times New Roman" w:cs="Times New Roman"/>
                        </w:rPr>
                        <w:instrText xml:space="preserve"> SEQ Figure \* ARABIC \s 1 </w:instrText>
                      </w:r>
                      <w:r w:rsidR="00F824A5">
                        <w:rPr>
                          <w:rFonts w:ascii="Times New Roman" w:hAnsi="Times New Roman" w:cs="Times New Roman"/>
                        </w:rPr>
                        <w:fldChar w:fldCharType="separate"/>
                      </w:r>
                      <w:r w:rsidR="000412CE">
                        <w:rPr>
                          <w:rFonts w:ascii="Times New Roman" w:hAnsi="Times New Roman" w:cs="Times New Roman"/>
                          <w:noProof/>
                        </w:rPr>
                        <w:t>6</w:t>
                      </w:r>
                      <w:r w:rsidR="00F824A5">
                        <w:rPr>
                          <w:rFonts w:ascii="Times New Roman" w:hAnsi="Times New Roman" w:cs="Times New Roman"/>
                        </w:rPr>
                        <w:fldChar w:fldCharType="end"/>
                      </w:r>
                      <w:r w:rsidRPr="00D21EEE">
                        <w:rPr>
                          <w:rFonts w:ascii="Times New Roman" w:hAnsi="Times New Roman" w:cs="Times New Roman"/>
                        </w:rPr>
                        <w:t>. Melting interface position for varying ΔTm after 5,000 s</w:t>
                      </w:r>
                      <w:r w:rsidR="00D619A3">
                        <w:rPr>
                          <w:rFonts w:ascii="Times New Roman" w:hAnsi="Times New Roman" w:cs="Times New Roman"/>
                        </w:rPr>
                        <w:t xml:space="preserve"> [217]</w:t>
                      </w:r>
                      <w:r w:rsidRPr="00D21EEE">
                        <w:rPr>
                          <w:rFonts w:ascii="Times New Roman" w:hAnsi="Times New Roman" w:cs="Times New Roman"/>
                        </w:rPr>
                        <w:t>.</w:t>
                      </w:r>
                      <w:bookmarkEnd w:id="225"/>
                    </w:p>
                  </w:txbxContent>
                </v:textbox>
                <w10:wrap type="square" anchorx="margin"/>
              </v:shape>
            </w:pict>
          </mc:Fallback>
        </mc:AlternateContent>
      </w:r>
      <w:r w:rsidRPr="00625AD6">
        <w:rPr>
          <w:rFonts w:cs="Times New Roman"/>
          <w:noProof/>
        </w:rPr>
        <w:drawing>
          <wp:anchor distT="0" distB="0" distL="114300" distR="114300" simplePos="0" relativeHeight="251742208" behindDoc="0" locked="0" layoutInCell="1" allowOverlap="1" wp14:anchorId="7A80E3C1" wp14:editId="3DAE5049">
            <wp:simplePos x="0" y="0"/>
            <wp:positionH relativeFrom="margin">
              <wp:align>right</wp:align>
            </wp:positionH>
            <wp:positionV relativeFrom="paragraph">
              <wp:posOffset>0</wp:posOffset>
            </wp:positionV>
            <wp:extent cx="2286000" cy="2440305"/>
            <wp:effectExtent l="0" t="0" r="0" b="0"/>
            <wp:wrapSquare wrapText="bothSides"/>
            <wp:docPr id="680418062" name="Immagine 1" descr="Immagine che contiene testo, linea, diagramm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0418062" name="Immagine 1" descr="Immagine che contiene testo, linea, diagramma, Diagramma&#10;&#10;Il contenuto generato dall'IA potrebbe non essere corretto."/>
                    <pic:cNvPicPr/>
                  </pic:nvPicPr>
                  <pic:blipFill>
                    <a:blip r:embed="rId159">
                      <a:extLst>
                        <a:ext uri="{28A0092B-C50C-407E-A947-70E740481C1C}">
                          <a14:useLocalDpi xmlns:a14="http://schemas.microsoft.com/office/drawing/2010/main" val="0"/>
                        </a:ext>
                      </a:extLst>
                    </a:blip>
                    <a:stretch>
                      <a:fillRect/>
                    </a:stretch>
                  </pic:blipFill>
                  <pic:spPr>
                    <a:xfrm>
                      <a:off x="0" y="0"/>
                      <a:ext cx="2286000" cy="2440305"/>
                    </a:xfrm>
                    <a:prstGeom prst="rect">
                      <a:avLst/>
                    </a:prstGeom>
                  </pic:spPr>
                </pic:pic>
              </a:graphicData>
            </a:graphic>
            <wp14:sizeRelH relativeFrom="margin">
              <wp14:pctWidth>0</wp14:pctWidth>
            </wp14:sizeRelH>
            <wp14:sizeRelV relativeFrom="margin">
              <wp14:pctHeight>0</wp14:pctHeight>
            </wp14:sizeRelV>
          </wp:anchor>
        </w:drawing>
      </w:r>
      <w:r w:rsidRPr="00625AD6">
        <w:rPr>
          <w:rFonts w:cs="Times New Roman"/>
          <w:lang w:val="en-US"/>
        </w:rPr>
        <w:t xml:space="preserve">After 5,000 seconds of simulation, approximately 21% of the PCM (octadecane) was melted. Comparison with the results of Bertrand et al. </w:t>
      </w:r>
      <w:sdt>
        <w:sdtPr>
          <w:rPr>
            <w:rFonts w:cs="Times New Roman"/>
            <w:lang w:val="en-US"/>
          </w:rPr>
          <w:id w:val="-1086297212"/>
          <w:citation/>
        </w:sdtPr>
        <w:sdtContent>
          <w:r w:rsidR="00F501EC">
            <w:rPr>
              <w:rFonts w:cs="Times New Roman"/>
              <w:lang w:val="en-US"/>
            </w:rPr>
            <w:fldChar w:fldCharType="begin"/>
          </w:r>
          <w:r w:rsidR="00F501EC" w:rsidRPr="00F501EC">
            <w:rPr>
              <w:rFonts w:cs="Times New Roman"/>
              <w:lang w:val="en-US"/>
            </w:rPr>
            <w:instrText xml:space="preserve"> CITATION Placeholder236 \l 1040 </w:instrText>
          </w:r>
          <w:r w:rsidR="00F501EC">
            <w:rPr>
              <w:rFonts w:cs="Times New Roman"/>
              <w:lang w:val="en-US"/>
            </w:rPr>
            <w:fldChar w:fldCharType="separate"/>
          </w:r>
          <w:r w:rsidR="00855396" w:rsidRPr="00855396">
            <w:rPr>
              <w:rFonts w:cs="Times New Roman"/>
              <w:noProof/>
              <w:lang w:val="en-US"/>
            </w:rPr>
            <w:t>[218]</w:t>
          </w:r>
          <w:r w:rsidR="00F501EC">
            <w:rPr>
              <w:rFonts w:cs="Times New Roman"/>
              <w:lang w:val="en-US"/>
            </w:rPr>
            <w:fldChar w:fldCharType="end"/>
          </w:r>
        </w:sdtContent>
      </w:sdt>
      <w:r w:rsidRPr="00625AD6">
        <w:rPr>
          <w:rFonts w:cs="Times New Roman"/>
          <w:lang w:val="en-US"/>
        </w:rPr>
        <w:t xml:space="preserve"> showed good qualitative agreement, although the COMSOL model predicted slightly less melting. This discrepancy is attributed to the numerical definition of viscosity, as the PCM begins to behave as a liquid only above 304 K, delaying the onset of natural convection. The authors also investigated the influence of the melting temperature range (</w:t>
      </w:r>
      <m:oMath>
        <m:r>
          <m:rPr>
            <m:sty m:val="p"/>
          </m:rPr>
          <w:rPr>
            <w:rFonts w:ascii="Cambria Math" w:hAnsi="Cambria Math" w:cs="Times New Roman"/>
          </w:rPr>
          <m:t>Δ</m:t>
        </m:r>
        <m:sSub>
          <m:sSubPr>
            <m:ctrlPr>
              <w:rPr>
                <w:rFonts w:ascii="Cambria Math" w:hAnsi="Cambria Math" w:cs="Times New Roman"/>
              </w:rPr>
            </m:ctrlPr>
          </m:sSubPr>
          <m:e>
            <m:r>
              <w:rPr>
                <w:rFonts w:ascii="Cambria Math" w:hAnsi="Cambria Math" w:cs="Times New Roman"/>
              </w:rPr>
              <m:t>T</m:t>
            </m:r>
          </m:e>
          <m:sub>
            <m:r>
              <w:rPr>
                <w:rFonts w:ascii="Cambria Math" w:hAnsi="Cambria Math" w:cs="Times New Roman"/>
              </w:rPr>
              <m:t>m</m:t>
            </m:r>
          </m:sub>
        </m:sSub>
      </m:oMath>
      <w:r w:rsidRPr="00625AD6">
        <w:rPr>
          <w:rFonts w:cs="Times New Roman"/>
          <w:lang w:val="en-US"/>
        </w:rPr>
        <w:t xml:space="preserve">) on the position of the melting interface, testing values between 0.01 K and 3 K. The best agreement with Bertrand et al.’s results was obtained for melting ranges of 0.1 K and 0.5 K, confirming that overly narrow or wide ranges reduce model accuracy. Interface positions are represented in </w:t>
      </w:r>
      <w:r w:rsidR="00F43E9A">
        <w:rPr>
          <w:rFonts w:cs="Times New Roman"/>
          <w:lang w:val="en-US"/>
        </w:rPr>
        <w:t>Figure 3</w:t>
      </w:r>
      <w:r w:rsidR="00F501EC">
        <w:rPr>
          <w:rFonts w:cs="Times New Roman"/>
          <w:lang w:val="en-US"/>
        </w:rPr>
        <w:t>.6</w:t>
      </w:r>
      <w:r w:rsidRPr="00625AD6">
        <w:rPr>
          <w:rFonts w:cs="Times New Roman"/>
          <w:lang w:val="en-US"/>
        </w:rPr>
        <w:t>. A parametric analysis was further conducted to evaluate the influence of three key parameters: dynamic viscosity, thermal conductivity, and the presence of fins. Lower viscosity enhances natural convection and accelerates melting; higher thermal conductivity promotes a more uniform heat distribution; and fins improve heat transfer efficiency, provided their spacing does not inhibit convective flow. The study highlights that a proper balance between conduction and convection is essential for accurately modeling PCM melting. The choice of melting temperature range and numerical viscosity definition strongly affects the shape and progression of the melting front. Since the material properties of the PCM used in the LHESS are fixed, the authors conclude that adding fins is an effective way to increase melting rates and promote natural convection, thereby improving the overall thermal performance of the system.</w:t>
      </w:r>
    </w:p>
    <w:p w14:paraId="59432855" w14:textId="4AD071BC" w:rsidR="00625AD6" w:rsidRPr="00625AD6" w:rsidRDefault="00625AD6" w:rsidP="00625AD6">
      <w:pPr>
        <w:rPr>
          <w:rFonts w:cs="Times New Roman"/>
          <w:lang w:val="en-US"/>
        </w:rPr>
      </w:pPr>
      <w:r w:rsidRPr="00625AD6">
        <w:rPr>
          <w:rFonts w:cs="Times New Roman"/>
          <w:lang w:val="en-US"/>
        </w:rPr>
        <w:lastRenderedPageBreak/>
        <w:t xml:space="preserve">Rubinetti et al. </w:t>
      </w:r>
      <w:sdt>
        <w:sdtPr>
          <w:rPr>
            <w:rFonts w:cs="Times New Roman"/>
            <w:lang w:val="en-US"/>
          </w:rPr>
          <w:id w:val="-1265381161"/>
          <w:citation/>
        </w:sdtPr>
        <w:sdtContent>
          <w:r w:rsidR="00F501EC">
            <w:rPr>
              <w:rFonts w:cs="Times New Roman"/>
              <w:lang w:val="en-US"/>
            </w:rPr>
            <w:fldChar w:fldCharType="begin"/>
          </w:r>
          <w:r w:rsidR="00F501EC" w:rsidRPr="00F501EC">
            <w:rPr>
              <w:rFonts w:cs="Times New Roman"/>
              <w:lang w:val="en-US"/>
            </w:rPr>
            <w:instrText xml:space="preserve"> CITATION Placeholder237 \l 1040 </w:instrText>
          </w:r>
          <w:r w:rsidR="00F501EC">
            <w:rPr>
              <w:rFonts w:cs="Times New Roman"/>
              <w:lang w:val="en-US"/>
            </w:rPr>
            <w:fldChar w:fldCharType="separate"/>
          </w:r>
          <w:r w:rsidR="00855396" w:rsidRPr="00855396">
            <w:rPr>
              <w:rFonts w:cs="Times New Roman"/>
              <w:noProof/>
              <w:lang w:val="en-US"/>
            </w:rPr>
            <w:t>[219]</w:t>
          </w:r>
          <w:r w:rsidR="00F501EC">
            <w:rPr>
              <w:rFonts w:cs="Times New Roman"/>
              <w:lang w:val="en-US"/>
            </w:rPr>
            <w:fldChar w:fldCharType="end"/>
          </w:r>
        </w:sdtContent>
      </w:sdt>
      <w:r w:rsidRPr="00625AD6">
        <w:rPr>
          <w:rFonts w:cs="Times New Roman"/>
          <w:lang w:val="en-US"/>
        </w:rPr>
        <w:t xml:space="preserve"> present a numerical modeling approach for the application of PCMs in the building sector, developed using COMSOL Multiphysics®. The model introduces a “mushy zone”, a transition region between the solid and liquid phases where thermophysical properties are distributed over a user-defined melting temperature range. This allows for a more realistic representation of the material </w:t>
      </w:r>
      <w:r w:rsidRPr="00625AD6">
        <w:rPr>
          <w:rFonts w:cs="Times New Roman"/>
          <w:noProof/>
          <w:lang w:val="en-US"/>
        </w:rPr>
        <w:drawing>
          <wp:anchor distT="0" distB="0" distL="114300" distR="114300" simplePos="0" relativeHeight="251748352" behindDoc="0" locked="0" layoutInCell="1" allowOverlap="1" wp14:anchorId="4BF5D820" wp14:editId="718B12AD">
            <wp:simplePos x="0" y="0"/>
            <wp:positionH relativeFrom="margin">
              <wp:align>right</wp:align>
            </wp:positionH>
            <wp:positionV relativeFrom="paragraph">
              <wp:posOffset>27305</wp:posOffset>
            </wp:positionV>
            <wp:extent cx="2804795" cy="4038600"/>
            <wp:effectExtent l="0" t="0" r="0" b="0"/>
            <wp:wrapSquare wrapText="bothSides"/>
            <wp:docPr id="1454362411" name="Picture 1" descr="A graph of temperature and temperatu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362411" name="Picture 1" descr="A graph of temperature and temperature&#10;&#10;AI-generated content may be incorrect."/>
                    <pic:cNvPicPr/>
                  </pic:nvPicPr>
                  <pic:blipFill>
                    <a:blip r:embed="rId160">
                      <a:extLst>
                        <a:ext uri="{28A0092B-C50C-407E-A947-70E740481C1C}">
                          <a14:useLocalDpi xmlns:a14="http://schemas.microsoft.com/office/drawing/2010/main" val="0"/>
                        </a:ext>
                      </a:extLst>
                    </a:blip>
                    <a:stretch>
                      <a:fillRect/>
                    </a:stretch>
                  </pic:blipFill>
                  <pic:spPr>
                    <a:xfrm>
                      <a:off x="0" y="0"/>
                      <a:ext cx="2804795" cy="4038600"/>
                    </a:xfrm>
                    <a:prstGeom prst="rect">
                      <a:avLst/>
                    </a:prstGeom>
                  </pic:spPr>
                </pic:pic>
              </a:graphicData>
            </a:graphic>
            <wp14:sizeRelH relativeFrom="margin">
              <wp14:pctWidth>0</wp14:pctWidth>
            </wp14:sizeRelH>
            <wp14:sizeRelV relativeFrom="margin">
              <wp14:pctHeight>0</wp14:pctHeight>
            </wp14:sizeRelV>
          </wp:anchor>
        </w:drawing>
      </w:r>
      <w:r w:rsidRPr="00625AD6">
        <w:rPr>
          <w:rFonts w:cs="Times New Roman"/>
          <w:lang w:val="en-US"/>
        </w:rPr>
        <w:t xml:space="preserve">behavior during the phase change process. The model was first tested in a two-dimensional (2D) configuration to analyze the influence of natural convection on the melting front propagation and was later adapted to a one-dimensional (1D) configuration representative of the wall cross-section of a typical Norwegian wooden house. This simplified version enables a rapid estimation of the energy optimization potential and supports the selection of the most suitable PCM according to climatic and structural conditions. Numerical results show that the PCM can release stored latent heat, thereby reducing the building’s heating demand and stabilizing indoor temperatures. As shown in </w:t>
      </w:r>
      <w:r w:rsidR="00F43E9A">
        <w:rPr>
          <w:rFonts w:cs="Times New Roman"/>
          <w:lang w:val="en-US"/>
        </w:rPr>
        <w:t>Figure 3</w:t>
      </w:r>
      <w:r w:rsidR="00F501EC">
        <w:rPr>
          <w:rFonts w:cs="Times New Roman"/>
          <w:lang w:val="en-US"/>
        </w:rPr>
        <w:t>.7</w:t>
      </w:r>
      <w:r w:rsidRPr="00625AD6">
        <w:rPr>
          <w:rFonts w:cs="Times New Roman"/>
          <w:lang w:val="en-US"/>
        </w:rPr>
        <w:t xml:space="preserve">a, during the simulated week, the heater </w:t>
      </w:r>
      <w:r w:rsidR="004C4E06" w:rsidRPr="00625AD6">
        <w:rPr>
          <w:noProof/>
        </w:rPr>
        <mc:AlternateContent>
          <mc:Choice Requires="wps">
            <w:drawing>
              <wp:anchor distT="0" distB="0" distL="114300" distR="114300" simplePos="0" relativeHeight="251751424" behindDoc="0" locked="0" layoutInCell="1" allowOverlap="1" wp14:anchorId="187E4A93" wp14:editId="30D97C5D">
                <wp:simplePos x="0" y="0"/>
                <wp:positionH relativeFrom="margin">
                  <wp:align>right</wp:align>
                </wp:positionH>
                <wp:positionV relativeFrom="paragraph">
                  <wp:posOffset>4114800</wp:posOffset>
                </wp:positionV>
                <wp:extent cx="2776220" cy="635"/>
                <wp:effectExtent l="0" t="0" r="5080" b="0"/>
                <wp:wrapSquare wrapText="bothSides"/>
                <wp:docPr id="263437517" name="Text Box 1"/>
                <wp:cNvGraphicFramePr/>
                <a:graphic xmlns:a="http://schemas.openxmlformats.org/drawingml/2006/main">
                  <a:graphicData uri="http://schemas.microsoft.com/office/word/2010/wordprocessingShape">
                    <wps:wsp>
                      <wps:cNvSpPr txBox="1"/>
                      <wps:spPr>
                        <a:xfrm>
                          <a:off x="0" y="0"/>
                          <a:ext cx="2776220" cy="635"/>
                        </a:xfrm>
                        <a:prstGeom prst="rect">
                          <a:avLst/>
                        </a:prstGeom>
                        <a:solidFill>
                          <a:prstClr val="white"/>
                        </a:solidFill>
                        <a:ln>
                          <a:noFill/>
                        </a:ln>
                      </wps:spPr>
                      <wps:txbx>
                        <w:txbxContent>
                          <w:p w14:paraId="40C793D6" w14:textId="3C491F8F" w:rsidR="00625AD6" w:rsidRPr="00B117B3" w:rsidRDefault="00625AD6" w:rsidP="00625AD6">
                            <w:pPr>
                              <w:pStyle w:val="Caption"/>
                              <w:rPr>
                                <w:rFonts w:ascii="Times New Roman" w:hAnsi="Times New Roman" w:cs="Times New Roman"/>
                                <w:szCs w:val="22"/>
                              </w:rPr>
                            </w:pPr>
                            <w:bookmarkStart w:id="226" w:name="_Toc214357770"/>
                            <w:r w:rsidRPr="00B117B3">
                              <w:rPr>
                                <w:rFonts w:ascii="Times New Roman" w:hAnsi="Times New Roman" w:cs="Times New Roman"/>
                              </w:rPr>
                              <w:t xml:space="preserve">Figure </w:t>
                            </w:r>
                            <w:r w:rsidR="00F824A5">
                              <w:rPr>
                                <w:rFonts w:ascii="Times New Roman" w:hAnsi="Times New Roman" w:cs="Times New Roman"/>
                              </w:rPr>
                              <w:fldChar w:fldCharType="begin"/>
                            </w:r>
                            <w:r w:rsidR="00F824A5">
                              <w:rPr>
                                <w:rFonts w:ascii="Times New Roman" w:hAnsi="Times New Roman" w:cs="Times New Roman"/>
                              </w:rPr>
                              <w:instrText xml:space="preserve"> STYLEREF 1 \s </w:instrText>
                            </w:r>
                            <w:r w:rsidR="00F824A5">
                              <w:rPr>
                                <w:rFonts w:ascii="Times New Roman" w:hAnsi="Times New Roman" w:cs="Times New Roman"/>
                              </w:rPr>
                              <w:fldChar w:fldCharType="separate"/>
                            </w:r>
                            <w:r w:rsidR="000412CE">
                              <w:rPr>
                                <w:rFonts w:ascii="Times New Roman" w:hAnsi="Times New Roman" w:cs="Times New Roman"/>
                                <w:noProof/>
                              </w:rPr>
                              <w:t>3</w:t>
                            </w:r>
                            <w:r w:rsidR="00F824A5">
                              <w:rPr>
                                <w:rFonts w:ascii="Times New Roman" w:hAnsi="Times New Roman" w:cs="Times New Roman"/>
                              </w:rPr>
                              <w:fldChar w:fldCharType="end"/>
                            </w:r>
                            <w:r w:rsidR="00F824A5">
                              <w:rPr>
                                <w:rFonts w:ascii="Times New Roman" w:hAnsi="Times New Roman" w:cs="Times New Roman"/>
                              </w:rPr>
                              <w:t>.</w:t>
                            </w:r>
                            <w:r w:rsidR="00F824A5">
                              <w:rPr>
                                <w:rFonts w:ascii="Times New Roman" w:hAnsi="Times New Roman" w:cs="Times New Roman"/>
                              </w:rPr>
                              <w:fldChar w:fldCharType="begin"/>
                            </w:r>
                            <w:r w:rsidR="00F824A5">
                              <w:rPr>
                                <w:rFonts w:ascii="Times New Roman" w:hAnsi="Times New Roman" w:cs="Times New Roman"/>
                              </w:rPr>
                              <w:instrText xml:space="preserve"> SEQ Figure \* ARABIC \s 1 </w:instrText>
                            </w:r>
                            <w:r w:rsidR="00F824A5">
                              <w:rPr>
                                <w:rFonts w:ascii="Times New Roman" w:hAnsi="Times New Roman" w:cs="Times New Roman"/>
                              </w:rPr>
                              <w:fldChar w:fldCharType="separate"/>
                            </w:r>
                            <w:r w:rsidR="000412CE">
                              <w:rPr>
                                <w:rFonts w:ascii="Times New Roman" w:hAnsi="Times New Roman" w:cs="Times New Roman"/>
                                <w:noProof/>
                              </w:rPr>
                              <w:t>7</w:t>
                            </w:r>
                            <w:r w:rsidR="00F824A5">
                              <w:rPr>
                                <w:rFonts w:ascii="Times New Roman" w:hAnsi="Times New Roman" w:cs="Times New Roman"/>
                              </w:rPr>
                              <w:fldChar w:fldCharType="end"/>
                            </w:r>
                            <w:r w:rsidRPr="00B117B3">
                              <w:rPr>
                                <w:rFonts w:ascii="Times New Roman" w:hAnsi="Times New Roman" w:cs="Times New Roman"/>
                              </w:rPr>
                              <w:t>. (a) Heating at 21 °C: PCM saves around 1</w:t>
                            </w:r>
                            <w:r w:rsidR="004C4E06">
                              <w:rPr>
                                <w:rFonts w:ascii="Times New Roman" w:hAnsi="Times New Roman" w:cs="Times New Roman"/>
                              </w:rPr>
                              <w:t>.</w:t>
                            </w:r>
                            <w:r w:rsidRPr="00B117B3">
                              <w:rPr>
                                <w:rFonts w:ascii="Times New Roman" w:hAnsi="Times New Roman" w:cs="Times New Roman"/>
                              </w:rPr>
                              <w:t>5% energy/week (b) Wall temperatures: no-PCM cools faster</w:t>
                            </w:r>
                            <w:r w:rsidR="00D619A3">
                              <w:rPr>
                                <w:rFonts w:ascii="Times New Roman" w:hAnsi="Times New Roman" w:cs="Times New Roman"/>
                              </w:rPr>
                              <w:t xml:space="preserve"> [219].</w:t>
                            </w:r>
                            <w:bookmarkEnd w:id="22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87E4A93" id="_x0000_s1064" type="#_x0000_t202" style="position:absolute;left:0;text-align:left;margin-left:167.4pt;margin-top:324pt;width:218.6pt;height:.05pt;z-index:251751424;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" stroked="f">
                <v:textbox style="mso-fit-shape-to-text:t" inset="0,0,0,0">
                  <w:txbxContent>
                    <w:p w14:paraId="40C793D6" w14:textId="3C491F8F" w:rsidR="00625AD6" w:rsidRPr="00B117B3" w:rsidRDefault="00625AD6" w:rsidP="00625AD6">
                      <w:pPr>
                        <w:pStyle w:val="Caption"/>
                        <w:rPr>
                          <w:rFonts w:ascii="Times New Roman" w:hAnsi="Times New Roman" w:cs="Times New Roman"/>
                          <w:szCs w:val="22"/>
                        </w:rPr>
                      </w:pPr>
                      <w:bookmarkStart w:id="227" w:name="_Toc214357770"/>
                      <w:r w:rsidRPr="00B117B3">
                        <w:rPr>
                          <w:rFonts w:ascii="Times New Roman" w:hAnsi="Times New Roman" w:cs="Times New Roman"/>
                        </w:rPr>
                        <w:t xml:space="preserve">Figure </w:t>
                      </w:r>
                      <w:r w:rsidR="00F824A5">
                        <w:rPr>
                          <w:rFonts w:ascii="Times New Roman" w:hAnsi="Times New Roman" w:cs="Times New Roman"/>
                        </w:rPr>
                        <w:fldChar w:fldCharType="begin"/>
                      </w:r>
                      <w:r w:rsidR="00F824A5">
                        <w:rPr>
                          <w:rFonts w:ascii="Times New Roman" w:hAnsi="Times New Roman" w:cs="Times New Roman"/>
                        </w:rPr>
                        <w:instrText xml:space="preserve"> STYLEREF 1 \s </w:instrText>
                      </w:r>
                      <w:r w:rsidR="00F824A5">
                        <w:rPr>
                          <w:rFonts w:ascii="Times New Roman" w:hAnsi="Times New Roman" w:cs="Times New Roman"/>
                        </w:rPr>
                        <w:fldChar w:fldCharType="separate"/>
                      </w:r>
                      <w:r w:rsidR="000412CE">
                        <w:rPr>
                          <w:rFonts w:ascii="Times New Roman" w:hAnsi="Times New Roman" w:cs="Times New Roman"/>
                          <w:noProof/>
                        </w:rPr>
                        <w:t>3</w:t>
                      </w:r>
                      <w:r w:rsidR="00F824A5">
                        <w:rPr>
                          <w:rFonts w:ascii="Times New Roman" w:hAnsi="Times New Roman" w:cs="Times New Roman"/>
                        </w:rPr>
                        <w:fldChar w:fldCharType="end"/>
                      </w:r>
                      <w:r w:rsidR="00F824A5">
                        <w:rPr>
                          <w:rFonts w:ascii="Times New Roman" w:hAnsi="Times New Roman" w:cs="Times New Roman"/>
                        </w:rPr>
                        <w:t>.</w:t>
                      </w:r>
                      <w:r w:rsidR="00F824A5">
                        <w:rPr>
                          <w:rFonts w:ascii="Times New Roman" w:hAnsi="Times New Roman" w:cs="Times New Roman"/>
                        </w:rPr>
                        <w:fldChar w:fldCharType="begin"/>
                      </w:r>
                      <w:r w:rsidR="00F824A5">
                        <w:rPr>
                          <w:rFonts w:ascii="Times New Roman" w:hAnsi="Times New Roman" w:cs="Times New Roman"/>
                        </w:rPr>
                        <w:instrText xml:space="preserve"> SEQ Figure \* ARABIC \s 1 </w:instrText>
                      </w:r>
                      <w:r w:rsidR="00F824A5">
                        <w:rPr>
                          <w:rFonts w:ascii="Times New Roman" w:hAnsi="Times New Roman" w:cs="Times New Roman"/>
                        </w:rPr>
                        <w:fldChar w:fldCharType="separate"/>
                      </w:r>
                      <w:r w:rsidR="000412CE">
                        <w:rPr>
                          <w:rFonts w:ascii="Times New Roman" w:hAnsi="Times New Roman" w:cs="Times New Roman"/>
                          <w:noProof/>
                        </w:rPr>
                        <w:t>7</w:t>
                      </w:r>
                      <w:r w:rsidR="00F824A5">
                        <w:rPr>
                          <w:rFonts w:ascii="Times New Roman" w:hAnsi="Times New Roman" w:cs="Times New Roman"/>
                        </w:rPr>
                        <w:fldChar w:fldCharType="end"/>
                      </w:r>
                      <w:r w:rsidRPr="00B117B3">
                        <w:rPr>
                          <w:rFonts w:ascii="Times New Roman" w:hAnsi="Times New Roman" w:cs="Times New Roman"/>
                        </w:rPr>
                        <w:t>. (a) Heating at 21 °C: PCM saves around 1</w:t>
                      </w:r>
                      <w:r w:rsidR="004C4E06">
                        <w:rPr>
                          <w:rFonts w:ascii="Times New Roman" w:hAnsi="Times New Roman" w:cs="Times New Roman"/>
                        </w:rPr>
                        <w:t>.</w:t>
                      </w:r>
                      <w:r w:rsidRPr="00B117B3">
                        <w:rPr>
                          <w:rFonts w:ascii="Times New Roman" w:hAnsi="Times New Roman" w:cs="Times New Roman"/>
                        </w:rPr>
                        <w:t>5% energy/week (b) Wall temperatures: no-PCM cools faster</w:t>
                      </w:r>
                      <w:r w:rsidR="00D619A3">
                        <w:rPr>
                          <w:rFonts w:ascii="Times New Roman" w:hAnsi="Times New Roman" w:cs="Times New Roman"/>
                        </w:rPr>
                        <w:t xml:space="preserve"> [219].</w:t>
                      </w:r>
                      <w:bookmarkEnd w:id="227"/>
                    </w:p>
                  </w:txbxContent>
                </v:textbox>
                <w10:wrap type="square" anchorx="margin"/>
              </v:shape>
            </w:pict>
          </mc:Fallback>
        </mc:AlternateContent>
      </w:r>
      <w:r w:rsidRPr="00625AD6">
        <w:rPr>
          <w:rFonts w:cs="Times New Roman"/>
          <w:lang w:val="en-US"/>
        </w:rPr>
        <w:t xml:space="preserve">remained idle for about half of the time, with an energy saving of approximately 1.54% compared to the case without PCM. </w:t>
      </w:r>
      <w:r w:rsidR="00F43E9A">
        <w:rPr>
          <w:rFonts w:cs="Times New Roman"/>
          <w:lang w:val="en-US"/>
        </w:rPr>
        <w:t>Figure 3</w:t>
      </w:r>
      <w:r w:rsidR="00F501EC">
        <w:rPr>
          <w:rFonts w:cs="Times New Roman"/>
          <w:lang w:val="en-US"/>
        </w:rPr>
        <w:t>.7</w:t>
      </w:r>
      <w:r w:rsidRPr="00625AD6">
        <w:rPr>
          <w:rFonts w:cs="Times New Roman"/>
          <w:lang w:val="en-US"/>
        </w:rPr>
        <w:t xml:space="preserve">b further illustrates how the PCM maintains a nearly constant temperature once the freezing point is reached, effectively damping thermal oscillations and limiting the temperature fluctuations compared to the non-PCM configuration. The use of PCMs proves to be more effective in reducing cooling demand during summer than in decreasing heating demand during winter. Nevertheless, it significantly contributes to lowering temperature peaks, improving indoor thermal comfort. From a numerical perspective, the enthalpy-porosity formulation adopted in the model provides an optimal balance between physical accuracy and computational efficiency, allowing for the simultaneous solution of momentum, continuity, and energy equations. The authors note that the model can be employed both for detailed analysis of melting and solidification processes and as a rapid assessment tool to estimate the energy benefits of using PCMs in external walls. Moreover, they emphasize the importance of including indoor thermal dynamics—such as internal heat gains and </w:t>
      </w:r>
      <w:r w:rsidRPr="00625AD6">
        <w:rPr>
          <w:rFonts w:cs="Times New Roman"/>
          <w:lang w:val="en-US"/>
        </w:rPr>
        <w:lastRenderedPageBreak/>
        <w:t>radiation—in the simulations, to accurately assess PCM performance and define the optimal selection parameters for the material.</w:t>
      </w:r>
    </w:p>
    <w:p w14:paraId="006F24A4" w14:textId="6D4EB897" w:rsidR="00625AD6" w:rsidRPr="00625AD6" w:rsidRDefault="00625AD6" w:rsidP="00625AD6">
      <w:pPr>
        <w:rPr>
          <w:rFonts w:cs="Times New Roman"/>
          <w:lang w:val="en-US"/>
        </w:rPr>
      </w:pPr>
      <w:r w:rsidRPr="00F501EC">
        <w:rPr>
          <w:noProof/>
        </w:rPr>
        <mc:AlternateContent>
          <mc:Choice Requires="wps">
            <w:drawing>
              <wp:anchor distT="0" distB="0" distL="114300" distR="114300" simplePos="0" relativeHeight="251753472" behindDoc="0" locked="0" layoutInCell="1" allowOverlap="1" wp14:anchorId="25BFF046" wp14:editId="026F2279">
                <wp:simplePos x="0" y="0"/>
                <wp:positionH relativeFrom="margin">
                  <wp:align>right</wp:align>
                </wp:positionH>
                <wp:positionV relativeFrom="paragraph">
                  <wp:posOffset>2645410</wp:posOffset>
                </wp:positionV>
                <wp:extent cx="1778635" cy="635"/>
                <wp:effectExtent l="0" t="0" r="0" b="0"/>
                <wp:wrapSquare wrapText="bothSides"/>
                <wp:docPr id="1729768273" name="Text Box 1"/>
                <wp:cNvGraphicFramePr/>
                <a:graphic xmlns:a="http://schemas.openxmlformats.org/drawingml/2006/main">
                  <a:graphicData uri="http://schemas.microsoft.com/office/word/2010/wordprocessingShape">
                    <wps:wsp>
                      <wps:cNvSpPr txBox="1"/>
                      <wps:spPr>
                        <a:xfrm>
                          <a:off x="0" y="0"/>
                          <a:ext cx="1778635" cy="635"/>
                        </a:xfrm>
                        <a:prstGeom prst="rect">
                          <a:avLst/>
                        </a:prstGeom>
                        <a:solidFill>
                          <a:prstClr val="white"/>
                        </a:solidFill>
                        <a:ln>
                          <a:noFill/>
                        </a:ln>
                      </wps:spPr>
                      <wps:txbx>
                        <w:txbxContent>
                          <w:p w14:paraId="44B3A9D6" w14:textId="63DE0619" w:rsidR="00625AD6" w:rsidRPr="00B117B3" w:rsidRDefault="00625AD6" w:rsidP="00625AD6">
                            <w:pPr>
                              <w:pStyle w:val="Caption"/>
                              <w:rPr>
                                <w:rFonts w:ascii="Times New Roman" w:hAnsi="Times New Roman" w:cs="Times New Roman"/>
                                <w:szCs w:val="22"/>
                              </w:rPr>
                            </w:pPr>
                            <w:bookmarkStart w:id="228" w:name="_Toc214357771"/>
                            <w:r w:rsidRPr="00B117B3">
                              <w:rPr>
                                <w:rFonts w:ascii="Times New Roman" w:hAnsi="Times New Roman" w:cs="Times New Roman"/>
                              </w:rPr>
                              <w:t xml:space="preserve">Figure </w:t>
                            </w:r>
                            <w:r w:rsidR="00F824A5">
                              <w:rPr>
                                <w:rFonts w:ascii="Times New Roman" w:hAnsi="Times New Roman" w:cs="Times New Roman"/>
                              </w:rPr>
                              <w:fldChar w:fldCharType="begin"/>
                            </w:r>
                            <w:r w:rsidR="00F824A5">
                              <w:rPr>
                                <w:rFonts w:ascii="Times New Roman" w:hAnsi="Times New Roman" w:cs="Times New Roman"/>
                              </w:rPr>
                              <w:instrText xml:space="preserve"> STYLEREF 1 \s </w:instrText>
                            </w:r>
                            <w:r w:rsidR="00F824A5">
                              <w:rPr>
                                <w:rFonts w:ascii="Times New Roman" w:hAnsi="Times New Roman" w:cs="Times New Roman"/>
                              </w:rPr>
                              <w:fldChar w:fldCharType="separate"/>
                            </w:r>
                            <w:r w:rsidR="000412CE">
                              <w:rPr>
                                <w:rFonts w:ascii="Times New Roman" w:hAnsi="Times New Roman" w:cs="Times New Roman"/>
                                <w:noProof/>
                              </w:rPr>
                              <w:t>3</w:t>
                            </w:r>
                            <w:r w:rsidR="00F824A5">
                              <w:rPr>
                                <w:rFonts w:ascii="Times New Roman" w:hAnsi="Times New Roman" w:cs="Times New Roman"/>
                              </w:rPr>
                              <w:fldChar w:fldCharType="end"/>
                            </w:r>
                            <w:r w:rsidR="00F824A5">
                              <w:rPr>
                                <w:rFonts w:ascii="Times New Roman" w:hAnsi="Times New Roman" w:cs="Times New Roman"/>
                              </w:rPr>
                              <w:t>.</w:t>
                            </w:r>
                            <w:r w:rsidR="00F824A5">
                              <w:rPr>
                                <w:rFonts w:ascii="Times New Roman" w:hAnsi="Times New Roman" w:cs="Times New Roman"/>
                              </w:rPr>
                              <w:fldChar w:fldCharType="begin"/>
                            </w:r>
                            <w:r w:rsidR="00F824A5">
                              <w:rPr>
                                <w:rFonts w:ascii="Times New Roman" w:hAnsi="Times New Roman" w:cs="Times New Roman"/>
                              </w:rPr>
                              <w:instrText xml:space="preserve"> SEQ Figure \* ARABIC \s 1 </w:instrText>
                            </w:r>
                            <w:r w:rsidR="00F824A5">
                              <w:rPr>
                                <w:rFonts w:ascii="Times New Roman" w:hAnsi="Times New Roman" w:cs="Times New Roman"/>
                              </w:rPr>
                              <w:fldChar w:fldCharType="separate"/>
                            </w:r>
                            <w:r w:rsidR="000412CE">
                              <w:rPr>
                                <w:rFonts w:ascii="Times New Roman" w:hAnsi="Times New Roman" w:cs="Times New Roman"/>
                                <w:noProof/>
                              </w:rPr>
                              <w:t>8</w:t>
                            </w:r>
                            <w:r w:rsidR="00F824A5">
                              <w:rPr>
                                <w:rFonts w:ascii="Times New Roman" w:hAnsi="Times New Roman" w:cs="Times New Roman"/>
                              </w:rPr>
                              <w:fldChar w:fldCharType="end"/>
                            </w:r>
                            <w:r w:rsidRPr="00B117B3">
                              <w:rPr>
                                <w:rFonts w:ascii="Times New Roman" w:hAnsi="Times New Roman" w:cs="Times New Roman"/>
                              </w:rPr>
                              <w:t>. Comsol results at t=13,700s: (a) temperature field; (b) solidification fronts</w:t>
                            </w:r>
                            <w:r w:rsidR="00D619A3">
                              <w:rPr>
                                <w:rFonts w:ascii="Times New Roman" w:hAnsi="Times New Roman" w:cs="Times New Roman"/>
                              </w:rPr>
                              <w:t xml:space="preserve"> [220].</w:t>
                            </w:r>
                            <w:bookmarkEnd w:id="22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5BFF046" id="_x0000_s1065" type="#_x0000_t202" style="position:absolute;left:0;text-align:left;margin-left:88.85pt;margin-top:208.3pt;width:140.05pt;height:.05pt;z-index:251753472;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" stroked="f">
                <v:textbox style="mso-fit-shape-to-text:t" inset="0,0,0,0">
                  <w:txbxContent>
                    <w:p w14:paraId="44B3A9D6" w14:textId="63DE0619" w:rsidR="00625AD6" w:rsidRPr="00B117B3" w:rsidRDefault="00625AD6" w:rsidP="00625AD6">
                      <w:pPr>
                        <w:pStyle w:val="Caption"/>
                        <w:rPr>
                          <w:rFonts w:ascii="Times New Roman" w:hAnsi="Times New Roman" w:cs="Times New Roman"/>
                          <w:szCs w:val="22"/>
                        </w:rPr>
                      </w:pPr>
                      <w:bookmarkStart w:id="229" w:name="_Toc214357771"/>
                      <w:r w:rsidRPr="00B117B3">
                        <w:rPr>
                          <w:rFonts w:ascii="Times New Roman" w:hAnsi="Times New Roman" w:cs="Times New Roman"/>
                        </w:rPr>
                        <w:t xml:space="preserve">Figure </w:t>
                      </w:r>
                      <w:r w:rsidR="00F824A5">
                        <w:rPr>
                          <w:rFonts w:ascii="Times New Roman" w:hAnsi="Times New Roman" w:cs="Times New Roman"/>
                        </w:rPr>
                        <w:fldChar w:fldCharType="begin"/>
                      </w:r>
                      <w:r w:rsidR="00F824A5">
                        <w:rPr>
                          <w:rFonts w:ascii="Times New Roman" w:hAnsi="Times New Roman" w:cs="Times New Roman"/>
                        </w:rPr>
                        <w:instrText xml:space="preserve"> STYLEREF 1 \s </w:instrText>
                      </w:r>
                      <w:r w:rsidR="00F824A5">
                        <w:rPr>
                          <w:rFonts w:ascii="Times New Roman" w:hAnsi="Times New Roman" w:cs="Times New Roman"/>
                        </w:rPr>
                        <w:fldChar w:fldCharType="separate"/>
                      </w:r>
                      <w:r w:rsidR="000412CE">
                        <w:rPr>
                          <w:rFonts w:ascii="Times New Roman" w:hAnsi="Times New Roman" w:cs="Times New Roman"/>
                          <w:noProof/>
                        </w:rPr>
                        <w:t>3</w:t>
                      </w:r>
                      <w:r w:rsidR="00F824A5">
                        <w:rPr>
                          <w:rFonts w:ascii="Times New Roman" w:hAnsi="Times New Roman" w:cs="Times New Roman"/>
                        </w:rPr>
                        <w:fldChar w:fldCharType="end"/>
                      </w:r>
                      <w:r w:rsidR="00F824A5">
                        <w:rPr>
                          <w:rFonts w:ascii="Times New Roman" w:hAnsi="Times New Roman" w:cs="Times New Roman"/>
                        </w:rPr>
                        <w:t>.</w:t>
                      </w:r>
                      <w:r w:rsidR="00F824A5">
                        <w:rPr>
                          <w:rFonts w:ascii="Times New Roman" w:hAnsi="Times New Roman" w:cs="Times New Roman"/>
                        </w:rPr>
                        <w:fldChar w:fldCharType="begin"/>
                      </w:r>
                      <w:r w:rsidR="00F824A5">
                        <w:rPr>
                          <w:rFonts w:ascii="Times New Roman" w:hAnsi="Times New Roman" w:cs="Times New Roman"/>
                        </w:rPr>
                        <w:instrText xml:space="preserve"> SEQ Figure \* ARABIC \s 1 </w:instrText>
                      </w:r>
                      <w:r w:rsidR="00F824A5">
                        <w:rPr>
                          <w:rFonts w:ascii="Times New Roman" w:hAnsi="Times New Roman" w:cs="Times New Roman"/>
                        </w:rPr>
                        <w:fldChar w:fldCharType="separate"/>
                      </w:r>
                      <w:r w:rsidR="000412CE">
                        <w:rPr>
                          <w:rFonts w:ascii="Times New Roman" w:hAnsi="Times New Roman" w:cs="Times New Roman"/>
                          <w:noProof/>
                        </w:rPr>
                        <w:t>8</w:t>
                      </w:r>
                      <w:r w:rsidR="00F824A5">
                        <w:rPr>
                          <w:rFonts w:ascii="Times New Roman" w:hAnsi="Times New Roman" w:cs="Times New Roman"/>
                        </w:rPr>
                        <w:fldChar w:fldCharType="end"/>
                      </w:r>
                      <w:r w:rsidRPr="00B117B3">
                        <w:rPr>
                          <w:rFonts w:ascii="Times New Roman" w:hAnsi="Times New Roman" w:cs="Times New Roman"/>
                        </w:rPr>
                        <w:t>. Comsol results at t=13,700s: (a) temperature field; (b) solidification fronts</w:t>
                      </w:r>
                      <w:r w:rsidR="00D619A3">
                        <w:rPr>
                          <w:rFonts w:ascii="Times New Roman" w:hAnsi="Times New Roman" w:cs="Times New Roman"/>
                        </w:rPr>
                        <w:t xml:space="preserve"> [220].</w:t>
                      </w:r>
                      <w:bookmarkEnd w:id="229"/>
                    </w:p>
                  </w:txbxContent>
                </v:textbox>
                <w10:wrap type="square" anchorx="margin"/>
              </v:shape>
            </w:pict>
          </mc:Fallback>
        </mc:AlternateContent>
      </w:r>
      <w:r w:rsidRPr="00F501EC">
        <w:rPr>
          <w:noProof/>
        </w:rPr>
        <w:drawing>
          <wp:anchor distT="0" distB="0" distL="114300" distR="114300" simplePos="0" relativeHeight="251752448" behindDoc="0" locked="0" layoutInCell="1" allowOverlap="1" wp14:anchorId="4C884B7A" wp14:editId="23C46C2D">
            <wp:simplePos x="0" y="0"/>
            <wp:positionH relativeFrom="margin">
              <wp:align>right</wp:align>
            </wp:positionH>
            <wp:positionV relativeFrom="paragraph">
              <wp:posOffset>6350</wp:posOffset>
            </wp:positionV>
            <wp:extent cx="1778635" cy="2531745"/>
            <wp:effectExtent l="0" t="0" r="0" b="1905"/>
            <wp:wrapSquare wrapText="bothSides"/>
            <wp:docPr id="1072070049" name="Picture 1" descr="A diagram of a tube with a rainbow colored objec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2070049" name="Picture 1" descr="A diagram of a tube with a rainbow colored object&#10;&#10;AI-generated content may be incorrect."/>
                    <pic:cNvPicPr/>
                  </pic:nvPicPr>
                  <pic:blipFill>
                    <a:blip r:embed="rId161">
                      <a:extLst>
                        <a:ext uri="{28A0092B-C50C-407E-A947-70E740481C1C}">
                          <a14:useLocalDpi xmlns:a14="http://schemas.microsoft.com/office/drawing/2010/main" val="0"/>
                        </a:ext>
                      </a:extLst>
                    </a:blip>
                    <a:stretch>
                      <a:fillRect/>
                    </a:stretch>
                  </pic:blipFill>
                  <pic:spPr>
                    <a:xfrm>
                      <a:off x="0" y="0"/>
                      <a:ext cx="1778635" cy="2531745"/>
                    </a:xfrm>
                    <a:prstGeom prst="rect">
                      <a:avLst/>
                    </a:prstGeom>
                  </pic:spPr>
                </pic:pic>
              </a:graphicData>
            </a:graphic>
          </wp:anchor>
        </w:drawing>
      </w:r>
      <w:r w:rsidRPr="00F501EC">
        <w:rPr>
          <w:rFonts w:cs="Times New Roman"/>
          <w:lang w:val="en-US"/>
        </w:rPr>
        <w:t xml:space="preserve">Salvador et al. </w:t>
      </w:r>
      <w:sdt>
        <w:sdtPr>
          <w:rPr>
            <w:rFonts w:cs="Times New Roman"/>
            <w:lang w:val="en-US"/>
          </w:rPr>
          <w:id w:val="-1878616632"/>
          <w:citation/>
        </w:sdtPr>
        <w:sdtContent>
          <w:r w:rsidR="00F501EC">
            <w:rPr>
              <w:rFonts w:cs="Times New Roman"/>
              <w:lang w:val="en-US"/>
            </w:rPr>
            <w:fldChar w:fldCharType="begin"/>
          </w:r>
          <w:r w:rsidR="00F501EC" w:rsidRPr="00F501EC">
            <w:rPr>
              <w:rFonts w:cs="Times New Roman"/>
              <w:lang w:val="en-US"/>
            </w:rPr>
            <w:instrText xml:space="preserve"> CITATION Placeholder238 \l 1040 </w:instrText>
          </w:r>
          <w:r w:rsidR="00F501EC">
            <w:rPr>
              <w:rFonts w:cs="Times New Roman"/>
              <w:lang w:val="en-US"/>
            </w:rPr>
            <w:fldChar w:fldCharType="separate"/>
          </w:r>
          <w:r w:rsidR="00855396" w:rsidRPr="00855396">
            <w:rPr>
              <w:rFonts w:cs="Times New Roman"/>
              <w:noProof/>
              <w:lang w:val="en-US"/>
            </w:rPr>
            <w:t>[220]</w:t>
          </w:r>
          <w:r w:rsidR="00F501EC">
            <w:rPr>
              <w:rFonts w:cs="Times New Roman"/>
              <w:lang w:val="en-US"/>
            </w:rPr>
            <w:fldChar w:fldCharType="end"/>
          </w:r>
        </w:sdtContent>
      </w:sdt>
      <w:r w:rsidRPr="00625AD6">
        <w:rPr>
          <w:rFonts w:cs="Times New Roman"/>
          <w:lang w:val="en-US"/>
        </w:rPr>
        <w:t xml:space="preserve"> proposed an innovative and relatively simple approach for the characterization of Phase Change Materials (PCM), aimed at studying their thermal behavior during melting and solidification cycles. The method consists of subjecting a PCM sample, placed inside a tube, to cyclic heating and cooling while monitoring its thermal evolution through temperature sensors. The numerical analysis of the process, conducted using COMSOL Multiphysics®, allowed the authors to evaluate the sensitivity of the PCM to its main thermal parameters. Since PCMs tend to degrade over time due to repeated melting and solidification cycles, the authors emphasize the need for an accurate experimental approach to quantify the variations in thermal properties and possible material degradation. For this purpose, they developed an original experimental setup consisting of a Plexiglas tube filled with PCM and enclosed between two aluminum blocks, insulated with foam to minimize heat losses. </w:t>
      </w:r>
      <w:r w:rsidR="00F43E9A">
        <w:rPr>
          <w:rFonts w:cs="Times New Roman"/>
          <w:lang w:val="en-US"/>
        </w:rPr>
        <w:t>Figure 3</w:t>
      </w:r>
      <w:r w:rsidR="00176DCF">
        <w:rPr>
          <w:rFonts w:cs="Times New Roman"/>
          <w:lang w:val="en-US"/>
        </w:rPr>
        <w:t>.8</w:t>
      </w:r>
      <w:r w:rsidRPr="00625AD6">
        <w:rPr>
          <w:rFonts w:cs="Times New Roman"/>
          <w:lang w:val="en-US"/>
        </w:rPr>
        <w:t xml:space="preserve"> depicts an example of the results obtained with the numerical simulations performed for the sample holder. The temperature distribution was monitored through four thermocouple probes and a dedicated cooling/heating system. Three-dimensional numerical simulations, performed in COMSOL using the Heat Transfer Module and a time-dependent solver, reproduced the temperature field and the solidification front, showing good agreement with experimental data. Minor discrepancies at the beginning of the test were attributed to measurement errors and to the model’s lack of natural convection representation. The preliminary study, carried out with well-known materials such as distilled water and Plexiglas, confirmed the validity of the model and demonstrated that the “Normal Physical” mesh provides the best balance between accuracy and computational efficiency. The proposed approach combines experimental investigation and numerical modeling to monitor irreversible thermal effects in PCMs, offering a reliable method for their characterization and for assessing material aging. The developed setup has been successfully designed, assembled, and tested.</w:t>
      </w:r>
    </w:p>
    <w:p w14:paraId="135BA4C0" w14:textId="5BA816BF" w:rsidR="008B629F" w:rsidRPr="00FB4858" w:rsidRDefault="008B629F" w:rsidP="008B629F">
      <w:pPr>
        <w:rPr>
          <w:rFonts w:ascii="Times New Roman" w:hAnsi="Times New Roman" w:cs="Times New Roman"/>
          <w:lang w:val="en-US"/>
        </w:rPr>
      </w:pPr>
    </w:p>
    <w:p w14:paraId="53B0420A" w14:textId="77777777" w:rsidR="008B629F" w:rsidRDefault="008B629F" w:rsidP="00422EEB">
      <w:pPr>
        <w:rPr>
          <w:lang w:val="en-US"/>
        </w:rPr>
      </w:pPr>
    </w:p>
    <w:p w14:paraId="7D3CF869" w14:textId="77777777" w:rsidR="00BA0228" w:rsidRDefault="00BA0228" w:rsidP="00422EEB">
      <w:pPr>
        <w:rPr>
          <w:lang w:val="en-US"/>
        </w:rPr>
      </w:pPr>
    </w:p>
    <w:p w14:paraId="23711C8D" w14:textId="77777777" w:rsidR="00BA0228" w:rsidRDefault="00BA0228" w:rsidP="00422EEB">
      <w:pPr>
        <w:rPr>
          <w:lang w:val="en-US"/>
        </w:rPr>
      </w:pPr>
    </w:p>
    <w:p w14:paraId="38BF397E" w14:textId="77777777" w:rsidR="00DB4A22" w:rsidRPr="00544E92" w:rsidRDefault="00DB4A22" w:rsidP="00E24B2E">
      <w:pPr>
        <w:rPr>
          <w:lang w:val="en-GB"/>
        </w:rPr>
        <w:sectPr w:rsidR="00DB4A22" w:rsidRPr="00544E92" w:rsidSect="00070452">
          <w:type w:val="oddPage"/>
          <w:pgSz w:w="11906" w:h="16838" w:code="9"/>
          <w:pgMar w:top="1701" w:right="1418" w:bottom="1418" w:left="1418" w:header="851" w:footer="851" w:gutter="0"/>
          <w:cols w:space="708"/>
          <w:titlePg/>
          <w:docGrid w:linePitch="360"/>
        </w:sectPr>
      </w:pPr>
    </w:p>
    <w:p w14:paraId="2E15206A" w14:textId="441397BC" w:rsidR="002C4F43" w:rsidRPr="002C4F43" w:rsidRDefault="002C4F43" w:rsidP="002C4F43">
      <w:pPr>
        <w:pStyle w:val="Heading1"/>
        <w:numPr>
          <w:ilvl w:val="0"/>
          <w:numId w:val="0"/>
        </w:numPr>
      </w:pPr>
      <w:bookmarkStart w:id="230" w:name="_Toc214356325"/>
      <w:r w:rsidRPr="002C4F43">
        <w:rPr>
          <w:lang w:val="en-US"/>
        </w:rPr>
        <w:lastRenderedPageBreak/>
        <w:t>Bibliography</w:t>
      </w:r>
      <w:bookmarkEnd w:id="230"/>
    </w:p>
    <w:p w14:paraId="4885F891" w14:textId="7B44B8D3" w:rsidR="001A387D" w:rsidRPr="00544E92" w:rsidRDefault="00000000" w:rsidP="00E15492">
      <w:pPr>
        <w:rPr>
          <w:lang w:val="en-GB"/>
        </w:rPr>
      </w:pPr>
      <w:sdt>
        <w:sdtPr>
          <w:id w:val="111145805"/>
          <w:showingPlcHdr/>
          <w:bibliography/>
        </w:sdtPr>
        <w:sdtEndPr>
          <w:rPr>
            <w:lang w:val="en-GB"/>
          </w:rPr>
        </w:sdtEndPr>
        <w:sdtContent>
          <w:r w:rsidR="00B4749A">
            <w:t xml:space="preserve">     </w:t>
          </w:r>
        </w:sdtContent>
      </w:sdt>
    </w:p>
    <w:p w14:paraId="20CB3A24" w14:textId="17A47932" w:rsidR="00B4749A" w:rsidRPr="00100966" w:rsidRDefault="00100966"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    </w:t>
      </w:r>
      <w:r w:rsidR="00B4749A" w:rsidRPr="00100966">
        <w:rPr>
          <w:rFonts w:ascii="Palatino Linotype" w:hAnsi="Palatino Linotype"/>
          <w:sz w:val="22"/>
          <w:szCs w:val="22"/>
          <w:lang w:val="en-US"/>
        </w:rPr>
        <w:t xml:space="preserve">R. Newman, I. Noy. "The global costs of extreme weather that are attributable to climate change". </w:t>
      </w:r>
      <w:r w:rsidR="00B4749A" w:rsidRPr="00100966">
        <w:rPr>
          <w:rStyle w:val="Emphasis"/>
          <w:rFonts w:ascii="Palatino Linotype" w:hAnsi="Palatino Linotype"/>
          <w:sz w:val="22"/>
          <w:szCs w:val="22"/>
        </w:rPr>
        <w:t>Nature Communications</w:t>
      </w:r>
      <w:r w:rsidR="00B4749A" w:rsidRPr="00100966">
        <w:rPr>
          <w:rFonts w:ascii="Palatino Linotype" w:hAnsi="Palatino Linotype"/>
          <w:sz w:val="22"/>
          <w:szCs w:val="22"/>
        </w:rPr>
        <w:t xml:space="preserve"> 14 (2023) 6103. </w:t>
      </w:r>
      <w:hyperlink r:id="rId162" w:tgtFrame="_new" w:history="1">
        <w:r w:rsidR="00B4749A" w:rsidRPr="00100966">
          <w:rPr>
            <w:rStyle w:val="Hyperlink"/>
            <w:rFonts w:ascii="Palatino Linotype" w:hAnsi="Palatino Linotype"/>
            <w:sz w:val="22"/>
            <w:szCs w:val="22"/>
          </w:rPr>
          <w:t>https://doi.org/10.1038/s41467-023-41888-1</w:t>
        </w:r>
      </w:hyperlink>
    </w:p>
    <w:p w14:paraId="2F823F76" w14:textId="0CB912F3" w:rsidR="00B4749A" w:rsidRPr="00100966" w:rsidRDefault="00100966"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en-US"/>
        </w:rPr>
        <w:t xml:space="preserve">   </w:t>
      </w:r>
      <w:r w:rsidR="00B4749A" w:rsidRPr="00100966">
        <w:rPr>
          <w:rFonts w:ascii="Palatino Linotype" w:hAnsi="Palatino Linotype"/>
          <w:sz w:val="22"/>
          <w:szCs w:val="22"/>
          <w:lang w:val="en-US"/>
        </w:rPr>
        <w:t xml:space="preserve">F. Chebli, F. Mechighel. "Phase change materials: classification, use, phase transitions, and heat transfer enhancement techniques: a comprehensive review". </w:t>
      </w:r>
      <w:r w:rsidR="00B4749A" w:rsidRPr="00100966">
        <w:rPr>
          <w:rStyle w:val="Emphasis"/>
          <w:rFonts w:ascii="Palatino Linotype" w:hAnsi="Palatino Linotype"/>
          <w:sz w:val="22"/>
          <w:szCs w:val="22"/>
          <w:lang w:val="en-US"/>
        </w:rPr>
        <w:t>Journal of Thermal Analysis and Calorimetry</w:t>
      </w:r>
      <w:r w:rsidR="00B4749A" w:rsidRPr="00100966">
        <w:rPr>
          <w:rFonts w:ascii="Palatino Linotype" w:hAnsi="Palatino Linotype"/>
          <w:sz w:val="22"/>
          <w:szCs w:val="22"/>
          <w:lang w:val="en-US"/>
        </w:rPr>
        <w:t xml:space="preserve"> (2025). </w:t>
      </w:r>
      <w:hyperlink r:id="rId163" w:tgtFrame="_new" w:history="1">
        <w:r w:rsidR="00B4749A" w:rsidRPr="00100966">
          <w:rPr>
            <w:rStyle w:val="Hyperlink"/>
            <w:rFonts w:ascii="Palatino Linotype" w:hAnsi="Palatino Linotype"/>
            <w:sz w:val="22"/>
            <w:szCs w:val="22"/>
            <w:lang w:val="en-US"/>
          </w:rPr>
          <w:t>https://doi.org/10.1007/s10973-024-13877-z</w:t>
        </w:r>
      </w:hyperlink>
    </w:p>
    <w:p w14:paraId="32C9572D" w14:textId="1729ADE3" w:rsidR="00B4749A" w:rsidRPr="00100966" w:rsidRDefault="00100966"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  </w:t>
      </w:r>
      <w:r w:rsidR="00C05862">
        <w:rPr>
          <w:rFonts w:ascii="Palatino Linotype" w:hAnsi="Palatino Linotype"/>
          <w:sz w:val="22"/>
          <w:szCs w:val="22"/>
          <w:lang w:val="en-US"/>
        </w:rPr>
        <w:t>A.</w:t>
      </w:r>
      <w:r w:rsidR="00B4749A" w:rsidRPr="00100966">
        <w:rPr>
          <w:rFonts w:ascii="Palatino Linotype" w:hAnsi="Palatino Linotype"/>
          <w:sz w:val="22"/>
          <w:szCs w:val="22"/>
          <w:lang w:val="en-US"/>
        </w:rPr>
        <w:t xml:space="preserve">Elouali, T. Kousksou, T. El Rhafiki, S. Hamdaoui, M. Mahdaoui, A. Allouhi, Y. Zeraouli. "Physical models for packed bed sensible heat storage systems". </w:t>
      </w:r>
      <w:r w:rsidR="00B4749A" w:rsidRPr="00100966">
        <w:rPr>
          <w:rStyle w:val="Emphasis"/>
          <w:rFonts w:ascii="Palatino Linotype" w:hAnsi="Palatino Linotype"/>
          <w:sz w:val="22"/>
          <w:szCs w:val="22"/>
          <w:lang w:val="en-US"/>
        </w:rPr>
        <w:t>Journal of Energy Storage</w:t>
      </w:r>
      <w:r w:rsidR="00B4749A" w:rsidRPr="00100966">
        <w:rPr>
          <w:rFonts w:ascii="Palatino Linotype" w:hAnsi="Palatino Linotype"/>
          <w:sz w:val="22"/>
          <w:szCs w:val="22"/>
          <w:lang w:val="en-US"/>
        </w:rPr>
        <w:t xml:space="preserve"> 23 (2019) 69–78. </w:t>
      </w:r>
      <w:hyperlink r:id="rId164" w:tgtFrame="_new" w:history="1">
        <w:r w:rsidR="00B4749A" w:rsidRPr="00100966">
          <w:rPr>
            <w:rStyle w:val="Hyperlink"/>
            <w:rFonts w:ascii="Palatino Linotype" w:hAnsi="Palatino Linotype"/>
            <w:sz w:val="22"/>
            <w:szCs w:val="22"/>
          </w:rPr>
          <w:t>https://doi.org/10.1016/j.est.2019.03.004</w:t>
        </w:r>
      </w:hyperlink>
    </w:p>
    <w:p w14:paraId="712233DC" w14:textId="1B8CE954" w:rsidR="00B4749A" w:rsidRPr="00100966" w:rsidRDefault="00100966"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rPr>
        <w:t xml:space="preserve">   </w:t>
      </w:r>
      <w:r w:rsidR="00B4749A" w:rsidRPr="00100966">
        <w:rPr>
          <w:rFonts w:ascii="Palatino Linotype" w:hAnsi="Palatino Linotype"/>
          <w:sz w:val="22"/>
          <w:szCs w:val="22"/>
        </w:rPr>
        <w:t xml:space="preserve">A.J. Carrillo, J. Gonzalez-Aguilar, M. Romero, J.M. Coronado. </w:t>
      </w:r>
      <w:r w:rsidR="00B4749A" w:rsidRPr="00100966">
        <w:rPr>
          <w:rFonts w:ascii="Palatino Linotype" w:hAnsi="Palatino Linotype"/>
          <w:sz w:val="22"/>
          <w:szCs w:val="22"/>
          <w:lang w:val="en-US"/>
        </w:rPr>
        <w:t xml:space="preserve">"Solar energy on demand: a review on high temperature thermochemical heat storage systems and materials". </w:t>
      </w:r>
      <w:r w:rsidR="00B4749A" w:rsidRPr="00100966">
        <w:rPr>
          <w:rStyle w:val="Emphasis"/>
          <w:rFonts w:ascii="Palatino Linotype" w:hAnsi="Palatino Linotype"/>
          <w:sz w:val="22"/>
          <w:szCs w:val="22"/>
        </w:rPr>
        <w:t>Chemical Reviews</w:t>
      </w:r>
      <w:r w:rsidR="00B4749A" w:rsidRPr="00100966">
        <w:rPr>
          <w:rFonts w:ascii="Palatino Linotype" w:hAnsi="Palatino Linotype"/>
          <w:sz w:val="22"/>
          <w:szCs w:val="22"/>
        </w:rPr>
        <w:t xml:space="preserve"> 119 (7) (2019) 4777–4816. </w:t>
      </w:r>
      <w:hyperlink r:id="rId165" w:tgtFrame="_new" w:history="1">
        <w:r w:rsidR="00B4749A" w:rsidRPr="00100966">
          <w:rPr>
            <w:rStyle w:val="Hyperlink"/>
            <w:rFonts w:ascii="Palatino Linotype" w:hAnsi="Palatino Linotype"/>
            <w:sz w:val="22"/>
            <w:szCs w:val="22"/>
          </w:rPr>
          <w:t>https://doi.org/10.1021/acs.chemrev.8b00315</w:t>
        </w:r>
      </w:hyperlink>
    </w:p>
    <w:p w14:paraId="482C68F2" w14:textId="4B8AADB2" w:rsidR="00B4749A" w:rsidRPr="00525C35" w:rsidRDefault="00100966"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en-US"/>
        </w:rPr>
        <w:t xml:space="preserve">   </w:t>
      </w:r>
      <w:r w:rsidR="00525C35">
        <w:rPr>
          <w:rFonts w:ascii="Palatino Linotype" w:hAnsi="Palatino Linotype"/>
          <w:sz w:val="22"/>
          <w:szCs w:val="22"/>
          <w:lang w:val="en-US"/>
        </w:rPr>
        <w:t>P.Saini</w:t>
      </w:r>
      <w:r w:rsidR="00B4749A" w:rsidRPr="00100966">
        <w:rPr>
          <w:rFonts w:ascii="Palatino Linotype" w:hAnsi="Palatino Linotype"/>
          <w:sz w:val="22"/>
          <w:szCs w:val="22"/>
          <w:lang w:val="en-US"/>
        </w:rPr>
        <w:t xml:space="preserve">, </w:t>
      </w:r>
      <w:r w:rsidR="00525C35">
        <w:rPr>
          <w:rFonts w:ascii="Palatino Linotype" w:hAnsi="Palatino Linotype"/>
          <w:sz w:val="22"/>
          <w:szCs w:val="22"/>
          <w:lang w:val="en-US"/>
        </w:rPr>
        <w:t>D</w:t>
      </w:r>
      <w:r w:rsidR="00B4749A" w:rsidRPr="00100966">
        <w:rPr>
          <w:rFonts w:ascii="Palatino Linotype" w:hAnsi="Palatino Linotype"/>
          <w:sz w:val="22"/>
          <w:szCs w:val="22"/>
          <w:lang w:val="en-US"/>
        </w:rPr>
        <w:t>.</w:t>
      </w:r>
      <w:r w:rsidR="00525C35">
        <w:rPr>
          <w:rFonts w:ascii="Palatino Linotype" w:hAnsi="Palatino Linotype"/>
          <w:sz w:val="22"/>
          <w:szCs w:val="22"/>
          <w:lang w:val="en-US"/>
        </w:rPr>
        <w:t>V</w:t>
      </w:r>
      <w:r w:rsidR="00B4749A" w:rsidRPr="00100966">
        <w:rPr>
          <w:rFonts w:ascii="Palatino Linotype" w:hAnsi="Palatino Linotype"/>
          <w:sz w:val="22"/>
          <w:szCs w:val="22"/>
          <w:lang w:val="en-US"/>
        </w:rPr>
        <w:t xml:space="preserve">. </w:t>
      </w:r>
      <w:r w:rsidR="00525C35">
        <w:rPr>
          <w:rFonts w:ascii="Palatino Linotype" w:hAnsi="Palatino Linotype"/>
          <w:sz w:val="22"/>
          <w:szCs w:val="22"/>
          <w:lang w:val="en-US"/>
        </w:rPr>
        <w:t>Patil</w:t>
      </w:r>
      <w:r w:rsidR="00B4749A" w:rsidRPr="00100966">
        <w:rPr>
          <w:rFonts w:ascii="Palatino Linotype" w:hAnsi="Palatino Linotype"/>
          <w:sz w:val="22"/>
          <w:szCs w:val="22"/>
          <w:lang w:val="en-US"/>
        </w:rPr>
        <w:t>, S. Powar. "</w:t>
      </w:r>
      <w:r w:rsidR="00525C35">
        <w:rPr>
          <w:rFonts w:ascii="Palatino Linotype" w:hAnsi="Palatino Linotype"/>
          <w:sz w:val="22"/>
          <w:szCs w:val="22"/>
          <w:lang w:val="en-US"/>
        </w:rPr>
        <w:t xml:space="preserve">Review on Integration of Solar Air </w:t>
      </w:r>
      <w:r w:rsidR="00B4749A" w:rsidRPr="00100966">
        <w:rPr>
          <w:rFonts w:ascii="Palatino Linotype" w:hAnsi="Palatino Linotype"/>
          <w:sz w:val="22"/>
          <w:szCs w:val="22"/>
          <w:lang w:val="en-US"/>
        </w:rPr>
        <w:t xml:space="preserve">Heaters with Thermal Energy Storage". </w:t>
      </w:r>
      <w:r w:rsidR="00B4749A" w:rsidRPr="00100966">
        <w:rPr>
          <w:rStyle w:val="Emphasis"/>
          <w:rFonts w:ascii="Palatino Linotype" w:hAnsi="Palatino Linotype"/>
          <w:sz w:val="22"/>
          <w:szCs w:val="22"/>
          <w:lang w:val="en-US"/>
        </w:rPr>
        <w:t>Applications of Solar Energy</w:t>
      </w:r>
      <w:r w:rsidR="00B4749A" w:rsidRPr="00100966">
        <w:rPr>
          <w:rFonts w:ascii="Palatino Linotype" w:hAnsi="Palatino Linotype"/>
          <w:sz w:val="22"/>
          <w:szCs w:val="22"/>
          <w:lang w:val="en-US"/>
        </w:rPr>
        <w:t xml:space="preserve">. </w:t>
      </w:r>
      <w:r w:rsidR="00525C35">
        <w:rPr>
          <w:rFonts w:ascii="Palatino Linotype" w:hAnsi="Palatino Linotype"/>
          <w:sz w:val="22"/>
          <w:szCs w:val="22"/>
          <w:lang w:val="en-US"/>
        </w:rPr>
        <w:t>(</w:t>
      </w:r>
      <w:r w:rsidR="00B4749A" w:rsidRPr="00100966">
        <w:rPr>
          <w:rFonts w:ascii="Palatino Linotype" w:hAnsi="Palatino Linotype"/>
          <w:sz w:val="22"/>
          <w:szCs w:val="22"/>
          <w:lang w:val="en-US"/>
        </w:rPr>
        <w:t>2018</w:t>
      </w:r>
      <w:r w:rsidR="00525C35">
        <w:rPr>
          <w:rFonts w:ascii="Palatino Linotype" w:hAnsi="Palatino Linotype"/>
          <w:sz w:val="22"/>
          <w:szCs w:val="22"/>
          <w:lang w:val="en-US"/>
        </w:rPr>
        <w:t>)</w:t>
      </w:r>
      <w:r w:rsidR="00B4749A" w:rsidRPr="00100966">
        <w:rPr>
          <w:rFonts w:ascii="Palatino Linotype" w:hAnsi="Palatino Linotype"/>
          <w:sz w:val="22"/>
          <w:szCs w:val="22"/>
          <w:lang w:val="en-US"/>
        </w:rPr>
        <w:t xml:space="preserve"> 163–186. </w:t>
      </w:r>
      <w:hyperlink r:id="rId166" w:history="1">
        <w:r w:rsidR="00525C35" w:rsidRPr="002B403C">
          <w:rPr>
            <w:rStyle w:val="Hyperlink"/>
            <w:rFonts w:ascii="Palatino Linotype" w:hAnsi="Palatino Linotype"/>
            <w:sz w:val="22"/>
            <w:szCs w:val="22"/>
          </w:rPr>
          <w:t>https://doi.org/10.1007/978-981-10-7206-2_9</w:t>
        </w:r>
      </w:hyperlink>
    </w:p>
    <w:p w14:paraId="6AC2E6A6" w14:textId="2918BD80" w:rsidR="00B4749A" w:rsidRPr="00525C35" w:rsidRDefault="00B4749A" w:rsidP="00525C35">
      <w:pPr>
        <w:pStyle w:val="NormalWeb"/>
        <w:numPr>
          <w:ilvl w:val="0"/>
          <w:numId w:val="15"/>
        </w:numPr>
        <w:jc w:val="both"/>
        <w:rPr>
          <w:rFonts w:ascii="Palatino Linotype" w:hAnsi="Palatino Linotype"/>
          <w:sz w:val="22"/>
          <w:szCs w:val="22"/>
          <w:lang w:val="en-US"/>
        </w:rPr>
      </w:pPr>
      <w:r w:rsidRPr="00525C35">
        <w:rPr>
          <w:rFonts w:ascii="Palatino Linotype" w:hAnsi="Palatino Linotype"/>
          <w:sz w:val="22"/>
          <w:szCs w:val="22"/>
          <w:lang w:val="en-US"/>
        </w:rPr>
        <w:t xml:space="preserve">A. Abhat. "Low temperature latent heat thermal energy storage: heat storage materials". </w:t>
      </w:r>
      <w:r w:rsidRPr="00525C35">
        <w:rPr>
          <w:rStyle w:val="Emphasis"/>
          <w:rFonts w:ascii="Palatino Linotype" w:hAnsi="Palatino Linotype"/>
          <w:sz w:val="22"/>
          <w:szCs w:val="22"/>
        </w:rPr>
        <w:t>Solar Energy</w:t>
      </w:r>
      <w:r w:rsidRPr="00525C35">
        <w:rPr>
          <w:rFonts w:ascii="Palatino Linotype" w:hAnsi="Palatino Linotype"/>
          <w:sz w:val="22"/>
          <w:szCs w:val="22"/>
        </w:rPr>
        <w:t xml:space="preserve"> 30 (4) (1983) 313–332. </w:t>
      </w:r>
      <w:hyperlink r:id="rId167" w:tgtFrame="_new" w:history="1">
        <w:r w:rsidRPr="00525C35">
          <w:rPr>
            <w:rStyle w:val="Hyperlink"/>
            <w:rFonts w:ascii="Palatino Linotype" w:hAnsi="Palatino Linotype"/>
            <w:sz w:val="22"/>
            <w:szCs w:val="22"/>
          </w:rPr>
          <w:t>https://doi.org/10.1016/0038-092X(83)90186-X</w:t>
        </w:r>
      </w:hyperlink>
    </w:p>
    <w:p w14:paraId="52176D3C" w14:textId="20CB2A5F" w:rsidR="00B4749A" w:rsidRPr="00100966" w:rsidRDefault="00100966"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en-US"/>
        </w:rPr>
        <w:t xml:space="preserve">  </w:t>
      </w:r>
      <w:r w:rsidR="00B4749A" w:rsidRPr="00100966">
        <w:rPr>
          <w:rFonts w:ascii="Palatino Linotype" w:hAnsi="Palatino Linotype"/>
          <w:sz w:val="22"/>
          <w:szCs w:val="22"/>
          <w:lang w:val="en-US"/>
        </w:rPr>
        <w:t xml:space="preserve">S.S. Chandel, T. Agarwal. "Review of current state of research on energy storage, toxicity, health hazards and commercialization of phase changing materials". </w:t>
      </w:r>
      <w:r w:rsidR="00B4749A" w:rsidRPr="00100966">
        <w:rPr>
          <w:rStyle w:val="Emphasis"/>
          <w:rFonts w:ascii="Palatino Linotype" w:hAnsi="Palatino Linotype"/>
          <w:sz w:val="22"/>
          <w:szCs w:val="22"/>
          <w:lang w:val="en-US"/>
        </w:rPr>
        <w:t>Renewable and Sustainable Energy Reviews</w:t>
      </w:r>
      <w:r w:rsidR="00B4749A" w:rsidRPr="00100966">
        <w:rPr>
          <w:rFonts w:ascii="Palatino Linotype" w:hAnsi="Palatino Linotype"/>
          <w:sz w:val="22"/>
          <w:szCs w:val="22"/>
          <w:lang w:val="en-US"/>
        </w:rPr>
        <w:t xml:space="preserve"> 67 (2017) 581–596. </w:t>
      </w:r>
      <w:hyperlink r:id="rId168" w:tgtFrame="_new" w:history="1">
        <w:r w:rsidR="00B4749A" w:rsidRPr="00100966">
          <w:rPr>
            <w:rStyle w:val="Hyperlink"/>
            <w:rFonts w:ascii="Palatino Linotype" w:hAnsi="Palatino Linotype"/>
            <w:sz w:val="22"/>
            <w:szCs w:val="22"/>
            <w:lang w:val="en-US"/>
          </w:rPr>
          <w:t>https://doi.org/10.1016/j.rser.2016.09.070</w:t>
        </w:r>
      </w:hyperlink>
    </w:p>
    <w:p w14:paraId="67C66518" w14:textId="268EB7A1" w:rsidR="00B4749A" w:rsidRPr="00433ABD" w:rsidRDefault="00100966"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en-US"/>
        </w:rPr>
        <w:t xml:space="preserve">    United States Department of Agriculture (USDA), 2025. </w:t>
      </w:r>
      <w:r w:rsidRPr="00433ABD">
        <w:rPr>
          <w:rFonts w:ascii="Palatino Linotype" w:hAnsi="Palatino Linotype"/>
          <w:b/>
          <w:bCs/>
          <w:sz w:val="22"/>
          <w:szCs w:val="22"/>
          <w:lang w:val="en-US"/>
        </w:rPr>
        <w:t>BioPreferred® Program</w:t>
      </w:r>
      <w:r w:rsidRPr="00433ABD">
        <w:rPr>
          <w:rFonts w:ascii="Palatino Linotype" w:hAnsi="Palatino Linotype"/>
          <w:sz w:val="22"/>
          <w:szCs w:val="22"/>
          <w:lang w:val="en-US"/>
        </w:rPr>
        <w:t xml:space="preserve"> [online]. </w:t>
      </w:r>
      <w:r w:rsidR="00433ABD" w:rsidRPr="00433ABD">
        <w:rPr>
          <w:rFonts w:ascii="Palatino Linotype" w:hAnsi="Palatino Linotype"/>
          <w:sz w:val="22"/>
          <w:szCs w:val="22"/>
          <w:lang w:val="en-US"/>
        </w:rPr>
        <w:t xml:space="preserve">Available on </w:t>
      </w:r>
      <w:r w:rsidRPr="00433ABD">
        <w:rPr>
          <w:rFonts w:ascii="Palatino Linotype" w:hAnsi="Palatino Linotype"/>
          <w:sz w:val="22"/>
          <w:szCs w:val="22"/>
          <w:lang w:val="en-US"/>
        </w:rPr>
        <w:t xml:space="preserve">: </w:t>
      </w:r>
      <w:hyperlink r:id="rId169" w:history="1">
        <w:r w:rsidRPr="00433ABD">
          <w:rPr>
            <w:rStyle w:val="Hyperlink"/>
            <w:rFonts w:ascii="Palatino Linotype" w:hAnsi="Palatino Linotype"/>
            <w:sz w:val="22"/>
            <w:szCs w:val="22"/>
            <w:lang w:val="en-US"/>
          </w:rPr>
          <w:t>https://www.biopreferred.gov</w:t>
        </w:r>
      </w:hyperlink>
      <w:r w:rsidRPr="00433ABD">
        <w:rPr>
          <w:rFonts w:ascii="Palatino Linotype" w:hAnsi="Palatino Linotype"/>
          <w:sz w:val="22"/>
          <w:szCs w:val="22"/>
          <w:lang w:val="en-US"/>
        </w:rPr>
        <w:t xml:space="preserve"> </w:t>
      </w:r>
    </w:p>
    <w:p w14:paraId="412142CE" w14:textId="231813A0" w:rsidR="00B4749A" w:rsidRPr="00100966" w:rsidRDefault="00100966" w:rsidP="00B4749A">
      <w:pPr>
        <w:pStyle w:val="NormalWeb"/>
        <w:numPr>
          <w:ilvl w:val="0"/>
          <w:numId w:val="15"/>
        </w:numPr>
        <w:jc w:val="both"/>
        <w:rPr>
          <w:rFonts w:ascii="Palatino Linotype" w:hAnsi="Palatino Linotype"/>
          <w:sz w:val="22"/>
          <w:szCs w:val="22"/>
        </w:rPr>
      </w:pPr>
      <w:r w:rsidRPr="00433ABD">
        <w:rPr>
          <w:rFonts w:ascii="Palatino Linotype" w:hAnsi="Palatino Linotype"/>
          <w:sz w:val="22"/>
          <w:szCs w:val="22"/>
          <w:lang w:val="en-US"/>
        </w:rPr>
        <w:t xml:space="preserve">   </w:t>
      </w:r>
      <w:r w:rsidR="00B4749A" w:rsidRPr="00100966">
        <w:rPr>
          <w:rFonts w:ascii="Palatino Linotype" w:hAnsi="Palatino Linotype"/>
          <w:sz w:val="22"/>
          <w:szCs w:val="22"/>
          <w:lang w:val="en-US"/>
        </w:rPr>
        <w:t xml:space="preserve">D. Zhou, C.Y. Zhao, Y. Tian. "Review on thermal energy storage with phase change materials (PCMs) in building applications". </w:t>
      </w:r>
      <w:r w:rsidR="00B4749A" w:rsidRPr="00100966">
        <w:rPr>
          <w:rStyle w:val="Emphasis"/>
          <w:rFonts w:ascii="Palatino Linotype" w:hAnsi="Palatino Linotype"/>
          <w:sz w:val="22"/>
          <w:szCs w:val="22"/>
        </w:rPr>
        <w:t>Applied Energy</w:t>
      </w:r>
      <w:r w:rsidR="00B4749A" w:rsidRPr="00100966">
        <w:rPr>
          <w:rFonts w:ascii="Palatino Linotype" w:hAnsi="Palatino Linotype"/>
          <w:sz w:val="22"/>
          <w:szCs w:val="22"/>
        </w:rPr>
        <w:t xml:space="preserve"> 92 (2012) 593–605. </w:t>
      </w:r>
      <w:hyperlink r:id="rId170" w:tgtFrame="_new" w:history="1">
        <w:r w:rsidR="00B4749A" w:rsidRPr="00100966">
          <w:rPr>
            <w:rStyle w:val="Hyperlink"/>
            <w:rFonts w:ascii="Palatino Linotype" w:hAnsi="Palatino Linotype"/>
            <w:sz w:val="22"/>
            <w:szCs w:val="22"/>
          </w:rPr>
          <w:t>https://doi.org/10.1016/j.apenergy.2011.08.025</w:t>
        </w:r>
      </w:hyperlink>
    </w:p>
    <w:p w14:paraId="324B4969" w14:textId="0560E38D" w:rsidR="0086396D" w:rsidRDefault="00B4749A" w:rsidP="0086396D">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rPr>
        <w:t xml:space="preserve">C.R. Raj, S. Suresh, R.R. Bhavsar, V.K. Singh. </w:t>
      </w:r>
      <w:r w:rsidRPr="00100966">
        <w:rPr>
          <w:rFonts w:ascii="Palatino Linotype" w:hAnsi="Palatino Linotype"/>
          <w:sz w:val="22"/>
          <w:szCs w:val="22"/>
          <w:lang w:val="en-US"/>
        </w:rPr>
        <w:t xml:space="preserve">"Recent developments in thermo-physical property enhancement and applications of solid–solid phase change materials". </w:t>
      </w:r>
      <w:r w:rsidRPr="0086396D">
        <w:rPr>
          <w:rStyle w:val="Emphasis"/>
          <w:rFonts w:ascii="Palatino Linotype" w:hAnsi="Palatino Linotype"/>
          <w:sz w:val="22"/>
          <w:szCs w:val="22"/>
          <w:lang w:val="en-US"/>
        </w:rPr>
        <w:t>Journal of Thermal Analysis and Calorimetry</w:t>
      </w:r>
      <w:r w:rsidRPr="0086396D">
        <w:rPr>
          <w:rFonts w:ascii="Palatino Linotype" w:hAnsi="Palatino Linotype"/>
          <w:sz w:val="22"/>
          <w:szCs w:val="22"/>
          <w:lang w:val="en-US"/>
        </w:rPr>
        <w:t xml:space="preserve"> 139 (2020) 3023–3049.</w:t>
      </w:r>
      <w:r w:rsidR="0086396D" w:rsidRPr="0086396D">
        <w:rPr>
          <w:rFonts w:ascii="Palatino Linotype" w:hAnsi="Palatino Linotype"/>
          <w:sz w:val="22"/>
          <w:szCs w:val="22"/>
          <w:lang w:val="en-US"/>
        </w:rPr>
        <w:t xml:space="preserve"> </w:t>
      </w:r>
      <w:hyperlink r:id="rId171" w:history="1">
        <w:r w:rsidR="0086396D" w:rsidRPr="002B403C">
          <w:rPr>
            <w:rStyle w:val="Hyperlink"/>
            <w:rFonts w:ascii="Palatino Linotype" w:hAnsi="Palatino Linotype"/>
            <w:sz w:val="22"/>
            <w:szCs w:val="22"/>
            <w:lang w:val="en-US"/>
          </w:rPr>
          <w:t>https://doi.org/10.1007/s10973-019-08703-w</w:t>
        </w:r>
      </w:hyperlink>
    </w:p>
    <w:p w14:paraId="637D878E" w14:textId="77777777" w:rsidR="00B4749A" w:rsidRPr="0086396D" w:rsidRDefault="00B4749A" w:rsidP="0086396D">
      <w:pPr>
        <w:pStyle w:val="NormalWeb"/>
        <w:numPr>
          <w:ilvl w:val="0"/>
          <w:numId w:val="15"/>
        </w:numPr>
        <w:jc w:val="both"/>
        <w:rPr>
          <w:rFonts w:ascii="Palatino Linotype" w:hAnsi="Palatino Linotype"/>
          <w:sz w:val="22"/>
          <w:szCs w:val="22"/>
          <w:lang w:val="en-US"/>
        </w:rPr>
      </w:pPr>
      <w:r w:rsidRPr="0086396D">
        <w:rPr>
          <w:rFonts w:ascii="Palatino Linotype" w:hAnsi="Palatino Linotype"/>
          <w:sz w:val="22"/>
          <w:szCs w:val="22"/>
          <w:lang w:val="en-US"/>
        </w:rPr>
        <w:lastRenderedPageBreak/>
        <w:t xml:space="preserve">W. Gao, W. Lin, T. Liu, C. Xia. "An experimental study on the heat storage performances of polyalcohols NPG, TAM, PE, and AMPD and their mixtures as solid–solid phase-change materials for solar energy applications". </w:t>
      </w:r>
      <w:r w:rsidRPr="0086396D">
        <w:rPr>
          <w:rStyle w:val="Emphasis"/>
          <w:rFonts w:ascii="Palatino Linotype" w:hAnsi="Palatino Linotype"/>
          <w:sz w:val="22"/>
          <w:szCs w:val="22"/>
        </w:rPr>
        <w:t>International Journal of Green Energy</w:t>
      </w:r>
      <w:r w:rsidRPr="0086396D">
        <w:rPr>
          <w:rFonts w:ascii="Palatino Linotype" w:hAnsi="Palatino Linotype"/>
          <w:sz w:val="22"/>
          <w:szCs w:val="22"/>
        </w:rPr>
        <w:t xml:space="preserve"> 4 (3) (2007) 301–311. </w:t>
      </w:r>
      <w:hyperlink r:id="rId172" w:tgtFrame="_new" w:history="1">
        <w:r w:rsidRPr="0086396D">
          <w:rPr>
            <w:rStyle w:val="Hyperlink"/>
            <w:rFonts w:ascii="Palatino Linotype" w:hAnsi="Palatino Linotype"/>
            <w:sz w:val="22"/>
            <w:szCs w:val="22"/>
          </w:rPr>
          <w:t>https://doi.org/10.1080/15435070701332112</w:t>
        </w:r>
      </w:hyperlink>
    </w:p>
    <w:p w14:paraId="61C649F2"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D.K. Benson, R.W. Burrows, J.D. Webb. "Solid state phase transitions in pentaerythritol and related polyhydric alcohols". </w:t>
      </w:r>
      <w:r w:rsidRPr="00100966">
        <w:rPr>
          <w:rStyle w:val="Emphasis"/>
          <w:rFonts w:ascii="Palatino Linotype" w:hAnsi="Palatino Linotype"/>
          <w:sz w:val="22"/>
          <w:szCs w:val="22"/>
        </w:rPr>
        <w:t>Solar Energy Materials</w:t>
      </w:r>
      <w:r w:rsidRPr="00100966">
        <w:rPr>
          <w:rFonts w:ascii="Palatino Linotype" w:hAnsi="Palatino Linotype"/>
          <w:sz w:val="22"/>
          <w:szCs w:val="22"/>
        </w:rPr>
        <w:t xml:space="preserve"> 13 (2) (1986) 133–152. </w:t>
      </w:r>
      <w:hyperlink r:id="rId173" w:tgtFrame="_new" w:history="1">
        <w:r w:rsidRPr="00100966">
          <w:rPr>
            <w:rStyle w:val="Hyperlink"/>
            <w:rFonts w:ascii="Palatino Linotype" w:hAnsi="Palatino Linotype"/>
            <w:sz w:val="22"/>
            <w:szCs w:val="22"/>
          </w:rPr>
          <w:t>https://doi.org/10.1016/0165-1633(86)90040-7</w:t>
        </w:r>
      </w:hyperlink>
    </w:p>
    <w:p w14:paraId="0F0FB052" w14:textId="77777777" w:rsidR="00B4749A" w:rsidRPr="00100966"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nb-NO"/>
        </w:rPr>
        <w:t xml:space="preserve">N. Doshi, M. Furman, R. Rudman. </w:t>
      </w:r>
      <w:r w:rsidRPr="00100966">
        <w:rPr>
          <w:rFonts w:ascii="Palatino Linotype" w:hAnsi="Palatino Linotype"/>
          <w:sz w:val="22"/>
          <w:szCs w:val="22"/>
          <w:lang w:val="en-US"/>
        </w:rPr>
        <w:t xml:space="preserve">"The formation of the plastic crystal phase in several pentaerythritol derivatives". </w:t>
      </w:r>
      <w:r w:rsidRPr="00100966">
        <w:rPr>
          <w:rStyle w:val="Emphasis"/>
          <w:rFonts w:ascii="Palatino Linotype" w:hAnsi="Palatino Linotype"/>
          <w:sz w:val="22"/>
          <w:szCs w:val="22"/>
          <w:lang w:val="en-US"/>
        </w:rPr>
        <w:t>Acta Crystallographica Section B: Structural Crystallography and Crystal Chemistry</w:t>
      </w:r>
      <w:r w:rsidRPr="00100966">
        <w:rPr>
          <w:rFonts w:ascii="Palatino Linotype" w:hAnsi="Palatino Linotype"/>
          <w:sz w:val="22"/>
          <w:szCs w:val="22"/>
          <w:lang w:val="en-US"/>
        </w:rPr>
        <w:t xml:space="preserve"> 29 (1) (1973) 143–144. </w:t>
      </w:r>
      <w:hyperlink r:id="rId174" w:tgtFrame="_new" w:history="1">
        <w:r w:rsidRPr="00100966">
          <w:rPr>
            <w:rStyle w:val="Hyperlink"/>
            <w:rFonts w:ascii="Palatino Linotype" w:hAnsi="Palatino Linotype"/>
            <w:sz w:val="22"/>
            <w:szCs w:val="22"/>
            <w:lang w:val="en-US"/>
          </w:rPr>
          <w:t>https://doi.org/10.1107/S0567740873002104</w:t>
        </w:r>
      </w:hyperlink>
    </w:p>
    <w:p w14:paraId="67EBE060" w14:textId="77777777" w:rsidR="00B4749A" w:rsidRPr="00100966"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en-US"/>
        </w:rPr>
        <w:t xml:space="preserve">E. Nakano, K. Hirotsu, A. Shimada. "The crystal structures of pentaglycerol and neopentylglycol". </w:t>
      </w:r>
      <w:r w:rsidRPr="00100966">
        <w:rPr>
          <w:rStyle w:val="Emphasis"/>
          <w:rFonts w:ascii="Palatino Linotype" w:hAnsi="Palatino Linotype"/>
          <w:sz w:val="22"/>
          <w:szCs w:val="22"/>
          <w:lang w:val="en-US"/>
        </w:rPr>
        <w:t>Bulletin of the Chemical Society of Japan</w:t>
      </w:r>
      <w:r w:rsidRPr="00100966">
        <w:rPr>
          <w:rFonts w:ascii="Palatino Linotype" w:hAnsi="Palatino Linotype"/>
          <w:sz w:val="22"/>
          <w:szCs w:val="22"/>
          <w:lang w:val="en-US"/>
        </w:rPr>
        <w:t xml:space="preserve"> 42 (11) (1969) 3367. </w:t>
      </w:r>
      <w:hyperlink r:id="rId175" w:tgtFrame="_new" w:history="1">
        <w:r w:rsidRPr="00100966">
          <w:rPr>
            <w:rStyle w:val="Hyperlink"/>
            <w:rFonts w:ascii="Palatino Linotype" w:hAnsi="Palatino Linotype"/>
            <w:sz w:val="22"/>
            <w:szCs w:val="22"/>
            <w:lang w:val="en-US"/>
          </w:rPr>
          <w:t>https://doi.org/10.1246/bcsj.42.3367</w:t>
        </w:r>
      </w:hyperlink>
    </w:p>
    <w:p w14:paraId="1DB70AC7" w14:textId="77777777" w:rsidR="00B4749A" w:rsidRPr="00100966" w:rsidRDefault="00B4749A" w:rsidP="001A387D">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K. Pielichowski, K. Flejtuch. "Differential scanning calorimetry studies on poly(ethylene glycol) with different molecular weights for thermal energy storage materials". </w:t>
      </w:r>
      <w:r w:rsidRPr="00100966">
        <w:rPr>
          <w:rStyle w:val="Emphasis"/>
          <w:rFonts w:ascii="Palatino Linotype" w:hAnsi="Palatino Linotype"/>
          <w:sz w:val="22"/>
          <w:szCs w:val="22"/>
        </w:rPr>
        <w:t>Polymer Advanced Technologies</w:t>
      </w:r>
      <w:r w:rsidRPr="00100966">
        <w:rPr>
          <w:rFonts w:ascii="Palatino Linotype" w:hAnsi="Palatino Linotype"/>
          <w:sz w:val="22"/>
          <w:szCs w:val="22"/>
        </w:rPr>
        <w:t xml:space="preserve"> 13 (10–12) (2002) 690–696. </w:t>
      </w:r>
      <w:hyperlink r:id="rId176" w:tgtFrame="_new" w:history="1">
        <w:r w:rsidRPr="00100966">
          <w:rPr>
            <w:rStyle w:val="Hyperlink"/>
            <w:rFonts w:ascii="Palatino Linotype" w:hAnsi="Palatino Linotype"/>
            <w:sz w:val="22"/>
            <w:szCs w:val="22"/>
          </w:rPr>
          <w:t>https://doi.org/10.1002/pat.276</w:t>
        </w:r>
      </w:hyperlink>
    </w:p>
    <w:p w14:paraId="651C88AC" w14:textId="53A394A2"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rPr>
        <w:t xml:space="preserve">K.Y. Leong, M.R. Abdul Rahman, B.A. Gurunathan. </w:t>
      </w:r>
      <w:r w:rsidRPr="00100966">
        <w:rPr>
          <w:rFonts w:ascii="Palatino Linotype" w:hAnsi="Palatino Linotype"/>
          <w:sz w:val="22"/>
          <w:szCs w:val="22"/>
          <w:lang w:val="en-US"/>
        </w:rPr>
        <w:t xml:space="preserve">"Nano-enhanced phase change materials: a review of thermo-physical properties, applications and challenges". </w:t>
      </w:r>
      <w:r w:rsidRPr="00100966">
        <w:rPr>
          <w:rStyle w:val="Emphasis"/>
          <w:rFonts w:ascii="Palatino Linotype" w:hAnsi="Palatino Linotype"/>
          <w:sz w:val="22"/>
          <w:szCs w:val="22"/>
        </w:rPr>
        <w:t>Journal of Energy Storage</w:t>
      </w:r>
      <w:r w:rsidR="003302A7">
        <w:rPr>
          <w:rStyle w:val="Emphasis"/>
          <w:rFonts w:ascii="Palatino Linotype" w:hAnsi="Palatino Linotype"/>
          <w:sz w:val="22"/>
          <w:szCs w:val="22"/>
        </w:rPr>
        <w:t xml:space="preserve"> </w:t>
      </w:r>
      <w:r w:rsidR="003302A7">
        <w:rPr>
          <w:rStyle w:val="Emphasis"/>
          <w:rFonts w:ascii="Palatino Linotype" w:hAnsi="Palatino Linotype"/>
          <w:i w:val="0"/>
          <w:iCs w:val="0"/>
          <w:sz w:val="22"/>
          <w:szCs w:val="22"/>
        </w:rPr>
        <w:t>21</w:t>
      </w:r>
      <w:r w:rsidR="0086396D">
        <w:rPr>
          <w:rStyle w:val="Emphasis"/>
          <w:rFonts w:ascii="Palatino Linotype" w:hAnsi="Palatino Linotype"/>
          <w:i w:val="0"/>
          <w:iCs w:val="0"/>
          <w:sz w:val="22"/>
          <w:szCs w:val="22"/>
        </w:rPr>
        <w:t xml:space="preserve"> (2019)</w:t>
      </w:r>
      <w:r w:rsidR="003302A7">
        <w:rPr>
          <w:rStyle w:val="Emphasis"/>
          <w:rFonts w:ascii="Palatino Linotype" w:hAnsi="Palatino Linotype"/>
          <w:i w:val="0"/>
          <w:iCs w:val="0"/>
          <w:sz w:val="22"/>
          <w:szCs w:val="22"/>
        </w:rPr>
        <w:t>, 18-31</w:t>
      </w:r>
      <w:r w:rsidRPr="00100966">
        <w:rPr>
          <w:rFonts w:ascii="Palatino Linotype" w:hAnsi="Palatino Linotype"/>
          <w:sz w:val="22"/>
          <w:szCs w:val="22"/>
        </w:rPr>
        <w:t xml:space="preserve">. </w:t>
      </w:r>
      <w:hyperlink r:id="rId177" w:tgtFrame="_new" w:history="1">
        <w:r w:rsidRPr="00100966">
          <w:rPr>
            <w:rStyle w:val="Hyperlink"/>
            <w:rFonts w:ascii="Palatino Linotype" w:hAnsi="Palatino Linotype"/>
            <w:sz w:val="22"/>
            <w:szCs w:val="22"/>
          </w:rPr>
          <w:t>https://doi.org/10.1016/j.est.2018.11.008</w:t>
        </w:r>
      </w:hyperlink>
    </w:p>
    <w:p w14:paraId="09C16041" w14:textId="040EE410" w:rsidR="00B4749A"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en-US"/>
        </w:rPr>
        <w:t xml:space="preserve">K. Kant, P. Biwole, I. Shamseddine, G. Tlaiji, F. Pennec, F. Fardoun. "Recent advances in thermophysical properties enhancement of phase change materials for thermal energy storage". </w:t>
      </w:r>
      <w:r w:rsidRPr="003302A7">
        <w:rPr>
          <w:rStyle w:val="Emphasis"/>
          <w:rFonts w:ascii="Palatino Linotype" w:hAnsi="Palatino Linotype"/>
          <w:sz w:val="22"/>
          <w:szCs w:val="22"/>
          <w:lang w:val="en-US"/>
        </w:rPr>
        <w:t>Solar Energy Materials and Solar Cells</w:t>
      </w:r>
      <w:r w:rsidRPr="003302A7">
        <w:rPr>
          <w:rFonts w:ascii="Palatino Linotype" w:hAnsi="Palatino Linotype"/>
          <w:sz w:val="22"/>
          <w:szCs w:val="22"/>
          <w:lang w:val="en-US"/>
        </w:rPr>
        <w:t xml:space="preserve"> 231 (2021).</w:t>
      </w:r>
      <w:r w:rsidR="003302A7" w:rsidRPr="003302A7">
        <w:rPr>
          <w:rFonts w:ascii="Palatino Linotype" w:hAnsi="Palatino Linotype"/>
          <w:sz w:val="22"/>
          <w:szCs w:val="22"/>
          <w:lang w:val="en-US"/>
        </w:rPr>
        <w:t xml:space="preserve"> </w:t>
      </w:r>
      <w:hyperlink r:id="rId178" w:history="1">
        <w:r w:rsidR="003302A7" w:rsidRPr="00FB3BE2">
          <w:rPr>
            <w:rStyle w:val="Hyperlink"/>
            <w:rFonts w:ascii="Palatino Linotype" w:hAnsi="Palatino Linotype"/>
            <w:sz w:val="22"/>
            <w:szCs w:val="22"/>
            <w:lang w:val="en-US"/>
          </w:rPr>
          <w:t>https://doi.org/10.1016/j.solmat.2021.111309</w:t>
        </w:r>
      </w:hyperlink>
      <w:r w:rsidR="003302A7" w:rsidRPr="003302A7">
        <w:rPr>
          <w:rFonts w:ascii="Palatino Linotype" w:hAnsi="Palatino Linotype"/>
          <w:sz w:val="22"/>
          <w:szCs w:val="22"/>
          <w:lang w:val="en-US"/>
        </w:rPr>
        <w:t>.</w:t>
      </w:r>
    </w:p>
    <w:p w14:paraId="5A9665EB" w14:textId="77777777" w:rsidR="00B4749A" w:rsidRPr="003302A7" w:rsidRDefault="00B4749A" w:rsidP="003302A7">
      <w:pPr>
        <w:pStyle w:val="NormalWeb"/>
        <w:numPr>
          <w:ilvl w:val="0"/>
          <w:numId w:val="15"/>
        </w:numPr>
        <w:jc w:val="both"/>
        <w:rPr>
          <w:rFonts w:ascii="Palatino Linotype" w:hAnsi="Palatino Linotype"/>
          <w:sz w:val="22"/>
          <w:szCs w:val="22"/>
          <w:lang w:val="en-US"/>
        </w:rPr>
      </w:pPr>
      <w:r w:rsidRPr="003302A7">
        <w:rPr>
          <w:rFonts w:ascii="Palatino Linotype" w:hAnsi="Palatino Linotype"/>
          <w:sz w:val="22"/>
          <w:szCs w:val="22"/>
          <w:lang w:val="en-US"/>
        </w:rPr>
        <w:t xml:space="preserve">D.G. Atinafu, W. Dong, X. Huang, H. Gao, G. Wang. "Introduction of organic–organic eutectic PCM in mesoporous N-doped carbons for enhanced thermal conductivity and energy storage capacity". </w:t>
      </w:r>
      <w:r w:rsidRPr="003302A7">
        <w:rPr>
          <w:rStyle w:val="Emphasis"/>
          <w:rFonts w:ascii="Palatino Linotype" w:hAnsi="Palatino Linotype"/>
          <w:sz w:val="22"/>
          <w:szCs w:val="22"/>
        </w:rPr>
        <w:t>Applied Energy</w:t>
      </w:r>
      <w:r w:rsidRPr="003302A7">
        <w:rPr>
          <w:rFonts w:ascii="Palatino Linotype" w:hAnsi="Palatino Linotype"/>
          <w:sz w:val="22"/>
          <w:szCs w:val="22"/>
        </w:rPr>
        <w:t xml:space="preserve"> 211 (2018) 1203–1215. </w:t>
      </w:r>
      <w:hyperlink r:id="rId179" w:tgtFrame="_new" w:history="1">
        <w:r w:rsidRPr="003302A7">
          <w:rPr>
            <w:rStyle w:val="Hyperlink"/>
            <w:rFonts w:ascii="Palatino Linotype" w:hAnsi="Palatino Linotype"/>
            <w:sz w:val="22"/>
            <w:szCs w:val="22"/>
          </w:rPr>
          <w:t>https://doi.org/10.1016/j.apenergy.2017.12.025</w:t>
        </w:r>
      </w:hyperlink>
    </w:p>
    <w:p w14:paraId="56D0CD13" w14:textId="77777777" w:rsidR="00B4749A" w:rsidRPr="00100966" w:rsidRDefault="00B4749A" w:rsidP="00B4749A">
      <w:pPr>
        <w:pStyle w:val="NormalWeb"/>
        <w:numPr>
          <w:ilvl w:val="0"/>
          <w:numId w:val="15"/>
        </w:numPr>
        <w:jc w:val="both"/>
        <w:rPr>
          <w:rFonts w:ascii="Palatino Linotype" w:hAnsi="Palatino Linotype"/>
          <w:sz w:val="22"/>
          <w:szCs w:val="22"/>
        </w:rPr>
      </w:pPr>
      <w:r w:rsidRPr="003A65E5">
        <w:rPr>
          <w:rFonts w:ascii="Palatino Linotype" w:hAnsi="Palatino Linotype"/>
          <w:sz w:val="22"/>
          <w:szCs w:val="22"/>
          <w:lang w:val="en-US"/>
        </w:rPr>
        <w:t xml:space="preserve">M. Mehrali, S. Tahan Latibari, M. Mehrali, T.M.I. Mahlia, E. Sadeghinezhad, H.S.C. Metselaar. </w:t>
      </w:r>
      <w:r w:rsidRPr="00100966">
        <w:rPr>
          <w:rFonts w:ascii="Palatino Linotype" w:hAnsi="Palatino Linotype"/>
          <w:sz w:val="22"/>
          <w:szCs w:val="22"/>
          <w:lang w:val="en-US"/>
        </w:rPr>
        <w:t xml:space="preserve">"Preparation of nitrogen-doped graphene/palmitic acid shape stabilized composite phase change material with remarkable thermal properties for thermal energy storage". </w:t>
      </w:r>
      <w:r w:rsidRPr="00100966">
        <w:rPr>
          <w:rStyle w:val="Emphasis"/>
          <w:rFonts w:ascii="Palatino Linotype" w:hAnsi="Palatino Linotype"/>
          <w:sz w:val="22"/>
          <w:szCs w:val="22"/>
        </w:rPr>
        <w:t>Applied Energy</w:t>
      </w:r>
      <w:r w:rsidRPr="00100966">
        <w:rPr>
          <w:rFonts w:ascii="Palatino Linotype" w:hAnsi="Palatino Linotype"/>
          <w:sz w:val="22"/>
          <w:szCs w:val="22"/>
        </w:rPr>
        <w:t xml:space="preserve"> 135 (2014) 339–349. </w:t>
      </w:r>
      <w:hyperlink r:id="rId180" w:tgtFrame="_new" w:history="1">
        <w:r w:rsidRPr="00100966">
          <w:rPr>
            <w:rStyle w:val="Hyperlink"/>
            <w:rFonts w:ascii="Palatino Linotype" w:hAnsi="Palatino Linotype"/>
            <w:sz w:val="22"/>
            <w:szCs w:val="22"/>
          </w:rPr>
          <w:t>https://doi.org/10.1016/j.apenergy.2014.08.100</w:t>
        </w:r>
      </w:hyperlink>
    </w:p>
    <w:p w14:paraId="2358308A"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X. Chen, H. Gao, L. Xing, W. Dong, A. Li, P. Cheng, P. Liu, G. Wang. "Nanoconfinement effects of N-doped hierarchical carbon on thermal behaviors of organic phase change materials". </w:t>
      </w:r>
      <w:r w:rsidRPr="00100966">
        <w:rPr>
          <w:rStyle w:val="Emphasis"/>
          <w:rFonts w:ascii="Palatino Linotype" w:hAnsi="Palatino Linotype"/>
          <w:sz w:val="22"/>
          <w:szCs w:val="22"/>
        </w:rPr>
        <w:t>Energy Storage Materials</w:t>
      </w:r>
      <w:r w:rsidRPr="00100966">
        <w:rPr>
          <w:rFonts w:ascii="Palatino Linotype" w:hAnsi="Palatino Linotype"/>
          <w:sz w:val="22"/>
          <w:szCs w:val="22"/>
        </w:rPr>
        <w:t xml:space="preserve"> 18 (2019) 280–288. </w:t>
      </w:r>
      <w:hyperlink r:id="rId181" w:tgtFrame="_new" w:history="1">
        <w:r w:rsidRPr="00100966">
          <w:rPr>
            <w:rStyle w:val="Hyperlink"/>
            <w:rFonts w:ascii="Palatino Linotype" w:hAnsi="Palatino Linotype"/>
            <w:sz w:val="22"/>
            <w:szCs w:val="22"/>
          </w:rPr>
          <w:t>https://doi.org/10.1016/j.ensm.2018.08.024</w:t>
        </w:r>
      </w:hyperlink>
    </w:p>
    <w:p w14:paraId="094AE16C" w14:textId="77777777" w:rsidR="00B4749A" w:rsidRPr="00100966" w:rsidRDefault="00B4749A" w:rsidP="00B4749A">
      <w:pPr>
        <w:pStyle w:val="NormalWeb"/>
        <w:numPr>
          <w:ilvl w:val="0"/>
          <w:numId w:val="15"/>
        </w:numPr>
        <w:jc w:val="both"/>
        <w:rPr>
          <w:rFonts w:ascii="Palatino Linotype" w:hAnsi="Palatino Linotype"/>
          <w:sz w:val="22"/>
          <w:szCs w:val="22"/>
        </w:rPr>
      </w:pPr>
      <w:r w:rsidRPr="00F43E9A">
        <w:rPr>
          <w:rFonts w:ascii="Palatino Linotype" w:hAnsi="Palatino Linotype"/>
          <w:sz w:val="22"/>
          <w:szCs w:val="22"/>
        </w:rPr>
        <w:lastRenderedPageBreak/>
        <w:t xml:space="preserve">D.G. Atinafu, W. Dong, C. Hou, R.S. Andriamitantsoa, J. Wang, X. Huang, H. Gao, G. Wang. </w:t>
      </w:r>
      <w:r w:rsidRPr="00100966">
        <w:rPr>
          <w:rFonts w:ascii="Palatino Linotype" w:hAnsi="Palatino Linotype"/>
          <w:sz w:val="22"/>
          <w:szCs w:val="22"/>
          <w:lang w:val="en-US"/>
        </w:rPr>
        <w:t xml:space="preserve">"A facile one-step synthesis of porous N-doped carbon from MOF for efficient thermal energy storage capacity of shape-stabilized phase change materials". </w:t>
      </w:r>
      <w:r w:rsidRPr="00100966">
        <w:rPr>
          <w:rStyle w:val="Emphasis"/>
          <w:rFonts w:ascii="Palatino Linotype" w:hAnsi="Palatino Linotype"/>
          <w:sz w:val="22"/>
          <w:szCs w:val="22"/>
        </w:rPr>
        <w:t>Materials Today Energy</w:t>
      </w:r>
      <w:r w:rsidRPr="00100966">
        <w:rPr>
          <w:rFonts w:ascii="Palatino Linotype" w:hAnsi="Palatino Linotype"/>
          <w:sz w:val="22"/>
          <w:szCs w:val="22"/>
        </w:rPr>
        <w:t xml:space="preserve"> 12 (2019) 239–249. </w:t>
      </w:r>
      <w:hyperlink r:id="rId182" w:tgtFrame="_new" w:history="1">
        <w:r w:rsidRPr="00100966">
          <w:rPr>
            <w:rStyle w:val="Hyperlink"/>
            <w:rFonts w:ascii="Palatino Linotype" w:hAnsi="Palatino Linotype"/>
            <w:sz w:val="22"/>
            <w:szCs w:val="22"/>
          </w:rPr>
          <w:t>https://doi.org/10.1016/j.mtener.2019.01.011</w:t>
        </w:r>
      </w:hyperlink>
    </w:p>
    <w:p w14:paraId="31C0934A" w14:textId="77777777" w:rsidR="00B4749A" w:rsidRPr="00100966"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rPr>
        <w:t xml:space="preserve">R.J. Warzoha, A.S. Fleischer. </w:t>
      </w:r>
      <w:r w:rsidRPr="00100966">
        <w:rPr>
          <w:rFonts w:ascii="Palatino Linotype" w:hAnsi="Palatino Linotype"/>
          <w:sz w:val="22"/>
          <w:szCs w:val="22"/>
          <w:lang w:val="en-US"/>
        </w:rPr>
        <w:t xml:space="preserve">"Improved heat recovery from paraffin-based phase change materials due to the presence of percolating graphene networks". </w:t>
      </w:r>
      <w:r w:rsidRPr="00100966">
        <w:rPr>
          <w:rStyle w:val="Emphasis"/>
          <w:rFonts w:ascii="Palatino Linotype" w:hAnsi="Palatino Linotype"/>
          <w:sz w:val="22"/>
          <w:szCs w:val="22"/>
          <w:lang w:val="en-US"/>
        </w:rPr>
        <w:t>International Journal of Heat and Mass Transfer</w:t>
      </w:r>
      <w:r w:rsidRPr="00100966">
        <w:rPr>
          <w:rFonts w:ascii="Palatino Linotype" w:hAnsi="Palatino Linotype"/>
          <w:sz w:val="22"/>
          <w:szCs w:val="22"/>
          <w:lang w:val="en-US"/>
        </w:rPr>
        <w:t xml:space="preserve"> 79 (2014) 314–323. </w:t>
      </w:r>
      <w:hyperlink r:id="rId183" w:tgtFrame="_new" w:history="1">
        <w:r w:rsidRPr="00100966">
          <w:rPr>
            <w:rStyle w:val="Hyperlink"/>
            <w:rFonts w:ascii="Palatino Linotype" w:hAnsi="Palatino Linotype"/>
            <w:sz w:val="22"/>
            <w:szCs w:val="22"/>
            <w:lang w:val="en-US"/>
          </w:rPr>
          <w:t>https://doi.org/10.1016/j.ijheatmasstransfer.2014.08.009</w:t>
        </w:r>
      </w:hyperlink>
    </w:p>
    <w:p w14:paraId="43DF4E6E"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H. Sun, Z. Xu, C. Gao. "Multifunctional, ultra-flyweight, synergistically assembled carbon aerogels". </w:t>
      </w:r>
      <w:r w:rsidRPr="00100966">
        <w:rPr>
          <w:rStyle w:val="Emphasis"/>
          <w:rFonts w:ascii="Palatino Linotype" w:hAnsi="Palatino Linotype"/>
          <w:sz w:val="22"/>
          <w:szCs w:val="22"/>
        </w:rPr>
        <w:t>Advanced Materials</w:t>
      </w:r>
      <w:r w:rsidRPr="00100966">
        <w:rPr>
          <w:rFonts w:ascii="Palatino Linotype" w:hAnsi="Palatino Linotype"/>
          <w:sz w:val="22"/>
          <w:szCs w:val="22"/>
        </w:rPr>
        <w:t xml:space="preserve"> 25 (2013) 2554–2560. </w:t>
      </w:r>
      <w:hyperlink r:id="rId184" w:tgtFrame="_new" w:history="1">
        <w:r w:rsidRPr="00100966">
          <w:rPr>
            <w:rStyle w:val="Hyperlink"/>
            <w:rFonts w:ascii="Palatino Linotype" w:hAnsi="Palatino Linotype"/>
            <w:sz w:val="22"/>
            <w:szCs w:val="22"/>
          </w:rPr>
          <w:t>https://doi.org/10.1002/adma.201204576</w:t>
        </w:r>
      </w:hyperlink>
    </w:p>
    <w:p w14:paraId="68D0B5EA" w14:textId="39445BF6" w:rsidR="00B4749A" w:rsidRPr="00100966" w:rsidRDefault="00C05862" w:rsidP="00B4749A">
      <w:pPr>
        <w:pStyle w:val="NormalWeb"/>
        <w:numPr>
          <w:ilvl w:val="0"/>
          <w:numId w:val="15"/>
        </w:numPr>
        <w:jc w:val="both"/>
        <w:rPr>
          <w:rFonts w:ascii="Palatino Linotype" w:hAnsi="Palatino Linotype"/>
          <w:sz w:val="22"/>
          <w:szCs w:val="22"/>
        </w:rPr>
      </w:pPr>
      <w:r>
        <w:rPr>
          <w:rFonts w:ascii="Palatino Linotype" w:hAnsi="Palatino Linotype"/>
          <w:sz w:val="22"/>
          <w:szCs w:val="22"/>
        </w:rPr>
        <w:t>I.</w:t>
      </w:r>
      <w:r w:rsidR="00B4749A" w:rsidRPr="00100966">
        <w:rPr>
          <w:rFonts w:ascii="Palatino Linotype" w:hAnsi="Palatino Linotype"/>
          <w:sz w:val="22"/>
          <w:szCs w:val="22"/>
        </w:rPr>
        <w:t xml:space="preserve">Okechukwu, N.N. Duru, V. Oluwatosin, T.C. Erinosho, M.O. Eyube, U.C. Akomah, H. Sam Samuel, G. Okibe. </w:t>
      </w:r>
      <w:r w:rsidR="00B4749A" w:rsidRPr="00100966">
        <w:rPr>
          <w:rFonts w:ascii="Palatino Linotype" w:hAnsi="Palatino Linotype"/>
          <w:sz w:val="22"/>
          <w:szCs w:val="22"/>
          <w:lang w:val="en-US"/>
        </w:rPr>
        <w:t xml:space="preserve">"Nano-engineered organic solid–solid phase change materials for high-efficiency thermal energy storage in renewable systems: a review". </w:t>
      </w:r>
      <w:r w:rsidR="00B4749A" w:rsidRPr="00100966">
        <w:rPr>
          <w:rStyle w:val="Emphasis"/>
          <w:rFonts w:ascii="Palatino Linotype" w:hAnsi="Palatino Linotype"/>
          <w:sz w:val="22"/>
          <w:szCs w:val="22"/>
        </w:rPr>
        <w:t>ChemRxiv</w:t>
      </w:r>
      <w:r w:rsidR="00B4749A" w:rsidRPr="00100966">
        <w:rPr>
          <w:rFonts w:ascii="Palatino Linotype" w:hAnsi="Palatino Linotype"/>
          <w:sz w:val="22"/>
          <w:szCs w:val="22"/>
        </w:rPr>
        <w:t xml:space="preserve"> (2025). </w:t>
      </w:r>
      <w:hyperlink r:id="rId185" w:tgtFrame="_new" w:history="1">
        <w:r w:rsidR="00B4749A" w:rsidRPr="00100966">
          <w:rPr>
            <w:rStyle w:val="Hyperlink"/>
            <w:rFonts w:ascii="Palatino Linotype" w:hAnsi="Palatino Linotype"/>
            <w:sz w:val="22"/>
            <w:szCs w:val="22"/>
          </w:rPr>
          <w:t>https://doi.org/10.26434/chemrxiv-2025-62hqs</w:t>
        </w:r>
      </w:hyperlink>
    </w:p>
    <w:p w14:paraId="65039E1D" w14:textId="6F9CF2CA" w:rsidR="0086396D" w:rsidRDefault="00B4749A" w:rsidP="0086396D">
      <w:pPr>
        <w:pStyle w:val="NormalWeb"/>
        <w:numPr>
          <w:ilvl w:val="0"/>
          <w:numId w:val="15"/>
        </w:numPr>
        <w:jc w:val="both"/>
        <w:rPr>
          <w:rFonts w:ascii="Palatino Linotype" w:hAnsi="Palatino Linotype"/>
          <w:sz w:val="22"/>
          <w:szCs w:val="22"/>
        </w:rPr>
      </w:pPr>
      <w:r w:rsidRPr="00F43E9A">
        <w:rPr>
          <w:rFonts w:ascii="Palatino Linotype" w:hAnsi="Palatino Linotype"/>
          <w:sz w:val="22"/>
          <w:szCs w:val="22"/>
        </w:rPr>
        <w:t xml:space="preserve">A.P. Mouiritz, A.G. Gibson. </w:t>
      </w:r>
      <w:r w:rsidRPr="00100966">
        <w:rPr>
          <w:rFonts w:ascii="Palatino Linotype" w:hAnsi="Palatino Linotype"/>
          <w:sz w:val="22"/>
          <w:szCs w:val="22"/>
          <w:lang w:val="en-US"/>
        </w:rPr>
        <w:t xml:space="preserve">"Fire reaction properties of the composites". </w:t>
      </w:r>
      <w:r w:rsidRPr="00100966">
        <w:rPr>
          <w:rStyle w:val="Emphasis"/>
          <w:rFonts w:ascii="Palatino Linotype" w:hAnsi="Palatino Linotype"/>
          <w:sz w:val="22"/>
          <w:szCs w:val="22"/>
          <w:lang w:val="en-US"/>
        </w:rPr>
        <w:t>Fire Properties of Composite Polymer Materials</w:t>
      </w:r>
      <w:r w:rsidRPr="00100966">
        <w:rPr>
          <w:rFonts w:ascii="Palatino Linotype" w:hAnsi="Palatino Linotype"/>
          <w:sz w:val="22"/>
          <w:szCs w:val="22"/>
          <w:lang w:val="en-US"/>
        </w:rPr>
        <w:t xml:space="preserve">. </w:t>
      </w:r>
      <w:r w:rsidRPr="00100966">
        <w:rPr>
          <w:rStyle w:val="Emphasis"/>
          <w:rFonts w:ascii="Palatino Linotype" w:hAnsi="Palatino Linotype"/>
          <w:sz w:val="22"/>
          <w:szCs w:val="22"/>
          <w:lang w:val="en-US"/>
        </w:rPr>
        <w:t>Solid Mechanics and Its Applications</w:t>
      </w:r>
      <w:r w:rsidRPr="00100966">
        <w:rPr>
          <w:rFonts w:ascii="Palatino Linotype" w:hAnsi="Palatino Linotype"/>
          <w:sz w:val="22"/>
          <w:szCs w:val="22"/>
          <w:lang w:val="en-US"/>
        </w:rPr>
        <w:t xml:space="preserve"> 143 (2006)</w:t>
      </w:r>
      <w:r w:rsidR="0086396D">
        <w:rPr>
          <w:rFonts w:ascii="Palatino Linotype" w:hAnsi="Palatino Linotype"/>
          <w:sz w:val="22"/>
          <w:szCs w:val="22"/>
          <w:lang w:val="en-US"/>
        </w:rPr>
        <w:t xml:space="preserve"> 59-101</w:t>
      </w:r>
      <w:r w:rsidRPr="00100966">
        <w:rPr>
          <w:rFonts w:ascii="Palatino Linotype" w:hAnsi="Palatino Linotype"/>
          <w:sz w:val="22"/>
          <w:szCs w:val="22"/>
          <w:lang w:val="en-US"/>
        </w:rPr>
        <w:t>.</w:t>
      </w:r>
      <w:r w:rsidR="0086396D">
        <w:rPr>
          <w:rFonts w:ascii="Palatino Linotype" w:hAnsi="Palatino Linotype"/>
          <w:sz w:val="22"/>
          <w:szCs w:val="22"/>
          <w:lang w:val="en-US"/>
        </w:rPr>
        <w:t xml:space="preserve"> </w:t>
      </w:r>
      <w:hyperlink r:id="rId186" w:history="1">
        <w:r w:rsidR="0086396D" w:rsidRPr="002B403C">
          <w:rPr>
            <w:rStyle w:val="Hyperlink"/>
            <w:rFonts w:ascii="Palatino Linotype" w:hAnsi="Palatino Linotype"/>
            <w:sz w:val="22"/>
            <w:szCs w:val="22"/>
          </w:rPr>
          <w:t>https://doi.org/10.1007/978-1-4020-5356-6_3</w:t>
        </w:r>
      </w:hyperlink>
    </w:p>
    <w:p w14:paraId="0696A113" w14:textId="2025F1F5" w:rsidR="00B4749A" w:rsidRPr="00A94902" w:rsidRDefault="00C05862" w:rsidP="0086396D">
      <w:pPr>
        <w:pStyle w:val="NormalWeb"/>
        <w:numPr>
          <w:ilvl w:val="0"/>
          <w:numId w:val="15"/>
        </w:numPr>
        <w:jc w:val="both"/>
        <w:rPr>
          <w:rFonts w:ascii="Palatino Linotype" w:hAnsi="Palatino Linotype"/>
          <w:sz w:val="22"/>
          <w:szCs w:val="22"/>
          <w:lang w:val="en-US"/>
        </w:rPr>
      </w:pPr>
      <w:r w:rsidRPr="0086396D">
        <w:rPr>
          <w:rFonts w:ascii="Palatino Linotype" w:hAnsi="Palatino Linotype"/>
          <w:sz w:val="22"/>
          <w:szCs w:val="22"/>
          <w:lang w:val="en-US"/>
        </w:rPr>
        <w:t>I.</w:t>
      </w:r>
      <w:r w:rsidR="00B4749A" w:rsidRPr="0086396D">
        <w:rPr>
          <w:rFonts w:ascii="Palatino Linotype" w:hAnsi="Palatino Linotype"/>
          <w:sz w:val="22"/>
          <w:szCs w:val="22"/>
          <w:lang w:val="en-US"/>
        </w:rPr>
        <w:t xml:space="preserve">Shamseddine, F. Pennec, P. Biwole, F. Fardoun. "Supercooling of phase change materials: A review". </w:t>
      </w:r>
      <w:r w:rsidR="00B4749A" w:rsidRPr="0086396D">
        <w:rPr>
          <w:rStyle w:val="Emphasis"/>
          <w:rFonts w:ascii="Palatino Linotype" w:hAnsi="Palatino Linotype"/>
          <w:sz w:val="22"/>
          <w:szCs w:val="22"/>
          <w:lang w:val="en-US"/>
        </w:rPr>
        <w:t>Renewable and Sustainable Energy Reviews</w:t>
      </w:r>
      <w:r w:rsidR="00B4749A" w:rsidRPr="0086396D">
        <w:rPr>
          <w:rFonts w:ascii="Palatino Linotype" w:hAnsi="Palatino Linotype"/>
          <w:sz w:val="22"/>
          <w:szCs w:val="22"/>
          <w:lang w:val="en-US"/>
        </w:rPr>
        <w:t xml:space="preserve"> 158 (2022). </w:t>
      </w:r>
      <w:hyperlink r:id="rId187" w:tgtFrame="_new" w:history="1">
        <w:r w:rsidR="00B4749A" w:rsidRPr="0086396D">
          <w:rPr>
            <w:rStyle w:val="Hyperlink"/>
            <w:rFonts w:ascii="Palatino Linotype" w:hAnsi="Palatino Linotype"/>
            <w:sz w:val="22"/>
            <w:szCs w:val="22"/>
            <w:lang w:val="en-US"/>
          </w:rPr>
          <w:t>https://doi.org/10.1016/j.rser.2022.112172</w:t>
        </w:r>
      </w:hyperlink>
    </w:p>
    <w:p w14:paraId="5BAE09FA"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nb-NO"/>
        </w:rPr>
        <w:t xml:space="preserve">H. Reichert, O. Klein, H. Dosch, M. Denk, V. Honkimäki, T. Lippmann, G. Reiter. </w:t>
      </w:r>
      <w:r w:rsidRPr="00100966">
        <w:rPr>
          <w:rFonts w:ascii="Palatino Linotype" w:hAnsi="Palatino Linotype"/>
          <w:sz w:val="22"/>
          <w:szCs w:val="22"/>
          <w:lang w:val="en-US"/>
        </w:rPr>
        <w:t xml:space="preserve">"Observation of five-fold local symmetry in liquid lead". </w:t>
      </w:r>
      <w:r w:rsidRPr="00100966">
        <w:rPr>
          <w:rStyle w:val="Emphasis"/>
          <w:rFonts w:ascii="Palatino Linotype" w:hAnsi="Palatino Linotype"/>
          <w:sz w:val="22"/>
          <w:szCs w:val="22"/>
          <w:lang w:val="en-US"/>
        </w:rPr>
        <w:t>Nature</w:t>
      </w:r>
      <w:r w:rsidRPr="00100966">
        <w:rPr>
          <w:rFonts w:ascii="Palatino Linotype" w:hAnsi="Palatino Linotype"/>
          <w:sz w:val="22"/>
          <w:szCs w:val="22"/>
          <w:lang w:val="en-US"/>
        </w:rPr>
        <w:t xml:space="preserve"> 408 (2000) 839–841. </w:t>
      </w:r>
      <w:hyperlink r:id="rId188" w:tgtFrame="_new" w:history="1">
        <w:r w:rsidRPr="00100966">
          <w:rPr>
            <w:rStyle w:val="Hyperlink"/>
            <w:rFonts w:ascii="Palatino Linotype" w:hAnsi="Palatino Linotype"/>
            <w:sz w:val="22"/>
            <w:szCs w:val="22"/>
          </w:rPr>
          <w:t>https://doi.org/10.1038/35048537</w:t>
        </w:r>
      </w:hyperlink>
    </w:p>
    <w:p w14:paraId="3EC19EE0" w14:textId="26F13B3B"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rPr>
        <w:t xml:space="preserve">S.H. Oh, Y. Kauffmann, C. Scheu, W.D. Kaplan, M. Rühle. </w:t>
      </w:r>
      <w:r w:rsidRPr="00100966">
        <w:rPr>
          <w:rFonts w:ascii="Palatino Linotype" w:hAnsi="Palatino Linotype"/>
          <w:sz w:val="22"/>
          <w:szCs w:val="22"/>
          <w:lang w:val="en-US"/>
        </w:rPr>
        <w:t xml:space="preserve">"Ordered liquid aluminum at the interface with sapphire". </w:t>
      </w:r>
      <w:r w:rsidRPr="00100966">
        <w:rPr>
          <w:rStyle w:val="Emphasis"/>
          <w:rFonts w:ascii="Palatino Linotype" w:hAnsi="Palatino Linotype"/>
          <w:sz w:val="22"/>
          <w:szCs w:val="22"/>
        </w:rPr>
        <w:t>Science</w:t>
      </w:r>
      <w:r w:rsidRPr="00100966">
        <w:rPr>
          <w:rFonts w:ascii="Palatino Linotype" w:hAnsi="Palatino Linotype"/>
          <w:sz w:val="22"/>
          <w:szCs w:val="22"/>
        </w:rPr>
        <w:t xml:space="preserve"> </w:t>
      </w:r>
      <w:r w:rsidR="00CE57E0">
        <w:rPr>
          <w:rFonts w:ascii="Palatino Linotype" w:hAnsi="Palatino Linotype"/>
          <w:sz w:val="22"/>
          <w:szCs w:val="22"/>
        </w:rPr>
        <w:t xml:space="preserve">310 </w:t>
      </w:r>
      <w:r w:rsidRPr="00100966">
        <w:rPr>
          <w:rFonts w:ascii="Palatino Linotype" w:hAnsi="Palatino Linotype"/>
          <w:sz w:val="22"/>
          <w:szCs w:val="22"/>
        </w:rPr>
        <w:t>(2005)</w:t>
      </w:r>
      <w:r w:rsidR="00CE57E0">
        <w:rPr>
          <w:rFonts w:ascii="Palatino Linotype" w:hAnsi="Palatino Linotype"/>
          <w:sz w:val="22"/>
          <w:szCs w:val="22"/>
        </w:rPr>
        <w:t xml:space="preserve"> 661-663</w:t>
      </w:r>
      <w:r w:rsidRPr="00100966">
        <w:rPr>
          <w:rFonts w:ascii="Palatino Linotype" w:hAnsi="Palatino Linotype"/>
          <w:sz w:val="22"/>
          <w:szCs w:val="22"/>
        </w:rPr>
        <w:t xml:space="preserve">. </w:t>
      </w:r>
      <w:hyperlink r:id="rId189" w:tgtFrame="_new" w:history="1">
        <w:r w:rsidRPr="00100966">
          <w:rPr>
            <w:rStyle w:val="Hyperlink"/>
            <w:rFonts w:ascii="Palatino Linotype" w:hAnsi="Palatino Linotype"/>
            <w:sz w:val="22"/>
            <w:szCs w:val="22"/>
          </w:rPr>
          <w:t>https://doi.org/10.1126/science.1118611</w:t>
        </w:r>
      </w:hyperlink>
    </w:p>
    <w:p w14:paraId="24F8D629"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A.L. Greer. "Supercool order". </w:t>
      </w:r>
      <w:r w:rsidRPr="00100966">
        <w:rPr>
          <w:rStyle w:val="Emphasis"/>
          <w:rFonts w:ascii="Palatino Linotype" w:hAnsi="Palatino Linotype"/>
          <w:sz w:val="22"/>
          <w:szCs w:val="22"/>
        </w:rPr>
        <w:t>Nature Materials</w:t>
      </w:r>
      <w:r w:rsidRPr="00100966">
        <w:rPr>
          <w:rFonts w:ascii="Palatino Linotype" w:hAnsi="Palatino Linotype"/>
          <w:sz w:val="22"/>
          <w:szCs w:val="22"/>
        </w:rPr>
        <w:t xml:space="preserve"> 5 (2006) 13–14. </w:t>
      </w:r>
      <w:hyperlink r:id="rId190" w:tgtFrame="_new" w:history="1">
        <w:r w:rsidRPr="00100966">
          <w:rPr>
            <w:rStyle w:val="Hyperlink"/>
            <w:rFonts w:ascii="Palatino Linotype" w:hAnsi="Palatino Linotype"/>
            <w:sz w:val="22"/>
            <w:szCs w:val="22"/>
          </w:rPr>
          <w:t>https://doi.org/10.1038/nmat1557</w:t>
        </w:r>
      </w:hyperlink>
    </w:p>
    <w:p w14:paraId="793CB41D"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rPr>
        <w:t xml:space="preserve">A. Di Pretoro, F. Manenti. </w:t>
      </w:r>
      <w:r w:rsidRPr="00100966">
        <w:rPr>
          <w:rFonts w:ascii="Palatino Linotype" w:hAnsi="Palatino Linotype"/>
          <w:sz w:val="22"/>
          <w:szCs w:val="22"/>
          <w:lang w:val="en-US"/>
        </w:rPr>
        <w:t xml:space="preserve">"Crystallization". </w:t>
      </w:r>
      <w:r w:rsidRPr="00100966">
        <w:rPr>
          <w:rStyle w:val="Emphasis"/>
          <w:rFonts w:ascii="Palatino Linotype" w:hAnsi="Palatino Linotype"/>
          <w:sz w:val="22"/>
          <w:szCs w:val="22"/>
          <w:lang w:val="en-US"/>
        </w:rPr>
        <w:t>SpringerBriefs in Applied Sciences and Technology</w:t>
      </w:r>
      <w:r w:rsidRPr="00100966">
        <w:rPr>
          <w:rFonts w:ascii="Palatino Linotype" w:hAnsi="Palatino Linotype"/>
          <w:sz w:val="22"/>
          <w:szCs w:val="22"/>
          <w:lang w:val="en-US"/>
        </w:rPr>
        <w:t xml:space="preserve"> (2020) 109–114. </w:t>
      </w:r>
      <w:hyperlink r:id="rId191" w:tgtFrame="_new" w:history="1">
        <w:r w:rsidRPr="00100966">
          <w:rPr>
            <w:rStyle w:val="Hyperlink"/>
            <w:rFonts w:ascii="Palatino Linotype" w:hAnsi="Palatino Linotype"/>
            <w:sz w:val="22"/>
            <w:szCs w:val="22"/>
          </w:rPr>
          <w:t>https://doi.org/10.1007/978-3-030-34572-3_13</w:t>
        </w:r>
      </w:hyperlink>
    </w:p>
    <w:p w14:paraId="28D6B8D8" w14:textId="73DE8BE9" w:rsidR="00B4749A" w:rsidRPr="00100966" w:rsidRDefault="00B4749A" w:rsidP="00B4749A">
      <w:pPr>
        <w:pStyle w:val="NormalWeb"/>
        <w:numPr>
          <w:ilvl w:val="0"/>
          <w:numId w:val="15"/>
        </w:numPr>
        <w:jc w:val="both"/>
        <w:rPr>
          <w:rFonts w:ascii="Palatino Linotype" w:hAnsi="Palatino Linotype"/>
          <w:sz w:val="22"/>
          <w:szCs w:val="22"/>
        </w:rPr>
      </w:pPr>
      <w:r w:rsidRPr="00C05862">
        <w:rPr>
          <w:rFonts w:ascii="Palatino Linotype" w:hAnsi="Palatino Linotype"/>
          <w:sz w:val="22"/>
          <w:szCs w:val="22"/>
          <w:lang w:val="en-US"/>
        </w:rPr>
        <w:t xml:space="preserve">J. Mullin. </w:t>
      </w:r>
      <w:r w:rsidRPr="00C05862">
        <w:rPr>
          <w:rStyle w:val="Emphasis"/>
          <w:rFonts w:ascii="Palatino Linotype" w:hAnsi="Palatino Linotype"/>
          <w:sz w:val="22"/>
          <w:szCs w:val="22"/>
          <w:lang w:val="en-US"/>
        </w:rPr>
        <w:t>Crystallization</w:t>
      </w:r>
      <w:r w:rsidRPr="00C05862">
        <w:rPr>
          <w:rFonts w:ascii="Palatino Linotype" w:hAnsi="Palatino Linotype"/>
          <w:sz w:val="22"/>
          <w:szCs w:val="22"/>
          <w:lang w:val="en-US"/>
        </w:rPr>
        <w:t>. 2001.</w:t>
      </w:r>
      <w:r w:rsidR="00C05862" w:rsidRPr="00C05862">
        <w:rPr>
          <w:rFonts w:ascii="Palatino Linotype" w:hAnsi="Palatino Linotype"/>
          <w:sz w:val="22"/>
          <w:szCs w:val="22"/>
          <w:lang w:val="en-US"/>
        </w:rPr>
        <w:t xml:space="preserve"> 4th ed. Butterworth-Heinemann, Oxford. ISBN 978-0-7506-4833-2 (print); 978-0-08-053011-6 (eBook). </w:t>
      </w:r>
      <w:r w:rsidR="00C05862">
        <w:rPr>
          <w:rFonts w:ascii="Palatino Linotype" w:hAnsi="Palatino Linotype"/>
          <w:sz w:val="22"/>
          <w:szCs w:val="22"/>
          <w:lang w:val="en-US"/>
        </w:rPr>
        <w:t>Available on</w:t>
      </w:r>
      <w:r w:rsidR="00C05862" w:rsidRPr="00C05862">
        <w:rPr>
          <w:rFonts w:ascii="Palatino Linotype" w:hAnsi="Palatino Linotype"/>
          <w:sz w:val="22"/>
          <w:szCs w:val="22"/>
        </w:rPr>
        <w:t xml:space="preserve">: </w:t>
      </w:r>
      <w:hyperlink r:id="rId192" w:tgtFrame="_new" w:history="1">
        <w:r w:rsidR="00C05862" w:rsidRPr="00C05862">
          <w:rPr>
            <w:rStyle w:val="Hyperlink"/>
            <w:rFonts w:ascii="Palatino Linotype" w:hAnsi="Palatino Linotype"/>
            <w:sz w:val="22"/>
            <w:szCs w:val="22"/>
          </w:rPr>
          <w:t>https://www.sciencedirect.com/book/9780750648332/crystallization</w:t>
        </w:r>
      </w:hyperlink>
      <w:r w:rsidR="00C05862" w:rsidRPr="00C05862">
        <w:rPr>
          <w:rFonts w:ascii="Palatino Linotype" w:hAnsi="Palatino Linotype"/>
          <w:sz w:val="22"/>
          <w:szCs w:val="22"/>
        </w:rPr>
        <w:t>.</w:t>
      </w:r>
    </w:p>
    <w:p w14:paraId="507DF722" w14:textId="792AE09D"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nb-NO"/>
        </w:rPr>
        <w:t xml:space="preserve">M. Dannemand, J. Dragsted, J. Fan, J.B. Johansen, W. Kong, S. Furbo. </w:t>
      </w:r>
      <w:r w:rsidRPr="00100966">
        <w:rPr>
          <w:rFonts w:ascii="Palatino Linotype" w:hAnsi="Palatino Linotype"/>
          <w:sz w:val="22"/>
          <w:szCs w:val="22"/>
          <w:lang w:val="en-US"/>
        </w:rPr>
        <w:t xml:space="preserve">"Experimental investigations on prototype heat storage units utilizing stable supercooling of sodium </w:t>
      </w:r>
      <w:r w:rsidRPr="00100966">
        <w:rPr>
          <w:rFonts w:ascii="Palatino Linotype" w:hAnsi="Palatino Linotype"/>
          <w:sz w:val="22"/>
          <w:szCs w:val="22"/>
          <w:lang w:val="en-US"/>
        </w:rPr>
        <w:lastRenderedPageBreak/>
        <w:t xml:space="preserve">acetate trihydrate mixtures". </w:t>
      </w:r>
      <w:r w:rsidRPr="00100966">
        <w:rPr>
          <w:rStyle w:val="Emphasis"/>
          <w:rFonts w:ascii="Palatino Linotype" w:hAnsi="Palatino Linotype"/>
          <w:sz w:val="22"/>
          <w:szCs w:val="22"/>
        </w:rPr>
        <w:t>Applied Energy</w:t>
      </w:r>
      <w:r w:rsidR="00CE57E0">
        <w:rPr>
          <w:rStyle w:val="Emphasis"/>
          <w:rFonts w:ascii="Palatino Linotype" w:hAnsi="Palatino Linotype"/>
          <w:sz w:val="22"/>
          <w:szCs w:val="22"/>
        </w:rPr>
        <w:t xml:space="preserve"> </w:t>
      </w:r>
      <w:r w:rsidR="00CE57E0">
        <w:rPr>
          <w:rStyle w:val="Emphasis"/>
          <w:rFonts w:ascii="Palatino Linotype" w:hAnsi="Palatino Linotype"/>
          <w:i w:val="0"/>
          <w:iCs w:val="0"/>
          <w:sz w:val="22"/>
          <w:szCs w:val="22"/>
        </w:rPr>
        <w:t>169</w:t>
      </w:r>
      <w:r w:rsidRPr="00100966">
        <w:rPr>
          <w:rFonts w:ascii="Palatino Linotype" w:hAnsi="Palatino Linotype"/>
          <w:sz w:val="22"/>
          <w:szCs w:val="22"/>
        </w:rPr>
        <w:t xml:space="preserve"> (2016)</w:t>
      </w:r>
      <w:r w:rsidR="00CE57E0">
        <w:rPr>
          <w:rFonts w:ascii="Palatino Linotype" w:hAnsi="Palatino Linotype"/>
          <w:sz w:val="22"/>
          <w:szCs w:val="22"/>
        </w:rPr>
        <w:t xml:space="preserve"> 72-80</w:t>
      </w:r>
      <w:r w:rsidRPr="00100966">
        <w:rPr>
          <w:rFonts w:ascii="Palatino Linotype" w:hAnsi="Palatino Linotype"/>
          <w:sz w:val="22"/>
          <w:szCs w:val="22"/>
        </w:rPr>
        <w:t xml:space="preserve">. </w:t>
      </w:r>
      <w:hyperlink r:id="rId193" w:tgtFrame="_new" w:history="1">
        <w:r w:rsidRPr="00100966">
          <w:rPr>
            <w:rStyle w:val="Hyperlink"/>
            <w:rFonts w:ascii="Palatino Linotype" w:hAnsi="Palatino Linotype"/>
            <w:sz w:val="22"/>
            <w:szCs w:val="22"/>
          </w:rPr>
          <w:t>https://doi.org/10.1016/j.apenergy.2016.02.038</w:t>
        </w:r>
      </w:hyperlink>
    </w:p>
    <w:p w14:paraId="0B7EA3D4" w14:textId="59382723" w:rsidR="00B4749A" w:rsidRPr="00100966" w:rsidRDefault="00B4749A" w:rsidP="00B4749A">
      <w:pPr>
        <w:pStyle w:val="NormalWeb"/>
        <w:numPr>
          <w:ilvl w:val="0"/>
          <w:numId w:val="15"/>
        </w:numPr>
        <w:jc w:val="both"/>
        <w:rPr>
          <w:rFonts w:ascii="Palatino Linotype" w:hAnsi="Palatino Linotype"/>
          <w:sz w:val="22"/>
          <w:szCs w:val="22"/>
        </w:rPr>
      </w:pPr>
      <w:r w:rsidRPr="00F43E9A">
        <w:rPr>
          <w:rFonts w:ascii="Palatino Linotype" w:hAnsi="Palatino Linotype"/>
          <w:sz w:val="22"/>
          <w:szCs w:val="22"/>
        </w:rPr>
        <w:t xml:space="preserve">L. Liu, X. Zhang, X. Xu, Y. Zhao, S. Zhang. </w:t>
      </w:r>
      <w:r w:rsidRPr="00100966">
        <w:rPr>
          <w:rFonts w:ascii="Palatino Linotype" w:hAnsi="Palatino Linotype"/>
          <w:sz w:val="22"/>
          <w:szCs w:val="22"/>
          <w:lang w:val="en-US"/>
        </w:rPr>
        <w:t xml:space="preserve">"The research progress on phase change hysteresis affecting the thermal characteristics of PCMs: A review". </w:t>
      </w:r>
      <w:r w:rsidRPr="00100966">
        <w:rPr>
          <w:rStyle w:val="Emphasis"/>
          <w:rFonts w:ascii="Palatino Linotype" w:hAnsi="Palatino Linotype"/>
          <w:sz w:val="22"/>
          <w:szCs w:val="22"/>
        </w:rPr>
        <w:t>Journal of Molecular Liquids</w:t>
      </w:r>
      <w:r w:rsidRPr="00100966">
        <w:rPr>
          <w:rFonts w:ascii="Palatino Linotype" w:hAnsi="Palatino Linotype"/>
          <w:sz w:val="22"/>
          <w:szCs w:val="22"/>
        </w:rPr>
        <w:t xml:space="preserve"> </w:t>
      </w:r>
      <w:r w:rsidR="00CE57E0">
        <w:rPr>
          <w:rFonts w:ascii="Palatino Linotype" w:hAnsi="Palatino Linotype"/>
          <w:sz w:val="22"/>
          <w:szCs w:val="22"/>
        </w:rPr>
        <w:t xml:space="preserve">317 </w:t>
      </w:r>
      <w:r w:rsidRPr="00100966">
        <w:rPr>
          <w:rFonts w:ascii="Palatino Linotype" w:hAnsi="Palatino Linotype"/>
          <w:sz w:val="22"/>
          <w:szCs w:val="22"/>
        </w:rPr>
        <w:t xml:space="preserve">(2020). </w:t>
      </w:r>
      <w:hyperlink r:id="rId194" w:tgtFrame="_new" w:history="1">
        <w:r w:rsidRPr="00100966">
          <w:rPr>
            <w:rStyle w:val="Hyperlink"/>
            <w:rFonts w:ascii="Palatino Linotype" w:hAnsi="Palatino Linotype"/>
            <w:sz w:val="22"/>
            <w:szCs w:val="22"/>
          </w:rPr>
          <w:t>https://doi.org/10.1016/j.molliq.2020.113760</w:t>
        </w:r>
      </w:hyperlink>
    </w:p>
    <w:p w14:paraId="145FB2A4" w14:textId="56AB0C26"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rPr>
        <w:t xml:space="preserve">L. Klimeš, P. Charvat, M. Mastani Joybari, M. Zalešak, F. Haghighat, K. Panchabikesan, M. El Mankibi, Y. Yuan. </w:t>
      </w:r>
      <w:r w:rsidRPr="00100966">
        <w:rPr>
          <w:rFonts w:ascii="Palatino Linotype" w:hAnsi="Palatino Linotype"/>
          <w:sz w:val="22"/>
          <w:szCs w:val="22"/>
          <w:lang w:val="en-US"/>
        </w:rPr>
        <w:t xml:space="preserve">"Computer modelling and experimental investigation of phase change hysteresis of PCMs: The state-of-the-art review". </w:t>
      </w:r>
      <w:r w:rsidRPr="00100966">
        <w:rPr>
          <w:rStyle w:val="Emphasis"/>
          <w:rFonts w:ascii="Palatino Linotype" w:hAnsi="Palatino Linotype"/>
          <w:sz w:val="22"/>
          <w:szCs w:val="22"/>
        </w:rPr>
        <w:t>Applied Energy</w:t>
      </w:r>
      <w:r w:rsidRPr="00100966">
        <w:rPr>
          <w:rFonts w:ascii="Palatino Linotype" w:hAnsi="Palatino Linotype"/>
          <w:sz w:val="22"/>
          <w:szCs w:val="22"/>
        </w:rPr>
        <w:t xml:space="preserve"> 263 (2020).</w:t>
      </w:r>
      <w:r w:rsidR="00CE57E0">
        <w:rPr>
          <w:rFonts w:ascii="Palatino Linotype" w:hAnsi="Palatino Linotype"/>
          <w:sz w:val="22"/>
          <w:szCs w:val="22"/>
        </w:rPr>
        <w:t xml:space="preserve"> </w:t>
      </w:r>
      <w:hyperlink r:id="rId195" w:history="1">
        <w:r w:rsidR="00CE57E0" w:rsidRPr="002B403C">
          <w:rPr>
            <w:rStyle w:val="Hyperlink"/>
            <w:rFonts w:ascii="Palatino Linotype" w:hAnsi="Palatino Linotype"/>
            <w:sz w:val="22"/>
            <w:szCs w:val="22"/>
          </w:rPr>
          <w:t>https://doi.org/10.1016/j.apenergy.2020.114572</w:t>
        </w:r>
      </w:hyperlink>
    </w:p>
    <w:p w14:paraId="36550104" w14:textId="28273158"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Q. Zhou, J. Zhang, Q. Zou. "Preparation and properties of hysteresis low temperature phase change energy storage microcapsules". </w:t>
      </w:r>
      <w:r w:rsidRPr="00100966">
        <w:rPr>
          <w:rStyle w:val="Emphasis"/>
          <w:rFonts w:ascii="Palatino Linotype" w:hAnsi="Palatino Linotype"/>
          <w:sz w:val="22"/>
          <w:szCs w:val="22"/>
        </w:rPr>
        <w:t>Chinese Journal of Colloid &amp; Polymer</w:t>
      </w:r>
      <w:r w:rsidRPr="00100966">
        <w:rPr>
          <w:rFonts w:ascii="Palatino Linotype" w:hAnsi="Palatino Linotype"/>
          <w:sz w:val="22"/>
          <w:szCs w:val="22"/>
        </w:rPr>
        <w:t xml:space="preserve"> 37 (2) (2019) 58–61.</w:t>
      </w:r>
      <w:r w:rsidR="00CE57E0">
        <w:rPr>
          <w:rFonts w:ascii="Palatino Linotype" w:hAnsi="Palatino Linotype"/>
          <w:sz w:val="22"/>
          <w:szCs w:val="22"/>
        </w:rPr>
        <w:t xml:space="preserve"> </w:t>
      </w:r>
    </w:p>
    <w:p w14:paraId="7614BC35" w14:textId="0582DEA1" w:rsidR="00B4749A" w:rsidRPr="00181A8D" w:rsidRDefault="000B7F28" w:rsidP="00B4749A">
      <w:pPr>
        <w:pStyle w:val="NormalWeb"/>
        <w:numPr>
          <w:ilvl w:val="0"/>
          <w:numId w:val="15"/>
        </w:numPr>
        <w:jc w:val="both"/>
        <w:rPr>
          <w:rFonts w:ascii="Palatino Linotype" w:hAnsi="Palatino Linotype"/>
          <w:sz w:val="22"/>
          <w:szCs w:val="22"/>
          <w:lang w:val="en-US"/>
        </w:rPr>
      </w:pPr>
      <w:r w:rsidRPr="000B7F28">
        <w:rPr>
          <w:rFonts w:ascii="Palatino Linotype" w:hAnsi="Palatino Linotype"/>
          <w:sz w:val="22"/>
          <w:szCs w:val="22"/>
          <w:lang w:val="en-US"/>
        </w:rPr>
        <w:t xml:space="preserve">J.A. Noël, S. Kahwaji, L. Desgrosseilliers, D. Groulx, </w:t>
      </w:r>
      <w:r>
        <w:rPr>
          <w:rFonts w:ascii="Palatino Linotype" w:hAnsi="Palatino Linotype"/>
          <w:sz w:val="22"/>
          <w:szCs w:val="22"/>
          <w:lang w:val="en-US"/>
        </w:rPr>
        <w:t xml:space="preserve">M.A. </w:t>
      </w:r>
      <w:r w:rsidRPr="000B7F28">
        <w:rPr>
          <w:rFonts w:ascii="Palatino Linotype" w:hAnsi="Palatino Linotype"/>
          <w:sz w:val="22"/>
          <w:szCs w:val="22"/>
          <w:lang w:val="en-US"/>
        </w:rPr>
        <w:t xml:space="preserve">White, 2016. </w:t>
      </w:r>
      <w:r w:rsidR="00181A8D">
        <w:rPr>
          <w:rFonts w:ascii="Palatino Linotype" w:hAnsi="Palatino Linotype"/>
          <w:sz w:val="22"/>
          <w:szCs w:val="22"/>
          <w:lang w:val="en-US"/>
        </w:rPr>
        <w:t>“</w:t>
      </w:r>
      <w:r w:rsidRPr="000B7F28">
        <w:rPr>
          <w:rFonts w:ascii="Palatino Linotype" w:hAnsi="Palatino Linotype"/>
          <w:sz w:val="22"/>
          <w:szCs w:val="22"/>
          <w:lang w:val="en-US"/>
        </w:rPr>
        <w:t>Phase Change Materials</w:t>
      </w:r>
      <w:r w:rsidR="00181A8D">
        <w:rPr>
          <w:rFonts w:ascii="Palatino Linotype" w:hAnsi="Palatino Linotype"/>
          <w:sz w:val="22"/>
          <w:szCs w:val="22"/>
          <w:lang w:val="en-US"/>
        </w:rPr>
        <w:t>”</w:t>
      </w:r>
      <w:r w:rsidRPr="000B7F28">
        <w:rPr>
          <w:rFonts w:ascii="Palatino Linotype" w:hAnsi="Palatino Linotype"/>
          <w:sz w:val="22"/>
          <w:szCs w:val="22"/>
          <w:lang w:val="en-US"/>
        </w:rPr>
        <w:t xml:space="preserve">. </w:t>
      </w:r>
      <w:r w:rsidRPr="000B7F28">
        <w:rPr>
          <w:rFonts w:ascii="Palatino Linotype" w:hAnsi="Palatino Linotype"/>
          <w:i/>
          <w:iCs/>
          <w:sz w:val="22"/>
          <w:szCs w:val="22"/>
          <w:lang w:val="en-US"/>
        </w:rPr>
        <w:t>Storing Energy: With Special Reference to Renewable Energy Sources</w:t>
      </w:r>
      <w:r w:rsidR="00181A8D">
        <w:rPr>
          <w:rFonts w:ascii="Palatino Linotype" w:hAnsi="Palatino Linotype"/>
          <w:i/>
          <w:iCs/>
          <w:sz w:val="22"/>
          <w:szCs w:val="22"/>
          <w:lang w:val="en-US"/>
        </w:rPr>
        <w:t xml:space="preserve"> </w:t>
      </w:r>
      <w:r w:rsidR="00181A8D">
        <w:rPr>
          <w:rFonts w:ascii="Palatino Linotype" w:hAnsi="Palatino Linotype"/>
          <w:sz w:val="22"/>
          <w:szCs w:val="22"/>
          <w:lang w:val="en-US"/>
        </w:rPr>
        <w:t>(2016)</w:t>
      </w:r>
      <w:r w:rsidRPr="00181A8D">
        <w:rPr>
          <w:rFonts w:ascii="Palatino Linotype" w:hAnsi="Palatino Linotype"/>
          <w:sz w:val="22"/>
          <w:szCs w:val="22"/>
          <w:lang w:val="en-US"/>
        </w:rPr>
        <w:t xml:space="preserve"> 249–272.</w:t>
      </w:r>
      <w:r w:rsidR="00B4749A" w:rsidRPr="00100966">
        <w:rPr>
          <w:rFonts w:ascii="Palatino Linotype" w:hAnsi="Palatino Linotype"/>
          <w:sz w:val="22"/>
          <w:szCs w:val="22"/>
          <w:lang w:val="en-US"/>
        </w:rPr>
        <w:t xml:space="preserve"> </w:t>
      </w:r>
      <w:hyperlink r:id="rId196" w:tgtFrame="_new" w:history="1">
        <w:r w:rsidR="00B4749A" w:rsidRPr="00181A8D">
          <w:rPr>
            <w:rStyle w:val="Hyperlink"/>
            <w:rFonts w:ascii="Palatino Linotype" w:hAnsi="Palatino Linotype"/>
            <w:sz w:val="22"/>
            <w:szCs w:val="22"/>
            <w:lang w:val="en-US"/>
          </w:rPr>
          <w:t>https://doi.org/10.1016/B978-0-12-803440-8.00013-0</w:t>
        </w:r>
      </w:hyperlink>
    </w:p>
    <w:p w14:paraId="4BBD8C29" w14:textId="77777777" w:rsidR="00181A8D" w:rsidRPr="00100966" w:rsidRDefault="00181A8D" w:rsidP="00181A8D">
      <w:pPr>
        <w:pStyle w:val="NormalWeb"/>
        <w:numPr>
          <w:ilvl w:val="0"/>
          <w:numId w:val="15"/>
        </w:numPr>
        <w:jc w:val="both"/>
        <w:rPr>
          <w:rFonts w:ascii="Palatino Linotype" w:hAnsi="Palatino Linotype"/>
          <w:sz w:val="22"/>
          <w:szCs w:val="22"/>
        </w:rPr>
      </w:pPr>
      <w:r>
        <w:rPr>
          <w:rFonts w:ascii="Palatino Linotype" w:hAnsi="Palatino Linotype"/>
          <w:sz w:val="22"/>
          <w:szCs w:val="22"/>
          <w:lang w:val="nb-NO"/>
        </w:rPr>
        <w:t xml:space="preserve">B. </w:t>
      </w:r>
      <w:r w:rsidRPr="00100966">
        <w:rPr>
          <w:rFonts w:ascii="Palatino Linotype" w:hAnsi="Palatino Linotype"/>
          <w:sz w:val="22"/>
          <w:szCs w:val="22"/>
          <w:lang w:val="nb-NO"/>
        </w:rPr>
        <w:t xml:space="preserve">Delcroix, M. Kummert, et al. </w:t>
      </w:r>
      <w:r w:rsidRPr="00100966">
        <w:rPr>
          <w:rFonts w:ascii="Palatino Linotype" w:hAnsi="Palatino Linotype"/>
          <w:sz w:val="22"/>
          <w:szCs w:val="22"/>
          <w:lang w:val="en-US"/>
        </w:rPr>
        <w:t xml:space="preserve">"Influence of experimental conditions on measured thermal properties used to model phase change materials". </w:t>
      </w:r>
      <w:r w:rsidRPr="00100966">
        <w:rPr>
          <w:rStyle w:val="Emphasis"/>
          <w:rFonts w:ascii="Palatino Linotype" w:hAnsi="Palatino Linotype"/>
          <w:sz w:val="22"/>
          <w:szCs w:val="22"/>
        </w:rPr>
        <w:t>Building Simulation</w:t>
      </w:r>
      <w:r w:rsidRPr="00100966">
        <w:rPr>
          <w:rFonts w:ascii="Palatino Linotype" w:hAnsi="Palatino Linotype"/>
          <w:sz w:val="22"/>
          <w:szCs w:val="22"/>
        </w:rPr>
        <w:t xml:space="preserve"> 8 (2015) 637–650. </w:t>
      </w:r>
      <w:hyperlink r:id="rId197" w:tgtFrame="_new" w:history="1">
        <w:r w:rsidRPr="00100966">
          <w:rPr>
            <w:rStyle w:val="Hyperlink"/>
            <w:rFonts w:ascii="Palatino Linotype" w:hAnsi="Palatino Linotype"/>
            <w:sz w:val="22"/>
            <w:szCs w:val="22"/>
          </w:rPr>
          <w:t>https://doi.org/10.1007/s12273-015-0241-8</w:t>
        </w:r>
      </w:hyperlink>
    </w:p>
    <w:p w14:paraId="14854195"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T.-H. Hsu, et al. "Thermal hysteresis in phase-change materials: encapsulated metal alloy core-shell microparticles". </w:t>
      </w:r>
      <w:r w:rsidRPr="00100966">
        <w:rPr>
          <w:rStyle w:val="Emphasis"/>
          <w:rFonts w:ascii="Palatino Linotype" w:hAnsi="Palatino Linotype"/>
          <w:sz w:val="22"/>
          <w:szCs w:val="22"/>
        </w:rPr>
        <w:t>Nano Energy</w:t>
      </w:r>
      <w:r w:rsidRPr="00100966">
        <w:rPr>
          <w:rFonts w:ascii="Palatino Linotype" w:hAnsi="Palatino Linotype"/>
          <w:sz w:val="22"/>
          <w:szCs w:val="22"/>
        </w:rPr>
        <w:t xml:space="preserve"> 51 (2018) 563–570. </w:t>
      </w:r>
      <w:hyperlink r:id="rId198" w:tgtFrame="_new" w:history="1">
        <w:r w:rsidRPr="00100966">
          <w:rPr>
            <w:rStyle w:val="Hyperlink"/>
            <w:rFonts w:ascii="Palatino Linotype" w:hAnsi="Palatino Linotype"/>
            <w:sz w:val="22"/>
            <w:szCs w:val="22"/>
          </w:rPr>
          <w:t>https://doi.org/10.1016/j.nanoen.2018.06.021</w:t>
        </w:r>
      </w:hyperlink>
    </w:p>
    <w:p w14:paraId="2542AE78"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rPr>
        <w:t xml:space="preserve">F. Mehdaoui, M. Hazami, A. Messaouda. </w:t>
      </w:r>
      <w:r w:rsidRPr="00100966">
        <w:rPr>
          <w:rFonts w:ascii="Palatino Linotype" w:hAnsi="Palatino Linotype"/>
          <w:sz w:val="22"/>
          <w:szCs w:val="22"/>
          <w:lang w:val="en-US"/>
        </w:rPr>
        <w:t xml:space="preserve">"Thermal testing and numerical simulation of PCM wall integrated inside a test cell on a small scale and subjected to the thermal stresses". </w:t>
      </w:r>
      <w:r w:rsidRPr="00100966">
        <w:rPr>
          <w:rStyle w:val="Emphasis"/>
          <w:rFonts w:ascii="Palatino Linotype" w:hAnsi="Palatino Linotype"/>
          <w:sz w:val="22"/>
          <w:szCs w:val="22"/>
        </w:rPr>
        <w:t>Renewable Energy</w:t>
      </w:r>
      <w:r w:rsidRPr="00100966">
        <w:rPr>
          <w:rFonts w:ascii="Palatino Linotype" w:hAnsi="Palatino Linotype"/>
          <w:sz w:val="22"/>
          <w:szCs w:val="22"/>
        </w:rPr>
        <w:t xml:space="preserve"> 135 (2019) 597–607. </w:t>
      </w:r>
      <w:hyperlink r:id="rId199" w:tgtFrame="_new" w:history="1">
        <w:r w:rsidRPr="00100966">
          <w:rPr>
            <w:rStyle w:val="Hyperlink"/>
            <w:rFonts w:ascii="Palatino Linotype" w:hAnsi="Palatino Linotype"/>
            <w:sz w:val="22"/>
            <w:szCs w:val="22"/>
          </w:rPr>
          <w:t>https://doi.org/10.1016/j.renene.2018.12.029</w:t>
        </w:r>
      </w:hyperlink>
    </w:p>
    <w:p w14:paraId="41C1052D" w14:textId="3EE54C6E" w:rsidR="006F73E7" w:rsidRPr="006F73E7" w:rsidRDefault="00181A8D" w:rsidP="00B4749A">
      <w:pPr>
        <w:pStyle w:val="NormalWeb"/>
        <w:numPr>
          <w:ilvl w:val="0"/>
          <w:numId w:val="15"/>
        </w:numPr>
        <w:jc w:val="both"/>
        <w:rPr>
          <w:rFonts w:ascii="Palatino Linotype" w:hAnsi="Palatino Linotype"/>
          <w:sz w:val="22"/>
          <w:szCs w:val="22"/>
          <w:lang w:val="en-US"/>
        </w:rPr>
      </w:pPr>
      <w:r w:rsidRPr="00181A8D">
        <w:rPr>
          <w:rFonts w:ascii="Palatino Linotype" w:hAnsi="Palatino Linotype"/>
          <w:sz w:val="22"/>
          <w:szCs w:val="22"/>
          <w:lang w:val="en-US"/>
        </w:rPr>
        <w:t>M.A. Rady</w:t>
      </w:r>
      <w:r w:rsidR="006F73E7" w:rsidRPr="00181A8D">
        <w:rPr>
          <w:rFonts w:ascii="Palatino Linotype" w:hAnsi="Palatino Linotype"/>
          <w:sz w:val="22"/>
          <w:szCs w:val="22"/>
          <w:lang w:val="en-US"/>
        </w:rPr>
        <w:t xml:space="preserve">, </w:t>
      </w:r>
      <w:r w:rsidRPr="00181A8D">
        <w:rPr>
          <w:rFonts w:ascii="Palatino Linotype" w:hAnsi="Palatino Linotype"/>
          <w:sz w:val="22"/>
          <w:szCs w:val="22"/>
          <w:lang w:val="en-US"/>
        </w:rPr>
        <w:t xml:space="preserve">E. </w:t>
      </w:r>
      <w:r w:rsidR="006F73E7" w:rsidRPr="00181A8D">
        <w:rPr>
          <w:rFonts w:ascii="Palatino Linotype" w:hAnsi="Palatino Linotype"/>
          <w:sz w:val="22"/>
          <w:szCs w:val="22"/>
          <w:lang w:val="en-US"/>
        </w:rPr>
        <w:t xml:space="preserve">Arquis., </w:t>
      </w:r>
      <w:r w:rsidRPr="00181A8D">
        <w:rPr>
          <w:rFonts w:ascii="Palatino Linotype" w:hAnsi="Palatino Linotype"/>
          <w:sz w:val="22"/>
          <w:szCs w:val="22"/>
          <w:lang w:val="en-US"/>
        </w:rPr>
        <w:t xml:space="preserve">C. </w:t>
      </w:r>
      <w:r w:rsidR="006F73E7" w:rsidRPr="00181A8D">
        <w:rPr>
          <w:rFonts w:ascii="Palatino Linotype" w:hAnsi="Palatino Linotype"/>
          <w:sz w:val="22"/>
          <w:szCs w:val="22"/>
          <w:lang w:val="en-US"/>
        </w:rPr>
        <w:t xml:space="preserve">Le Bot. </w:t>
      </w:r>
      <w:r w:rsidRPr="00181A8D">
        <w:rPr>
          <w:rFonts w:ascii="Palatino Linotype" w:hAnsi="Palatino Linotype"/>
          <w:sz w:val="22"/>
          <w:szCs w:val="22"/>
          <w:lang w:val="en-US"/>
        </w:rPr>
        <w:t>“</w:t>
      </w:r>
      <w:r w:rsidR="006F73E7" w:rsidRPr="006F73E7">
        <w:rPr>
          <w:rFonts w:ascii="Palatino Linotype" w:hAnsi="Palatino Linotype"/>
          <w:sz w:val="22"/>
          <w:szCs w:val="22"/>
          <w:lang w:val="en-US"/>
        </w:rPr>
        <w:t>Characterization of granular phase changing composites for thermal energy storage using the T-history method</w:t>
      </w:r>
      <w:r>
        <w:rPr>
          <w:rFonts w:ascii="Palatino Linotype" w:hAnsi="Palatino Linotype"/>
          <w:sz w:val="22"/>
          <w:szCs w:val="22"/>
          <w:lang w:val="en-US"/>
        </w:rPr>
        <w:t>”</w:t>
      </w:r>
      <w:r w:rsidR="006F73E7" w:rsidRPr="006F73E7">
        <w:rPr>
          <w:rFonts w:ascii="Palatino Linotype" w:hAnsi="Palatino Linotype"/>
          <w:sz w:val="22"/>
          <w:szCs w:val="22"/>
          <w:lang w:val="en-US"/>
        </w:rPr>
        <w:t xml:space="preserve">. </w:t>
      </w:r>
      <w:r w:rsidR="006F73E7" w:rsidRPr="006F73E7">
        <w:rPr>
          <w:rFonts w:ascii="Palatino Linotype" w:hAnsi="Palatino Linotype"/>
          <w:i/>
          <w:iCs/>
          <w:sz w:val="22"/>
          <w:szCs w:val="22"/>
          <w:lang w:val="nb-NO"/>
        </w:rPr>
        <w:t>Int</w:t>
      </w:r>
      <w:r w:rsidR="000B7F28">
        <w:rPr>
          <w:rFonts w:ascii="Palatino Linotype" w:hAnsi="Palatino Linotype"/>
          <w:i/>
          <w:iCs/>
          <w:sz w:val="22"/>
          <w:szCs w:val="22"/>
          <w:lang w:val="nb-NO"/>
        </w:rPr>
        <w:t>ernational</w:t>
      </w:r>
      <w:r w:rsidR="006F73E7" w:rsidRPr="006F73E7">
        <w:rPr>
          <w:rFonts w:ascii="Palatino Linotype" w:hAnsi="Palatino Linotype"/>
          <w:i/>
          <w:iCs/>
          <w:sz w:val="22"/>
          <w:szCs w:val="22"/>
          <w:lang w:val="nb-NO"/>
        </w:rPr>
        <w:t xml:space="preserve"> J</w:t>
      </w:r>
      <w:r w:rsidR="000B7F28">
        <w:rPr>
          <w:rFonts w:ascii="Palatino Linotype" w:hAnsi="Palatino Linotype"/>
          <w:i/>
          <w:iCs/>
          <w:sz w:val="22"/>
          <w:szCs w:val="22"/>
          <w:lang w:val="nb-NO"/>
        </w:rPr>
        <w:t>ournal of</w:t>
      </w:r>
      <w:r w:rsidR="006F73E7" w:rsidRPr="006F73E7">
        <w:rPr>
          <w:rFonts w:ascii="Palatino Linotype" w:hAnsi="Palatino Linotype"/>
          <w:i/>
          <w:iCs/>
          <w:sz w:val="22"/>
          <w:szCs w:val="22"/>
          <w:lang w:val="nb-NO"/>
        </w:rPr>
        <w:t xml:space="preserve"> Energy Res</w:t>
      </w:r>
      <w:r w:rsidR="000B7F28">
        <w:rPr>
          <w:rFonts w:ascii="Palatino Linotype" w:hAnsi="Palatino Linotype"/>
          <w:i/>
          <w:iCs/>
          <w:sz w:val="22"/>
          <w:szCs w:val="22"/>
          <w:lang w:val="nb-NO"/>
        </w:rPr>
        <w:t>earch</w:t>
      </w:r>
      <w:r w:rsidR="006F73E7" w:rsidRPr="006F73E7">
        <w:rPr>
          <w:rFonts w:ascii="Palatino Linotype" w:hAnsi="Palatino Linotype"/>
          <w:sz w:val="22"/>
          <w:szCs w:val="22"/>
          <w:lang w:val="nb-NO"/>
        </w:rPr>
        <w:t xml:space="preserve"> 34</w:t>
      </w:r>
      <w:r>
        <w:rPr>
          <w:rFonts w:ascii="Palatino Linotype" w:hAnsi="Palatino Linotype"/>
          <w:sz w:val="22"/>
          <w:szCs w:val="22"/>
          <w:lang w:val="nb-NO"/>
        </w:rPr>
        <w:t xml:space="preserve"> (2009)</w:t>
      </w:r>
      <w:r w:rsidR="006F73E7" w:rsidRPr="006F73E7">
        <w:rPr>
          <w:rFonts w:ascii="Palatino Linotype" w:hAnsi="Palatino Linotype"/>
          <w:sz w:val="22"/>
          <w:szCs w:val="22"/>
          <w:lang w:val="nb-NO"/>
        </w:rPr>
        <w:t xml:space="preserve"> 333–344. </w:t>
      </w:r>
      <w:hyperlink r:id="rId200" w:history="1">
        <w:r w:rsidR="006F73E7" w:rsidRPr="00A8065D">
          <w:rPr>
            <w:rStyle w:val="Hyperlink"/>
            <w:rFonts w:ascii="Palatino Linotype" w:hAnsi="Palatino Linotype"/>
            <w:sz w:val="22"/>
            <w:szCs w:val="22"/>
            <w:lang w:val="nb-NO"/>
          </w:rPr>
          <w:t>https://doi.org/10.1002/er.1560</w:t>
        </w:r>
      </w:hyperlink>
      <w:r w:rsidR="006F73E7" w:rsidRPr="006F73E7">
        <w:rPr>
          <w:rFonts w:ascii="Palatino Linotype" w:hAnsi="Palatino Linotype"/>
          <w:sz w:val="22"/>
          <w:szCs w:val="22"/>
          <w:lang w:val="nb-NO"/>
        </w:rPr>
        <w:t>.</w:t>
      </w:r>
    </w:p>
    <w:p w14:paraId="511C73EB" w14:textId="4CDFD37B" w:rsidR="00B4749A" w:rsidRPr="00100966"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nb-NO"/>
        </w:rPr>
        <w:t xml:space="preserve">V.V. Tyagi, D. Buddhi. </w:t>
      </w:r>
      <w:r w:rsidRPr="00100966">
        <w:rPr>
          <w:rFonts w:ascii="Palatino Linotype" w:hAnsi="Palatino Linotype"/>
          <w:sz w:val="22"/>
          <w:szCs w:val="22"/>
          <w:lang w:val="en-US"/>
        </w:rPr>
        <w:t xml:space="preserve">"PCM thermal storage in buildings: a state of the art". </w:t>
      </w:r>
      <w:r w:rsidRPr="00100966">
        <w:rPr>
          <w:rStyle w:val="Emphasis"/>
          <w:rFonts w:ascii="Palatino Linotype" w:hAnsi="Palatino Linotype"/>
          <w:sz w:val="22"/>
          <w:szCs w:val="22"/>
          <w:lang w:val="en-US"/>
        </w:rPr>
        <w:t>Renewable and Sustainable Energy Reviews</w:t>
      </w:r>
      <w:r w:rsidRPr="00100966">
        <w:rPr>
          <w:rFonts w:ascii="Palatino Linotype" w:hAnsi="Palatino Linotype"/>
          <w:sz w:val="22"/>
          <w:szCs w:val="22"/>
          <w:lang w:val="en-US"/>
        </w:rPr>
        <w:t xml:space="preserve"> 11 (2007) 1146–1166. </w:t>
      </w:r>
      <w:hyperlink r:id="rId201" w:tgtFrame="_new" w:history="1">
        <w:r w:rsidRPr="00100966">
          <w:rPr>
            <w:rStyle w:val="Hyperlink"/>
            <w:rFonts w:ascii="Palatino Linotype" w:hAnsi="Palatino Linotype"/>
            <w:sz w:val="22"/>
            <w:szCs w:val="22"/>
            <w:lang w:val="en-US"/>
          </w:rPr>
          <w:t>https://doi.org/10.1016/j.rser.2005.10.002</w:t>
        </w:r>
      </w:hyperlink>
    </w:p>
    <w:p w14:paraId="4B97D4EA" w14:textId="77777777" w:rsidR="00B4749A" w:rsidRPr="00100966"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en-US"/>
        </w:rPr>
        <w:t xml:space="preserve">A. Sharma, V.V. Tyagi, C.R. Chen, D. Buddhi. "Review on thermal energy storage with phase change materials and applications". </w:t>
      </w:r>
      <w:r w:rsidRPr="00100966">
        <w:rPr>
          <w:rStyle w:val="Emphasis"/>
          <w:rFonts w:ascii="Palatino Linotype" w:hAnsi="Palatino Linotype"/>
          <w:sz w:val="22"/>
          <w:szCs w:val="22"/>
          <w:lang w:val="en-US"/>
        </w:rPr>
        <w:t>Renewable and Sustainable Energy Reviews</w:t>
      </w:r>
      <w:r w:rsidRPr="00100966">
        <w:rPr>
          <w:rFonts w:ascii="Palatino Linotype" w:hAnsi="Palatino Linotype"/>
          <w:sz w:val="22"/>
          <w:szCs w:val="22"/>
          <w:lang w:val="en-US"/>
        </w:rPr>
        <w:t xml:space="preserve"> 13 (2009) 318–345. </w:t>
      </w:r>
      <w:hyperlink r:id="rId202" w:tgtFrame="_new" w:history="1">
        <w:r w:rsidRPr="00100966">
          <w:rPr>
            <w:rStyle w:val="Hyperlink"/>
            <w:rFonts w:ascii="Palatino Linotype" w:hAnsi="Palatino Linotype"/>
            <w:sz w:val="22"/>
            <w:szCs w:val="22"/>
            <w:lang w:val="en-US"/>
          </w:rPr>
          <w:t>https://doi.org/10.1016/j.rser.2007.10.005</w:t>
        </w:r>
      </w:hyperlink>
    </w:p>
    <w:p w14:paraId="1ACFE6FB" w14:textId="77777777" w:rsidR="00B4749A" w:rsidRPr="00100966"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en-US"/>
        </w:rPr>
        <w:t xml:space="preserve">V.V. Tyagi, K. Chopra, R.K. Sharma, A.K. Pandey, S.K. Tyagi, M. Shakeel Ahmad, A. Sarı, R. Kothari. "A comprehensive review on phase change materials for heat storage applications: Development, characterization, thermal and chemical stability". </w:t>
      </w:r>
      <w:r w:rsidRPr="00100966">
        <w:rPr>
          <w:rStyle w:val="Emphasis"/>
          <w:rFonts w:ascii="Palatino Linotype" w:hAnsi="Palatino Linotype"/>
          <w:sz w:val="22"/>
          <w:szCs w:val="22"/>
          <w:lang w:val="en-US"/>
        </w:rPr>
        <w:t>Solar Energy Materials and Solar Cells</w:t>
      </w:r>
      <w:r w:rsidRPr="00100966">
        <w:rPr>
          <w:rFonts w:ascii="Palatino Linotype" w:hAnsi="Palatino Linotype"/>
          <w:sz w:val="22"/>
          <w:szCs w:val="22"/>
          <w:lang w:val="en-US"/>
        </w:rPr>
        <w:t xml:space="preserve"> 234 (2022) 111392. </w:t>
      </w:r>
      <w:hyperlink r:id="rId203" w:tgtFrame="_new" w:history="1">
        <w:r w:rsidRPr="00100966">
          <w:rPr>
            <w:rStyle w:val="Hyperlink"/>
            <w:rFonts w:ascii="Palatino Linotype" w:hAnsi="Palatino Linotype"/>
            <w:sz w:val="22"/>
            <w:szCs w:val="22"/>
            <w:lang w:val="en-US"/>
          </w:rPr>
          <w:t>https://doi.org/10.1016/j.solmat.2021.111392</w:t>
        </w:r>
      </w:hyperlink>
    </w:p>
    <w:p w14:paraId="34DCFA16" w14:textId="43CDEDB3" w:rsidR="00B4749A" w:rsidRPr="003D0C54"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nb-NO"/>
        </w:rPr>
        <w:lastRenderedPageBreak/>
        <w:t xml:space="preserve">G.W.H. Höhne, W.F. Hemminger, H.-J. Flammersheim. </w:t>
      </w:r>
      <w:r w:rsidRPr="00100966">
        <w:rPr>
          <w:rFonts w:ascii="Palatino Linotype" w:hAnsi="Palatino Linotype"/>
          <w:sz w:val="22"/>
          <w:szCs w:val="22"/>
          <w:lang w:val="en-US"/>
        </w:rPr>
        <w:t xml:space="preserve">"Introduction" </w:t>
      </w:r>
      <w:r w:rsidRPr="00100966">
        <w:rPr>
          <w:rStyle w:val="Emphasis"/>
          <w:rFonts w:ascii="Palatino Linotype" w:hAnsi="Palatino Linotype"/>
          <w:sz w:val="22"/>
          <w:szCs w:val="22"/>
          <w:lang w:val="en-US"/>
        </w:rPr>
        <w:t>Differential Scanning Calorimetry</w:t>
      </w:r>
      <w:r w:rsidRPr="00100966">
        <w:rPr>
          <w:rFonts w:ascii="Palatino Linotype" w:hAnsi="Palatino Linotype"/>
          <w:sz w:val="22"/>
          <w:szCs w:val="22"/>
          <w:lang w:val="en-US"/>
        </w:rPr>
        <w:t xml:space="preserve"> </w:t>
      </w:r>
      <w:r w:rsidR="003D0C54">
        <w:rPr>
          <w:rFonts w:ascii="Palatino Linotype" w:hAnsi="Palatino Linotype"/>
          <w:sz w:val="22"/>
          <w:szCs w:val="22"/>
          <w:lang w:val="en-US"/>
        </w:rPr>
        <w:t>(</w:t>
      </w:r>
      <w:r w:rsidRPr="00100966">
        <w:rPr>
          <w:rFonts w:ascii="Palatino Linotype" w:hAnsi="Palatino Linotype"/>
          <w:sz w:val="22"/>
          <w:szCs w:val="22"/>
          <w:lang w:val="en-US"/>
        </w:rPr>
        <w:t>2003</w:t>
      </w:r>
      <w:r w:rsidR="003D0C54">
        <w:rPr>
          <w:rFonts w:ascii="Palatino Linotype" w:hAnsi="Palatino Linotype"/>
          <w:sz w:val="22"/>
          <w:szCs w:val="22"/>
          <w:lang w:val="en-US"/>
        </w:rPr>
        <w:t>)</w:t>
      </w:r>
      <w:r w:rsidRPr="00100966">
        <w:rPr>
          <w:rFonts w:ascii="Palatino Linotype" w:hAnsi="Palatino Linotype"/>
          <w:sz w:val="22"/>
          <w:szCs w:val="22"/>
          <w:lang w:val="en-US"/>
        </w:rPr>
        <w:t xml:space="preserve"> 1–7. </w:t>
      </w:r>
      <w:hyperlink r:id="rId204" w:tgtFrame="_new" w:history="1">
        <w:r w:rsidRPr="003D0C54">
          <w:rPr>
            <w:rStyle w:val="Hyperlink"/>
            <w:rFonts w:ascii="Palatino Linotype" w:hAnsi="Palatino Linotype"/>
            <w:sz w:val="22"/>
            <w:szCs w:val="22"/>
            <w:lang w:val="en-US"/>
          </w:rPr>
          <w:t>https://doi.org/10.1007/978-3-662-06710-9_1</w:t>
        </w:r>
      </w:hyperlink>
    </w:p>
    <w:p w14:paraId="1C72DBBC" w14:textId="77777777" w:rsidR="00B4749A" w:rsidRPr="00100966" w:rsidRDefault="00B4749A" w:rsidP="00B4749A">
      <w:pPr>
        <w:pStyle w:val="NormalWeb"/>
        <w:numPr>
          <w:ilvl w:val="0"/>
          <w:numId w:val="15"/>
        </w:numPr>
        <w:jc w:val="both"/>
        <w:rPr>
          <w:rFonts w:ascii="Palatino Linotype" w:hAnsi="Palatino Linotype"/>
          <w:sz w:val="22"/>
          <w:szCs w:val="22"/>
          <w:lang w:val="en-US"/>
        </w:rPr>
      </w:pPr>
      <w:r w:rsidRPr="00A94902">
        <w:rPr>
          <w:rFonts w:ascii="Palatino Linotype" w:hAnsi="Palatino Linotype"/>
          <w:sz w:val="22"/>
          <w:szCs w:val="22"/>
          <w:lang w:val="en-US"/>
        </w:rPr>
        <w:t xml:space="preserve">S.M. Sarge, E. Gmelin, G.W.H. Höhne, H.K. Cammenga, W. Hemminger, W. Eysel. </w:t>
      </w:r>
      <w:r w:rsidRPr="00100966">
        <w:rPr>
          <w:rFonts w:ascii="Palatino Linotype" w:hAnsi="Palatino Linotype"/>
          <w:sz w:val="22"/>
          <w:szCs w:val="22"/>
          <w:lang w:val="en-US"/>
        </w:rPr>
        <w:t xml:space="preserve">"The caloric calibration of scanning calorimeters". </w:t>
      </w:r>
      <w:r w:rsidRPr="00100966">
        <w:rPr>
          <w:rStyle w:val="Emphasis"/>
          <w:rFonts w:ascii="Palatino Linotype" w:hAnsi="Palatino Linotype"/>
          <w:sz w:val="22"/>
          <w:szCs w:val="22"/>
          <w:lang w:val="en-US"/>
        </w:rPr>
        <w:t>Thermochimica Acta</w:t>
      </w:r>
      <w:r w:rsidRPr="00100966">
        <w:rPr>
          <w:rFonts w:ascii="Palatino Linotype" w:hAnsi="Palatino Linotype"/>
          <w:sz w:val="22"/>
          <w:szCs w:val="22"/>
          <w:lang w:val="en-US"/>
        </w:rPr>
        <w:t xml:space="preserve"> 247 (1994) 129–168. </w:t>
      </w:r>
      <w:hyperlink r:id="rId205" w:tgtFrame="_new" w:history="1">
        <w:r w:rsidRPr="00100966">
          <w:rPr>
            <w:rStyle w:val="Hyperlink"/>
            <w:rFonts w:ascii="Palatino Linotype" w:hAnsi="Palatino Linotype"/>
            <w:sz w:val="22"/>
            <w:szCs w:val="22"/>
            <w:lang w:val="en-US"/>
          </w:rPr>
          <w:t>https://doi.org/10.1016/0040-6031(94)80118-5</w:t>
        </w:r>
      </w:hyperlink>
    </w:p>
    <w:p w14:paraId="7D64888B"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Z. Yinping, J. Yi. "A simple method, the T-history method, of determining the heat of fusion, specific heat and thermal conductivity of phase-change materials". </w:t>
      </w:r>
      <w:r w:rsidRPr="00100966">
        <w:rPr>
          <w:rStyle w:val="Emphasis"/>
          <w:rFonts w:ascii="Palatino Linotype" w:hAnsi="Palatino Linotype"/>
          <w:sz w:val="22"/>
          <w:szCs w:val="22"/>
        </w:rPr>
        <w:t>Measurement Science and Technology</w:t>
      </w:r>
      <w:r w:rsidRPr="00100966">
        <w:rPr>
          <w:rFonts w:ascii="Palatino Linotype" w:hAnsi="Palatino Linotype"/>
          <w:sz w:val="22"/>
          <w:szCs w:val="22"/>
        </w:rPr>
        <w:t xml:space="preserve"> 10 (1999) 201–205. </w:t>
      </w:r>
      <w:hyperlink r:id="rId206" w:tgtFrame="_new" w:history="1">
        <w:r w:rsidRPr="00100966">
          <w:rPr>
            <w:rStyle w:val="Hyperlink"/>
            <w:rFonts w:ascii="Palatino Linotype" w:hAnsi="Palatino Linotype"/>
            <w:sz w:val="22"/>
            <w:szCs w:val="22"/>
          </w:rPr>
          <w:t>https://doi.org/10.1088/0957-0233/10/3/015</w:t>
        </w:r>
      </w:hyperlink>
    </w:p>
    <w:p w14:paraId="14D7471E" w14:textId="77777777" w:rsidR="00B4749A" w:rsidRPr="00100966"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rPr>
        <w:t xml:space="preserve">A. Solé, L. Miró, C. Barreneche, I. Martorell, L.F. Cabeza. </w:t>
      </w:r>
      <w:r w:rsidRPr="00100966">
        <w:rPr>
          <w:rFonts w:ascii="Palatino Linotype" w:hAnsi="Palatino Linotype"/>
          <w:sz w:val="22"/>
          <w:szCs w:val="22"/>
          <w:lang w:val="en-US"/>
        </w:rPr>
        <w:t xml:space="preserve">"Review of the T-history method to determine thermophysical properties of phase change materials (PCM)". </w:t>
      </w:r>
      <w:r w:rsidRPr="00100966">
        <w:rPr>
          <w:rStyle w:val="Emphasis"/>
          <w:rFonts w:ascii="Palatino Linotype" w:hAnsi="Palatino Linotype"/>
          <w:sz w:val="22"/>
          <w:szCs w:val="22"/>
          <w:lang w:val="en-US"/>
        </w:rPr>
        <w:t>Renewable and Sustainable Energy Reviews</w:t>
      </w:r>
      <w:r w:rsidRPr="00100966">
        <w:rPr>
          <w:rFonts w:ascii="Palatino Linotype" w:hAnsi="Palatino Linotype"/>
          <w:sz w:val="22"/>
          <w:szCs w:val="22"/>
          <w:lang w:val="en-US"/>
        </w:rPr>
        <w:t xml:space="preserve"> 26 (2013) 425–436. </w:t>
      </w:r>
      <w:hyperlink r:id="rId207" w:tgtFrame="_new" w:history="1">
        <w:r w:rsidRPr="00100966">
          <w:rPr>
            <w:rStyle w:val="Hyperlink"/>
            <w:rFonts w:ascii="Palatino Linotype" w:hAnsi="Palatino Linotype"/>
            <w:sz w:val="22"/>
            <w:szCs w:val="22"/>
            <w:lang w:val="en-US"/>
          </w:rPr>
          <w:t>https://doi.org/10.1016/j.rser.2013.05.066</w:t>
        </w:r>
      </w:hyperlink>
    </w:p>
    <w:p w14:paraId="21CFFEE0"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rPr>
        <w:t xml:space="preserve">J. Xie, Y. Li, W. Wang, S. Pan, N. Cui, J. Liu. </w:t>
      </w:r>
      <w:r w:rsidRPr="00100966">
        <w:rPr>
          <w:rFonts w:ascii="Palatino Linotype" w:hAnsi="Palatino Linotype"/>
          <w:sz w:val="22"/>
          <w:szCs w:val="22"/>
          <w:lang w:val="en-US"/>
        </w:rPr>
        <w:t xml:space="preserve">"Comments on thermal physical properties testing methods of phase change materials". </w:t>
      </w:r>
      <w:r w:rsidRPr="00100966">
        <w:rPr>
          <w:rStyle w:val="Emphasis"/>
          <w:rFonts w:ascii="Palatino Linotype" w:hAnsi="Palatino Linotype"/>
          <w:sz w:val="22"/>
          <w:szCs w:val="22"/>
        </w:rPr>
        <w:t>Advances in Mechanical Engineering</w:t>
      </w:r>
      <w:r w:rsidRPr="00100966">
        <w:rPr>
          <w:rFonts w:ascii="Palatino Linotype" w:hAnsi="Palatino Linotype"/>
          <w:sz w:val="22"/>
          <w:szCs w:val="22"/>
        </w:rPr>
        <w:t xml:space="preserve"> 5 (2013) 695762. </w:t>
      </w:r>
      <w:hyperlink r:id="rId208" w:tgtFrame="_new" w:history="1">
        <w:r w:rsidRPr="00100966">
          <w:rPr>
            <w:rStyle w:val="Hyperlink"/>
            <w:rFonts w:ascii="Palatino Linotype" w:hAnsi="Palatino Linotype"/>
            <w:sz w:val="22"/>
            <w:szCs w:val="22"/>
          </w:rPr>
          <w:t>https://doi.org/10.1155/2013/695762</w:t>
        </w:r>
      </w:hyperlink>
    </w:p>
    <w:p w14:paraId="43719AF6"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rPr>
        <w:t xml:space="preserve">D. Mazzeo, G. Oliveti, A. de Gracia, J. Coma, A. Solé, L.F. Cabeza. </w:t>
      </w:r>
      <w:r w:rsidRPr="00100966">
        <w:rPr>
          <w:rFonts w:ascii="Palatino Linotype" w:hAnsi="Palatino Linotype"/>
          <w:sz w:val="22"/>
          <w:szCs w:val="22"/>
          <w:lang w:val="en-US"/>
        </w:rPr>
        <w:t xml:space="preserve">"Experimental validation of the exact analytical solution to the steady periodic heat transfer problem in a PCM layer". </w:t>
      </w:r>
      <w:r w:rsidRPr="00100966">
        <w:rPr>
          <w:rStyle w:val="Emphasis"/>
          <w:rFonts w:ascii="Palatino Linotype" w:hAnsi="Palatino Linotype"/>
          <w:sz w:val="22"/>
          <w:szCs w:val="22"/>
        </w:rPr>
        <w:t>Energy</w:t>
      </w:r>
      <w:r w:rsidRPr="00100966">
        <w:rPr>
          <w:rFonts w:ascii="Palatino Linotype" w:hAnsi="Palatino Linotype"/>
          <w:sz w:val="22"/>
          <w:szCs w:val="22"/>
        </w:rPr>
        <w:t xml:space="preserve"> 140 (2017) 1131–1147. </w:t>
      </w:r>
      <w:hyperlink r:id="rId209" w:tgtFrame="_new" w:history="1">
        <w:r w:rsidRPr="00100966">
          <w:rPr>
            <w:rStyle w:val="Hyperlink"/>
            <w:rFonts w:ascii="Palatino Linotype" w:hAnsi="Palatino Linotype"/>
            <w:sz w:val="22"/>
            <w:szCs w:val="22"/>
          </w:rPr>
          <w:t>https://doi.org/10.1016/j.energy.2017.08.045</w:t>
        </w:r>
      </w:hyperlink>
    </w:p>
    <w:p w14:paraId="7852A30F" w14:textId="45530874"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rPr>
        <w:t xml:space="preserve">V. Bianco, M. De Rosa, K. Vafai. </w:t>
      </w:r>
      <w:r w:rsidRPr="00100966">
        <w:rPr>
          <w:rFonts w:ascii="Palatino Linotype" w:hAnsi="Palatino Linotype"/>
          <w:sz w:val="22"/>
          <w:szCs w:val="22"/>
          <w:lang w:val="en-US"/>
        </w:rPr>
        <w:t xml:space="preserve">"Phase-change materials for thermal management of electronic devices". </w:t>
      </w:r>
      <w:r w:rsidRPr="00100966">
        <w:rPr>
          <w:rStyle w:val="Emphasis"/>
          <w:rFonts w:ascii="Palatino Linotype" w:hAnsi="Palatino Linotype"/>
          <w:sz w:val="22"/>
          <w:szCs w:val="22"/>
        </w:rPr>
        <w:t>Applied Thermal Engineering</w:t>
      </w:r>
      <w:r w:rsidRPr="00100966">
        <w:rPr>
          <w:rFonts w:ascii="Palatino Linotype" w:hAnsi="Palatino Linotype"/>
          <w:sz w:val="22"/>
          <w:szCs w:val="22"/>
        </w:rPr>
        <w:t xml:space="preserve"> 214 (2022) 118839. </w:t>
      </w:r>
      <w:hyperlink r:id="rId210" w:tgtFrame="_new" w:history="1">
        <w:r w:rsidRPr="00100966">
          <w:rPr>
            <w:rStyle w:val="Hyperlink"/>
            <w:rFonts w:ascii="Palatino Linotype" w:hAnsi="Palatino Linotype"/>
            <w:sz w:val="22"/>
            <w:szCs w:val="22"/>
          </w:rPr>
          <w:t>https://doi.org/10.1016/j.applthermaleng.2022.118839</w:t>
        </w:r>
      </w:hyperlink>
    </w:p>
    <w:p w14:paraId="15467289" w14:textId="1D9CF530" w:rsidR="00B4749A"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nb-NO"/>
        </w:rPr>
        <w:t xml:space="preserve">T. Markandeyulu, J.K. Devanuri, K. Kumar. </w:t>
      </w:r>
      <w:r w:rsidRPr="00100966">
        <w:rPr>
          <w:rFonts w:ascii="Palatino Linotype" w:hAnsi="Palatino Linotype"/>
          <w:sz w:val="22"/>
          <w:szCs w:val="22"/>
          <w:lang w:val="en-US"/>
        </w:rPr>
        <w:t xml:space="preserve">"On the suitability of phase change material (PCM) for thermal management of electronic components". </w:t>
      </w:r>
      <w:r w:rsidRPr="00983BBF">
        <w:rPr>
          <w:rStyle w:val="Emphasis"/>
          <w:rFonts w:ascii="Palatino Linotype" w:hAnsi="Palatino Linotype"/>
          <w:sz w:val="22"/>
          <w:szCs w:val="22"/>
          <w:lang w:val="en-US"/>
        </w:rPr>
        <w:t>Indian Journal of Science and Technology</w:t>
      </w:r>
      <w:r w:rsidRPr="00983BBF">
        <w:rPr>
          <w:rFonts w:ascii="Palatino Linotype" w:hAnsi="Palatino Linotype"/>
          <w:sz w:val="22"/>
          <w:szCs w:val="22"/>
          <w:lang w:val="en-US"/>
        </w:rPr>
        <w:t xml:space="preserve"> 9 (S1) (2016) 1–4.</w:t>
      </w:r>
      <w:r w:rsidR="00983BBF" w:rsidRPr="00983BBF">
        <w:rPr>
          <w:rFonts w:ascii="Palatino Linotype" w:hAnsi="Palatino Linotype"/>
          <w:sz w:val="22"/>
          <w:szCs w:val="22"/>
          <w:lang w:val="en-US"/>
        </w:rPr>
        <w:t xml:space="preserve"> </w:t>
      </w:r>
      <w:hyperlink r:id="rId211" w:history="1">
        <w:r w:rsidR="00983BBF" w:rsidRPr="00421442">
          <w:rPr>
            <w:rStyle w:val="Hyperlink"/>
            <w:rFonts w:ascii="Palatino Linotype" w:hAnsi="Palatino Linotype"/>
            <w:sz w:val="22"/>
            <w:szCs w:val="22"/>
            <w:lang w:val="en-US"/>
          </w:rPr>
          <w:t>https://doi.org/10.17485/ijst/2016/v9iS1/107939</w:t>
        </w:r>
      </w:hyperlink>
    </w:p>
    <w:p w14:paraId="4AA49D74" w14:textId="77777777" w:rsidR="00B4749A" w:rsidRPr="00983BBF" w:rsidRDefault="00B4749A" w:rsidP="00983BBF">
      <w:pPr>
        <w:pStyle w:val="NormalWeb"/>
        <w:numPr>
          <w:ilvl w:val="0"/>
          <w:numId w:val="15"/>
        </w:numPr>
        <w:jc w:val="both"/>
        <w:rPr>
          <w:rFonts w:ascii="Palatino Linotype" w:hAnsi="Palatino Linotype"/>
          <w:sz w:val="22"/>
          <w:szCs w:val="22"/>
          <w:lang w:val="en-US"/>
        </w:rPr>
      </w:pPr>
      <w:r w:rsidRPr="00983BBF">
        <w:rPr>
          <w:rFonts w:ascii="Palatino Linotype" w:hAnsi="Palatino Linotype"/>
          <w:sz w:val="22"/>
          <w:szCs w:val="22"/>
        </w:rPr>
        <w:t xml:space="preserve">M.S. Lori, K. Vafai. </w:t>
      </w:r>
      <w:r w:rsidRPr="00983BBF">
        <w:rPr>
          <w:rFonts w:ascii="Palatino Linotype" w:hAnsi="Palatino Linotype"/>
          <w:sz w:val="22"/>
          <w:szCs w:val="22"/>
          <w:lang w:val="en-US"/>
        </w:rPr>
        <w:t xml:space="preserve">"Heat transfer and fluid flow analysis of microchannel heat sinks with periodic vertical porous ribs". </w:t>
      </w:r>
      <w:r w:rsidRPr="00983BBF">
        <w:rPr>
          <w:rStyle w:val="Emphasis"/>
          <w:rFonts w:ascii="Palatino Linotype" w:hAnsi="Palatino Linotype"/>
          <w:sz w:val="22"/>
          <w:szCs w:val="22"/>
        </w:rPr>
        <w:t>Applied Thermal Engineering</w:t>
      </w:r>
      <w:r w:rsidRPr="00983BBF">
        <w:rPr>
          <w:rFonts w:ascii="Palatino Linotype" w:hAnsi="Palatino Linotype"/>
          <w:sz w:val="22"/>
          <w:szCs w:val="22"/>
        </w:rPr>
        <w:t xml:space="preserve"> 213 (2022) 118059. </w:t>
      </w:r>
      <w:hyperlink r:id="rId212" w:tgtFrame="_new" w:history="1">
        <w:r w:rsidRPr="00983BBF">
          <w:rPr>
            <w:rStyle w:val="Hyperlink"/>
            <w:rFonts w:ascii="Palatino Linotype" w:hAnsi="Palatino Linotype"/>
            <w:sz w:val="22"/>
            <w:szCs w:val="22"/>
          </w:rPr>
          <w:t>https://doi.org/10.1016/j.applthermaleng.2022.118059</w:t>
        </w:r>
      </w:hyperlink>
    </w:p>
    <w:p w14:paraId="28394103" w14:textId="3DA73E9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S. Lu, K. Vafai. "Optimization of the thermal performance of three-dimensional integrated circuits utilizing rectangular-shaped and disk-shaped heat pipes". </w:t>
      </w:r>
      <w:r w:rsidRPr="00100966">
        <w:rPr>
          <w:rStyle w:val="Emphasis"/>
          <w:rFonts w:ascii="Palatino Linotype" w:hAnsi="Palatino Linotype"/>
          <w:sz w:val="22"/>
          <w:szCs w:val="22"/>
        </w:rPr>
        <w:t>Journal of Heat Transfer</w:t>
      </w:r>
      <w:r w:rsidRPr="00100966">
        <w:rPr>
          <w:rFonts w:ascii="Palatino Linotype" w:hAnsi="Palatino Linotype"/>
          <w:sz w:val="22"/>
          <w:szCs w:val="22"/>
        </w:rPr>
        <w:t xml:space="preserve"> 144 (6) (2022) 061901. </w:t>
      </w:r>
      <w:hyperlink r:id="rId213" w:tgtFrame="_new" w:history="1">
        <w:r w:rsidRPr="00100966">
          <w:rPr>
            <w:rStyle w:val="Hyperlink"/>
            <w:rFonts w:ascii="Palatino Linotype" w:hAnsi="Palatino Linotype"/>
            <w:sz w:val="22"/>
            <w:szCs w:val="22"/>
          </w:rPr>
          <w:t>https://doi.org/10.1115/1.4053803</w:t>
        </w:r>
      </w:hyperlink>
      <w:r w:rsidR="00706C15">
        <w:t xml:space="preserve"> </w:t>
      </w:r>
    </w:p>
    <w:p w14:paraId="377FC9B6" w14:textId="77777777" w:rsidR="00B4749A" w:rsidRPr="00100966"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en-US"/>
        </w:rPr>
        <w:t xml:space="preserve">S. Lu, K. Vafai. "A comparative analysis of innovative microchannel heat sinks for electronic cooling". </w:t>
      </w:r>
      <w:r w:rsidRPr="00100966">
        <w:rPr>
          <w:rStyle w:val="Emphasis"/>
          <w:rFonts w:ascii="Palatino Linotype" w:hAnsi="Palatino Linotype"/>
          <w:sz w:val="22"/>
          <w:szCs w:val="22"/>
          <w:lang w:val="en-US"/>
        </w:rPr>
        <w:t>International Communications in Heat and Mass Transfer</w:t>
      </w:r>
      <w:r w:rsidRPr="00100966">
        <w:rPr>
          <w:rFonts w:ascii="Palatino Linotype" w:hAnsi="Palatino Linotype"/>
          <w:sz w:val="22"/>
          <w:szCs w:val="22"/>
          <w:lang w:val="en-US"/>
        </w:rPr>
        <w:t xml:space="preserve"> 76 (2016) 271–284. </w:t>
      </w:r>
      <w:hyperlink r:id="rId214" w:tgtFrame="_new" w:history="1">
        <w:r w:rsidRPr="00100966">
          <w:rPr>
            <w:rStyle w:val="Hyperlink"/>
            <w:rFonts w:ascii="Palatino Linotype" w:hAnsi="Palatino Linotype"/>
            <w:sz w:val="22"/>
            <w:szCs w:val="22"/>
            <w:lang w:val="en-US"/>
          </w:rPr>
          <w:t>https://doi.org/10.1016/j.icheatmasstransfer.2016.04.024</w:t>
        </w:r>
      </w:hyperlink>
    </w:p>
    <w:p w14:paraId="3C6A18BE"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J. Luo, D. Zou, Y. Wang, S. Wang, L. Huang. "Battery thermal management systems (BTMs) based on phase change material (PCM): A comprehensive review". </w:t>
      </w:r>
      <w:r w:rsidRPr="00100966">
        <w:rPr>
          <w:rStyle w:val="Emphasis"/>
          <w:rFonts w:ascii="Palatino Linotype" w:hAnsi="Palatino Linotype"/>
          <w:sz w:val="22"/>
          <w:szCs w:val="22"/>
        </w:rPr>
        <w:t>Chemical Engineering Journal</w:t>
      </w:r>
      <w:r w:rsidRPr="00100966">
        <w:rPr>
          <w:rFonts w:ascii="Palatino Linotype" w:hAnsi="Palatino Linotype"/>
          <w:sz w:val="22"/>
          <w:szCs w:val="22"/>
        </w:rPr>
        <w:t xml:space="preserve"> 430 (2022) 132741. </w:t>
      </w:r>
      <w:hyperlink r:id="rId215" w:tgtFrame="_new" w:history="1">
        <w:r w:rsidRPr="00100966">
          <w:rPr>
            <w:rStyle w:val="Hyperlink"/>
            <w:rFonts w:ascii="Palatino Linotype" w:hAnsi="Palatino Linotype"/>
            <w:sz w:val="22"/>
            <w:szCs w:val="22"/>
          </w:rPr>
          <w:t>https://doi.org/10.1016/j.cej.2021.132741</w:t>
        </w:r>
      </w:hyperlink>
    </w:p>
    <w:p w14:paraId="4D4411C1"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lastRenderedPageBreak/>
        <w:t xml:space="preserve">L. Huat, Y. Ye, A.A.O. Tay. "Integration issues of lithium-ion battery into electric vehicles battery pack". </w:t>
      </w:r>
      <w:r w:rsidRPr="00100966">
        <w:rPr>
          <w:rStyle w:val="Emphasis"/>
          <w:rFonts w:ascii="Palatino Linotype" w:hAnsi="Palatino Linotype"/>
          <w:sz w:val="22"/>
          <w:szCs w:val="22"/>
        </w:rPr>
        <w:t>Journal of Cleaner Production</w:t>
      </w:r>
      <w:r w:rsidRPr="00100966">
        <w:rPr>
          <w:rFonts w:ascii="Palatino Linotype" w:hAnsi="Palatino Linotype"/>
          <w:sz w:val="22"/>
          <w:szCs w:val="22"/>
        </w:rPr>
        <w:t xml:space="preserve"> 113 (2016) 1032–1045. </w:t>
      </w:r>
      <w:hyperlink r:id="rId216" w:tgtFrame="_new" w:history="1">
        <w:r w:rsidRPr="00100966">
          <w:rPr>
            <w:rStyle w:val="Hyperlink"/>
            <w:rFonts w:ascii="Palatino Linotype" w:hAnsi="Palatino Linotype"/>
            <w:sz w:val="22"/>
            <w:szCs w:val="22"/>
          </w:rPr>
          <w:t>https://doi.org/10.1016/j.jclepro.2015.11.011</w:t>
        </w:r>
      </w:hyperlink>
    </w:p>
    <w:p w14:paraId="476A060F"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Z. Rao, S. Wang, M. Wu, Z. Lin, F. Li. "Experimental investigation on thermal management of electric vehicle battery with heat pipe". </w:t>
      </w:r>
      <w:r w:rsidRPr="00100966">
        <w:rPr>
          <w:rStyle w:val="Emphasis"/>
          <w:rFonts w:ascii="Palatino Linotype" w:hAnsi="Palatino Linotype"/>
          <w:sz w:val="22"/>
          <w:szCs w:val="22"/>
        </w:rPr>
        <w:t>Energy Conversion and Management</w:t>
      </w:r>
      <w:r w:rsidRPr="00100966">
        <w:rPr>
          <w:rFonts w:ascii="Palatino Linotype" w:hAnsi="Palatino Linotype"/>
          <w:sz w:val="22"/>
          <w:szCs w:val="22"/>
        </w:rPr>
        <w:t xml:space="preserve"> 65 (2013) 92–97. </w:t>
      </w:r>
      <w:hyperlink r:id="rId217" w:tgtFrame="_new" w:history="1">
        <w:r w:rsidRPr="00100966">
          <w:rPr>
            <w:rStyle w:val="Hyperlink"/>
            <w:rFonts w:ascii="Palatino Linotype" w:hAnsi="Palatino Linotype"/>
            <w:sz w:val="22"/>
            <w:szCs w:val="22"/>
          </w:rPr>
          <w:t>https://doi.org/10.1016/j.enconman.2012.08.014</w:t>
        </w:r>
      </w:hyperlink>
    </w:p>
    <w:p w14:paraId="49774B56"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J.R. Patel, M.K. Rathod. "Recent developments in the passive and hybrid thermal management techniques of lithium-ion batteries". </w:t>
      </w:r>
      <w:r w:rsidRPr="00100966">
        <w:rPr>
          <w:rStyle w:val="Emphasis"/>
          <w:rFonts w:ascii="Palatino Linotype" w:hAnsi="Palatino Linotype"/>
          <w:sz w:val="22"/>
          <w:szCs w:val="22"/>
        </w:rPr>
        <w:t>Journal of Power Sources</w:t>
      </w:r>
      <w:r w:rsidRPr="00100966">
        <w:rPr>
          <w:rFonts w:ascii="Palatino Linotype" w:hAnsi="Palatino Linotype"/>
          <w:sz w:val="22"/>
          <w:szCs w:val="22"/>
        </w:rPr>
        <w:t xml:space="preserve"> 480 (2020) 228820. </w:t>
      </w:r>
      <w:hyperlink r:id="rId218" w:tgtFrame="_new" w:history="1">
        <w:r w:rsidRPr="00100966">
          <w:rPr>
            <w:rStyle w:val="Hyperlink"/>
            <w:rFonts w:ascii="Palatino Linotype" w:hAnsi="Palatino Linotype"/>
            <w:sz w:val="22"/>
            <w:szCs w:val="22"/>
          </w:rPr>
          <w:t>https://doi.org/10.1016/j.jpowsour.2020.228820</w:t>
        </w:r>
      </w:hyperlink>
    </w:p>
    <w:p w14:paraId="0091EC93" w14:textId="6FB7204E" w:rsidR="00B4749A" w:rsidRPr="00100966" w:rsidRDefault="00A94902" w:rsidP="00B4749A">
      <w:pPr>
        <w:pStyle w:val="NormalWeb"/>
        <w:numPr>
          <w:ilvl w:val="0"/>
          <w:numId w:val="15"/>
        </w:numPr>
        <w:jc w:val="both"/>
        <w:rPr>
          <w:rFonts w:ascii="Palatino Linotype" w:hAnsi="Palatino Linotype"/>
          <w:sz w:val="22"/>
          <w:szCs w:val="22"/>
        </w:rPr>
      </w:pPr>
      <w:r>
        <w:rPr>
          <w:rFonts w:ascii="Palatino Linotype" w:hAnsi="Palatino Linotype"/>
          <w:sz w:val="22"/>
          <w:szCs w:val="22"/>
        </w:rPr>
        <w:t xml:space="preserve">D. </w:t>
      </w:r>
      <w:r w:rsidR="00B4749A" w:rsidRPr="00100966">
        <w:rPr>
          <w:rFonts w:ascii="Palatino Linotype" w:hAnsi="Palatino Linotype"/>
          <w:sz w:val="22"/>
          <w:szCs w:val="22"/>
        </w:rPr>
        <w:t xml:space="preserve">Bernardi, E. Pawlikowski, J. Newman. </w:t>
      </w:r>
      <w:r w:rsidR="00B4749A" w:rsidRPr="00100966">
        <w:rPr>
          <w:rFonts w:ascii="Palatino Linotype" w:hAnsi="Palatino Linotype"/>
          <w:sz w:val="22"/>
          <w:szCs w:val="22"/>
          <w:lang w:val="en-US"/>
        </w:rPr>
        <w:t xml:space="preserve">"General energy balance for battery systems". </w:t>
      </w:r>
      <w:r w:rsidR="00B4749A" w:rsidRPr="00100966">
        <w:rPr>
          <w:rStyle w:val="Emphasis"/>
          <w:rFonts w:ascii="Palatino Linotype" w:hAnsi="Palatino Linotype"/>
          <w:sz w:val="22"/>
          <w:szCs w:val="22"/>
        </w:rPr>
        <w:t>Journal of the Electrochemical Society</w:t>
      </w:r>
      <w:r w:rsidR="00B4749A" w:rsidRPr="00100966">
        <w:rPr>
          <w:rFonts w:ascii="Palatino Linotype" w:hAnsi="Palatino Linotype"/>
          <w:sz w:val="22"/>
          <w:szCs w:val="22"/>
        </w:rPr>
        <w:t xml:space="preserve"> 132 (1) (1985) 5–12. </w:t>
      </w:r>
      <w:hyperlink r:id="rId219" w:tgtFrame="_new" w:history="1">
        <w:r w:rsidR="00B4749A" w:rsidRPr="00100966">
          <w:rPr>
            <w:rStyle w:val="Hyperlink"/>
            <w:rFonts w:ascii="Palatino Linotype" w:hAnsi="Palatino Linotype"/>
            <w:sz w:val="22"/>
            <w:szCs w:val="22"/>
          </w:rPr>
          <w:t>https://doi.org/10.1149/1.2113792</w:t>
        </w:r>
      </w:hyperlink>
    </w:p>
    <w:p w14:paraId="792D7E11"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rPr>
        <w:t xml:space="preserve">G. Xia, L. Cao, G. Bi. </w:t>
      </w:r>
      <w:r w:rsidRPr="00100966">
        <w:rPr>
          <w:rFonts w:ascii="Palatino Linotype" w:hAnsi="Palatino Linotype"/>
          <w:sz w:val="22"/>
          <w:szCs w:val="22"/>
          <w:lang w:val="en-US"/>
        </w:rPr>
        <w:t xml:space="preserve">"A review on battery thermal management in electric vehicle application". </w:t>
      </w:r>
      <w:r w:rsidRPr="00100966">
        <w:rPr>
          <w:rStyle w:val="Emphasis"/>
          <w:rFonts w:ascii="Palatino Linotype" w:hAnsi="Palatino Linotype"/>
          <w:sz w:val="22"/>
          <w:szCs w:val="22"/>
        </w:rPr>
        <w:t>Journal of Power Sources</w:t>
      </w:r>
      <w:r w:rsidRPr="00100966">
        <w:rPr>
          <w:rFonts w:ascii="Palatino Linotype" w:hAnsi="Palatino Linotype"/>
          <w:sz w:val="22"/>
          <w:szCs w:val="22"/>
        </w:rPr>
        <w:t xml:space="preserve"> 367 (2017) 90–105. </w:t>
      </w:r>
      <w:hyperlink r:id="rId220" w:tgtFrame="_new" w:history="1">
        <w:r w:rsidRPr="00100966">
          <w:rPr>
            <w:rStyle w:val="Hyperlink"/>
            <w:rFonts w:ascii="Palatino Linotype" w:hAnsi="Palatino Linotype"/>
            <w:sz w:val="22"/>
            <w:szCs w:val="22"/>
          </w:rPr>
          <w:t>https://doi.org/10.1016/j.jpowsour.2017.09.046</w:t>
        </w:r>
      </w:hyperlink>
    </w:p>
    <w:p w14:paraId="614A5AFF"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Y. Zeng, D. Chalise, S.D. Lubner, S. Kaur, R.S. Prasher. "A review of thermal physics and management inside lithium-ion batteries for high energy density and fast charging". </w:t>
      </w:r>
      <w:r w:rsidRPr="00100966">
        <w:rPr>
          <w:rStyle w:val="Emphasis"/>
          <w:rFonts w:ascii="Palatino Linotype" w:hAnsi="Palatino Linotype"/>
          <w:sz w:val="22"/>
          <w:szCs w:val="22"/>
        </w:rPr>
        <w:t>Energy Storage Materials</w:t>
      </w:r>
      <w:r w:rsidRPr="00100966">
        <w:rPr>
          <w:rFonts w:ascii="Palatino Linotype" w:hAnsi="Palatino Linotype"/>
          <w:sz w:val="22"/>
          <w:szCs w:val="22"/>
        </w:rPr>
        <w:t xml:space="preserve"> 41 (2021) 264–288. </w:t>
      </w:r>
      <w:hyperlink r:id="rId221" w:tgtFrame="_new" w:history="1">
        <w:r w:rsidRPr="00100966">
          <w:rPr>
            <w:rStyle w:val="Hyperlink"/>
            <w:rFonts w:ascii="Palatino Linotype" w:hAnsi="Palatino Linotype"/>
            <w:sz w:val="22"/>
            <w:szCs w:val="22"/>
          </w:rPr>
          <w:t>https://doi.org/10.1016/j.ensm.2021.06.008</w:t>
        </w:r>
      </w:hyperlink>
    </w:p>
    <w:p w14:paraId="7C91C193"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G. Zhang, F. Qin, H. Zou, C. Tian. "Experimental study on a dual-parallel-evaporator heat pump system for thermal management of electric vehicles". </w:t>
      </w:r>
      <w:r w:rsidRPr="00100966">
        <w:rPr>
          <w:rStyle w:val="Emphasis"/>
          <w:rFonts w:ascii="Palatino Linotype" w:hAnsi="Palatino Linotype"/>
          <w:sz w:val="22"/>
          <w:szCs w:val="22"/>
        </w:rPr>
        <w:t>Energy Procedia</w:t>
      </w:r>
      <w:r w:rsidRPr="00100966">
        <w:rPr>
          <w:rFonts w:ascii="Palatino Linotype" w:hAnsi="Palatino Linotype"/>
          <w:sz w:val="22"/>
          <w:szCs w:val="22"/>
        </w:rPr>
        <w:t xml:space="preserve"> 105 (2017) 2390–2395. </w:t>
      </w:r>
      <w:hyperlink r:id="rId222" w:tgtFrame="_new" w:history="1">
        <w:r w:rsidRPr="00100966">
          <w:rPr>
            <w:rStyle w:val="Hyperlink"/>
            <w:rFonts w:ascii="Palatino Linotype" w:hAnsi="Palatino Linotype"/>
            <w:sz w:val="22"/>
            <w:szCs w:val="22"/>
          </w:rPr>
          <w:t>https://doi.org/10.1016/j.egypro.2017.03.687</w:t>
        </w:r>
      </w:hyperlink>
    </w:p>
    <w:p w14:paraId="7EBC158A" w14:textId="77777777" w:rsidR="00B4749A" w:rsidRPr="00100966" w:rsidRDefault="00B4749A" w:rsidP="00B4749A">
      <w:pPr>
        <w:pStyle w:val="NormalWeb"/>
        <w:numPr>
          <w:ilvl w:val="0"/>
          <w:numId w:val="15"/>
        </w:numPr>
        <w:jc w:val="both"/>
        <w:rPr>
          <w:rFonts w:ascii="Palatino Linotype" w:hAnsi="Palatino Linotype"/>
          <w:sz w:val="22"/>
          <w:szCs w:val="22"/>
        </w:rPr>
      </w:pPr>
      <w:r w:rsidRPr="00F43E9A">
        <w:rPr>
          <w:rFonts w:ascii="Palatino Linotype" w:hAnsi="Palatino Linotype"/>
          <w:sz w:val="22"/>
          <w:szCs w:val="22"/>
        </w:rPr>
        <w:t xml:space="preserve">M. Al-Zareer, I. Dincer, M.A. Rosen. </w:t>
      </w:r>
      <w:r w:rsidRPr="00100966">
        <w:rPr>
          <w:rFonts w:ascii="Palatino Linotype" w:hAnsi="Palatino Linotype"/>
          <w:sz w:val="22"/>
          <w:szCs w:val="22"/>
          <w:lang w:val="en-US"/>
        </w:rPr>
        <w:t xml:space="preserve">"A novel phase change based cooling system for prismatic lithium ion batteries". </w:t>
      </w:r>
      <w:r w:rsidRPr="00100966">
        <w:rPr>
          <w:rStyle w:val="Emphasis"/>
          <w:rFonts w:ascii="Palatino Linotype" w:hAnsi="Palatino Linotype"/>
          <w:sz w:val="22"/>
          <w:szCs w:val="22"/>
        </w:rPr>
        <w:t>International Journal of Refrigeration</w:t>
      </w:r>
      <w:r w:rsidRPr="00100966">
        <w:rPr>
          <w:rFonts w:ascii="Palatino Linotype" w:hAnsi="Palatino Linotype"/>
          <w:sz w:val="22"/>
          <w:szCs w:val="22"/>
        </w:rPr>
        <w:t xml:space="preserve"> 86 (2018) 203–217. </w:t>
      </w:r>
      <w:hyperlink r:id="rId223" w:tgtFrame="_new" w:history="1">
        <w:r w:rsidRPr="00100966">
          <w:rPr>
            <w:rStyle w:val="Hyperlink"/>
            <w:rFonts w:ascii="Palatino Linotype" w:hAnsi="Palatino Linotype"/>
            <w:sz w:val="22"/>
            <w:szCs w:val="22"/>
          </w:rPr>
          <w:t>https://doi.org/10.1016/j.ijrefrig.2017.12.005</w:t>
        </w:r>
      </w:hyperlink>
    </w:p>
    <w:p w14:paraId="10935A21" w14:textId="77777777" w:rsidR="00B4749A" w:rsidRPr="00100966" w:rsidRDefault="00B4749A" w:rsidP="00B4749A">
      <w:pPr>
        <w:pStyle w:val="NormalWeb"/>
        <w:numPr>
          <w:ilvl w:val="0"/>
          <w:numId w:val="15"/>
        </w:numPr>
        <w:jc w:val="both"/>
        <w:rPr>
          <w:rFonts w:ascii="Palatino Linotype" w:hAnsi="Palatino Linotype"/>
          <w:sz w:val="22"/>
          <w:szCs w:val="22"/>
        </w:rPr>
      </w:pPr>
      <w:r w:rsidRPr="00F43E9A">
        <w:rPr>
          <w:rFonts w:ascii="Palatino Linotype" w:hAnsi="Palatino Linotype"/>
          <w:sz w:val="22"/>
          <w:szCs w:val="22"/>
          <w:lang w:val="en-US"/>
        </w:rPr>
        <w:t xml:space="preserve">T.M. Bandhauer, S. Garimella. </w:t>
      </w:r>
      <w:r w:rsidRPr="00100966">
        <w:rPr>
          <w:rFonts w:ascii="Palatino Linotype" w:hAnsi="Palatino Linotype"/>
          <w:sz w:val="22"/>
          <w:szCs w:val="22"/>
          <w:lang w:val="en-US"/>
        </w:rPr>
        <w:t xml:space="preserve">"Passive, internal thermal management system for batteries using microscale liquid–vapor phase change". </w:t>
      </w:r>
      <w:r w:rsidRPr="00100966">
        <w:rPr>
          <w:rStyle w:val="Emphasis"/>
          <w:rFonts w:ascii="Palatino Linotype" w:hAnsi="Palatino Linotype"/>
          <w:sz w:val="22"/>
          <w:szCs w:val="22"/>
        </w:rPr>
        <w:t>Applied Thermal Engineering</w:t>
      </w:r>
      <w:r w:rsidRPr="00100966">
        <w:rPr>
          <w:rFonts w:ascii="Palatino Linotype" w:hAnsi="Palatino Linotype"/>
          <w:sz w:val="22"/>
          <w:szCs w:val="22"/>
        </w:rPr>
        <w:t xml:space="preserve"> 61 (2) (2013) 756–769. </w:t>
      </w:r>
      <w:hyperlink r:id="rId224" w:tgtFrame="_new" w:history="1">
        <w:r w:rsidRPr="00100966">
          <w:rPr>
            <w:rStyle w:val="Hyperlink"/>
            <w:rFonts w:ascii="Palatino Linotype" w:hAnsi="Palatino Linotype"/>
            <w:sz w:val="22"/>
            <w:szCs w:val="22"/>
          </w:rPr>
          <w:t>https://doi.org/10.1016/j.applthermaleng.2013.08.004</w:t>
        </w:r>
      </w:hyperlink>
    </w:p>
    <w:p w14:paraId="7FF5555D"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nb-NO"/>
        </w:rPr>
        <w:t xml:space="preserve">Y. Ren, Z. Yu, G. Song. </w:t>
      </w:r>
      <w:r w:rsidRPr="00100966">
        <w:rPr>
          <w:rFonts w:ascii="Palatino Linotype" w:hAnsi="Palatino Linotype"/>
          <w:sz w:val="22"/>
          <w:szCs w:val="22"/>
          <w:lang w:val="en-US"/>
        </w:rPr>
        <w:t xml:space="preserve">"Thermal management of a Li-ion battery pack employing water evaporation". </w:t>
      </w:r>
      <w:r w:rsidRPr="00100966">
        <w:rPr>
          <w:rStyle w:val="Emphasis"/>
          <w:rFonts w:ascii="Palatino Linotype" w:hAnsi="Palatino Linotype"/>
          <w:sz w:val="22"/>
          <w:szCs w:val="22"/>
        </w:rPr>
        <w:t>Journal of Power Sources</w:t>
      </w:r>
      <w:r w:rsidRPr="00100966">
        <w:rPr>
          <w:rFonts w:ascii="Palatino Linotype" w:hAnsi="Palatino Linotype"/>
          <w:sz w:val="22"/>
          <w:szCs w:val="22"/>
        </w:rPr>
        <w:t xml:space="preserve"> 360 (2017) 166–171. </w:t>
      </w:r>
      <w:hyperlink r:id="rId225" w:tgtFrame="_new" w:history="1">
        <w:r w:rsidRPr="00100966">
          <w:rPr>
            <w:rStyle w:val="Hyperlink"/>
            <w:rFonts w:ascii="Palatino Linotype" w:hAnsi="Palatino Linotype"/>
            <w:sz w:val="22"/>
            <w:szCs w:val="22"/>
          </w:rPr>
          <w:t>https://doi.org/10.1016/j.jpowsour.2017.05.116</w:t>
        </w:r>
      </w:hyperlink>
    </w:p>
    <w:p w14:paraId="01D8C587" w14:textId="77777777" w:rsidR="00B4749A" w:rsidRPr="00100966"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rPr>
        <w:t xml:space="preserve">Q. Wang, B. Jiang, Q.F. Xue, H.L. Sun, B. Li, H.M. Zou, Y.Y. Yan. </w:t>
      </w:r>
      <w:r w:rsidRPr="00100966">
        <w:rPr>
          <w:rFonts w:ascii="Palatino Linotype" w:hAnsi="Palatino Linotype"/>
          <w:sz w:val="22"/>
          <w:szCs w:val="22"/>
          <w:lang w:val="en-US"/>
        </w:rPr>
        <w:t xml:space="preserve">"A critical review of thermal management models and solutions of lithium-ion batteries for the development of pure electric vehicles". </w:t>
      </w:r>
      <w:r w:rsidRPr="00100966">
        <w:rPr>
          <w:rStyle w:val="Emphasis"/>
          <w:rFonts w:ascii="Palatino Linotype" w:hAnsi="Palatino Linotype"/>
          <w:sz w:val="22"/>
          <w:szCs w:val="22"/>
          <w:lang w:val="en-US"/>
        </w:rPr>
        <w:t>Renewable and Sustainable Energy Reviews</w:t>
      </w:r>
      <w:r w:rsidRPr="00100966">
        <w:rPr>
          <w:rFonts w:ascii="Palatino Linotype" w:hAnsi="Palatino Linotype"/>
          <w:sz w:val="22"/>
          <w:szCs w:val="22"/>
          <w:lang w:val="en-US"/>
        </w:rPr>
        <w:t xml:space="preserve"> 64 (2016) 106–128. </w:t>
      </w:r>
      <w:hyperlink r:id="rId226" w:tgtFrame="_new" w:history="1">
        <w:r w:rsidRPr="00100966">
          <w:rPr>
            <w:rStyle w:val="Hyperlink"/>
            <w:rFonts w:ascii="Palatino Linotype" w:hAnsi="Palatino Linotype"/>
            <w:sz w:val="22"/>
            <w:szCs w:val="22"/>
            <w:lang w:val="en-US"/>
          </w:rPr>
          <w:t>https://doi.org/10.1016/j.rser.2016.05.033</w:t>
        </w:r>
      </w:hyperlink>
    </w:p>
    <w:p w14:paraId="741E7F84" w14:textId="4108282D" w:rsidR="00B4749A" w:rsidRDefault="000B7F28" w:rsidP="00B4749A">
      <w:pPr>
        <w:pStyle w:val="NormalWeb"/>
        <w:numPr>
          <w:ilvl w:val="0"/>
          <w:numId w:val="15"/>
        </w:numPr>
        <w:jc w:val="both"/>
        <w:rPr>
          <w:rFonts w:ascii="Palatino Linotype" w:hAnsi="Palatino Linotype"/>
          <w:sz w:val="22"/>
          <w:szCs w:val="22"/>
          <w:lang w:val="en-US"/>
        </w:rPr>
      </w:pPr>
      <w:r w:rsidRPr="000B7F28">
        <w:rPr>
          <w:rFonts w:ascii="Palatino Linotype" w:hAnsi="Palatino Linotype"/>
          <w:sz w:val="22"/>
          <w:szCs w:val="22"/>
          <w:lang w:val="en-US"/>
        </w:rPr>
        <w:t xml:space="preserve">R. Zhao, J. Gu, J. Liu, </w:t>
      </w:r>
      <w:r>
        <w:rPr>
          <w:rFonts w:ascii="Palatino Linotype" w:hAnsi="Palatino Linotype"/>
          <w:sz w:val="22"/>
          <w:szCs w:val="22"/>
          <w:lang w:val="en-US"/>
        </w:rPr>
        <w:t>“</w:t>
      </w:r>
      <w:r w:rsidRPr="000B7F28">
        <w:rPr>
          <w:rFonts w:ascii="Palatino Linotype" w:hAnsi="Palatino Linotype"/>
          <w:sz w:val="22"/>
          <w:szCs w:val="22"/>
          <w:lang w:val="en-US"/>
        </w:rPr>
        <w:t>An experimental study of heat pipe thermal management system with wet cooling method for lithium-ion batteries</w:t>
      </w:r>
      <w:r>
        <w:rPr>
          <w:rFonts w:ascii="Palatino Linotype" w:hAnsi="Palatino Linotype"/>
          <w:sz w:val="22"/>
          <w:szCs w:val="22"/>
          <w:lang w:val="en-US"/>
        </w:rPr>
        <w:t>”.</w:t>
      </w:r>
      <w:r w:rsidRPr="000B7F28">
        <w:rPr>
          <w:rFonts w:ascii="Palatino Linotype" w:hAnsi="Palatino Linotype"/>
          <w:sz w:val="22"/>
          <w:szCs w:val="22"/>
          <w:lang w:val="en-US"/>
        </w:rPr>
        <w:t xml:space="preserve"> </w:t>
      </w:r>
      <w:r w:rsidRPr="000B7F28">
        <w:rPr>
          <w:rFonts w:ascii="Palatino Linotype" w:hAnsi="Palatino Linotype"/>
          <w:i/>
          <w:iCs/>
          <w:sz w:val="22"/>
          <w:szCs w:val="22"/>
          <w:lang w:val="en-US"/>
        </w:rPr>
        <w:t>J</w:t>
      </w:r>
      <w:r>
        <w:rPr>
          <w:rFonts w:ascii="Palatino Linotype" w:hAnsi="Palatino Linotype"/>
          <w:i/>
          <w:iCs/>
          <w:sz w:val="22"/>
          <w:szCs w:val="22"/>
          <w:lang w:val="en-US"/>
        </w:rPr>
        <w:t>ournal of</w:t>
      </w:r>
      <w:r w:rsidRPr="000B7F28">
        <w:rPr>
          <w:rFonts w:ascii="Palatino Linotype" w:hAnsi="Palatino Linotype"/>
          <w:i/>
          <w:iCs/>
          <w:sz w:val="22"/>
          <w:szCs w:val="22"/>
          <w:lang w:val="en-US"/>
        </w:rPr>
        <w:t xml:space="preserve"> Power Sources</w:t>
      </w:r>
      <w:r w:rsidRPr="000B7F28">
        <w:rPr>
          <w:rFonts w:ascii="Palatino Linotype" w:hAnsi="Palatino Linotype"/>
          <w:sz w:val="22"/>
          <w:szCs w:val="22"/>
          <w:lang w:val="en-US"/>
        </w:rPr>
        <w:t xml:space="preserve"> 273 (2015) 1089–1097. </w:t>
      </w:r>
      <w:hyperlink r:id="rId227" w:history="1">
        <w:r w:rsidRPr="00FB3BE2">
          <w:rPr>
            <w:rStyle w:val="Hyperlink"/>
            <w:rFonts w:ascii="Palatino Linotype" w:hAnsi="Palatino Linotype"/>
            <w:sz w:val="22"/>
            <w:szCs w:val="22"/>
            <w:lang w:val="en-US"/>
          </w:rPr>
          <w:t>https://doi.org/10.1016/j.jpowsour.2014.10.007</w:t>
        </w:r>
      </w:hyperlink>
      <w:r w:rsidRPr="000B7F28">
        <w:rPr>
          <w:rFonts w:ascii="Palatino Linotype" w:hAnsi="Palatino Linotype"/>
          <w:sz w:val="22"/>
          <w:szCs w:val="22"/>
          <w:lang w:val="en-US"/>
        </w:rPr>
        <w:t>.</w:t>
      </w:r>
    </w:p>
    <w:p w14:paraId="2659C18F" w14:textId="330DD5AB" w:rsidR="000B7F28" w:rsidRDefault="000B7F28" w:rsidP="00CE57E0">
      <w:pPr>
        <w:pStyle w:val="NormalWeb"/>
        <w:numPr>
          <w:ilvl w:val="0"/>
          <w:numId w:val="15"/>
        </w:numPr>
        <w:jc w:val="both"/>
        <w:rPr>
          <w:rFonts w:ascii="Palatino Linotype" w:hAnsi="Palatino Linotype"/>
          <w:sz w:val="22"/>
          <w:szCs w:val="22"/>
          <w:lang w:val="en-US"/>
        </w:rPr>
      </w:pPr>
      <w:r w:rsidRPr="000B7F28">
        <w:rPr>
          <w:rFonts w:ascii="Palatino Linotype" w:hAnsi="Palatino Linotype"/>
          <w:sz w:val="22"/>
          <w:szCs w:val="22"/>
          <w:lang w:val="en-US"/>
        </w:rPr>
        <w:lastRenderedPageBreak/>
        <w:t>C.-V. Hémery, F. Pra, J.-F. Robin, P. Marty</w:t>
      </w:r>
      <w:r>
        <w:rPr>
          <w:rFonts w:ascii="Palatino Linotype" w:hAnsi="Palatino Linotype"/>
          <w:sz w:val="22"/>
          <w:szCs w:val="22"/>
          <w:lang w:val="en-US"/>
        </w:rPr>
        <w:t>. “</w:t>
      </w:r>
      <w:r w:rsidRPr="000B7F28">
        <w:rPr>
          <w:rFonts w:ascii="Palatino Linotype" w:hAnsi="Palatino Linotype"/>
          <w:sz w:val="22"/>
          <w:szCs w:val="22"/>
          <w:lang w:val="en-US"/>
        </w:rPr>
        <w:t>Experimental performances of a battery thermal management system using a phase change material</w:t>
      </w:r>
      <w:r>
        <w:rPr>
          <w:rFonts w:ascii="Palatino Linotype" w:hAnsi="Palatino Linotype"/>
          <w:sz w:val="22"/>
          <w:szCs w:val="22"/>
          <w:lang w:val="en-US"/>
        </w:rPr>
        <w:t>”</w:t>
      </w:r>
      <w:r w:rsidRPr="000B7F28">
        <w:rPr>
          <w:rFonts w:ascii="Palatino Linotype" w:hAnsi="Palatino Linotype"/>
          <w:sz w:val="22"/>
          <w:szCs w:val="22"/>
          <w:lang w:val="en-US"/>
        </w:rPr>
        <w:t xml:space="preserve"> </w:t>
      </w:r>
      <w:r w:rsidRPr="000B7F28">
        <w:rPr>
          <w:rFonts w:ascii="Palatino Linotype" w:hAnsi="Palatino Linotype"/>
          <w:i/>
          <w:iCs/>
          <w:sz w:val="22"/>
          <w:szCs w:val="22"/>
          <w:lang w:val="en-US"/>
        </w:rPr>
        <w:t>J</w:t>
      </w:r>
      <w:r>
        <w:rPr>
          <w:rFonts w:ascii="Palatino Linotype" w:hAnsi="Palatino Linotype"/>
          <w:i/>
          <w:iCs/>
          <w:sz w:val="22"/>
          <w:szCs w:val="22"/>
          <w:lang w:val="en-US"/>
        </w:rPr>
        <w:t>ournal of</w:t>
      </w:r>
      <w:r w:rsidRPr="000B7F28">
        <w:rPr>
          <w:rFonts w:ascii="Palatino Linotype" w:hAnsi="Palatino Linotype"/>
          <w:i/>
          <w:iCs/>
          <w:sz w:val="22"/>
          <w:szCs w:val="22"/>
          <w:lang w:val="en-US"/>
        </w:rPr>
        <w:t xml:space="preserve"> Power Sources</w:t>
      </w:r>
      <w:r w:rsidRPr="000B7F28">
        <w:rPr>
          <w:rFonts w:ascii="Palatino Linotype" w:hAnsi="Palatino Linotype"/>
          <w:sz w:val="22"/>
          <w:szCs w:val="22"/>
          <w:lang w:val="en-US"/>
        </w:rPr>
        <w:t xml:space="preserve"> 270 (2014) 349–358. </w:t>
      </w:r>
      <w:hyperlink r:id="rId228" w:history="1">
        <w:r w:rsidRPr="00FB3BE2">
          <w:rPr>
            <w:rStyle w:val="Hyperlink"/>
            <w:rFonts w:ascii="Palatino Linotype" w:hAnsi="Palatino Linotype"/>
            <w:sz w:val="22"/>
            <w:szCs w:val="22"/>
            <w:lang w:val="en-US"/>
          </w:rPr>
          <w:t>https://doi.org/10.1016/j.jpowsour.2014.07.147</w:t>
        </w:r>
      </w:hyperlink>
      <w:r w:rsidRPr="000B7F28">
        <w:rPr>
          <w:rFonts w:ascii="Palatino Linotype" w:hAnsi="Palatino Linotype"/>
          <w:sz w:val="22"/>
          <w:szCs w:val="22"/>
          <w:lang w:val="en-US"/>
        </w:rPr>
        <w:t>.</w:t>
      </w:r>
    </w:p>
    <w:p w14:paraId="4326F461" w14:textId="28487F8E" w:rsidR="00B4749A" w:rsidRDefault="000B7F28" w:rsidP="00CE57E0">
      <w:pPr>
        <w:pStyle w:val="NormalWeb"/>
        <w:numPr>
          <w:ilvl w:val="0"/>
          <w:numId w:val="15"/>
        </w:numPr>
        <w:jc w:val="both"/>
        <w:rPr>
          <w:rFonts w:ascii="Palatino Linotype" w:hAnsi="Palatino Linotype"/>
          <w:sz w:val="22"/>
          <w:szCs w:val="22"/>
          <w:lang w:val="en-US"/>
        </w:rPr>
      </w:pPr>
      <w:r w:rsidRPr="000B7F28">
        <w:rPr>
          <w:rFonts w:ascii="Palatino Linotype" w:hAnsi="Palatino Linotype"/>
          <w:sz w:val="22"/>
          <w:szCs w:val="22"/>
          <w:lang w:val="en-US"/>
        </w:rPr>
        <w:t>Y. Huo, Z. Rao</w:t>
      </w:r>
      <w:r>
        <w:rPr>
          <w:rFonts w:ascii="Palatino Linotype" w:hAnsi="Palatino Linotype"/>
          <w:sz w:val="22"/>
          <w:szCs w:val="22"/>
          <w:lang w:val="en-US"/>
        </w:rPr>
        <w:t>. “</w:t>
      </w:r>
      <w:r w:rsidRPr="000B7F28">
        <w:rPr>
          <w:rFonts w:ascii="Palatino Linotype" w:hAnsi="Palatino Linotype"/>
          <w:sz w:val="22"/>
          <w:szCs w:val="22"/>
          <w:lang w:val="en-US"/>
        </w:rPr>
        <w:t>Investigation of phase change material based battery thermal management at cold temperature using lattice Boltzmann method</w:t>
      </w:r>
      <w:r>
        <w:rPr>
          <w:rFonts w:ascii="Palatino Linotype" w:hAnsi="Palatino Linotype"/>
          <w:sz w:val="22"/>
          <w:szCs w:val="22"/>
          <w:lang w:val="en-US"/>
        </w:rPr>
        <w:t>”.</w:t>
      </w:r>
      <w:r w:rsidRPr="000B7F28">
        <w:rPr>
          <w:rFonts w:ascii="Palatino Linotype" w:hAnsi="Palatino Linotype"/>
          <w:sz w:val="22"/>
          <w:szCs w:val="22"/>
          <w:lang w:val="en-US"/>
        </w:rPr>
        <w:t xml:space="preserve"> </w:t>
      </w:r>
      <w:r w:rsidRPr="000B7F28">
        <w:rPr>
          <w:rFonts w:ascii="Palatino Linotype" w:hAnsi="Palatino Linotype"/>
          <w:i/>
          <w:iCs/>
          <w:sz w:val="22"/>
          <w:szCs w:val="22"/>
          <w:lang w:val="en-US"/>
        </w:rPr>
        <w:t>Energy Convers</w:t>
      </w:r>
      <w:r>
        <w:rPr>
          <w:rFonts w:ascii="Palatino Linotype" w:hAnsi="Palatino Linotype"/>
          <w:i/>
          <w:iCs/>
          <w:sz w:val="22"/>
          <w:szCs w:val="22"/>
          <w:lang w:val="en-US"/>
        </w:rPr>
        <w:t>ion</w:t>
      </w:r>
      <w:r w:rsidRPr="000B7F28">
        <w:rPr>
          <w:rFonts w:ascii="Palatino Linotype" w:hAnsi="Palatino Linotype"/>
          <w:i/>
          <w:iCs/>
          <w:sz w:val="22"/>
          <w:szCs w:val="22"/>
          <w:lang w:val="en-US"/>
        </w:rPr>
        <w:t xml:space="preserve"> Manag</w:t>
      </w:r>
      <w:r>
        <w:rPr>
          <w:rFonts w:ascii="Palatino Linotype" w:hAnsi="Palatino Linotype"/>
          <w:i/>
          <w:iCs/>
          <w:sz w:val="22"/>
          <w:szCs w:val="22"/>
          <w:lang w:val="en-US"/>
        </w:rPr>
        <w:t>ement</w:t>
      </w:r>
      <w:r w:rsidRPr="000B7F28">
        <w:rPr>
          <w:rFonts w:ascii="Palatino Linotype" w:hAnsi="Palatino Linotype"/>
          <w:sz w:val="22"/>
          <w:szCs w:val="22"/>
          <w:lang w:val="en-US"/>
        </w:rPr>
        <w:t xml:space="preserve"> 133 (2017) 204–215. </w:t>
      </w:r>
      <w:hyperlink r:id="rId229" w:history="1">
        <w:r w:rsidRPr="00FB3BE2">
          <w:rPr>
            <w:rStyle w:val="Hyperlink"/>
            <w:rFonts w:ascii="Palatino Linotype" w:hAnsi="Palatino Linotype"/>
            <w:sz w:val="22"/>
            <w:szCs w:val="22"/>
            <w:lang w:val="en-US"/>
          </w:rPr>
          <w:t>https://doi.org/10.1016/j.enconman.2016.12.009</w:t>
        </w:r>
      </w:hyperlink>
      <w:r w:rsidRPr="000B7F28">
        <w:rPr>
          <w:rFonts w:ascii="Palatino Linotype" w:hAnsi="Palatino Linotype"/>
          <w:sz w:val="22"/>
          <w:szCs w:val="22"/>
          <w:lang w:val="en-US"/>
        </w:rPr>
        <w:t>.</w:t>
      </w:r>
    </w:p>
    <w:p w14:paraId="4879F95E" w14:textId="55A4F748" w:rsidR="00B4749A" w:rsidRPr="000B7F28" w:rsidRDefault="00B4749A" w:rsidP="000B7F28">
      <w:pPr>
        <w:pStyle w:val="NormalWeb"/>
        <w:numPr>
          <w:ilvl w:val="0"/>
          <w:numId w:val="15"/>
        </w:numPr>
        <w:jc w:val="both"/>
        <w:rPr>
          <w:rFonts w:ascii="Palatino Linotype" w:hAnsi="Palatino Linotype"/>
          <w:sz w:val="22"/>
          <w:szCs w:val="22"/>
          <w:lang w:val="en-US"/>
        </w:rPr>
      </w:pPr>
      <w:r w:rsidRPr="000B7F28">
        <w:rPr>
          <w:rFonts w:ascii="Palatino Linotype" w:hAnsi="Palatino Linotype"/>
          <w:sz w:val="22"/>
          <w:szCs w:val="22"/>
        </w:rPr>
        <w:t xml:space="preserve">R. Zhao, J. Gu, J. Liu. </w:t>
      </w:r>
      <w:r w:rsidRPr="000B7F28">
        <w:rPr>
          <w:rFonts w:ascii="Palatino Linotype" w:hAnsi="Palatino Linotype"/>
          <w:sz w:val="22"/>
          <w:szCs w:val="22"/>
          <w:lang w:val="en-US"/>
        </w:rPr>
        <w:t xml:space="preserve">"Optimization of a phase change material based internal cooling system for cylindrical Li-ion battery pack and a hybrid cooling design". </w:t>
      </w:r>
      <w:r w:rsidRPr="000B7F28">
        <w:rPr>
          <w:rStyle w:val="Emphasis"/>
          <w:rFonts w:ascii="Palatino Linotype" w:hAnsi="Palatino Linotype"/>
          <w:sz w:val="22"/>
          <w:szCs w:val="22"/>
        </w:rPr>
        <w:t>Energy</w:t>
      </w:r>
      <w:r w:rsidRPr="000B7F28">
        <w:rPr>
          <w:rFonts w:ascii="Palatino Linotype" w:hAnsi="Palatino Linotype"/>
          <w:sz w:val="22"/>
          <w:szCs w:val="22"/>
        </w:rPr>
        <w:t xml:space="preserve"> 135 (2017) 811–822. </w:t>
      </w:r>
      <w:hyperlink r:id="rId230" w:tgtFrame="_new" w:history="1">
        <w:r w:rsidRPr="000B7F28">
          <w:rPr>
            <w:rStyle w:val="Hyperlink"/>
            <w:rFonts w:ascii="Palatino Linotype" w:hAnsi="Palatino Linotype"/>
            <w:sz w:val="22"/>
            <w:szCs w:val="22"/>
          </w:rPr>
          <w:t>https://doi.org/10.1016/j.energy.2017.06.168</w:t>
        </w:r>
      </w:hyperlink>
      <w:r w:rsidR="00A94902">
        <w:t xml:space="preserve"> DA QUI</w:t>
      </w:r>
    </w:p>
    <w:p w14:paraId="0A60539C" w14:textId="77777777" w:rsidR="00B4749A" w:rsidRPr="00100966" w:rsidRDefault="00B4749A" w:rsidP="00B4749A">
      <w:pPr>
        <w:pStyle w:val="NormalWeb"/>
        <w:numPr>
          <w:ilvl w:val="0"/>
          <w:numId w:val="15"/>
        </w:numPr>
        <w:jc w:val="both"/>
        <w:rPr>
          <w:rFonts w:ascii="Palatino Linotype" w:hAnsi="Palatino Linotype"/>
          <w:sz w:val="22"/>
          <w:szCs w:val="22"/>
        </w:rPr>
      </w:pPr>
      <w:r w:rsidRPr="003A65E5">
        <w:rPr>
          <w:rFonts w:ascii="Palatino Linotype" w:hAnsi="Palatino Linotype"/>
          <w:sz w:val="22"/>
          <w:szCs w:val="22"/>
          <w:lang w:val="en-US"/>
        </w:rPr>
        <w:t xml:space="preserve">A. Kumar, A.K. Dewangan, A.K. Yadav. </w:t>
      </w:r>
      <w:r w:rsidRPr="00100966">
        <w:rPr>
          <w:rFonts w:ascii="Palatino Linotype" w:hAnsi="Palatino Linotype"/>
          <w:sz w:val="22"/>
          <w:szCs w:val="22"/>
          <w:lang w:val="en-US"/>
        </w:rPr>
        <w:t xml:space="preserve">"A state-of-the-art review on modelling and simulation of battery thermal management system using phase change material and liquid cooling: Enhancing performance, sustainability, and future research needs". </w:t>
      </w:r>
      <w:r w:rsidRPr="00100966">
        <w:rPr>
          <w:rStyle w:val="Emphasis"/>
          <w:rFonts w:ascii="Palatino Linotype" w:hAnsi="Palatino Linotype"/>
          <w:sz w:val="22"/>
          <w:szCs w:val="22"/>
        </w:rPr>
        <w:t>Journal of Energy Storage</w:t>
      </w:r>
      <w:r w:rsidRPr="00100966">
        <w:rPr>
          <w:rFonts w:ascii="Palatino Linotype" w:hAnsi="Palatino Linotype"/>
          <w:sz w:val="22"/>
          <w:szCs w:val="22"/>
        </w:rPr>
        <w:t xml:space="preserve"> 133 (2025) 117978. </w:t>
      </w:r>
      <w:hyperlink r:id="rId231" w:tgtFrame="_new" w:history="1">
        <w:r w:rsidRPr="00100966">
          <w:rPr>
            <w:rStyle w:val="Hyperlink"/>
            <w:rFonts w:ascii="Palatino Linotype" w:hAnsi="Palatino Linotype"/>
            <w:sz w:val="22"/>
            <w:szCs w:val="22"/>
          </w:rPr>
          <w:t>https://doi.org/10.1016/j.est.2025.117978</w:t>
        </w:r>
      </w:hyperlink>
    </w:p>
    <w:p w14:paraId="2C742D96" w14:textId="77777777" w:rsidR="00B4749A" w:rsidRPr="00100966"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nb-NO"/>
        </w:rPr>
        <w:t xml:space="preserve">H. Ghadim, A. Godin, A. Veillere, M. Duquesne, D. Haillot. </w:t>
      </w:r>
      <w:r w:rsidRPr="00100966">
        <w:rPr>
          <w:rFonts w:ascii="Palatino Linotype" w:hAnsi="Palatino Linotype"/>
          <w:sz w:val="22"/>
          <w:szCs w:val="22"/>
          <w:lang w:val="en-US"/>
        </w:rPr>
        <w:t xml:space="preserve">"Review of thermal management of electronics and phase change materials". </w:t>
      </w:r>
      <w:r w:rsidRPr="00100966">
        <w:rPr>
          <w:rStyle w:val="Emphasis"/>
          <w:rFonts w:ascii="Palatino Linotype" w:hAnsi="Palatino Linotype"/>
          <w:sz w:val="22"/>
          <w:szCs w:val="22"/>
          <w:lang w:val="en-US"/>
        </w:rPr>
        <w:t>Renewable and Sustainable Energy Reviews</w:t>
      </w:r>
      <w:r w:rsidRPr="00100966">
        <w:rPr>
          <w:rFonts w:ascii="Palatino Linotype" w:hAnsi="Palatino Linotype"/>
          <w:sz w:val="22"/>
          <w:szCs w:val="22"/>
          <w:lang w:val="en-US"/>
        </w:rPr>
        <w:t xml:space="preserve"> 208 (2025) 115039. </w:t>
      </w:r>
      <w:hyperlink r:id="rId232" w:tgtFrame="_new" w:history="1">
        <w:r w:rsidRPr="00100966">
          <w:rPr>
            <w:rStyle w:val="Hyperlink"/>
            <w:rFonts w:ascii="Palatino Linotype" w:hAnsi="Palatino Linotype"/>
            <w:sz w:val="22"/>
            <w:szCs w:val="22"/>
            <w:lang w:val="en-US"/>
          </w:rPr>
          <w:t>https://doi.org/10.1016/j.rser.2024.115039</w:t>
        </w:r>
      </w:hyperlink>
    </w:p>
    <w:p w14:paraId="0005A9E4"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Y.-C. Weng, H.-P. Cho, C.-C. Chang, S.-L. Chen. "Heat pipe with PCM for electronic cooling". </w:t>
      </w:r>
      <w:r w:rsidRPr="00100966">
        <w:rPr>
          <w:rStyle w:val="Emphasis"/>
          <w:rFonts w:ascii="Palatino Linotype" w:hAnsi="Palatino Linotype"/>
          <w:sz w:val="22"/>
          <w:szCs w:val="22"/>
        </w:rPr>
        <w:t>Applied Energy</w:t>
      </w:r>
      <w:r w:rsidRPr="00100966">
        <w:rPr>
          <w:rFonts w:ascii="Palatino Linotype" w:hAnsi="Palatino Linotype"/>
          <w:sz w:val="22"/>
          <w:szCs w:val="22"/>
        </w:rPr>
        <w:t xml:space="preserve"> 88 (5) (2011) 1825–1833. </w:t>
      </w:r>
      <w:hyperlink r:id="rId233" w:tgtFrame="_new" w:history="1">
        <w:r w:rsidRPr="00100966">
          <w:rPr>
            <w:rStyle w:val="Hyperlink"/>
            <w:rFonts w:ascii="Palatino Linotype" w:hAnsi="Palatino Linotype"/>
            <w:sz w:val="22"/>
            <w:szCs w:val="22"/>
          </w:rPr>
          <w:t>https://doi.org/10.1016/j.apenergy.2010.12.004</w:t>
        </w:r>
      </w:hyperlink>
    </w:p>
    <w:p w14:paraId="74532D7F" w14:textId="77777777" w:rsidR="00B4749A" w:rsidRPr="00100966"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rPr>
        <w:t xml:space="preserve">P. Verdugo, C. Cañizares, M. Pirnia, T. Leibfried. </w:t>
      </w:r>
      <w:r w:rsidRPr="00100966">
        <w:rPr>
          <w:rFonts w:ascii="Palatino Linotype" w:hAnsi="Palatino Linotype"/>
          <w:sz w:val="22"/>
          <w:szCs w:val="22"/>
          <w:lang w:val="en-US"/>
        </w:rPr>
        <w:t xml:space="preserve">"Modeling and optimal operation of sustainable thermoelectric microgrids with phase-change material thermal system". </w:t>
      </w:r>
      <w:r w:rsidRPr="00100966">
        <w:rPr>
          <w:rStyle w:val="Emphasis"/>
          <w:rFonts w:ascii="Palatino Linotype" w:hAnsi="Palatino Linotype"/>
          <w:sz w:val="22"/>
          <w:szCs w:val="22"/>
          <w:lang w:val="en-US"/>
        </w:rPr>
        <w:t>Sustainable Energy, Grids and Networks</w:t>
      </w:r>
      <w:r w:rsidRPr="00100966">
        <w:rPr>
          <w:rFonts w:ascii="Palatino Linotype" w:hAnsi="Palatino Linotype"/>
          <w:sz w:val="22"/>
          <w:szCs w:val="22"/>
          <w:lang w:val="en-US"/>
        </w:rPr>
        <w:t xml:space="preserve"> 43 (2025) 101814. </w:t>
      </w:r>
      <w:hyperlink r:id="rId234" w:tgtFrame="_new" w:history="1">
        <w:r w:rsidRPr="00100966">
          <w:rPr>
            <w:rStyle w:val="Hyperlink"/>
            <w:rFonts w:ascii="Palatino Linotype" w:hAnsi="Palatino Linotype"/>
            <w:sz w:val="22"/>
            <w:szCs w:val="22"/>
            <w:lang w:val="en-US"/>
          </w:rPr>
          <w:t>https://doi.org/10.1016/j.segan.2025.101814</w:t>
        </w:r>
      </w:hyperlink>
    </w:p>
    <w:p w14:paraId="36055EA5"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A. Hasan, S.J. McCormack, M.J. Huang, B. Norton. "Evaluation of phase change materials for thermal regulation enhancement of building integrated photovoltaics". </w:t>
      </w:r>
      <w:r w:rsidRPr="00100966">
        <w:rPr>
          <w:rStyle w:val="Emphasis"/>
          <w:rFonts w:ascii="Palatino Linotype" w:hAnsi="Palatino Linotype"/>
          <w:sz w:val="22"/>
          <w:szCs w:val="22"/>
        </w:rPr>
        <w:t>Solar Energy</w:t>
      </w:r>
      <w:r w:rsidRPr="00100966">
        <w:rPr>
          <w:rFonts w:ascii="Palatino Linotype" w:hAnsi="Palatino Linotype"/>
          <w:sz w:val="22"/>
          <w:szCs w:val="22"/>
        </w:rPr>
        <w:t xml:space="preserve"> 84 (2010) 1601–1612. </w:t>
      </w:r>
      <w:hyperlink r:id="rId235" w:tgtFrame="_new" w:history="1">
        <w:r w:rsidRPr="00100966">
          <w:rPr>
            <w:rStyle w:val="Hyperlink"/>
            <w:rFonts w:ascii="Palatino Linotype" w:hAnsi="Palatino Linotype"/>
            <w:sz w:val="22"/>
            <w:szCs w:val="22"/>
          </w:rPr>
          <w:t>https://doi.org/10.1016/j.solener.2010.06.010</w:t>
        </w:r>
      </w:hyperlink>
    </w:p>
    <w:p w14:paraId="070CAACC" w14:textId="77777777" w:rsidR="00B4749A" w:rsidRPr="00100966"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en-US"/>
        </w:rPr>
        <w:t xml:space="preserve">M.J. Huang, P.C. Eames, B. Norton. "The application of computational fluid dynamics to predict the performance of phase change materials for control of photovoltaic cell temperature in buildings". In: A.A.M. Sayigh (Ed.), </w:t>
      </w:r>
      <w:r w:rsidRPr="00100966">
        <w:rPr>
          <w:rStyle w:val="Emphasis"/>
          <w:rFonts w:ascii="Palatino Linotype" w:hAnsi="Palatino Linotype"/>
          <w:sz w:val="22"/>
          <w:szCs w:val="22"/>
          <w:lang w:val="en-US"/>
        </w:rPr>
        <w:t>World Renewable Energy Congress VI</w:t>
      </w:r>
      <w:r w:rsidRPr="00100966">
        <w:rPr>
          <w:rFonts w:ascii="Palatino Linotype" w:hAnsi="Palatino Linotype"/>
          <w:sz w:val="22"/>
          <w:szCs w:val="22"/>
          <w:lang w:val="en-US"/>
        </w:rPr>
        <w:t>, Pergamon, Oxford, 2000, pp. 2123–2126.</w:t>
      </w:r>
    </w:p>
    <w:p w14:paraId="0C011932" w14:textId="77777777" w:rsidR="00B4749A" w:rsidRPr="00100966"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en-US"/>
        </w:rPr>
        <w:t xml:space="preserve">M. Sandberg. "Cooling of building-integrated photovoltaics by ventilation air". In: </w:t>
      </w:r>
      <w:r w:rsidRPr="00100966">
        <w:rPr>
          <w:rStyle w:val="Emphasis"/>
          <w:rFonts w:ascii="Palatino Linotype" w:hAnsi="Palatino Linotype"/>
          <w:sz w:val="22"/>
          <w:szCs w:val="22"/>
          <w:lang w:val="en-US"/>
        </w:rPr>
        <w:t>Proceedings of the First International Forum on Natural and Hybrid Ventilation</w:t>
      </w:r>
      <w:r w:rsidRPr="00100966">
        <w:rPr>
          <w:rFonts w:ascii="Palatino Linotype" w:hAnsi="Palatino Linotype"/>
          <w:sz w:val="22"/>
          <w:szCs w:val="22"/>
          <w:lang w:val="en-US"/>
        </w:rPr>
        <w:t>, Sydney, Australia, 1999.</w:t>
      </w:r>
    </w:p>
    <w:p w14:paraId="213058C6" w14:textId="77777777" w:rsidR="00B4749A" w:rsidRPr="00100966"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en-US"/>
        </w:rPr>
        <w:t xml:space="preserve">G.A. Landis. "Review of solar cell temperature coefficients for space". In: </w:t>
      </w:r>
      <w:r w:rsidRPr="00100966">
        <w:rPr>
          <w:rStyle w:val="Emphasis"/>
          <w:rFonts w:ascii="Palatino Linotype" w:hAnsi="Palatino Linotype"/>
          <w:sz w:val="22"/>
          <w:szCs w:val="22"/>
          <w:lang w:val="en-US"/>
        </w:rPr>
        <w:t>Proceedings of the 13th Space Photovoltaic Research and Technology Conference (SPRAT 13)</w:t>
      </w:r>
      <w:r w:rsidRPr="00100966">
        <w:rPr>
          <w:rFonts w:ascii="Palatino Linotype" w:hAnsi="Palatino Linotype"/>
          <w:sz w:val="22"/>
          <w:szCs w:val="22"/>
          <w:lang w:val="en-US"/>
        </w:rPr>
        <w:t>, NASA Lewis Research Center, 1994, pp. 385–399.</w:t>
      </w:r>
    </w:p>
    <w:p w14:paraId="56CA73F4" w14:textId="2D18FF02" w:rsidR="00B4749A" w:rsidRPr="00100966" w:rsidRDefault="00603A27" w:rsidP="00B4749A">
      <w:pPr>
        <w:pStyle w:val="NormalWeb"/>
        <w:numPr>
          <w:ilvl w:val="0"/>
          <w:numId w:val="15"/>
        </w:numPr>
        <w:jc w:val="both"/>
        <w:rPr>
          <w:rFonts w:ascii="Palatino Linotype" w:hAnsi="Palatino Linotype"/>
          <w:sz w:val="22"/>
          <w:szCs w:val="22"/>
        </w:rPr>
      </w:pPr>
      <w:r>
        <w:rPr>
          <w:rFonts w:ascii="Palatino Linotype" w:hAnsi="Palatino Linotype"/>
          <w:sz w:val="22"/>
          <w:szCs w:val="22"/>
          <w:lang w:val="en-US"/>
        </w:rPr>
        <w:lastRenderedPageBreak/>
        <w:t>E.</w:t>
      </w:r>
      <w:r w:rsidR="00B4749A" w:rsidRPr="00100966">
        <w:rPr>
          <w:rFonts w:ascii="Palatino Linotype" w:hAnsi="Palatino Linotype"/>
          <w:sz w:val="22"/>
          <w:szCs w:val="22"/>
          <w:lang w:val="en-US"/>
        </w:rPr>
        <w:t xml:space="preserve">Skoplaki, J.A. Palyvos. "On the temperature dependence of photovoltaic module electrical performance: A review of efficiency/power correlations". </w:t>
      </w:r>
      <w:r w:rsidR="00B4749A" w:rsidRPr="00100966">
        <w:rPr>
          <w:rStyle w:val="Emphasis"/>
          <w:rFonts w:ascii="Palatino Linotype" w:hAnsi="Palatino Linotype"/>
          <w:sz w:val="22"/>
          <w:szCs w:val="22"/>
        </w:rPr>
        <w:t>Solar Energy</w:t>
      </w:r>
      <w:r w:rsidR="00B4749A" w:rsidRPr="00100966">
        <w:rPr>
          <w:rFonts w:ascii="Palatino Linotype" w:hAnsi="Palatino Linotype"/>
          <w:sz w:val="22"/>
          <w:szCs w:val="22"/>
        </w:rPr>
        <w:t xml:space="preserve"> 83 (2009) 614–624. </w:t>
      </w:r>
      <w:hyperlink r:id="rId236" w:tgtFrame="_new" w:history="1">
        <w:r w:rsidR="00B4749A" w:rsidRPr="00100966">
          <w:rPr>
            <w:rStyle w:val="Hyperlink"/>
            <w:rFonts w:ascii="Palatino Linotype" w:hAnsi="Palatino Linotype"/>
            <w:sz w:val="22"/>
            <w:szCs w:val="22"/>
          </w:rPr>
          <w:t>https://doi.org/10.1016/j.solener.2008.10.008</w:t>
        </w:r>
      </w:hyperlink>
    </w:p>
    <w:p w14:paraId="2FCF312E"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rPr>
        <w:t xml:space="preserve">D. Mazzeo, L.P.M. Colombo, S. Leva. </w:t>
      </w:r>
      <w:r w:rsidRPr="00100966">
        <w:rPr>
          <w:rFonts w:ascii="Palatino Linotype" w:hAnsi="Palatino Linotype"/>
          <w:sz w:val="22"/>
          <w:szCs w:val="22"/>
          <w:lang w:val="en-US"/>
        </w:rPr>
        <w:t xml:space="preserve">"A review of photovoltaic cooling with phase change materials: Technical advances, modeling approaches, efficiency gains, and economic/environmental impact". </w:t>
      </w:r>
      <w:r w:rsidRPr="00100966">
        <w:rPr>
          <w:rStyle w:val="Emphasis"/>
          <w:rFonts w:ascii="Palatino Linotype" w:hAnsi="Palatino Linotype"/>
          <w:sz w:val="22"/>
          <w:szCs w:val="22"/>
        </w:rPr>
        <w:t>Applied Thermal Engineering</w:t>
      </w:r>
      <w:r w:rsidRPr="00100966">
        <w:rPr>
          <w:rFonts w:ascii="Palatino Linotype" w:hAnsi="Palatino Linotype"/>
          <w:sz w:val="22"/>
          <w:szCs w:val="22"/>
        </w:rPr>
        <w:t xml:space="preserve"> 280 (2025) 128222. </w:t>
      </w:r>
      <w:hyperlink r:id="rId237" w:tgtFrame="_new" w:history="1">
        <w:r w:rsidRPr="00100966">
          <w:rPr>
            <w:rStyle w:val="Hyperlink"/>
            <w:rFonts w:ascii="Palatino Linotype" w:hAnsi="Palatino Linotype"/>
            <w:sz w:val="22"/>
            <w:szCs w:val="22"/>
          </w:rPr>
          <w:t>https://doi.org/10.1016/j.applthermaleng.2025.128222</w:t>
        </w:r>
      </w:hyperlink>
    </w:p>
    <w:p w14:paraId="3A9E8DE0"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rPr>
        <w:t xml:space="preserve">Z. Li, T. Ma, J. Zhao, A. Song, Y. Cheng. </w:t>
      </w:r>
      <w:r w:rsidRPr="00100966">
        <w:rPr>
          <w:rFonts w:ascii="Palatino Linotype" w:hAnsi="Palatino Linotype"/>
          <w:sz w:val="22"/>
          <w:szCs w:val="22"/>
          <w:lang w:val="en-US"/>
        </w:rPr>
        <w:t xml:space="preserve">"Experimental study and performance analysis on solar photovoltaic panel integrated with phase change material". </w:t>
      </w:r>
      <w:r w:rsidRPr="00100966">
        <w:rPr>
          <w:rStyle w:val="Emphasis"/>
          <w:rFonts w:ascii="Palatino Linotype" w:hAnsi="Palatino Linotype"/>
          <w:sz w:val="22"/>
          <w:szCs w:val="22"/>
        </w:rPr>
        <w:t>Energy</w:t>
      </w:r>
      <w:r w:rsidRPr="00100966">
        <w:rPr>
          <w:rFonts w:ascii="Palatino Linotype" w:hAnsi="Palatino Linotype"/>
          <w:sz w:val="22"/>
          <w:szCs w:val="22"/>
        </w:rPr>
        <w:t xml:space="preserve"> 178 (2019) 471–486. </w:t>
      </w:r>
      <w:hyperlink r:id="rId238" w:tgtFrame="_new" w:history="1">
        <w:r w:rsidRPr="00100966">
          <w:rPr>
            <w:rStyle w:val="Hyperlink"/>
            <w:rFonts w:ascii="Palatino Linotype" w:hAnsi="Palatino Linotype"/>
            <w:sz w:val="22"/>
            <w:szCs w:val="22"/>
          </w:rPr>
          <w:t>https://doi.org/10.1016/j.energy.2019.04.166</w:t>
        </w:r>
      </w:hyperlink>
    </w:p>
    <w:p w14:paraId="6FB58DE2"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rPr>
        <w:t xml:space="preserve">H.M.T. Al-Najjar, J.M. Mahdi. </w:t>
      </w:r>
      <w:r w:rsidRPr="00100966">
        <w:rPr>
          <w:rFonts w:ascii="Palatino Linotype" w:hAnsi="Palatino Linotype"/>
          <w:sz w:val="22"/>
          <w:szCs w:val="22"/>
          <w:lang w:val="en-US"/>
        </w:rPr>
        <w:t xml:space="preserve">"Novel mathematical modeling, performance analysis, and design charts for the typical hybrid photovoltaic/phase-change material (PV/PCM) system". </w:t>
      </w:r>
      <w:r w:rsidRPr="00100966">
        <w:rPr>
          <w:rStyle w:val="Emphasis"/>
          <w:rFonts w:ascii="Palatino Linotype" w:hAnsi="Palatino Linotype"/>
          <w:sz w:val="22"/>
          <w:szCs w:val="22"/>
        </w:rPr>
        <w:t>Applied Energy</w:t>
      </w:r>
      <w:r w:rsidRPr="00100966">
        <w:rPr>
          <w:rFonts w:ascii="Palatino Linotype" w:hAnsi="Palatino Linotype"/>
          <w:sz w:val="22"/>
          <w:szCs w:val="22"/>
        </w:rPr>
        <w:t xml:space="preserve"> 315 (2022) 119027. </w:t>
      </w:r>
      <w:hyperlink r:id="rId239" w:tgtFrame="_new" w:history="1">
        <w:r w:rsidRPr="00100966">
          <w:rPr>
            <w:rStyle w:val="Hyperlink"/>
            <w:rFonts w:ascii="Palatino Linotype" w:hAnsi="Palatino Linotype"/>
            <w:sz w:val="22"/>
            <w:szCs w:val="22"/>
          </w:rPr>
          <w:t>https://doi.org/10.1016/j.apenergy.2022.119027</w:t>
        </w:r>
      </w:hyperlink>
    </w:p>
    <w:p w14:paraId="23110A32" w14:textId="77777777" w:rsidR="00B4749A" w:rsidRPr="00100966"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nb-NO"/>
        </w:rPr>
        <w:t xml:space="preserve">V.R. Voller, C.A. Prakash. </w:t>
      </w:r>
      <w:r w:rsidRPr="00100966">
        <w:rPr>
          <w:rFonts w:ascii="Palatino Linotype" w:hAnsi="Palatino Linotype"/>
          <w:sz w:val="22"/>
          <w:szCs w:val="22"/>
          <w:lang w:val="en-US"/>
        </w:rPr>
        <w:t xml:space="preserve">"A fixed grid numerical modelling methodology for convection–diffusion mushy region phase-change problems". </w:t>
      </w:r>
      <w:r w:rsidRPr="00100966">
        <w:rPr>
          <w:rStyle w:val="Emphasis"/>
          <w:rFonts w:ascii="Palatino Linotype" w:hAnsi="Palatino Linotype"/>
          <w:sz w:val="22"/>
          <w:szCs w:val="22"/>
          <w:lang w:val="en-US"/>
        </w:rPr>
        <w:t>International Journal of Heat and Mass Transfer</w:t>
      </w:r>
      <w:r w:rsidRPr="00100966">
        <w:rPr>
          <w:rFonts w:ascii="Palatino Linotype" w:hAnsi="Palatino Linotype"/>
          <w:sz w:val="22"/>
          <w:szCs w:val="22"/>
          <w:lang w:val="en-US"/>
        </w:rPr>
        <w:t xml:space="preserve"> 30 (8) (1987) 1709–1719. </w:t>
      </w:r>
      <w:hyperlink r:id="rId240" w:tgtFrame="_new" w:history="1">
        <w:r w:rsidRPr="00100966">
          <w:rPr>
            <w:rStyle w:val="Hyperlink"/>
            <w:rFonts w:ascii="Palatino Linotype" w:hAnsi="Palatino Linotype"/>
            <w:sz w:val="22"/>
            <w:szCs w:val="22"/>
            <w:lang w:val="en-US"/>
          </w:rPr>
          <w:t>https://doi.org/10.1016/0017-9310(87)90317-6</w:t>
        </w:r>
      </w:hyperlink>
    </w:p>
    <w:p w14:paraId="5FC0D3A3" w14:textId="77777777" w:rsidR="00B4749A" w:rsidRPr="00100966" w:rsidRDefault="00B4749A" w:rsidP="00B4749A">
      <w:pPr>
        <w:pStyle w:val="NormalWeb"/>
        <w:numPr>
          <w:ilvl w:val="0"/>
          <w:numId w:val="15"/>
        </w:numPr>
        <w:jc w:val="both"/>
        <w:rPr>
          <w:rFonts w:ascii="Palatino Linotype" w:hAnsi="Palatino Linotype"/>
          <w:sz w:val="22"/>
          <w:szCs w:val="22"/>
          <w:lang w:val="en-US"/>
        </w:rPr>
      </w:pPr>
      <w:r w:rsidRPr="00F43E9A">
        <w:rPr>
          <w:rFonts w:ascii="Palatino Linotype" w:hAnsi="Palatino Linotype"/>
          <w:sz w:val="22"/>
          <w:szCs w:val="22"/>
          <w:lang w:val="en-US"/>
        </w:rPr>
        <w:t xml:space="preserve">W.D. Bennon, F.P. Incropera. </w:t>
      </w:r>
      <w:r w:rsidRPr="00100966">
        <w:rPr>
          <w:rFonts w:ascii="Palatino Linotype" w:hAnsi="Palatino Linotype"/>
          <w:sz w:val="22"/>
          <w:szCs w:val="22"/>
          <w:lang w:val="en-US"/>
        </w:rPr>
        <w:t xml:space="preserve">"A continuum model for momentum, heat and species transport in binary solid–liquid phase change systems—I. Model formulation". </w:t>
      </w:r>
      <w:r w:rsidRPr="00100966">
        <w:rPr>
          <w:rStyle w:val="Emphasis"/>
          <w:rFonts w:ascii="Palatino Linotype" w:hAnsi="Palatino Linotype"/>
          <w:sz w:val="22"/>
          <w:szCs w:val="22"/>
          <w:lang w:val="en-US"/>
        </w:rPr>
        <w:t>International Journal of Heat and Mass Transfer</w:t>
      </w:r>
      <w:r w:rsidRPr="00100966">
        <w:rPr>
          <w:rFonts w:ascii="Palatino Linotype" w:hAnsi="Palatino Linotype"/>
          <w:sz w:val="22"/>
          <w:szCs w:val="22"/>
          <w:lang w:val="en-US"/>
        </w:rPr>
        <w:t xml:space="preserve"> 30 (10) (1987) 2161–2170. </w:t>
      </w:r>
      <w:hyperlink r:id="rId241" w:tgtFrame="_new" w:history="1">
        <w:r w:rsidRPr="00100966">
          <w:rPr>
            <w:rStyle w:val="Hyperlink"/>
            <w:rFonts w:ascii="Palatino Linotype" w:hAnsi="Palatino Linotype"/>
            <w:sz w:val="22"/>
            <w:szCs w:val="22"/>
            <w:lang w:val="en-US"/>
          </w:rPr>
          <w:t>https://doi.org/10.1016/0017-9310(87)90094-9</w:t>
        </w:r>
      </w:hyperlink>
    </w:p>
    <w:p w14:paraId="03840C41"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M. Cui, C. Zhang, B. Zhang, B. Xu, H. Peng, X.W. Gao. "Numerical solution of phase change heat transfer problems by effective heat capacity model and element differential method". </w:t>
      </w:r>
      <w:r w:rsidRPr="00100966">
        <w:rPr>
          <w:rStyle w:val="Emphasis"/>
          <w:rFonts w:ascii="Palatino Linotype" w:hAnsi="Palatino Linotype"/>
          <w:sz w:val="22"/>
          <w:szCs w:val="22"/>
        </w:rPr>
        <w:t>Journal of Computational Science</w:t>
      </w:r>
      <w:r w:rsidRPr="00100966">
        <w:rPr>
          <w:rFonts w:ascii="Palatino Linotype" w:hAnsi="Palatino Linotype"/>
          <w:sz w:val="22"/>
          <w:szCs w:val="22"/>
        </w:rPr>
        <w:t xml:space="preserve"> 60 (2022) 101593. </w:t>
      </w:r>
      <w:hyperlink r:id="rId242" w:tgtFrame="_new" w:history="1">
        <w:r w:rsidRPr="00100966">
          <w:rPr>
            <w:rStyle w:val="Hyperlink"/>
            <w:rFonts w:ascii="Palatino Linotype" w:hAnsi="Palatino Linotype"/>
            <w:sz w:val="22"/>
            <w:szCs w:val="22"/>
          </w:rPr>
          <w:t>https://doi.org/10.1016/j.jocs.2022.101593</w:t>
        </w:r>
      </w:hyperlink>
    </w:p>
    <w:p w14:paraId="7BD6CCA3" w14:textId="77777777" w:rsidR="00B4749A" w:rsidRPr="00100966"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rPr>
        <w:t xml:space="preserve">V. Lo Brano, A. Orioli, G. Ciulla, A. Di Gangi. </w:t>
      </w:r>
      <w:r w:rsidRPr="00100966">
        <w:rPr>
          <w:rFonts w:ascii="Palatino Linotype" w:hAnsi="Palatino Linotype"/>
          <w:sz w:val="22"/>
          <w:szCs w:val="22"/>
          <w:lang w:val="en-US"/>
        </w:rPr>
        <w:t xml:space="preserve">"An improved five-parameter model for photovoltaic modules". </w:t>
      </w:r>
      <w:r w:rsidRPr="00100966">
        <w:rPr>
          <w:rStyle w:val="Emphasis"/>
          <w:rFonts w:ascii="Palatino Linotype" w:hAnsi="Palatino Linotype"/>
          <w:sz w:val="22"/>
          <w:szCs w:val="22"/>
          <w:lang w:val="en-US"/>
        </w:rPr>
        <w:t>Solar Energy Materials and Solar Cells</w:t>
      </w:r>
      <w:r w:rsidRPr="00100966">
        <w:rPr>
          <w:rFonts w:ascii="Palatino Linotype" w:hAnsi="Palatino Linotype"/>
          <w:sz w:val="22"/>
          <w:szCs w:val="22"/>
          <w:lang w:val="en-US"/>
        </w:rPr>
        <w:t xml:space="preserve"> 94 (8) (2010) 1358–1370. </w:t>
      </w:r>
      <w:hyperlink r:id="rId243" w:tgtFrame="_new" w:history="1">
        <w:r w:rsidRPr="00100966">
          <w:rPr>
            <w:rStyle w:val="Hyperlink"/>
            <w:rFonts w:ascii="Palatino Linotype" w:hAnsi="Palatino Linotype"/>
            <w:sz w:val="22"/>
            <w:szCs w:val="22"/>
            <w:lang w:val="en-US"/>
          </w:rPr>
          <w:t>https://doi.org/10.1016/j.solmat.2010.04.003</w:t>
        </w:r>
      </w:hyperlink>
    </w:p>
    <w:p w14:paraId="7A757DCD" w14:textId="5861600F" w:rsidR="00B4749A"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H. Ali. "Recent advancements in PV cooling and efficiency enhancement integrating phase change materials-based systems – A comprehensive review". </w:t>
      </w:r>
      <w:r w:rsidRPr="00100966">
        <w:rPr>
          <w:rStyle w:val="Emphasis"/>
          <w:rFonts w:ascii="Palatino Linotype" w:hAnsi="Palatino Linotype"/>
          <w:sz w:val="22"/>
          <w:szCs w:val="22"/>
        </w:rPr>
        <w:t>Solar Energy</w:t>
      </w:r>
      <w:r w:rsidRPr="00100966">
        <w:rPr>
          <w:rFonts w:ascii="Palatino Linotype" w:hAnsi="Palatino Linotype"/>
          <w:sz w:val="22"/>
          <w:szCs w:val="22"/>
        </w:rPr>
        <w:t xml:space="preserve"> 197 (2020) 163–198. </w:t>
      </w:r>
      <w:hyperlink r:id="rId244" w:history="1">
        <w:r w:rsidR="00EB6E56" w:rsidRPr="00FE44E7">
          <w:rPr>
            <w:rStyle w:val="Hyperlink"/>
            <w:rFonts w:ascii="Palatino Linotype" w:hAnsi="Palatino Linotype"/>
            <w:sz w:val="22"/>
            <w:szCs w:val="22"/>
          </w:rPr>
          <w:t>https://doi.org/10.1016/j.solener.2019.11.075</w:t>
        </w:r>
      </w:hyperlink>
    </w:p>
    <w:p w14:paraId="08681398" w14:textId="77777777" w:rsidR="00B4749A" w:rsidRPr="00EB6E56" w:rsidRDefault="00B4749A" w:rsidP="00EB6E56">
      <w:pPr>
        <w:pStyle w:val="NormalWeb"/>
        <w:numPr>
          <w:ilvl w:val="0"/>
          <w:numId w:val="15"/>
        </w:numPr>
        <w:jc w:val="both"/>
        <w:rPr>
          <w:rFonts w:ascii="Palatino Linotype" w:hAnsi="Palatino Linotype"/>
          <w:sz w:val="22"/>
          <w:szCs w:val="22"/>
        </w:rPr>
      </w:pPr>
      <w:r w:rsidRPr="00EB6E56">
        <w:rPr>
          <w:rFonts w:ascii="Palatino Linotype" w:hAnsi="Palatino Linotype"/>
          <w:sz w:val="22"/>
          <w:szCs w:val="22"/>
        </w:rPr>
        <w:t xml:space="preserve">M.H. Mahamudul, M.M. Rahman, H.S.C. Metselaar, S. Mekhilef, S.A. Shezan, R. Sohel, S.A. Sohel. </w:t>
      </w:r>
      <w:r w:rsidRPr="00EB6E56">
        <w:rPr>
          <w:rFonts w:ascii="Palatino Linotype" w:hAnsi="Palatino Linotype"/>
          <w:sz w:val="22"/>
          <w:szCs w:val="22"/>
          <w:lang w:val="en-US"/>
        </w:rPr>
        <w:t xml:space="preserve">"Temperature regulation of photovoltaic module using phase change material: A numerical analysis and experimental investigation". </w:t>
      </w:r>
      <w:r w:rsidRPr="00EB6E56">
        <w:rPr>
          <w:rStyle w:val="Emphasis"/>
          <w:rFonts w:ascii="Palatino Linotype" w:hAnsi="Palatino Linotype"/>
          <w:sz w:val="22"/>
          <w:szCs w:val="22"/>
        </w:rPr>
        <w:t>International Journal of Photoenergy</w:t>
      </w:r>
      <w:r w:rsidRPr="00EB6E56">
        <w:rPr>
          <w:rFonts w:ascii="Palatino Linotype" w:hAnsi="Palatino Linotype"/>
          <w:sz w:val="22"/>
          <w:szCs w:val="22"/>
        </w:rPr>
        <w:t xml:space="preserve"> (2016) 5917028. </w:t>
      </w:r>
      <w:hyperlink r:id="rId245" w:tgtFrame="_new" w:history="1">
        <w:r w:rsidRPr="00EB6E56">
          <w:rPr>
            <w:rStyle w:val="Hyperlink"/>
            <w:rFonts w:ascii="Palatino Linotype" w:hAnsi="Palatino Linotype"/>
            <w:sz w:val="22"/>
            <w:szCs w:val="22"/>
          </w:rPr>
          <w:t>https://doi.org/10.1155/2016/5917028</w:t>
        </w:r>
      </w:hyperlink>
    </w:p>
    <w:p w14:paraId="1BC453E9" w14:textId="238D7352"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M.J. Huang, P.C. Eames, B. Norton. "Phase change materials for limiting temperature rise in building integrated photovoltaics". </w:t>
      </w:r>
      <w:r w:rsidRPr="00100966">
        <w:rPr>
          <w:rStyle w:val="Emphasis"/>
          <w:rFonts w:ascii="Palatino Linotype" w:hAnsi="Palatino Linotype"/>
          <w:sz w:val="22"/>
          <w:szCs w:val="22"/>
        </w:rPr>
        <w:t>Solar Energy</w:t>
      </w:r>
      <w:r w:rsidRPr="00100966">
        <w:rPr>
          <w:rFonts w:ascii="Palatino Linotype" w:hAnsi="Palatino Linotype"/>
          <w:sz w:val="22"/>
          <w:szCs w:val="22"/>
        </w:rPr>
        <w:t xml:space="preserve"> 80</w:t>
      </w:r>
      <w:r w:rsidR="00EB6E56">
        <w:rPr>
          <w:rFonts w:ascii="Palatino Linotype" w:hAnsi="Palatino Linotype"/>
          <w:sz w:val="22"/>
          <w:szCs w:val="22"/>
        </w:rPr>
        <w:t xml:space="preserve"> (9)</w:t>
      </w:r>
      <w:r w:rsidRPr="00100966">
        <w:rPr>
          <w:rFonts w:ascii="Palatino Linotype" w:hAnsi="Palatino Linotype"/>
          <w:sz w:val="22"/>
          <w:szCs w:val="22"/>
        </w:rPr>
        <w:t xml:space="preserve"> (2006) 1121–1130. </w:t>
      </w:r>
      <w:hyperlink r:id="rId246" w:tgtFrame="_new" w:history="1">
        <w:r w:rsidRPr="00100966">
          <w:rPr>
            <w:rStyle w:val="Hyperlink"/>
            <w:rFonts w:ascii="Palatino Linotype" w:hAnsi="Palatino Linotype"/>
            <w:sz w:val="22"/>
            <w:szCs w:val="22"/>
          </w:rPr>
          <w:t>https://doi.org/10.1016/j.solener.2005.10.006</w:t>
        </w:r>
      </w:hyperlink>
    </w:p>
    <w:p w14:paraId="55D3D321" w14:textId="1C5CDCE7" w:rsidR="00B4749A" w:rsidRPr="00100966"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en-US"/>
        </w:rPr>
        <w:lastRenderedPageBreak/>
        <w:t xml:space="preserve">M.J. Huang, P.C. Eames, B. Norton, N.J. Hewitt. "Natural convection in an internally finned phase change material heat sink for the thermal management of photovoltaics". </w:t>
      </w:r>
      <w:r w:rsidRPr="00100966">
        <w:rPr>
          <w:rStyle w:val="Emphasis"/>
          <w:rFonts w:ascii="Palatino Linotype" w:hAnsi="Palatino Linotype"/>
          <w:sz w:val="22"/>
          <w:szCs w:val="22"/>
          <w:lang w:val="en-US"/>
        </w:rPr>
        <w:t>Solar Energy Materials and Solar Cells</w:t>
      </w:r>
      <w:r w:rsidRPr="00100966">
        <w:rPr>
          <w:rFonts w:ascii="Palatino Linotype" w:hAnsi="Palatino Linotype"/>
          <w:sz w:val="22"/>
          <w:szCs w:val="22"/>
          <w:lang w:val="en-US"/>
        </w:rPr>
        <w:t xml:space="preserve"> 95 (2011) 1598–1603. </w:t>
      </w:r>
      <w:hyperlink r:id="rId247" w:tgtFrame="_new" w:history="1">
        <w:r w:rsidRPr="00100966">
          <w:rPr>
            <w:rStyle w:val="Hyperlink"/>
            <w:rFonts w:ascii="Palatino Linotype" w:hAnsi="Palatino Linotype"/>
            <w:sz w:val="22"/>
            <w:szCs w:val="22"/>
            <w:lang w:val="en-US"/>
          </w:rPr>
          <w:t>https://doi.org/10.1016/j.solmat.2011.01.008</w:t>
        </w:r>
      </w:hyperlink>
      <w:r w:rsidR="00EB6E56" w:rsidRPr="00CF79F3">
        <w:rPr>
          <w:lang w:val="en-US"/>
        </w:rPr>
        <w:t xml:space="preserve"> DA QUI</w:t>
      </w:r>
    </w:p>
    <w:p w14:paraId="3A578FC0" w14:textId="77777777" w:rsidR="00B4749A" w:rsidRPr="00100966"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rPr>
        <w:t xml:space="preserve">Y.S. Indartono, A. Suwono, F.Y. Pratama. </w:t>
      </w:r>
      <w:r w:rsidRPr="00100966">
        <w:rPr>
          <w:rFonts w:ascii="Palatino Linotype" w:hAnsi="Palatino Linotype"/>
          <w:sz w:val="22"/>
          <w:szCs w:val="22"/>
          <w:lang w:val="en-US"/>
        </w:rPr>
        <w:t xml:space="preserve">"Improving photovoltaics performance by using yellow petroleum jelly as phase change material". </w:t>
      </w:r>
      <w:r w:rsidRPr="00100966">
        <w:rPr>
          <w:rStyle w:val="Emphasis"/>
          <w:rFonts w:ascii="Palatino Linotype" w:hAnsi="Palatino Linotype"/>
          <w:sz w:val="22"/>
          <w:szCs w:val="22"/>
          <w:lang w:val="en-US"/>
        </w:rPr>
        <w:t>International Journal of Low-Carbon Technologies</w:t>
      </w:r>
      <w:r w:rsidRPr="00100966">
        <w:rPr>
          <w:rFonts w:ascii="Palatino Linotype" w:hAnsi="Palatino Linotype"/>
          <w:sz w:val="22"/>
          <w:szCs w:val="22"/>
          <w:lang w:val="en-US"/>
        </w:rPr>
        <w:t xml:space="preserve"> 11 (2016) 333–337. </w:t>
      </w:r>
      <w:hyperlink r:id="rId248" w:tgtFrame="_new" w:history="1">
        <w:r w:rsidRPr="00100966">
          <w:rPr>
            <w:rStyle w:val="Hyperlink"/>
            <w:rFonts w:ascii="Palatino Linotype" w:hAnsi="Palatino Linotype"/>
            <w:sz w:val="22"/>
            <w:szCs w:val="22"/>
            <w:lang w:val="en-US"/>
          </w:rPr>
          <w:t>https://doi.org/10.1093/ijlct/ctu033</w:t>
        </w:r>
      </w:hyperlink>
    </w:p>
    <w:p w14:paraId="4C328EC4" w14:textId="2425AAF4"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nb-NO"/>
        </w:rPr>
        <w:t xml:space="preserve">P. Atkin, M.M. Farid. </w:t>
      </w:r>
      <w:r w:rsidRPr="00100966">
        <w:rPr>
          <w:rFonts w:ascii="Palatino Linotype" w:hAnsi="Palatino Linotype"/>
          <w:sz w:val="22"/>
          <w:szCs w:val="22"/>
          <w:lang w:val="en-US"/>
        </w:rPr>
        <w:t xml:space="preserve">"Improving the efficiency of photovoltaic cells using PCM infused graphite and aluminium fins". </w:t>
      </w:r>
      <w:r w:rsidRPr="00100966">
        <w:rPr>
          <w:rStyle w:val="Emphasis"/>
          <w:rFonts w:ascii="Palatino Linotype" w:hAnsi="Palatino Linotype"/>
          <w:sz w:val="22"/>
          <w:szCs w:val="22"/>
        </w:rPr>
        <w:t>Solar Energy</w:t>
      </w:r>
      <w:r w:rsidRPr="00100966">
        <w:rPr>
          <w:rFonts w:ascii="Palatino Linotype" w:hAnsi="Palatino Linotype"/>
          <w:sz w:val="22"/>
          <w:szCs w:val="22"/>
        </w:rPr>
        <w:t xml:space="preserve"> 114 (2015) 217–228. </w:t>
      </w:r>
      <w:hyperlink r:id="rId249" w:tgtFrame="_blank" w:tooltip="Persistent link using digital object identifier" w:history="1">
        <w:r w:rsidR="004F7012" w:rsidRPr="004F7012">
          <w:rPr>
            <w:rStyle w:val="Hyperlink"/>
            <w:rFonts w:ascii="Palatino Linotype" w:hAnsi="Palatino Linotype"/>
            <w:sz w:val="22"/>
            <w:szCs w:val="22"/>
          </w:rPr>
          <w:t>https://doi.org/10.1016/j.solener.2015.01.037</w:t>
        </w:r>
      </w:hyperlink>
    </w:p>
    <w:p w14:paraId="4A9BE31F"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Hachem, B. Abdulhay, M. Ramadan, H. El Hage, M.G. El Rab, M. Khaled. "Improving the performance of photovoltaic cells using pure and combined phase change materials – Experiments and transient energy balance". </w:t>
      </w:r>
      <w:r w:rsidRPr="00100966">
        <w:rPr>
          <w:rStyle w:val="Emphasis"/>
          <w:rFonts w:ascii="Palatino Linotype" w:hAnsi="Palatino Linotype"/>
          <w:sz w:val="22"/>
          <w:szCs w:val="22"/>
        </w:rPr>
        <w:t>Renewable Energy</w:t>
      </w:r>
      <w:r w:rsidRPr="00100966">
        <w:rPr>
          <w:rFonts w:ascii="Palatino Linotype" w:hAnsi="Palatino Linotype"/>
          <w:sz w:val="22"/>
          <w:szCs w:val="22"/>
        </w:rPr>
        <w:t xml:space="preserve"> 107 (2017) 567–575. </w:t>
      </w:r>
      <w:hyperlink r:id="rId250" w:tgtFrame="_new" w:history="1">
        <w:r w:rsidRPr="00100966">
          <w:rPr>
            <w:rStyle w:val="Hyperlink"/>
            <w:rFonts w:ascii="Palatino Linotype" w:hAnsi="Palatino Linotype"/>
            <w:sz w:val="22"/>
            <w:szCs w:val="22"/>
          </w:rPr>
          <w:t>https://doi.org/10.1016/j.renene.2017.02.032</w:t>
        </w:r>
      </w:hyperlink>
    </w:p>
    <w:p w14:paraId="59650802" w14:textId="77777777" w:rsidR="00B4749A" w:rsidRPr="00100966" w:rsidRDefault="00B4749A" w:rsidP="00B4749A">
      <w:pPr>
        <w:pStyle w:val="NormalWeb"/>
        <w:numPr>
          <w:ilvl w:val="0"/>
          <w:numId w:val="15"/>
        </w:numPr>
        <w:jc w:val="both"/>
        <w:rPr>
          <w:rFonts w:ascii="Palatino Linotype" w:hAnsi="Palatino Linotype"/>
          <w:sz w:val="22"/>
          <w:szCs w:val="22"/>
        </w:rPr>
      </w:pPr>
      <w:r w:rsidRPr="00F43E9A">
        <w:rPr>
          <w:rFonts w:ascii="Palatino Linotype" w:hAnsi="Palatino Linotype"/>
          <w:sz w:val="22"/>
          <w:szCs w:val="22"/>
        </w:rPr>
        <w:t xml:space="preserve">S. Sharma, L. Micheli, W. Chang, A.A. Tahir, K.S. Reddy, T.K. Mallick. </w:t>
      </w:r>
      <w:r w:rsidRPr="00100966">
        <w:rPr>
          <w:rFonts w:ascii="Palatino Linotype" w:hAnsi="Palatino Linotype"/>
          <w:sz w:val="22"/>
          <w:szCs w:val="22"/>
          <w:lang w:val="en-US"/>
        </w:rPr>
        <w:t xml:space="preserve">"Nano-enhanced phase change material for thermal management of BIPV". </w:t>
      </w:r>
      <w:r w:rsidRPr="00100966">
        <w:rPr>
          <w:rStyle w:val="Emphasis"/>
          <w:rFonts w:ascii="Palatino Linotype" w:hAnsi="Palatino Linotype"/>
          <w:sz w:val="22"/>
          <w:szCs w:val="22"/>
        </w:rPr>
        <w:t>Applied Energy</w:t>
      </w:r>
      <w:r w:rsidRPr="00100966">
        <w:rPr>
          <w:rFonts w:ascii="Palatino Linotype" w:hAnsi="Palatino Linotype"/>
          <w:sz w:val="22"/>
          <w:szCs w:val="22"/>
        </w:rPr>
        <w:t xml:space="preserve"> 208 (2017) 719–733. </w:t>
      </w:r>
      <w:hyperlink r:id="rId251" w:tgtFrame="_new" w:history="1">
        <w:r w:rsidRPr="00100966">
          <w:rPr>
            <w:rStyle w:val="Hyperlink"/>
            <w:rFonts w:ascii="Palatino Linotype" w:hAnsi="Palatino Linotype"/>
            <w:sz w:val="22"/>
            <w:szCs w:val="22"/>
          </w:rPr>
          <w:t>https://doi.org/10.1016/j.apenergy.2017.09.076</w:t>
        </w:r>
      </w:hyperlink>
    </w:p>
    <w:p w14:paraId="13F11636"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nb-NO"/>
        </w:rPr>
        <w:t xml:space="preserve">S. Foteinis, N. Savvakis, T. Tsoutsos. </w:t>
      </w:r>
      <w:r w:rsidRPr="00100966">
        <w:rPr>
          <w:rFonts w:ascii="Palatino Linotype" w:hAnsi="Palatino Linotype"/>
          <w:sz w:val="22"/>
          <w:szCs w:val="22"/>
          <w:lang w:val="en-US"/>
        </w:rPr>
        <w:t xml:space="preserve">"Energy and environmental performance of photovoltaic cooling using phase change materials under the Mediterranean climate". </w:t>
      </w:r>
      <w:r w:rsidRPr="00100966">
        <w:rPr>
          <w:rStyle w:val="Emphasis"/>
          <w:rFonts w:ascii="Palatino Linotype" w:hAnsi="Palatino Linotype"/>
          <w:sz w:val="22"/>
          <w:szCs w:val="22"/>
        </w:rPr>
        <w:t>Energy</w:t>
      </w:r>
      <w:r w:rsidRPr="00100966">
        <w:rPr>
          <w:rFonts w:ascii="Palatino Linotype" w:hAnsi="Palatino Linotype"/>
          <w:sz w:val="22"/>
          <w:szCs w:val="22"/>
        </w:rPr>
        <w:t xml:space="preserve"> 265 (2023) 126355. </w:t>
      </w:r>
      <w:hyperlink r:id="rId252" w:tgtFrame="_new" w:history="1">
        <w:r w:rsidRPr="00100966">
          <w:rPr>
            <w:rStyle w:val="Hyperlink"/>
            <w:rFonts w:ascii="Palatino Linotype" w:hAnsi="Palatino Linotype"/>
            <w:sz w:val="22"/>
            <w:szCs w:val="22"/>
          </w:rPr>
          <w:t>https://doi.org/10.1016/j.energy.2022.126355</w:t>
        </w:r>
      </w:hyperlink>
    </w:p>
    <w:p w14:paraId="22EDD529"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A. Hasan, S.J. McCormack, M.J. Huang, J. Sarwar, B. Norton. "Increased photovoltaic performance through temperature regulation by phase change materials: Materials comparison in different climates". </w:t>
      </w:r>
      <w:r w:rsidRPr="00100966">
        <w:rPr>
          <w:rStyle w:val="Emphasis"/>
          <w:rFonts w:ascii="Palatino Linotype" w:hAnsi="Palatino Linotype"/>
          <w:sz w:val="22"/>
          <w:szCs w:val="22"/>
        </w:rPr>
        <w:t>Solar Energy</w:t>
      </w:r>
      <w:r w:rsidRPr="00100966">
        <w:rPr>
          <w:rFonts w:ascii="Palatino Linotype" w:hAnsi="Palatino Linotype"/>
          <w:sz w:val="22"/>
          <w:szCs w:val="22"/>
        </w:rPr>
        <w:t xml:space="preserve"> 115 (2015) 264–276. </w:t>
      </w:r>
      <w:hyperlink r:id="rId253" w:tgtFrame="_new" w:history="1">
        <w:r w:rsidRPr="00100966">
          <w:rPr>
            <w:rStyle w:val="Hyperlink"/>
            <w:rFonts w:ascii="Palatino Linotype" w:hAnsi="Palatino Linotype"/>
            <w:sz w:val="22"/>
            <w:szCs w:val="22"/>
          </w:rPr>
          <w:t>https://doi.org/10.1016/j.solener.2015.02.003</w:t>
        </w:r>
      </w:hyperlink>
    </w:p>
    <w:p w14:paraId="19173A92"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rPr>
        <w:t xml:space="preserve">E. Klugmann-Radziemska, E. Wcisło-Kucharek. </w:t>
      </w:r>
      <w:r w:rsidRPr="00100966">
        <w:rPr>
          <w:rFonts w:ascii="Palatino Linotype" w:hAnsi="Palatino Linotype"/>
          <w:sz w:val="22"/>
          <w:szCs w:val="22"/>
          <w:lang w:val="en-US"/>
        </w:rPr>
        <w:t xml:space="preserve">"Photovoltaic module temperature stabilization with the use of phase change materials". </w:t>
      </w:r>
      <w:r w:rsidRPr="00100966">
        <w:rPr>
          <w:rStyle w:val="Emphasis"/>
          <w:rFonts w:ascii="Palatino Linotype" w:hAnsi="Palatino Linotype"/>
          <w:sz w:val="22"/>
          <w:szCs w:val="22"/>
        </w:rPr>
        <w:t>Solar Energy</w:t>
      </w:r>
      <w:r w:rsidRPr="00100966">
        <w:rPr>
          <w:rFonts w:ascii="Palatino Linotype" w:hAnsi="Palatino Linotype"/>
          <w:sz w:val="22"/>
          <w:szCs w:val="22"/>
        </w:rPr>
        <w:t xml:space="preserve"> 150 (2017) 538–545. </w:t>
      </w:r>
      <w:hyperlink r:id="rId254" w:tgtFrame="_new" w:history="1">
        <w:r w:rsidRPr="00100966">
          <w:rPr>
            <w:rStyle w:val="Hyperlink"/>
            <w:rFonts w:ascii="Palatino Linotype" w:hAnsi="Palatino Linotype"/>
            <w:sz w:val="22"/>
            <w:szCs w:val="22"/>
          </w:rPr>
          <w:t>https://doi.org/10.1016/j.solener.2017.05.016</w:t>
        </w:r>
      </w:hyperlink>
    </w:p>
    <w:p w14:paraId="2B2EC11E" w14:textId="77777777" w:rsidR="00B4749A" w:rsidRPr="00100966"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rPr>
        <w:t xml:space="preserve">Y. Cui, J. Zhu, F. Zhang, Y. Shao, Y. Xue. </w:t>
      </w:r>
      <w:r w:rsidRPr="00100966">
        <w:rPr>
          <w:rFonts w:ascii="Palatino Linotype" w:hAnsi="Palatino Linotype"/>
          <w:sz w:val="22"/>
          <w:szCs w:val="22"/>
          <w:lang w:val="en-US"/>
        </w:rPr>
        <w:t xml:space="preserve">"Current status and future development of hybrid PV/T system with PCM module: 4E (energy, exergy, economic and environmental) assessments". </w:t>
      </w:r>
      <w:r w:rsidRPr="00100966">
        <w:rPr>
          <w:rStyle w:val="Emphasis"/>
          <w:rFonts w:ascii="Palatino Linotype" w:hAnsi="Palatino Linotype"/>
          <w:sz w:val="22"/>
          <w:szCs w:val="22"/>
          <w:lang w:val="en-US"/>
        </w:rPr>
        <w:t>Renewable and Sustainable Energy Reviews</w:t>
      </w:r>
      <w:r w:rsidRPr="00100966">
        <w:rPr>
          <w:rFonts w:ascii="Palatino Linotype" w:hAnsi="Palatino Linotype"/>
          <w:sz w:val="22"/>
          <w:szCs w:val="22"/>
          <w:lang w:val="en-US"/>
        </w:rPr>
        <w:t xml:space="preserve"> 158 (2022) 112147. </w:t>
      </w:r>
      <w:hyperlink r:id="rId255" w:tgtFrame="_new" w:history="1">
        <w:r w:rsidRPr="00100966">
          <w:rPr>
            <w:rStyle w:val="Hyperlink"/>
            <w:rFonts w:ascii="Palatino Linotype" w:hAnsi="Palatino Linotype"/>
            <w:sz w:val="22"/>
            <w:szCs w:val="22"/>
            <w:lang w:val="en-US"/>
          </w:rPr>
          <w:t>https://doi.org/10.1016/j.rser.2022.112147</w:t>
        </w:r>
      </w:hyperlink>
    </w:p>
    <w:p w14:paraId="3BB359B7"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S. Zhao, T. Ming, Y. Wu, C. Cai, K. Yin, Y. Fang, R. de Richter, Y. Chen, N. Zhou. "Application research and effectiveness analysis of phase change materials in building envelope: A review". </w:t>
      </w:r>
      <w:r w:rsidRPr="00100966">
        <w:rPr>
          <w:rStyle w:val="Emphasis"/>
          <w:rFonts w:ascii="Palatino Linotype" w:hAnsi="Palatino Linotype"/>
          <w:sz w:val="22"/>
          <w:szCs w:val="22"/>
        </w:rPr>
        <w:t>Energy and Buildings</w:t>
      </w:r>
      <w:r w:rsidRPr="00100966">
        <w:rPr>
          <w:rFonts w:ascii="Palatino Linotype" w:hAnsi="Palatino Linotype"/>
          <w:sz w:val="22"/>
          <w:szCs w:val="22"/>
        </w:rPr>
        <w:t xml:space="preserve"> 324 (2024) 114923. </w:t>
      </w:r>
      <w:hyperlink r:id="rId256" w:tgtFrame="_new" w:history="1">
        <w:r w:rsidRPr="00100966">
          <w:rPr>
            <w:rStyle w:val="Hyperlink"/>
            <w:rFonts w:ascii="Palatino Linotype" w:hAnsi="Palatino Linotype"/>
            <w:sz w:val="22"/>
            <w:szCs w:val="22"/>
          </w:rPr>
          <w:t>https://doi.org/10.1016/j.enbuild.2024.114923</w:t>
        </w:r>
      </w:hyperlink>
    </w:p>
    <w:p w14:paraId="6A8595B3" w14:textId="0BE67F98"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nb-NO"/>
        </w:rPr>
        <w:t xml:space="preserve">M. Alam, J. Sanjayan, S. Ramakrishnan. </w:t>
      </w:r>
      <w:r w:rsidRPr="00100966">
        <w:rPr>
          <w:rFonts w:ascii="Palatino Linotype" w:hAnsi="Palatino Linotype"/>
          <w:sz w:val="22"/>
          <w:szCs w:val="22"/>
          <w:lang w:val="en-US"/>
        </w:rPr>
        <w:t>"Energy saving performance assessment and lessons learned from the operation of an active phase change materials system in a multi-</w:t>
      </w:r>
      <w:r w:rsidRPr="00100966">
        <w:rPr>
          <w:rFonts w:ascii="Palatino Linotype" w:hAnsi="Palatino Linotype"/>
          <w:sz w:val="22"/>
          <w:szCs w:val="22"/>
          <w:lang w:val="en-US"/>
        </w:rPr>
        <w:lastRenderedPageBreak/>
        <w:t xml:space="preserve">storey building in Melbourne". </w:t>
      </w:r>
      <w:r w:rsidRPr="00100966">
        <w:rPr>
          <w:rStyle w:val="Emphasis"/>
          <w:rFonts w:ascii="Palatino Linotype" w:hAnsi="Palatino Linotype"/>
          <w:sz w:val="22"/>
          <w:szCs w:val="22"/>
        </w:rPr>
        <w:t>Applied Energy</w:t>
      </w:r>
      <w:r w:rsidRPr="00100966">
        <w:rPr>
          <w:rFonts w:ascii="Palatino Linotype" w:hAnsi="Palatino Linotype"/>
          <w:sz w:val="22"/>
          <w:szCs w:val="22"/>
        </w:rPr>
        <w:t xml:space="preserve"> 23</w:t>
      </w:r>
      <w:r w:rsidR="004F7012">
        <w:rPr>
          <w:rFonts w:ascii="Palatino Linotype" w:hAnsi="Palatino Linotype"/>
          <w:sz w:val="22"/>
          <w:szCs w:val="22"/>
        </w:rPr>
        <w:t>8</w:t>
      </w:r>
      <w:r w:rsidRPr="00100966">
        <w:rPr>
          <w:rFonts w:ascii="Palatino Linotype" w:hAnsi="Palatino Linotype"/>
          <w:sz w:val="22"/>
          <w:szCs w:val="22"/>
        </w:rPr>
        <w:t xml:space="preserve"> (2019) 15</w:t>
      </w:r>
      <w:r w:rsidR="004F7012">
        <w:rPr>
          <w:rFonts w:ascii="Palatino Linotype" w:hAnsi="Palatino Linotype"/>
          <w:sz w:val="22"/>
          <w:szCs w:val="22"/>
        </w:rPr>
        <w:t>8</w:t>
      </w:r>
      <w:r w:rsidRPr="00100966">
        <w:rPr>
          <w:rFonts w:ascii="Palatino Linotype" w:hAnsi="Palatino Linotype"/>
          <w:sz w:val="22"/>
          <w:szCs w:val="22"/>
        </w:rPr>
        <w:t>2–159</w:t>
      </w:r>
      <w:r w:rsidR="004F7012">
        <w:rPr>
          <w:rFonts w:ascii="Palatino Linotype" w:hAnsi="Palatino Linotype"/>
          <w:sz w:val="22"/>
          <w:szCs w:val="22"/>
        </w:rPr>
        <w:t>5</w:t>
      </w:r>
      <w:r w:rsidRPr="00100966">
        <w:rPr>
          <w:rFonts w:ascii="Palatino Linotype" w:hAnsi="Palatino Linotype"/>
          <w:sz w:val="22"/>
          <w:szCs w:val="22"/>
        </w:rPr>
        <w:t xml:space="preserve">. </w:t>
      </w:r>
      <w:hyperlink r:id="rId257" w:tgtFrame="_new" w:history="1">
        <w:r w:rsidRPr="00100966">
          <w:rPr>
            <w:rStyle w:val="Hyperlink"/>
            <w:rFonts w:ascii="Palatino Linotype" w:hAnsi="Palatino Linotype"/>
            <w:sz w:val="22"/>
            <w:szCs w:val="22"/>
          </w:rPr>
          <w:t>https://doi.org/10.1016/j.apenergy.2019.01.116</w:t>
        </w:r>
      </w:hyperlink>
    </w:p>
    <w:p w14:paraId="21CCD42A" w14:textId="29C6A115"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T. Kuczyński, T. Staszczuk. "Experimental study of the thermal behavior of PCM and hemp shiv composite structures during summer in a temperate climate". </w:t>
      </w:r>
      <w:r w:rsidRPr="00100966">
        <w:rPr>
          <w:rStyle w:val="Emphasis"/>
          <w:rFonts w:ascii="Palatino Linotype" w:hAnsi="Palatino Linotype"/>
          <w:sz w:val="22"/>
          <w:szCs w:val="22"/>
        </w:rPr>
        <w:t>Energy and Buildings</w:t>
      </w:r>
      <w:r w:rsidRPr="00100966">
        <w:rPr>
          <w:rFonts w:ascii="Palatino Linotype" w:hAnsi="Palatino Linotype"/>
          <w:sz w:val="22"/>
          <w:szCs w:val="22"/>
        </w:rPr>
        <w:t xml:space="preserve"> 279 (2023) 1</w:t>
      </w:r>
      <w:r w:rsidR="004F7012">
        <w:rPr>
          <w:rFonts w:ascii="Palatino Linotype" w:hAnsi="Palatino Linotype"/>
          <w:sz w:val="22"/>
          <w:szCs w:val="22"/>
        </w:rPr>
        <w:t>28033</w:t>
      </w:r>
      <w:r w:rsidRPr="00100966">
        <w:rPr>
          <w:rFonts w:ascii="Palatino Linotype" w:hAnsi="Palatino Linotype"/>
          <w:sz w:val="22"/>
          <w:szCs w:val="22"/>
        </w:rPr>
        <w:t xml:space="preserve">. </w:t>
      </w:r>
      <w:hyperlink r:id="rId258" w:tgtFrame="_blank" w:tooltip="Persistent link using digital object identifier" w:history="1">
        <w:r w:rsidR="004F7012" w:rsidRPr="004F7012">
          <w:rPr>
            <w:rStyle w:val="Hyperlink"/>
            <w:rFonts w:ascii="Palatino Linotype" w:hAnsi="Palatino Linotype"/>
            <w:sz w:val="22"/>
            <w:szCs w:val="22"/>
          </w:rPr>
          <w:t>https://doi.org/10.1016/j.energy.2023.128033</w:t>
        </w:r>
      </w:hyperlink>
    </w:p>
    <w:p w14:paraId="0884DDC4" w14:textId="6584B32C" w:rsidR="00603A27" w:rsidRDefault="00603A27" w:rsidP="00B4749A">
      <w:pPr>
        <w:pStyle w:val="NormalWeb"/>
        <w:numPr>
          <w:ilvl w:val="0"/>
          <w:numId w:val="15"/>
        </w:numPr>
        <w:jc w:val="both"/>
        <w:rPr>
          <w:rFonts w:ascii="Palatino Linotype" w:hAnsi="Palatino Linotype"/>
          <w:sz w:val="22"/>
          <w:szCs w:val="22"/>
          <w:lang w:val="en-US"/>
        </w:rPr>
      </w:pPr>
      <w:r w:rsidRPr="00603A27">
        <w:rPr>
          <w:rFonts w:ascii="Palatino Linotype" w:hAnsi="Palatino Linotype"/>
          <w:sz w:val="22"/>
          <w:szCs w:val="22"/>
          <w:lang w:val="en-US"/>
        </w:rPr>
        <w:t xml:space="preserve">O. M’ghari, F.-Z.S. Aouragh Hassani, M.E.M. Mekhzoum, N. Zari, R. Bouhfid, A.E.K. Qaiss, Elaboration of a composite material based on plaster reinforced with phase change material/oakum fiber: physical, thermal and mechanical properties, </w:t>
      </w:r>
      <w:r w:rsidRPr="00603A27">
        <w:rPr>
          <w:rFonts w:ascii="Palatino Linotype" w:hAnsi="Palatino Linotype"/>
          <w:i/>
          <w:iCs/>
          <w:sz w:val="22"/>
          <w:szCs w:val="22"/>
          <w:lang w:val="en-US"/>
        </w:rPr>
        <w:t>J</w:t>
      </w:r>
      <w:r>
        <w:rPr>
          <w:rFonts w:ascii="Palatino Linotype" w:hAnsi="Palatino Linotype"/>
          <w:i/>
          <w:iCs/>
          <w:sz w:val="22"/>
          <w:szCs w:val="22"/>
          <w:lang w:val="en-US"/>
        </w:rPr>
        <w:t xml:space="preserve">ournal of </w:t>
      </w:r>
      <w:r w:rsidRPr="00603A27">
        <w:rPr>
          <w:rFonts w:ascii="Palatino Linotype" w:hAnsi="Palatino Linotype"/>
          <w:i/>
          <w:iCs/>
          <w:sz w:val="22"/>
          <w:szCs w:val="22"/>
          <w:lang w:val="en-US"/>
        </w:rPr>
        <w:t>Energy Storage</w:t>
      </w:r>
      <w:r w:rsidRPr="00603A27">
        <w:rPr>
          <w:rFonts w:ascii="Palatino Linotype" w:hAnsi="Palatino Linotype"/>
          <w:sz w:val="22"/>
          <w:szCs w:val="22"/>
          <w:lang w:val="en-US"/>
        </w:rPr>
        <w:t xml:space="preserve"> 35 (2021) 102321. </w:t>
      </w:r>
      <w:hyperlink r:id="rId259" w:history="1">
        <w:r w:rsidRPr="00FB3BE2">
          <w:rPr>
            <w:rStyle w:val="Hyperlink"/>
            <w:rFonts w:ascii="Palatino Linotype" w:hAnsi="Palatino Linotype"/>
            <w:sz w:val="22"/>
            <w:szCs w:val="22"/>
            <w:lang w:val="en-US"/>
          </w:rPr>
          <w:t>https://doi.org/10.1016/j.est.2021.102321</w:t>
        </w:r>
      </w:hyperlink>
      <w:r w:rsidRPr="00603A27">
        <w:rPr>
          <w:rFonts w:ascii="Palatino Linotype" w:hAnsi="Palatino Linotype"/>
          <w:sz w:val="22"/>
          <w:szCs w:val="22"/>
          <w:lang w:val="en-US"/>
        </w:rPr>
        <w:t>.</w:t>
      </w:r>
    </w:p>
    <w:p w14:paraId="315BD4FF" w14:textId="4257AA17" w:rsidR="00B4749A" w:rsidRPr="00603A27" w:rsidRDefault="00603A27" w:rsidP="00603A27">
      <w:pPr>
        <w:pStyle w:val="NormalWeb"/>
        <w:numPr>
          <w:ilvl w:val="0"/>
          <w:numId w:val="15"/>
        </w:numPr>
        <w:jc w:val="both"/>
        <w:rPr>
          <w:rFonts w:ascii="Palatino Linotype" w:hAnsi="Palatino Linotype"/>
          <w:sz w:val="22"/>
          <w:szCs w:val="22"/>
          <w:lang w:val="en-US"/>
        </w:rPr>
      </w:pPr>
      <w:r w:rsidRPr="00603A27">
        <w:rPr>
          <w:rFonts w:ascii="Palatino Linotype" w:hAnsi="Palatino Linotype"/>
          <w:sz w:val="22"/>
          <w:szCs w:val="22"/>
          <w:lang w:val="en-US"/>
        </w:rPr>
        <w:t xml:space="preserve"> </w:t>
      </w:r>
      <w:r w:rsidR="00B4749A" w:rsidRPr="00603A27">
        <w:rPr>
          <w:rFonts w:ascii="Palatino Linotype" w:hAnsi="Palatino Linotype"/>
          <w:sz w:val="22"/>
          <w:szCs w:val="22"/>
          <w:lang w:val="en-US"/>
        </w:rPr>
        <w:t xml:space="preserve">Y.P. Chua, F. Haghbin, B. Panchelbazari, J. Xuan. "Application of PCM-based thermal energy storage system in buildings: A state of the art review on the mathematical modeling approaches and experimental investigations". </w:t>
      </w:r>
      <w:r w:rsidR="00B4749A" w:rsidRPr="00603A27">
        <w:rPr>
          <w:rStyle w:val="Emphasis"/>
          <w:rFonts w:ascii="Palatino Linotype" w:hAnsi="Palatino Linotype"/>
          <w:sz w:val="22"/>
          <w:szCs w:val="22"/>
        </w:rPr>
        <w:t>Journal of Thermal Science</w:t>
      </w:r>
      <w:r w:rsidR="00B4749A" w:rsidRPr="00603A27">
        <w:rPr>
          <w:rFonts w:ascii="Palatino Linotype" w:hAnsi="Palatino Linotype"/>
          <w:sz w:val="22"/>
          <w:szCs w:val="22"/>
        </w:rPr>
        <w:t xml:space="preserve"> 31 (6) (2022) 1821–1852. </w:t>
      </w:r>
      <w:hyperlink r:id="rId260" w:tgtFrame="_new" w:history="1">
        <w:r w:rsidR="00B4749A" w:rsidRPr="00603A27">
          <w:rPr>
            <w:rStyle w:val="Hyperlink"/>
            <w:rFonts w:ascii="Palatino Linotype" w:hAnsi="Palatino Linotype"/>
            <w:sz w:val="22"/>
            <w:szCs w:val="22"/>
          </w:rPr>
          <w:t>https://doi.org/10.1007/s11630-022-1650-5</w:t>
        </w:r>
      </w:hyperlink>
    </w:p>
    <w:p w14:paraId="2B0701F8" w14:textId="492097CA" w:rsidR="00B4749A" w:rsidRPr="00603A27" w:rsidRDefault="00603A27" w:rsidP="00603A27">
      <w:pPr>
        <w:pStyle w:val="NormalWeb"/>
        <w:numPr>
          <w:ilvl w:val="0"/>
          <w:numId w:val="15"/>
        </w:numPr>
        <w:rPr>
          <w:rFonts w:ascii="Palatino Linotype" w:hAnsi="Palatino Linotype"/>
          <w:sz w:val="22"/>
          <w:szCs w:val="22"/>
          <w:lang w:val="en-US"/>
        </w:rPr>
      </w:pPr>
      <w:r w:rsidRPr="00603A27">
        <w:rPr>
          <w:rFonts w:ascii="Palatino Linotype" w:hAnsi="Palatino Linotype"/>
          <w:sz w:val="22"/>
          <w:szCs w:val="22"/>
          <w:lang w:val="en-US"/>
        </w:rPr>
        <w:t xml:space="preserve">M. </w:t>
      </w:r>
      <w:r w:rsidR="00B4749A" w:rsidRPr="00603A27">
        <w:rPr>
          <w:rFonts w:ascii="Palatino Linotype" w:hAnsi="Palatino Linotype"/>
          <w:sz w:val="22"/>
          <w:szCs w:val="22"/>
          <w:lang w:val="en-US"/>
        </w:rPr>
        <w:t xml:space="preserve">Song, </w:t>
      </w:r>
      <w:r w:rsidRPr="00603A27">
        <w:rPr>
          <w:rFonts w:ascii="Palatino Linotype" w:hAnsi="Palatino Linotype"/>
          <w:sz w:val="22"/>
          <w:szCs w:val="22"/>
          <w:lang w:val="en-US"/>
        </w:rPr>
        <w:t>F.</w:t>
      </w:r>
      <w:r w:rsidR="00B4749A" w:rsidRPr="00603A27">
        <w:rPr>
          <w:rFonts w:ascii="Palatino Linotype" w:hAnsi="Palatino Linotype"/>
          <w:sz w:val="22"/>
          <w:szCs w:val="22"/>
          <w:lang w:val="en-US"/>
        </w:rPr>
        <w:t xml:space="preserve"> Niu,</w:t>
      </w:r>
      <w:r w:rsidRPr="00603A27">
        <w:rPr>
          <w:rFonts w:ascii="Palatino Linotype" w:hAnsi="Palatino Linotype"/>
          <w:sz w:val="22"/>
          <w:szCs w:val="22"/>
          <w:lang w:val="en-US"/>
        </w:rPr>
        <w:t xml:space="preserve"> M</w:t>
      </w:r>
      <w:r>
        <w:rPr>
          <w:rFonts w:ascii="Palatino Linotype" w:hAnsi="Palatino Linotype"/>
          <w:sz w:val="22"/>
          <w:szCs w:val="22"/>
          <w:lang w:val="en-US"/>
        </w:rPr>
        <w:t>.</w:t>
      </w:r>
      <w:r w:rsidRPr="00603A27">
        <w:rPr>
          <w:rFonts w:ascii="Palatino Linotype" w:hAnsi="Palatino Linotype"/>
          <w:sz w:val="22"/>
          <w:szCs w:val="22"/>
          <w:lang w:val="en-US"/>
        </w:rPr>
        <w:t xml:space="preserve"> Ning, H</w:t>
      </w:r>
      <w:r>
        <w:rPr>
          <w:rFonts w:ascii="Palatino Linotype" w:hAnsi="Palatino Linotype"/>
          <w:sz w:val="22"/>
          <w:szCs w:val="22"/>
          <w:lang w:val="en-US"/>
        </w:rPr>
        <w:t xml:space="preserve">. </w:t>
      </w:r>
      <w:r w:rsidRPr="00603A27">
        <w:rPr>
          <w:rFonts w:ascii="Palatino Linotype" w:hAnsi="Palatino Linotype"/>
          <w:sz w:val="22"/>
          <w:szCs w:val="22"/>
          <w:lang w:val="en-US"/>
        </w:rPr>
        <w:t>Yanxin, D</w:t>
      </w:r>
      <w:r>
        <w:rPr>
          <w:rFonts w:ascii="Palatino Linotype" w:hAnsi="Palatino Linotype"/>
          <w:sz w:val="22"/>
          <w:szCs w:val="22"/>
          <w:lang w:val="en-US"/>
        </w:rPr>
        <w:t xml:space="preserve">. </w:t>
      </w:r>
      <w:r w:rsidRPr="00603A27">
        <w:rPr>
          <w:rFonts w:ascii="Palatino Linotype" w:hAnsi="Palatino Linotype"/>
          <w:sz w:val="22"/>
          <w:szCs w:val="22"/>
          <w:lang w:val="en-US"/>
        </w:rPr>
        <w:t>Shiming</w:t>
      </w:r>
      <w:r w:rsidR="00B4749A" w:rsidRPr="00603A27">
        <w:rPr>
          <w:rFonts w:ascii="Palatino Linotype" w:hAnsi="Palatino Linotype"/>
          <w:sz w:val="22"/>
          <w:szCs w:val="22"/>
          <w:lang w:val="en-US"/>
        </w:rPr>
        <w:t xml:space="preserve">. "Review on building energy performance improvement using phase change materials". </w:t>
      </w:r>
      <w:r w:rsidR="00B4749A" w:rsidRPr="00603A27">
        <w:rPr>
          <w:rStyle w:val="Emphasis"/>
          <w:rFonts w:ascii="Palatino Linotype" w:hAnsi="Palatino Linotype"/>
          <w:sz w:val="22"/>
          <w:szCs w:val="22"/>
          <w:lang w:val="en-US"/>
        </w:rPr>
        <w:t>Energy and Buildings</w:t>
      </w:r>
      <w:r w:rsidR="00B4749A" w:rsidRPr="00603A27">
        <w:rPr>
          <w:rFonts w:ascii="Palatino Linotype" w:hAnsi="Palatino Linotype"/>
          <w:sz w:val="22"/>
          <w:szCs w:val="22"/>
          <w:lang w:val="en-US"/>
        </w:rPr>
        <w:t xml:space="preserve"> 15</w:t>
      </w:r>
      <w:r w:rsidR="004F7012">
        <w:rPr>
          <w:rFonts w:ascii="Palatino Linotype" w:hAnsi="Palatino Linotype"/>
          <w:sz w:val="22"/>
          <w:szCs w:val="22"/>
          <w:lang w:val="en-US"/>
        </w:rPr>
        <w:t>8</w:t>
      </w:r>
      <w:r w:rsidR="00B4749A" w:rsidRPr="00603A27">
        <w:rPr>
          <w:rFonts w:ascii="Palatino Linotype" w:hAnsi="Palatino Linotype"/>
          <w:sz w:val="22"/>
          <w:szCs w:val="22"/>
          <w:lang w:val="en-US"/>
        </w:rPr>
        <w:t xml:space="preserve"> (201</w:t>
      </w:r>
      <w:r w:rsidR="004F7012">
        <w:rPr>
          <w:rFonts w:ascii="Palatino Linotype" w:hAnsi="Palatino Linotype"/>
          <w:sz w:val="22"/>
          <w:szCs w:val="22"/>
          <w:lang w:val="en-US"/>
        </w:rPr>
        <w:t>8</w:t>
      </w:r>
      <w:r w:rsidR="00B4749A" w:rsidRPr="00603A27">
        <w:rPr>
          <w:rFonts w:ascii="Palatino Linotype" w:hAnsi="Palatino Linotype"/>
          <w:sz w:val="22"/>
          <w:szCs w:val="22"/>
          <w:lang w:val="en-US"/>
        </w:rPr>
        <w:t xml:space="preserve">) 776–793. </w:t>
      </w:r>
      <w:hyperlink r:id="rId261" w:tgtFrame="_new" w:history="1">
        <w:r w:rsidR="00B4749A" w:rsidRPr="00603A27">
          <w:rPr>
            <w:rStyle w:val="Hyperlink"/>
            <w:rFonts w:ascii="Palatino Linotype" w:hAnsi="Palatino Linotype"/>
            <w:sz w:val="22"/>
            <w:szCs w:val="22"/>
            <w:lang w:val="en-US"/>
          </w:rPr>
          <w:t>https://doi.org/10.1016/j.enbuild.2017.10.066</w:t>
        </w:r>
      </w:hyperlink>
    </w:p>
    <w:p w14:paraId="46E35DEF" w14:textId="35D4405D"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J. Kośny. </w:t>
      </w:r>
      <w:r w:rsidRPr="00100966">
        <w:rPr>
          <w:rStyle w:val="Emphasis"/>
          <w:rFonts w:ascii="Palatino Linotype" w:hAnsi="Palatino Linotype"/>
          <w:sz w:val="22"/>
          <w:szCs w:val="22"/>
          <w:lang w:val="en-US"/>
        </w:rPr>
        <w:t>PCM-Enhanced Building Components: An Application of Phase Change Materials in Building Envelopes and Internal Structures</w:t>
      </w:r>
      <w:r w:rsidRPr="00100966">
        <w:rPr>
          <w:rFonts w:ascii="Palatino Linotype" w:hAnsi="Palatino Linotype"/>
          <w:sz w:val="22"/>
          <w:szCs w:val="22"/>
          <w:lang w:val="en-US"/>
        </w:rPr>
        <w:t xml:space="preserve">. </w:t>
      </w:r>
      <w:r w:rsidRPr="00100966">
        <w:rPr>
          <w:rFonts w:ascii="Palatino Linotype" w:hAnsi="Palatino Linotype"/>
          <w:sz w:val="22"/>
          <w:szCs w:val="22"/>
        </w:rPr>
        <w:t xml:space="preserve">Springer International Publishing, Cham, 2015. </w:t>
      </w:r>
      <w:hyperlink r:id="rId262" w:tgtFrame="_new" w:history="1">
        <w:r w:rsidRPr="00100966">
          <w:rPr>
            <w:rStyle w:val="Hyperlink"/>
            <w:rFonts w:ascii="Palatino Linotype" w:hAnsi="Palatino Linotype"/>
            <w:sz w:val="22"/>
            <w:szCs w:val="22"/>
          </w:rPr>
          <w:t>https://doi.org/10.1007/978-3-319-14286-9</w:t>
        </w:r>
      </w:hyperlink>
    </w:p>
    <w:p w14:paraId="1B9787AC"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P.J. Abass, S. Muthulingam. "Incorporation of phase change materials into building materials and envelopes for thermal comfort and energy optimization: A comprehensive review". </w:t>
      </w:r>
      <w:r w:rsidRPr="00100966">
        <w:rPr>
          <w:rStyle w:val="Emphasis"/>
          <w:rFonts w:ascii="Palatino Linotype" w:hAnsi="Palatino Linotype"/>
          <w:sz w:val="22"/>
          <w:szCs w:val="22"/>
        </w:rPr>
        <w:t>Journal of Building Engineering</w:t>
      </w:r>
      <w:r w:rsidRPr="00100966">
        <w:rPr>
          <w:rFonts w:ascii="Palatino Linotype" w:hAnsi="Palatino Linotype"/>
          <w:sz w:val="22"/>
          <w:szCs w:val="22"/>
        </w:rPr>
        <w:t xml:space="preserve"> 103 (2025) 112106. </w:t>
      </w:r>
      <w:hyperlink r:id="rId263" w:tgtFrame="_new" w:history="1">
        <w:r w:rsidRPr="00100966">
          <w:rPr>
            <w:rStyle w:val="Hyperlink"/>
            <w:rFonts w:ascii="Palatino Linotype" w:hAnsi="Palatino Linotype"/>
            <w:sz w:val="22"/>
            <w:szCs w:val="22"/>
          </w:rPr>
          <w:t>https://doi.org/10.1016/j.jobe.2025.112106</w:t>
        </w:r>
      </w:hyperlink>
    </w:p>
    <w:p w14:paraId="1F3C8FE7" w14:textId="4616AA55"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rPr>
        <w:t xml:space="preserve">M. Mahdaoui, S. Hamdaoui, A. Ait Msaad, T. Kousksou, T. El Rhafiki, A. Jamil, M. Ahachad. </w:t>
      </w:r>
      <w:r w:rsidRPr="00100966">
        <w:rPr>
          <w:rFonts w:ascii="Palatino Linotype" w:hAnsi="Palatino Linotype"/>
          <w:sz w:val="22"/>
          <w:szCs w:val="22"/>
          <w:lang w:val="en-US"/>
        </w:rPr>
        <w:t xml:space="preserve">"Building bricks with phase change material (PCM): Thermal performances". </w:t>
      </w:r>
      <w:r w:rsidRPr="00100966">
        <w:rPr>
          <w:rStyle w:val="Emphasis"/>
          <w:rFonts w:ascii="Palatino Linotype" w:hAnsi="Palatino Linotype"/>
          <w:sz w:val="22"/>
          <w:szCs w:val="22"/>
          <w:lang w:val="en-US"/>
        </w:rPr>
        <w:t>Construction and Building Materials</w:t>
      </w:r>
      <w:r w:rsidRPr="00100966">
        <w:rPr>
          <w:rFonts w:ascii="Palatino Linotype" w:hAnsi="Palatino Linotype"/>
          <w:sz w:val="22"/>
          <w:szCs w:val="22"/>
          <w:lang w:val="en-US"/>
        </w:rPr>
        <w:t xml:space="preserve"> 269 (202</w:t>
      </w:r>
      <w:r w:rsidR="004F7012">
        <w:rPr>
          <w:rFonts w:ascii="Palatino Linotype" w:hAnsi="Palatino Linotype"/>
          <w:sz w:val="22"/>
          <w:szCs w:val="22"/>
          <w:lang w:val="en-US"/>
        </w:rPr>
        <w:t>1</w:t>
      </w:r>
      <w:r w:rsidRPr="00100966">
        <w:rPr>
          <w:rFonts w:ascii="Palatino Linotype" w:hAnsi="Palatino Linotype"/>
          <w:sz w:val="22"/>
          <w:szCs w:val="22"/>
          <w:lang w:val="en-US"/>
        </w:rPr>
        <w:t xml:space="preserve">) 121315. </w:t>
      </w:r>
      <w:hyperlink r:id="rId264" w:tgtFrame="_new" w:history="1">
        <w:r w:rsidRPr="00100966">
          <w:rPr>
            <w:rStyle w:val="Hyperlink"/>
            <w:rFonts w:ascii="Palatino Linotype" w:hAnsi="Palatino Linotype"/>
            <w:sz w:val="22"/>
            <w:szCs w:val="22"/>
          </w:rPr>
          <w:t>https://doi.org/10.1016/j.conbuildmat.2020.121315</w:t>
        </w:r>
      </w:hyperlink>
    </w:p>
    <w:p w14:paraId="71695028" w14:textId="77777777" w:rsidR="00B4749A" w:rsidRPr="00100966"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en-US"/>
        </w:rPr>
        <w:t xml:space="preserve">Y. Zhang. "Impact of structural configuration on the thermal performance of a PCM hollow block wall". </w:t>
      </w:r>
      <w:r w:rsidRPr="00100966">
        <w:rPr>
          <w:rStyle w:val="Emphasis"/>
          <w:rFonts w:ascii="Palatino Linotype" w:hAnsi="Palatino Linotype"/>
          <w:sz w:val="22"/>
          <w:szCs w:val="22"/>
          <w:lang w:val="en-US"/>
        </w:rPr>
        <w:t>Science and Technology for the Built Environment</w:t>
      </w:r>
      <w:r w:rsidRPr="00100966">
        <w:rPr>
          <w:rFonts w:ascii="Palatino Linotype" w:hAnsi="Palatino Linotype"/>
          <w:sz w:val="22"/>
          <w:szCs w:val="22"/>
          <w:lang w:val="en-US"/>
        </w:rPr>
        <w:t xml:space="preserve"> 24 (2018) 945–961. </w:t>
      </w:r>
      <w:hyperlink r:id="rId265" w:tgtFrame="_new" w:history="1">
        <w:r w:rsidRPr="00100966">
          <w:rPr>
            <w:rStyle w:val="Hyperlink"/>
            <w:rFonts w:ascii="Palatino Linotype" w:hAnsi="Palatino Linotype"/>
            <w:sz w:val="22"/>
            <w:szCs w:val="22"/>
            <w:lang w:val="en-US"/>
          </w:rPr>
          <w:t>https://doi.org/10.1080/23744731.2018.1469918</w:t>
        </w:r>
      </w:hyperlink>
    </w:p>
    <w:p w14:paraId="20E829D1" w14:textId="47BD7483" w:rsidR="00445913" w:rsidRPr="00F84A70" w:rsidRDefault="00445913" w:rsidP="00445913">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en-US"/>
        </w:rPr>
        <w:t xml:space="preserve">Y. Zhang, S. Zhuang, Q. Wang, J. He. "Experimental research on the thermal performance of composite PCM hollow block walls and validation of phase transition heat transfer models". </w:t>
      </w:r>
      <w:r w:rsidRPr="00F84A70">
        <w:rPr>
          <w:rStyle w:val="Emphasis"/>
          <w:rFonts w:ascii="Palatino Linotype" w:hAnsi="Palatino Linotype"/>
          <w:sz w:val="22"/>
          <w:szCs w:val="22"/>
          <w:lang w:val="en-US"/>
        </w:rPr>
        <w:t>Advances in Materials Science and Engineering</w:t>
      </w:r>
      <w:r w:rsidR="00F84A70" w:rsidRPr="00F84A70">
        <w:rPr>
          <w:rStyle w:val="Emphasis"/>
          <w:rFonts w:ascii="Palatino Linotype" w:hAnsi="Palatino Linotype"/>
          <w:sz w:val="22"/>
          <w:szCs w:val="22"/>
          <w:lang w:val="en-US"/>
        </w:rPr>
        <w:t xml:space="preserve"> </w:t>
      </w:r>
      <w:r w:rsidR="00F84A70" w:rsidRPr="00F84A70">
        <w:rPr>
          <w:rStyle w:val="Emphasis"/>
          <w:rFonts w:ascii="Palatino Linotype" w:hAnsi="Palatino Linotype"/>
          <w:i w:val="0"/>
          <w:iCs w:val="0"/>
          <w:sz w:val="22"/>
          <w:szCs w:val="22"/>
          <w:lang w:val="en-US"/>
        </w:rPr>
        <w:t>2</w:t>
      </w:r>
      <w:r w:rsidR="00F84A70">
        <w:rPr>
          <w:rStyle w:val="Emphasis"/>
          <w:rFonts w:ascii="Palatino Linotype" w:hAnsi="Palatino Linotype"/>
          <w:i w:val="0"/>
          <w:iCs w:val="0"/>
          <w:sz w:val="22"/>
          <w:szCs w:val="22"/>
          <w:lang w:val="en-US"/>
        </w:rPr>
        <w:t>016</w:t>
      </w:r>
      <w:r w:rsidRPr="00F84A70">
        <w:rPr>
          <w:rFonts w:ascii="Palatino Linotype" w:hAnsi="Palatino Linotype"/>
          <w:sz w:val="22"/>
          <w:szCs w:val="22"/>
          <w:lang w:val="en-US"/>
        </w:rPr>
        <w:t xml:space="preserve"> </w:t>
      </w:r>
      <w:r w:rsidR="00F84A70" w:rsidRPr="00F84A70">
        <w:rPr>
          <w:rFonts w:ascii="Palatino Linotype" w:hAnsi="Palatino Linotype"/>
          <w:sz w:val="22"/>
          <w:szCs w:val="22"/>
          <w:lang w:val="en-US"/>
        </w:rPr>
        <w:t>(</w:t>
      </w:r>
      <w:r w:rsidRPr="00F84A70">
        <w:rPr>
          <w:rFonts w:ascii="Palatino Linotype" w:hAnsi="Palatino Linotype"/>
          <w:sz w:val="22"/>
          <w:szCs w:val="22"/>
          <w:lang w:val="en-US"/>
        </w:rPr>
        <w:t>2016</w:t>
      </w:r>
      <w:r w:rsidR="00F84A70" w:rsidRPr="00F84A70">
        <w:rPr>
          <w:rFonts w:ascii="Palatino Linotype" w:hAnsi="Palatino Linotype"/>
          <w:sz w:val="22"/>
          <w:szCs w:val="22"/>
          <w:lang w:val="en-US"/>
        </w:rPr>
        <w:t>)</w:t>
      </w:r>
      <w:r w:rsidRPr="00F84A70">
        <w:rPr>
          <w:rFonts w:ascii="Palatino Linotype" w:hAnsi="Palatino Linotype"/>
          <w:sz w:val="22"/>
          <w:szCs w:val="22"/>
          <w:lang w:val="en-US"/>
        </w:rPr>
        <w:t xml:space="preserve"> 6359414. </w:t>
      </w:r>
      <w:hyperlink r:id="rId266" w:tgtFrame="_new" w:history="1">
        <w:r w:rsidRPr="00F84A70">
          <w:rPr>
            <w:rStyle w:val="Hyperlink"/>
            <w:rFonts w:ascii="Palatino Linotype" w:hAnsi="Palatino Linotype"/>
            <w:sz w:val="22"/>
            <w:szCs w:val="22"/>
            <w:lang w:val="en-US"/>
          </w:rPr>
          <w:t>https://doi.org/10.1155/2016/6359414</w:t>
        </w:r>
      </w:hyperlink>
    </w:p>
    <w:p w14:paraId="3A1C4432" w14:textId="16544E21" w:rsidR="00445913" w:rsidRPr="00100966" w:rsidRDefault="00445913" w:rsidP="00445913">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rPr>
        <w:t xml:space="preserve">Y. Hamidi, M. Malha, A. Bah. </w:t>
      </w:r>
      <w:r w:rsidRPr="00100966">
        <w:rPr>
          <w:rFonts w:ascii="Palatino Linotype" w:hAnsi="Palatino Linotype"/>
          <w:sz w:val="22"/>
          <w:szCs w:val="22"/>
          <w:lang w:val="en-US"/>
        </w:rPr>
        <w:t xml:space="preserve">"Analysis of the thermal behavior of hollow bricks walls filled with PCM: Effect of PCM location". </w:t>
      </w:r>
      <w:r w:rsidRPr="00100966">
        <w:rPr>
          <w:rStyle w:val="Emphasis"/>
          <w:rFonts w:ascii="Palatino Linotype" w:hAnsi="Palatino Linotype"/>
          <w:sz w:val="22"/>
          <w:szCs w:val="22"/>
        </w:rPr>
        <w:t>Energy Reports</w:t>
      </w:r>
      <w:r w:rsidRPr="00100966">
        <w:rPr>
          <w:rFonts w:ascii="Palatino Linotype" w:hAnsi="Palatino Linotype"/>
          <w:sz w:val="22"/>
          <w:szCs w:val="22"/>
        </w:rPr>
        <w:t xml:space="preserve"> 7 (2021) 105–115. </w:t>
      </w:r>
      <w:hyperlink r:id="rId267" w:tgtFrame="_blank" w:tooltip="Persistent link using digital object identifier" w:history="1">
        <w:r w:rsidR="00F84A70" w:rsidRPr="00F84A70">
          <w:rPr>
            <w:rStyle w:val="Hyperlink"/>
            <w:rFonts w:ascii="Palatino Linotype" w:hAnsi="Palatino Linotype"/>
            <w:sz w:val="22"/>
            <w:szCs w:val="22"/>
          </w:rPr>
          <w:t>https://doi.org/10.1016/j.egyr.2021.08.108</w:t>
        </w:r>
      </w:hyperlink>
    </w:p>
    <w:p w14:paraId="7034F40E"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lastRenderedPageBreak/>
        <w:t xml:space="preserve">Y. Fraine, C. Seladji, A. Aït-Mokhtar. "Effect of microencapsulation phase change material and diatomite composite filling on hygrothermal performance of sintered hollow bricks". </w:t>
      </w:r>
      <w:r w:rsidRPr="00100966">
        <w:rPr>
          <w:rStyle w:val="Emphasis"/>
          <w:rFonts w:ascii="Palatino Linotype" w:hAnsi="Palatino Linotype"/>
          <w:sz w:val="22"/>
          <w:szCs w:val="22"/>
        </w:rPr>
        <w:t>Building and Environment</w:t>
      </w:r>
      <w:r w:rsidRPr="00100966">
        <w:rPr>
          <w:rFonts w:ascii="Palatino Linotype" w:hAnsi="Palatino Linotype"/>
          <w:sz w:val="22"/>
          <w:szCs w:val="22"/>
        </w:rPr>
        <w:t xml:space="preserve"> 154 (2019) 145–154. </w:t>
      </w:r>
      <w:hyperlink r:id="rId268" w:tgtFrame="_new" w:history="1">
        <w:r w:rsidRPr="00100966">
          <w:rPr>
            <w:rStyle w:val="Hyperlink"/>
            <w:rFonts w:ascii="Palatino Linotype" w:hAnsi="Palatino Linotype"/>
            <w:sz w:val="22"/>
            <w:szCs w:val="22"/>
          </w:rPr>
          <w:t>https://doi.org/10.1016/j.buildenv.2019.02.036</w:t>
        </w:r>
      </w:hyperlink>
    </w:p>
    <w:p w14:paraId="3BD5C73E" w14:textId="3666D229" w:rsidR="00A90E2C" w:rsidRDefault="00A90E2C" w:rsidP="00A90E2C">
      <w:pPr>
        <w:pStyle w:val="ListParagraph"/>
        <w:numPr>
          <w:ilvl w:val="0"/>
          <w:numId w:val="15"/>
        </w:numPr>
        <w:rPr>
          <w:rFonts w:cs="Times New Roman"/>
          <w:kern w:val="2"/>
          <w:sz w:val="22"/>
          <w:lang w:val="en-US"/>
          <w14:ligatures w14:val="standardContextual"/>
        </w:rPr>
      </w:pPr>
      <w:r w:rsidRPr="00A90E2C">
        <w:rPr>
          <w:rFonts w:cs="Times New Roman"/>
          <w:kern w:val="2"/>
          <w:sz w:val="22"/>
          <w14:ligatures w14:val="standardContextual"/>
        </w:rPr>
        <w:t xml:space="preserve">T. Silva, R. Vicente, N. Soares, V. Ferreira, E. Pereira. </w:t>
      </w:r>
      <w:r w:rsidRPr="00A90E2C">
        <w:rPr>
          <w:rFonts w:cs="Times New Roman"/>
          <w:kern w:val="2"/>
          <w:sz w:val="22"/>
          <w:lang w:val="en-US"/>
          <w14:ligatures w14:val="standardContextual"/>
        </w:rPr>
        <w:t xml:space="preserve">"Experimental testing and numerical modelling of masonry wall solution with PCM incorporation: A passive construction concept". </w:t>
      </w:r>
      <w:r w:rsidRPr="00603A27">
        <w:rPr>
          <w:rFonts w:cs="Times New Roman"/>
          <w:i/>
          <w:iCs/>
          <w:kern w:val="2"/>
          <w:sz w:val="22"/>
          <w:lang w:val="en-US"/>
          <w14:ligatures w14:val="standardContextual"/>
        </w:rPr>
        <w:t>Energy and Buildings</w:t>
      </w:r>
      <w:r w:rsidRPr="00A90E2C">
        <w:rPr>
          <w:rFonts w:cs="Times New Roman"/>
          <w:kern w:val="2"/>
          <w:sz w:val="22"/>
          <w:lang w:val="en-US"/>
          <w14:ligatures w14:val="standardContextual"/>
        </w:rPr>
        <w:t xml:space="preserve"> 49 (2012) 235–245. </w:t>
      </w:r>
      <w:hyperlink r:id="rId269" w:history="1">
        <w:r w:rsidRPr="00A8065D">
          <w:rPr>
            <w:rStyle w:val="Hyperlink"/>
            <w:rFonts w:cs="Times New Roman"/>
            <w:kern w:val="2"/>
            <w:sz w:val="22"/>
            <w:lang w:val="en-US"/>
            <w14:ligatures w14:val="standardContextual"/>
          </w:rPr>
          <w:t>https://doi.org/10.1016/j.enbuild.2012.02.010</w:t>
        </w:r>
      </w:hyperlink>
    </w:p>
    <w:p w14:paraId="23FA3511" w14:textId="77777777" w:rsidR="00B4749A" w:rsidRPr="00A90E2C" w:rsidRDefault="00B4749A" w:rsidP="00A90E2C">
      <w:pPr>
        <w:pStyle w:val="ListParagraph"/>
        <w:numPr>
          <w:ilvl w:val="0"/>
          <w:numId w:val="15"/>
        </w:numPr>
        <w:rPr>
          <w:rFonts w:cs="Times New Roman"/>
          <w:kern w:val="2"/>
          <w:sz w:val="22"/>
          <w:lang w:val="en-US"/>
          <w14:ligatures w14:val="standardContextual"/>
        </w:rPr>
      </w:pPr>
      <w:r w:rsidRPr="00A90E2C">
        <w:rPr>
          <w:sz w:val="22"/>
          <w:lang w:val="en-US"/>
        </w:rPr>
        <w:t xml:space="preserve">A.M. Heniegal, O.M. Omar Ibrahim, R.N. Rasha. "Numerical and experimental study of the energy saving of sustainable buildings by using phase change materials". </w:t>
      </w:r>
      <w:r w:rsidRPr="00A90E2C">
        <w:rPr>
          <w:rStyle w:val="Emphasis"/>
          <w:sz w:val="22"/>
        </w:rPr>
        <w:t>Journal of Building Engineering</w:t>
      </w:r>
      <w:r w:rsidRPr="00A90E2C">
        <w:rPr>
          <w:sz w:val="22"/>
        </w:rPr>
        <w:t xml:space="preserve"> 41 (2021) 102418. </w:t>
      </w:r>
      <w:hyperlink r:id="rId270" w:tgtFrame="_new" w:history="1">
        <w:r w:rsidRPr="00A90E2C">
          <w:rPr>
            <w:rStyle w:val="Hyperlink"/>
            <w:sz w:val="22"/>
          </w:rPr>
          <w:t>https://doi.org/10.1016/j.jobe.2021.102418</w:t>
        </w:r>
      </w:hyperlink>
    </w:p>
    <w:p w14:paraId="50D285AC" w14:textId="77777777" w:rsidR="00B4749A" w:rsidRPr="00100966" w:rsidRDefault="00B4749A" w:rsidP="00B4749A">
      <w:pPr>
        <w:pStyle w:val="NormalWeb"/>
        <w:numPr>
          <w:ilvl w:val="0"/>
          <w:numId w:val="15"/>
        </w:numPr>
        <w:jc w:val="both"/>
        <w:rPr>
          <w:rFonts w:ascii="Palatino Linotype" w:hAnsi="Palatino Linotype"/>
          <w:sz w:val="22"/>
          <w:szCs w:val="22"/>
        </w:rPr>
      </w:pPr>
      <w:r w:rsidRPr="00A90E2C">
        <w:rPr>
          <w:rFonts w:ascii="Palatino Linotype" w:hAnsi="Palatino Linotype"/>
          <w:sz w:val="22"/>
          <w:szCs w:val="22"/>
          <w:lang w:val="en-US"/>
        </w:rPr>
        <w:t xml:space="preserve">D. Wu, M. Rahim, M. El Ganaoui, R. Djedjig, R. Bennacer, B. Liu. </w:t>
      </w:r>
      <w:r w:rsidRPr="00100966">
        <w:rPr>
          <w:rFonts w:ascii="Palatino Linotype" w:hAnsi="Palatino Linotype"/>
          <w:sz w:val="22"/>
          <w:szCs w:val="22"/>
          <w:lang w:val="en-US"/>
        </w:rPr>
        <w:t xml:space="preserve">"Experimental investigation on the hygrothermal behavior of a new multilayer building envelope integrating PCM with bio-based material". </w:t>
      </w:r>
      <w:r w:rsidRPr="00100966">
        <w:rPr>
          <w:rStyle w:val="Emphasis"/>
          <w:rFonts w:ascii="Palatino Linotype" w:hAnsi="Palatino Linotype"/>
          <w:sz w:val="22"/>
          <w:szCs w:val="22"/>
        </w:rPr>
        <w:t>Building and Environment</w:t>
      </w:r>
      <w:r w:rsidRPr="00100966">
        <w:rPr>
          <w:rFonts w:ascii="Palatino Linotype" w:hAnsi="Palatino Linotype"/>
          <w:sz w:val="22"/>
          <w:szCs w:val="22"/>
        </w:rPr>
        <w:t xml:space="preserve"> 201 (2021) 107995. </w:t>
      </w:r>
      <w:hyperlink r:id="rId271" w:tgtFrame="_new" w:history="1">
        <w:r w:rsidRPr="00100966">
          <w:rPr>
            <w:rStyle w:val="Hyperlink"/>
            <w:rFonts w:ascii="Palatino Linotype" w:hAnsi="Palatino Linotype"/>
            <w:sz w:val="22"/>
            <w:szCs w:val="22"/>
          </w:rPr>
          <w:t>https://doi.org/10.1016/j.buildenv.2021.107995</w:t>
        </w:r>
      </w:hyperlink>
    </w:p>
    <w:p w14:paraId="375EEFAD"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A. Eddhahak-Ouni, S. Drissi, J. Colin, J. Neji, S. Care. "Experimental and multi-scale analysis of the thermal properties of Portland cement concretes embedded with microencapsulated phase change materials (PCMs)". </w:t>
      </w:r>
      <w:r w:rsidRPr="00100966">
        <w:rPr>
          <w:rStyle w:val="Emphasis"/>
          <w:rFonts w:ascii="Palatino Linotype" w:hAnsi="Palatino Linotype"/>
          <w:sz w:val="22"/>
          <w:szCs w:val="22"/>
        </w:rPr>
        <w:t>Applied Thermal Engineering</w:t>
      </w:r>
      <w:r w:rsidRPr="00100966">
        <w:rPr>
          <w:rFonts w:ascii="Palatino Linotype" w:hAnsi="Palatino Linotype"/>
          <w:sz w:val="22"/>
          <w:szCs w:val="22"/>
        </w:rPr>
        <w:t xml:space="preserve"> 64 (2014) 32–39. </w:t>
      </w:r>
      <w:hyperlink r:id="rId272" w:tgtFrame="_new" w:history="1">
        <w:r w:rsidRPr="00100966">
          <w:rPr>
            <w:rStyle w:val="Hyperlink"/>
            <w:rFonts w:ascii="Palatino Linotype" w:hAnsi="Palatino Linotype"/>
            <w:sz w:val="22"/>
            <w:szCs w:val="22"/>
          </w:rPr>
          <w:t>https://doi.org/10.1016/j.applthermaleng.2013.11.050</w:t>
        </w:r>
      </w:hyperlink>
    </w:p>
    <w:p w14:paraId="501D91AB"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rPr>
        <w:t xml:space="preserve">A. Figueiredo, J. Lapa, R. Vicente, C. Cardoso. </w:t>
      </w:r>
      <w:r w:rsidRPr="00100966">
        <w:rPr>
          <w:rFonts w:ascii="Palatino Linotype" w:hAnsi="Palatino Linotype"/>
          <w:sz w:val="22"/>
          <w:szCs w:val="22"/>
          <w:lang w:val="en-US"/>
        </w:rPr>
        <w:t xml:space="preserve">"Mechanical and thermal characterization of concrete with incorporation of microencapsulated PCM for applications in thermally activated slabs". </w:t>
      </w:r>
      <w:r w:rsidRPr="00100966">
        <w:rPr>
          <w:rStyle w:val="Emphasis"/>
          <w:rFonts w:ascii="Palatino Linotype" w:hAnsi="Palatino Linotype"/>
          <w:sz w:val="22"/>
          <w:szCs w:val="22"/>
        </w:rPr>
        <w:t>Construction and Building Materials</w:t>
      </w:r>
      <w:r w:rsidRPr="00100966">
        <w:rPr>
          <w:rFonts w:ascii="Palatino Linotype" w:hAnsi="Palatino Linotype"/>
          <w:sz w:val="22"/>
          <w:szCs w:val="22"/>
        </w:rPr>
        <w:t xml:space="preserve"> 112 (2016) 639–647. </w:t>
      </w:r>
      <w:hyperlink r:id="rId273" w:tgtFrame="_new" w:history="1">
        <w:r w:rsidRPr="00100966">
          <w:rPr>
            <w:rStyle w:val="Hyperlink"/>
            <w:rFonts w:ascii="Palatino Linotype" w:hAnsi="Palatino Linotype"/>
            <w:sz w:val="22"/>
            <w:szCs w:val="22"/>
          </w:rPr>
          <w:t>https://doi.org/10.1016/j.conbuildmat.2016.02.225</w:t>
        </w:r>
      </w:hyperlink>
    </w:p>
    <w:p w14:paraId="196A3473"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nb-NO"/>
        </w:rPr>
        <w:t xml:space="preserve">Y. Shen, S. Liu, C. Zeng, Y. Zhang, Y. Li, X. Han, L. Yang, X. Yang. </w:t>
      </w:r>
      <w:r w:rsidRPr="00100966">
        <w:rPr>
          <w:rFonts w:ascii="Palatino Linotype" w:hAnsi="Palatino Linotype"/>
          <w:sz w:val="22"/>
          <w:szCs w:val="22"/>
          <w:lang w:val="en-US"/>
        </w:rPr>
        <w:t xml:space="preserve">"Experimental thermal study of a new PCM-concrete thermal storage block (PCM-CTSB)". </w:t>
      </w:r>
      <w:r w:rsidRPr="00100966">
        <w:rPr>
          <w:rStyle w:val="Emphasis"/>
          <w:rFonts w:ascii="Palatino Linotype" w:hAnsi="Palatino Linotype"/>
          <w:sz w:val="22"/>
          <w:szCs w:val="22"/>
        </w:rPr>
        <w:t>Construction and Building Materials</w:t>
      </w:r>
      <w:r w:rsidRPr="00100966">
        <w:rPr>
          <w:rFonts w:ascii="Palatino Linotype" w:hAnsi="Palatino Linotype"/>
          <w:sz w:val="22"/>
          <w:szCs w:val="22"/>
        </w:rPr>
        <w:t xml:space="preserve"> 293 (2021) 123540. </w:t>
      </w:r>
      <w:hyperlink r:id="rId274" w:tgtFrame="_new" w:history="1">
        <w:r w:rsidRPr="00100966">
          <w:rPr>
            <w:rStyle w:val="Hyperlink"/>
            <w:rFonts w:ascii="Palatino Linotype" w:hAnsi="Palatino Linotype"/>
            <w:sz w:val="22"/>
            <w:szCs w:val="22"/>
          </w:rPr>
          <w:t>https://doi.org/10.1016/j.conbuildmat.2021.123540</w:t>
        </w:r>
      </w:hyperlink>
    </w:p>
    <w:p w14:paraId="1A6AE5C3"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rPr>
        <w:t xml:space="preserve">Z.I. Djamaï, F. Salvatore, A. Si Larbi, G. Cai, M. El Mankibi. </w:t>
      </w:r>
      <w:r w:rsidRPr="00100966">
        <w:rPr>
          <w:rFonts w:ascii="Palatino Linotype" w:hAnsi="Palatino Linotype"/>
          <w:sz w:val="22"/>
          <w:szCs w:val="22"/>
          <w:lang w:val="en-US"/>
        </w:rPr>
        <w:t xml:space="preserve">"Multiphysics analysis of effects of encapsulated phase change materials (PCMs) in cement mortars". </w:t>
      </w:r>
      <w:r w:rsidRPr="00100966">
        <w:rPr>
          <w:rStyle w:val="Emphasis"/>
          <w:rFonts w:ascii="Palatino Linotype" w:hAnsi="Palatino Linotype"/>
          <w:sz w:val="22"/>
          <w:szCs w:val="22"/>
        </w:rPr>
        <w:t>Cement and Concrete Research</w:t>
      </w:r>
      <w:r w:rsidRPr="00100966">
        <w:rPr>
          <w:rFonts w:ascii="Palatino Linotype" w:hAnsi="Palatino Linotype"/>
          <w:sz w:val="22"/>
          <w:szCs w:val="22"/>
        </w:rPr>
        <w:t xml:space="preserve"> 119 (2019) 51–63. </w:t>
      </w:r>
      <w:hyperlink r:id="rId275" w:tgtFrame="_new" w:history="1">
        <w:r w:rsidRPr="00100966">
          <w:rPr>
            <w:rStyle w:val="Hyperlink"/>
            <w:rFonts w:ascii="Palatino Linotype" w:hAnsi="Palatino Linotype"/>
            <w:sz w:val="22"/>
            <w:szCs w:val="22"/>
          </w:rPr>
          <w:t>https://doi.org/10.1016/j.cemconres.2019.02.002</w:t>
        </w:r>
      </w:hyperlink>
    </w:p>
    <w:p w14:paraId="11FD3658" w14:textId="40707B9F" w:rsidR="00B4749A" w:rsidRPr="00F84A70"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en-US"/>
        </w:rPr>
        <w:t xml:space="preserve">S. Halder, J. Wang, Y. Fang, X. Qian, M.A. Imam. "Cenosphere-based PCM microcapsules with bio-inspired coating for thermal energy storage in cementitious materials". </w:t>
      </w:r>
      <w:r w:rsidRPr="00F84A70">
        <w:rPr>
          <w:rStyle w:val="Emphasis"/>
          <w:rFonts w:ascii="Palatino Linotype" w:hAnsi="Palatino Linotype"/>
          <w:sz w:val="22"/>
          <w:szCs w:val="22"/>
          <w:lang w:val="en-US"/>
        </w:rPr>
        <w:t>Materials Chemistry and Physics</w:t>
      </w:r>
      <w:r w:rsidRPr="00F84A70">
        <w:rPr>
          <w:rFonts w:ascii="Palatino Linotype" w:hAnsi="Palatino Linotype"/>
          <w:sz w:val="22"/>
          <w:szCs w:val="22"/>
          <w:lang w:val="en-US"/>
        </w:rPr>
        <w:t xml:space="preserve"> 291 (2022) 126745. </w:t>
      </w:r>
      <w:hyperlink r:id="rId276" w:tgtFrame="_new" w:history="1">
        <w:r w:rsidRPr="00F84A70">
          <w:rPr>
            <w:rStyle w:val="Hyperlink"/>
            <w:rFonts w:ascii="Palatino Linotype" w:hAnsi="Palatino Linotype"/>
            <w:sz w:val="22"/>
            <w:szCs w:val="22"/>
            <w:lang w:val="en-US"/>
          </w:rPr>
          <w:t>https://doi.org/10.1016/j.matchemphys.2022.126745</w:t>
        </w:r>
      </w:hyperlink>
      <w:r w:rsidR="00F84A70" w:rsidRPr="00F84A70">
        <w:rPr>
          <w:lang w:val="en-US"/>
        </w:rPr>
        <w:t xml:space="preserve"> DA</w:t>
      </w:r>
      <w:r w:rsidR="00F84A70">
        <w:rPr>
          <w:lang w:val="en-US"/>
        </w:rPr>
        <w:t xml:space="preserve"> QUI</w:t>
      </w:r>
    </w:p>
    <w:p w14:paraId="3A1A92E7"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K. Zhao, J. Wang, H. Xie, Z. Guo. "Microencapsulated phase change n-octadecane with high heat storage for application in building energy conservation". </w:t>
      </w:r>
      <w:r w:rsidRPr="00100966">
        <w:rPr>
          <w:rStyle w:val="Emphasis"/>
          <w:rFonts w:ascii="Palatino Linotype" w:hAnsi="Palatino Linotype"/>
          <w:sz w:val="22"/>
          <w:szCs w:val="22"/>
        </w:rPr>
        <w:t>Applied Energy</w:t>
      </w:r>
      <w:r w:rsidRPr="00100966">
        <w:rPr>
          <w:rFonts w:ascii="Palatino Linotype" w:hAnsi="Palatino Linotype"/>
          <w:sz w:val="22"/>
          <w:szCs w:val="22"/>
        </w:rPr>
        <w:t xml:space="preserve"> 329 (2023) 120284. </w:t>
      </w:r>
      <w:hyperlink r:id="rId277" w:tgtFrame="_new" w:history="1">
        <w:r w:rsidRPr="00100966">
          <w:rPr>
            <w:rStyle w:val="Hyperlink"/>
            <w:rFonts w:ascii="Palatino Linotype" w:hAnsi="Palatino Linotype"/>
            <w:sz w:val="22"/>
            <w:szCs w:val="22"/>
          </w:rPr>
          <w:t>https://doi.org/10.1016/j.apenergy.2022.120284</w:t>
        </w:r>
      </w:hyperlink>
    </w:p>
    <w:p w14:paraId="288285F4"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rPr>
        <w:t xml:space="preserve">Y. Farnam, H.S. Esmaeeli, P.D. Zavattieri, J. Haddock, J. Weiss. </w:t>
      </w:r>
      <w:r w:rsidRPr="00100966">
        <w:rPr>
          <w:rFonts w:ascii="Palatino Linotype" w:hAnsi="Palatino Linotype"/>
          <w:sz w:val="22"/>
          <w:szCs w:val="22"/>
          <w:lang w:val="en-US"/>
        </w:rPr>
        <w:t xml:space="preserve">"Incorporating phase change materials in concrete pavement to melt snow and ice". </w:t>
      </w:r>
      <w:r w:rsidRPr="00100966">
        <w:rPr>
          <w:rStyle w:val="Emphasis"/>
          <w:rFonts w:ascii="Palatino Linotype" w:hAnsi="Palatino Linotype"/>
          <w:sz w:val="22"/>
          <w:szCs w:val="22"/>
        </w:rPr>
        <w:t>Cement and Concrete Composites</w:t>
      </w:r>
      <w:r w:rsidRPr="00100966">
        <w:rPr>
          <w:rFonts w:ascii="Palatino Linotype" w:hAnsi="Palatino Linotype"/>
          <w:sz w:val="22"/>
          <w:szCs w:val="22"/>
        </w:rPr>
        <w:t xml:space="preserve"> 84 (2017) 134–145. </w:t>
      </w:r>
      <w:hyperlink r:id="rId278" w:tgtFrame="_new" w:history="1">
        <w:r w:rsidRPr="00100966">
          <w:rPr>
            <w:rStyle w:val="Hyperlink"/>
            <w:rFonts w:ascii="Palatino Linotype" w:hAnsi="Palatino Linotype"/>
            <w:sz w:val="22"/>
            <w:szCs w:val="22"/>
          </w:rPr>
          <w:t>https://doi.org/10.1016/j.cemconcomp.2017.09.002</w:t>
        </w:r>
      </w:hyperlink>
    </w:p>
    <w:p w14:paraId="3259B9E8" w14:textId="77777777" w:rsidR="00B4749A" w:rsidRPr="00100966"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en-US"/>
        </w:rPr>
        <w:lastRenderedPageBreak/>
        <w:t xml:space="preserve">Z. Refaa, M.R. Kakar, A. Stamatious, J. Worlitschek, M.N. Partl, M. Bueno. "Numerical study on the effect of phase change materials on heat transfer in asphalt concrete". </w:t>
      </w:r>
      <w:r w:rsidRPr="00100966">
        <w:rPr>
          <w:rStyle w:val="Emphasis"/>
          <w:rFonts w:ascii="Palatino Linotype" w:hAnsi="Palatino Linotype"/>
          <w:sz w:val="22"/>
          <w:szCs w:val="22"/>
          <w:lang w:val="en-US"/>
        </w:rPr>
        <w:t>International Journal of Thermal Sciences</w:t>
      </w:r>
      <w:r w:rsidRPr="00100966">
        <w:rPr>
          <w:rFonts w:ascii="Palatino Linotype" w:hAnsi="Palatino Linotype"/>
          <w:sz w:val="22"/>
          <w:szCs w:val="22"/>
          <w:lang w:val="en-US"/>
        </w:rPr>
        <w:t xml:space="preserve"> 133 (2018) 140–150. </w:t>
      </w:r>
      <w:hyperlink r:id="rId279" w:tgtFrame="_new" w:history="1">
        <w:r w:rsidRPr="00100966">
          <w:rPr>
            <w:rStyle w:val="Hyperlink"/>
            <w:rFonts w:ascii="Palatino Linotype" w:hAnsi="Palatino Linotype"/>
            <w:sz w:val="22"/>
            <w:szCs w:val="22"/>
            <w:lang w:val="en-US"/>
          </w:rPr>
          <w:t>https://doi.org/10.1016/j.ijthermalsci.2018.07.014</w:t>
        </w:r>
      </w:hyperlink>
    </w:p>
    <w:p w14:paraId="373DD212" w14:textId="303A23DF" w:rsidR="00B4749A" w:rsidRPr="00D04880" w:rsidRDefault="00D04880" w:rsidP="00B4749A">
      <w:pPr>
        <w:pStyle w:val="NormalWeb"/>
        <w:numPr>
          <w:ilvl w:val="0"/>
          <w:numId w:val="15"/>
        </w:numPr>
        <w:jc w:val="both"/>
        <w:rPr>
          <w:rFonts w:ascii="Palatino Linotype" w:hAnsi="Palatino Linotype"/>
          <w:sz w:val="22"/>
          <w:szCs w:val="22"/>
          <w:lang w:val="en-US"/>
        </w:rPr>
      </w:pPr>
      <w:r>
        <w:rPr>
          <w:rFonts w:ascii="Palatino Linotype" w:hAnsi="Palatino Linotype"/>
          <w:sz w:val="22"/>
          <w:szCs w:val="22"/>
          <w:lang w:val="en-US"/>
        </w:rPr>
        <w:t xml:space="preserve">Y. Zhang, R.K.L. Su </w:t>
      </w:r>
      <w:r w:rsidR="00B4749A" w:rsidRPr="00100966">
        <w:rPr>
          <w:rFonts w:ascii="Palatino Linotype" w:hAnsi="Palatino Linotype"/>
          <w:sz w:val="22"/>
          <w:szCs w:val="22"/>
          <w:lang w:val="en-US"/>
        </w:rPr>
        <w:t>"</w:t>
      </w:r>
      <w:r>
        <w:rPr>
          <w:rFonts w:ascii="Palatino Linotype" w:hAnsi="Palatino Linotype"/>
          <w:sz w:val="22"/>
          <w:szCs w:val="22"/>
          <w:lang w:val="en-US"/>
        </w:rPr>
        <w:t>Experimental investigation of the process of corrosion-caused cover cracking</w:t>
      </w:r>
      <w:r w:rsidR="00B4749A" w:rsidRPr="00100966">
        <w:rPr>
          <w:rFonts w:ascii="Palatino Linotype" w:hAnsi="Palatino Linotype"/>
          <w:sz w:val="22"/>
          <w:szCs w:val="22"/>
          <w:lang w:val="en-US"/>
        </w:rPr>
        <w:t xml:space="preserve">". </w:t>
      </w:r>
      <w:r w:rsidR="00B4749A" w:rsidRPr="00D04880">
        <w:rPr>
          <w:rStyle w:val="Emphasis"/>
          <w:rFonts w:ascii="Palatino Linotype" w:hAnsi="Palatino Linotype"/>
          <w:sz w:val="22"/>
          <w:szCs w:val="22"/>
          <w:lang w:val="en-US"/>
        </w:rPr>
        <w:t>Construction and Building Materials</w:t>
      </w:r>
      <w:r w:rsidR="00B4749A" w:rsidRPr="00D04880">
        <w:rPr>
          <w:rFonts w:ascii="Palatino Linotype" w:hAnsi="Palatino Linotype"/>
          <w:sz w:val="22"/>
          <w:szCs w:val="22"/>
          <w:lang w:val="en-US"/>
        </w:rPr>
        <w:t xml:space="preserve"> 25</w:t>
      </w:r>
      <w:r w:rsidRPr="00D04880">
        <w:rPr>
          <w:rFonts w:ascii="Palatino Linotype" w:hAnsi="Palatino Linotype"/>
          <w:sz w:val="22"/>
          <w:szCs w:val="22"/>
          <w:lang w:val="en-US"/>
        </w:rPr>
        <w:t>3 (20</w:t>
      </w:r>
      <w:r w:rsidR="00B4749A" w:rsidRPr="00D04880">
        <w:rPr>
          <w:rFonts w:ascii="Palatino Linotype" w:hAnsi="Palatino Linotype"/>
          <w:sz w:val="22"/>
          <w:szCs w:val="22"/>
          <w:lang w:val="en-US"/>
        </w:rPr>
        <w:t>20)</w:t>
      </w:r>
      <w:r w:rsidRPr="00D04880">
        <w:rPr>
          <w:rFonts w:ascii="Palatino Linotype" w:hAnsi="Palatino Linotype"/>
          <w:sz w:val="22"/>
          <w:szCs w:val="22"/>
          <w:lang w:val="en-US"/>
        </w:rPr>
        <w:t xml:space="preserve"> 119166</w:t>
      </w:r>
      <w:r w:rsidR="00B4749A" w:rsidRPr="00D04880">
        <w:rPr>
          <w:rFonts w:ascii="Palatino Linotype" w:hAnsi="Palatino Linotype"/>
          <w:sz w:val="22"/>
          <w:szCs w:val="22"/>
          <w:lang w:val="en-US"/>
        </w:rPr>
        <w:t>.</w:t>
      </w:r>
      <w:r w:rsidRPr="00D04880">
        <w:rPr>
          <w:rFonts w:ascii="Palatino Linotype" w:hAnsi="Palatino Linotype"/>
          <w:sz w:val="22"/>
          <w:szCs w:val="22"/>
          <w:lang w:val="en-US"/>
        </w:rPr>
        <w:t xml:space="preserve"> </w:t>
      </w:r>
      <w:hyperlink r:id="rId280" w:tgtFrame="_blank" w:tooltip="Persistent link using digital object identifier" w:history="1">
        <w:r w:rsidRPr="00D04880">
          <w:rPr>
            <w:rStyle w:val="Hyperlink"/>
            <w:rFonts w:ascii="Palatino Linotype" w:hAnsi="Palatino Linotype"/>
            <w:sz w:val="22"/>
            <w:szCs w:val="22"/>
            <w:lang w:val="en-US"/>
          </w:rPr>
          <w:t>https://doi.org/10.1016/j.conbuildmat.2020.119166</w:t>
        </w:r>
      </w:hyperlink>
      <w:r w:rsidR="00CF79F3" w:rsidRPr="00CF79F3">
        <w:rPr>
          <w:rFonts w:ascii="Palatino Linotype" w:hAnsi="Palatino Linotype"/>
          <w:sz w:val="22"/>
          <w:szCs w:val="22"/>
          <w:lang w:val="en-US"/>
        </w:rPr>
        <w:t xml:space="preserve"> DA</w:t>
      </w:r>
      <w:r w:rsidR="00CF79F3">
        <w:rPr>
          <w:rFonts w:ascii="Palatino Linotype" w:hAnsi="Palatino Linotype"/>
          <w:sz w:val="22"/>
          <w:szCs w:val="22"/>
          <w:lang w:val="en-US"/>
        </w:rPr>
        <w:t xml:space="preserve"> QUI</w:t>
      </w:r>
    </w:p>
    <w:p w14:paraId="7FB3305D" w14:textId="3D3B5A2A" w:rsidR="00B4749A" w:rsidRPr="00D00E8E" w:rsidRDefault="00B4749A" w:rsidP="00D00E8E">
      <w:pPr>
        <w:pStyle w:val="NormalWeb"/>
        <w:numPr>
          <w:ilvl w:val="0"/>
          <w:numId w:val="15"/>
        </w:numPr>
        <w:jc w:val="both"/>
        <w:rPr>
          <w:rFonts w:ascii="Palatino Linotype" w:hAnsi="Palatino Linotype"/>
          <w:sz w:val="22"/>
          <w:szCs w:val="22"/>
          <w:lang w:val="en-US"/>
        </w:rPr>
      </w:pPr>
      <w:r w:rsidRPr="00D00E8E">
        <w:rPr>
          <w:rFonts w:ascii="Palatino Linotype" w:hAnsi="Palatino Linotype"/>
          <w:sz w:val="22"/>
          <w:szCs w:val="22"/>
          <w:lang w:val="nb-NO"/>
        </w:rPr>
        <w:t xml:space="preserve">S.I. Kontoleon, M. Stefanidou, S. Saboro, D. Maseo, A. Karasouli, D. Zegeni, et al. </w:t>
      </w:r>
      <w:r w:rsidRPr="00D00E8E">
        <w:rPr>
          <w:rFonts w:ascii="Palatino Linotype" w:hAnsi="Palatino Linotype"/>
          <w:sz w:val="22"/>
          <w:szCs w:val="22"/>
          <w:lang w:val="en-US"/>
        </w:rPr>
        <w:t xml:space="preserve">"Defensive behaviour of building envelopes in indoor environments through thermal energy retention by incorporating PCMs in cement mortar layers". </w:t>
      </w:r>
      <w:r w:rsidRPr="00D00E8E">
        <w:rPr>
          <w:rStyle w:val="Emphasis"/>
          <w:rFonts w:ascii="Palatino Linotype" w:hAnsi="Palatino Linotype"/>
          <w:sz w:val="22"/>
          <w:szCs w:val="22"/>
          <w:lang w:val="en-US"/>
        </w:rPr>
        <w:t>Sustainable Energy Technologies and Assessments</w:t>
      </w:r>
      <w:r w:rsidRPr="00D00E8E">
        <w:rPr>
          <w:rFonts w:ascii="Palatino Linotype" w:hAnsi="Palatino Linotype"/>
          <w:sz w:val="22"/>
          <w:szCs w:val="22"/>
          <w:lang w:val="en-US"/>
        </w:rPr>
        <w:t xml:space="preserve"> 47 (2021) 101439. </w:t>
      </w:r>
      <w:hyperlink r:id="rId281" w:tgtFrame="_blank" w:tooltip="Persistent link using digital object identifier" w:history="1">
        <w:r w:rsidR="00D00E8E" w:rsidRPr="00D00E8E">
          <w:rPr>
            <w:rStyle w:val="Hyperlink"/>
            <w:rFonts w:ascii="Palatino Linotype" w:hAnsi="Palatino Linotype"/>
            <w:sz w:val="22"/>
            <w:szCs w:val="22"/>
            <w:lang w:val="en-US"/>
          </w:rPr>
          <w:t>https://doi.org/10.1016/j.seta.2021.101349</w:t>
        </w:r>
      </w:hyperlink>
    </w:p>
    <w:p w14:paraId="512343D4" w14:textId="2231EEC0" w:rsidR="00B4749A" w:rsidRPr="00D00E8E" w:rsidRDefault="00B4749A" w:rsidP="00D00E8E">
      <w:pPr>
        <w:pStyle w:val="NormalWeb"/>
        <w:numPr>
          <w:ilvl w:val="0"/>
          <w:numId w:val="15"/>
        </w:numPr>
        <w:jc w:val="both"/>
        <w:rPr>
          <w:rFonts w:ascii="Palatino Linotype" w:hAnsi="Palatino Linotype"/>
          <w:sz w:val="22"/>
          <w:szCs w:val="22"/>
        </w:rPr>
      </w:pPr>
      <w:r w:rsidRPr="00D00E8E">
        <w:rPr>
          <w:rFonts w:ascii="Palatino Linotype" w:hAnsi="Palatino Linotype"/>
          <w:sz w:val="22"/>
          <w:szCs w:val="22"/>
          <w:lang w:val="en-US"/>
        </w:rPr>
        <w:t xml:space="preserve">Z. Zhang, Q. Shi, S. Wang, K. Pang, X. Liu. "Thermal energy storage cement mortar containing n-octadecane expanded graphite composite phase change material". </w:t>
      </w:r>
      <w:r w:rsidRPr="00D00E8E">
        <w:rPr>
          <w:rStyle w:val="Emphasis"/>
          <w:rFonts w:ascii="Palatino Linotype" w:hAnsi="Palatino Linotype"/>
          <w:sz w:val="22"/>
          <w:szCs w:val="22"/>
        </w:rPr>
        <w:t>Renewable Energy</w:t>
      </w:r>
      <w:r w:rsidRPr="00D00E8E">
        <w:rPr>
          <w:rFonts w:ascii="Palatino Linotype" w:hAnsi="Palatino Linotype"/>
          <w:sz w:val="22"/>
          <w:szCs w:val="22"/>
        </w:rPr>
        <w:t xml:space="preserve"> 50 (2013) 670–675. </w:t>
      </w:r>
      <w:hyperlink r:id="rId282" w:tgtFrame="_blank" w:tooltip="Persistent link using digital object identifier" w:history="1">
        <w:r w:rsidR="00D00E8E" w:rsidRPr="00D00E8E">
          <w:rPr>
            <w:rStyle w:val="Hyperlink"/>
            <w:rFonts w:ascii="Palatino Linotype" w:hAnsi="Palatino Linotype"/>
            <w:sz w:val="22"/>
            <w:szCs w:val="22"/>
          </w:rPr>
          <w:t>https://doi.org/10.1016/j.renene.2012.08.024</w:t>
        </w:r>
      </w:hyperlink>
    </w:p>
    <w:p w14:paraId="50EE07C3" w14:textId="6A327474" w:rsidR="00B4749A" w:rsidRPr="00D00E8E" w:rsidRDefault="00B4749A" w:rsidP="00B4749A">
      <w:pPr>
        <w:pStyle w:val="NormalWeb"/>
        <w:numPr>
          <w:ilvl w:val="0"/>
          <w:numId w:val="15"/>
        </w:numPr>
        <w:jc w:val="both"/>
        <w:rPr>
          <w:rFonts w:ascii="Palatino Linotype" w:hAnsi="Palatino Linotype"/>
          <w:sz w:val="22"/>
          <w:szCs w:val="22"/>
          <w:lang w:val="en-US"/>
        </w:rPr>
      </w:pPr>
      <w:r w:rsidRPr="00D00E8E">
        <w:rPr>
          <w:rFonts w:ascii="Palatino Linotype" w:hAnsi="Palatino Linotype"/>
          <w:sz w:val="22"/>
          <w:szCs w:val="22"/>
          <w:lang w:val="en-US"/>
        </w:rPr>
        <w:t xml:space="preserve">N.B. Frahat, </w:t>
      </w:r>
      <w:r w:rsidR="00D00E8E" w:rsidRPr="00D00E8E">
        <w:rPr>
          <w:rFonts w:ascii="Palatino Linotype" w:hAnsi="Palatino Linotype"/>
          <w:sz w:val="22"/>
          <w:szCs w:val="22"/>
          <w:lang w:val="en-US"/>
        </w:rPr>
        <w:t>M. Amin</w:t>
      </w:r>
      <w:r w:rsidRPr="00D00E8E">
        <w:rPr>
          <w:rFonts w:ascii="Palatino Linotype" w:hAnsi="Palatino Linotype"/>
          <w:sz w:val="22"/>
          <w:szCs w:val="22"/>
          <w:lang w:val="en-US"/>
        </w:rPr>
        <w:t xml:space="preserve">, </w:t>
      </w:r>
      <w:r w:rsidR="00D00E8E" w:rsidRPr="00D00E8E">
        <w:rPr>
          <w:rFonts w:ascii="Palatino Linotype" w:hAnsi="Palatino Linotype"/>
          <w:sz w:val="22"/>
          <w:szCs w:val="22"/>
          <w:lang w:val="en-US"/>
        </w:rPr>
        <w:t xml:space="preserve">A. Mohamemed </w:t>
      </w:r>
      <w:r w:rsidRPr="00D00E8E">
        <w:rPr>
          <w:rFonts w:ascii="Palatino Linotype" w:hAnsi="Palatino Linotype"/>
          <w:sz w:val="22"/>
          <w:szCs w:val="22"/>
          <w:lang w:val="en-US"/>
        </w:rPr>
        <w:t xml:space="preserve">H. Meddah. </w:t>
      </w:r>
      <w:r w:rsidRPr="00100966">
        <w:rPr>
          <w:rFonts w:ascii="Palatino Linotype" w:hAnsi="Palatino Linotype"/>
          <w:sz w:val="22"/>
          <w:szCs w:val="22"/>
          <w:lang w:val="en-US"/>
        </w:rPr>
        <w:t>"</w:t>
      </w:r>
      <w:r w:rsidR="00D00E8E">
        <w:rPr>
          <w:rFonts w:ascii="Palatino Linotype" w:hAnsi="Palatino Linotype"/>
          <w:sz w:val="22"/>
          <w:szCs w:val="22"/>
          <w:lang w:val="en-US"/>
        </w:rPr>
        <w:t xml:space="preserve"> </w:t>
      </w:r>
      <w:r w:rsidR="00D00E8E" w:rsidRPr="00D00E8E">
        <w:rPr>
          <w:rFonts w:ascii="Palatino Linotype" w:hAnsi="Palatino Linotype"/>
          <w:sz w:val="22"/>
          <w:szCs w:val="22"/>
          <w:lang w:val="en-US"/>
        </w:rPr>
        <w:t>Optimizing microencapsulated PCM ratios of sustainable cement mortar for energy savings in buildings</w:t>
      </w:r>
      <w:r w:rsidRPr="00100966">
        <w:rPr>
          <w:rFonts w:ascii="Palatino Linotype" w:hAnsi="Palatino Linotype"/>
          <w:sz w:val="22"/>
          <w:szCs w:val="22"/>
          <w:lang w:val="en-US"/>
        </w:rPr>
        <w:t xml:space="preserve">". </w:t>
      </w:r>
      <w:r w:rsidRPr="00D00E8E">
        <w:rPr>
          <w:rStyle w:val="Emphasis"/>
          <w:rFonts w:ascii="Palatino Linotype" w:hAnsi="Palatino Linotype"/>
          <w:sz w:val="22"/>
          <w:szCs w:val="22"/>
          <w:lang w:val="en-US"/>
        </w:rPr>
        <w:t>Construction and Building Materials</w:t>
      </w:r>
      <w:r w:rsidRPr="00D00E8E">
        <w:rPr>
          <w:rFonts w:ascii="Palatino Linotype" w:hAnsi="Palatino Linotype"/>
          <w:sz w:val="22"/>
          <w:szCs w:val="22"/>
          <w:lang w:val="en-US"/>
        </w:rPr>
        <w:t xml:space="preserve"> </w:t>
      </w:r>
      <w:r w:rsidR="00D00E8E">
        <w:rPr>
          <w:rFonts w:ascii="Palatino Linotype" w:hAnsi="Palatino Linotype"/>
          <w:sz w:val="22"/>
          <w:szCs w:val="22"/>
          <w:lang w:val="en-US"/>
        </w:rPr>
        <w:t>391</w:t>
      </w:r>
      <w:r w:rsidRPr="00D00E8E">
        <w:rPr>
          <w:rFonts w:ascii="Palatino Linotype" w:hAnsi="Palatino Linotype"/>
          <w:sz w:val="22"/>
          <w:szCs w:val="22"/>
          <w:lang w:val="en-US"/>
        </w:rPr>
        <w:t xml:space="preserve"> (202</w:t>
      </w:r>
      <w:r w:rsidR="00D00E8E">
        <w:rPr>
          <w:rFonts w:ascii="Palatino Linotype" w:hAnsi="Palatino Linotype"/>
          <w:sz w:val="22"/>
          <w:szCs w:val="22"/>
          <w:lang w:val="en-US"/>
        </w:rPr>
        <w:t>3</w:t>
      </w:r>
      <w:r w:rsidRPr="00D00E8E">
        <w:rPr>
          <w:rFonts w:ascii="Palatino Linotype" w:hAnsi="Palatino Linotype"/>
          <w:sz w:val="22"/>
          <w:szCs w:val="22"/>
          <w:lang w:val="en-US"/>
        </w:rPr>
        <w:t xml:space="preserve">) </w:t>
      </w:r>
      <w:hyperlink r:id="rId283" w:tgtFrame="_blank" w:tooltip="Persistent link using digital object identifier" w:history="1">
        <w:r w:rsidR="00D00E8E" w:rsidRPr="00D00E8E">
          <w:rPr>
            <w:rStyle w:val="Hyperlink"/>
            <w:rFonts w:ascii="Palatino Linotype" w:hAnsi="Palatino Linotype"/>
            <w:sz w:val="22"/>
            <w:szCs w:val="22"/>
          </w:rPr>
          <w:t>https://doi.org/10.1016/j.conbuildmat.2023.131844</w:t>
        </w:r>
      </w:hyperlink>
    </w:p>
    <w:p w14:paraId="56ACA552" w14:textId="77777777" w:rsidR="00B4749A" w:rsidRPr="00100966"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rPr>
        <w:t xml:space="preserve">G. Li, Q. Xu, J. Zhang. </w:t>
      </w:r>
      <w:r w:rsidRPr="00100966">
        <w:rPr>
          <w:rFonts w:ascii="Palatino Linotype" w:hAnsi="Palatino Linotype"/>
          <w:sz w:val="22"/>
          <w:szCs w:val="22"/>
          <w:lang w:val="en-US"/>
        </w:rPr>
        <w:t xml:space="preserve">"Experimental investigation of thermal and mechanical performance of cement mortar with PCM for radiant floors". </w:t>
      </w:r>
      <w:r w:rsidRPr="00100966">
        <w:rPr>
          <w:rStyle w:val="Emphasis"/>
          <w:rFonts w:ascii="Palatino Linotype" w:hAnsi="Palatino Linotype"/>
          <w:sz w:val="22"/>
          <w:szCs w:val="22"/>
          <w:lang w:val="en-US"/>
        </w:rPr>
        <w:t>Case Studies in Construction Materials</w:t>
      </w:r>
      <w:r w:rsidRPr="00100966">
        <w:rPr>
          <w:rFonts w:ascii="Palatino Linotype" w:hAnsi="Palatino Linotype"/>
          <w:sz w:val="22"/>
          <w:szCs w:val="22"/>
          <w:lang w:val="en-US"/>
        </w:rPr>
        <w:t xml:space="preserve"> 20 (2024) e02958. </w:t>
      </w:r>
      <w:hyperlink r:id="rId284" w:tgtFrame="_new" w:history="1">
        <w:r w:rsidRPr="00100966">
          <w:rPr>
            <w:rStyle w:val="Hyperlink"/>
            <w:rFonts w:ascii="Palatino Linotype" w:hAnsi="Palatino Linotype"/>
            <w:sz w:val="22"/>
            <w:szCs w:val="22"/>
            <w:lang w:val="en-US"/>
          </w:rPr>
          <w:t>https://doi.org/10.1016/j.cscm.2024.e02958</w:t>
        </w:r>
      </w:hyperlink>
    </w:p>
    <w:p w14:paraId="384F20B1"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M. Alam, I. Sanjayan, P.X.W. Zou, S. Ramakrishnan, J. Wilson. "A comparative study on the effectiveness of passive and free cooling application methods of phase change materials for energy efficient retrofitting in residential buildings". </w:t>
      </w:r>
      <w:r w:rsidRPr="00100966">
        <w:rPr>
          <w:rStyle w:val="Emphasis"/>
          <w:rFonts w:ascii="Palatino Linotype" w:hAnsi="Palatino Linotype"/>
          <w:sz w:val="22"/>
          <w:szCs w:val="22"/>
        </w:rPr>
        <w:t>Procedia Engineering</w:t>
      </w:r>
      <w:r w:rsidRPr="00100966">
        <w:rPr>
          <w:rFonts w:ascii="Palatino Linotype" w:hAnsi="Palatino Linotype"/>
          <w:sz w:val="22"/>
          <w:szCs w:val="22"/>
        </w:rPr>
        <w:t xml:space="preserve"> 180 (2017) 993–1002. </w:t>
      </w:r>
      <w:hyperlink r:id="rId285" w:tgtFrame="_new" w:history="1">
        <w:r w:rsidRPr="00100966">
          <w:rPr>
            <w:rStyle w:val="Hyperlink"/>
            <w:rFonts w:ascii="Palatino Linotype" w:hAnsi="Palatino Linotype"/>
            <w:sz w:val="22"/>
            <w:szCs w:val="22"/>
          </w:rPr>
          <w:t>https://doi.org/10.1016/j.proeng.2017.04.259</w:t>
        </w:r>
      </w:hyperlink>
    </w:p>
    <w:p w14:paraId="4EA60157" w14:textId="77777777" w:rsidR="00B4749A" w:rsidRPr="00100966" w:rsidRDefault="00B4749A" w:rsidP="00B4749A">
      <w:pPr>
        <w:pStyle w:val="NormalWeb"/>
        <w:numPr>
          <w:ilvl w:val="0"/>
          <w:numId w:val="15"/>
        </w:numPr>
        <w:jc w:val="both"/>
        <w:rPr>
          <w:rFonts w:ascii="Palatino Linotype" w:hAnsi="Palatino Linotype"/>
          <w:sz w:val="22"/>
          <w:szCs w:val="22"/>
        </w:rPr>
      </w:pPr>
      <w:r w:rsidRPr="00F43E9A">
        <w:rPr>
          <w:rFonts w:ascii="Palatino Linotype" w:hAnsi="Palatino Linotype"/>
          <w:sz w:val="22"/>
          <w:szCs w:val="22"/>
        </w:rPr>
        <w:t xml:space="preserve">Y. Zhang, M.V. Boregy, J.F. Torres, Y. Zhao, X. Wang. </w:t>
      </w:r>
      <w:r w:rsidRPr="00100966">
        <w:rPr>
          <w:rFonts w:ascii="Palatino Linotype" w:hAnsi="Palatino Linotype"/>
          <w:sz w:val="22"/>
          <w:szCs w:val="22"/>
          <w:lang w:val="en-US"/>
        </w:rPr>
        <w:t xml:space="preserve">"Dynamic melting of encapsulated PCM in various geometries driven by natural convection of surrounding air: A modelling-based parametric study". </w:t>
      </w:r>
      <w:r w:rsidRPr="00100966">
        <w:rPr>
          <w:rStyle w:val="Emphasis"/>
          <w:rFonts w:ascii="Palatino Linotype" w:hAnsi="Palatino Linotype"/>
          <w:sz w:val="22"/>
          <w:szCs w:val="22"/>
        </w:rPr>
        <w:t>Journal of Energy Storage</w:t>
      </w:r>
      <w:r w:rsidRPr="00100966">
        <w:rPr>
          <w:rFonts w:ascii="Palatino Linotype" w:hAnsi="Palatino Linotype"/>
          <w:sz w:val="22"/>
          <w:szCs w:val="22"/>
        </w:rPr>
        <w:t xml:space="preserve"> 48 (2022) 103975. </w:t>
      </w:r>
      <w:hyperlink r:id="rId286" w:tgtFrame="_new" w:history="1">
        <w:r w:rsidRPr="00100966">
          <w:rPr>
            <w:rStyle w:val="Hyperlink"/>
            <w:rFonts w:ascii="Palatino Linotype" w:hAnsi="Palatino Linotype"/>
            <w:sz w:val="22"/>
            <w:szCs w:val="22"/>
          </w:rPr>
          <w:t>https://doi.org/10.1016/j.est.2022.103975</w:t>
        </w:r>
      </w:hyperlink>
    </w:p>
    <w:p w14:paraId="518E34AE" w14:textId="399079AE" w:rsidR="00B4749A" w:rsidRPr="00100966" w:rsidRDefault="00B4749A" w:rsidP="00B4749A">
      <w:pPr>
        <w:pStyle w:val="NormalWeb"/>
        <w:numPr>
          <w:ilvl w:val="0"/>
          <w:numId w:val="15"/>
        </w:numPr>
        <w:jc w:val="both"/>
        <w:rPr>
          <w:rFonts w:ascii="Palatino Linotype" w:hAnsi="Palatino Linotype"/>
          <w:sz w:val="22"/>
          <w:szCs w:val="22"/>
        </w:rPr>
      </w:pPr>
      <w:r w:rsidRPr="00804197">
        <w:rPr>
          <w:rFonts w:ascii="Palatino Linotype" w:hAnsi="Palatino Linotype"/>
          <w:sz w:val="22"/>
          <w:szCs w:val="22"/>
          <w:lang w:val="en-US"/>
        </w:rPr>
        <w:t xml:space="preserve">A. Weinlader, </w:t>
      </w:r>
      <w:r w:rsidR="00804197" w:rsidRPr="00804197">
        <w:rPr>
          <w:rFonts w:ascii="Palatino Linotype" w:hAnsi="Palatino Linotype"/>
          <w:sz w:val="22"/>
          <w:szCs w:val="22"/>
          <w:lang w:val="en-US"/>
        </w:rPr>
        <w:t>F. Klinker, M.Yasin</w:t>
      </w:r>
      <w:r w:rsidRPr="00804197">
        <w:rPr>
          <w:rFonts w:ascii="Palatino Linotype" w:hAnsi="Palatino Linotype"/>
          <w:sz w:val="22"/>
          <w:szCs w:val="22"/>
          <w:lang w:val="en-US"/>
        </w:rPr>
        <w:t xml:space="preserve">. </w:t>
      </w:r>
      <w:r w:rsidRPr="00100966">
        <w:rPr>
          <w:rFonts w:ascii="Palatino Linotype" w:hAnsi="Palatino Linotype"/>
          <w:sz w:val="22"/>
          <w:szCs w:val="22"/>
          <w:lang w:val="en-US"/>
        </w:rPr>
        <w:t xml:space="preserve">"PCM cooling ceilings in the Energy Efficiency Centre – Passive cooling potential of two different system designs". </w:t>
      </w:r>
      <w:r w:rsidRPr="00804197">
        <w:rPr>
          <w:rStyle w:val="Emphasis"/>
          <w:rFonts w:ascii="Palatino Linotype" w:hAnsi="Palatino Linotype"/>
          <w:sz w:val="22"/>
          <w:szCs w:val="22"/>
          <w:lang w:val="en-US"/>
        </w:rPr>
        <w:t>Energy and Buildings</w:t>
      </w:r>
      <w:r w:rsidRPr="00804197">
        <w:rPr>
          <w:rFonts w:ascii="Palatino Linotype" w:hAnsi="Palatino Linotype"/>
          <w:sz w:val="22"/>
          <w:szCs w:val="22"/>
          <w:lang w:val="en-US"/>
        </w:rPr>
        <w:t xml:space="preserve"> 119 (2016) 93–100. </w:t>
      </w:r>
      <w:hyperlink r:id="rId287" w:tgtFrame="_blank" w:tooltip="Persistent link using digital object identifier" w:history="1">
        <w:r w:rsidR="00804197" w:rsidRPr="00804197">
          <w:rPr>
            <w:rStyle w:val="Hyperlink"/>
            <w:rFonts w:ascii="Palatino Linotype" w:hAnsi="Palatino Linotype"/>
            <w:sz w:val="22"/>
            <w:szCs w:val="22"/>
          </w:rPr>
          <w:t>https://doi.org/10.1016/j.enbuild.2016.03.031</w:t>
        </w:r>
      </w:hyperlink>
    </w:p>
    <w:p w14:paraId="424EF828" w14:textId="13A29B7A" w:rsidR="00A64644" w:rsidRDefault="005B5001" w:rsidP="00A64644">
      <w:pPr>
        <w:pStyle w:val="NormalWeb"/>
        <w:numPr>
          <w:ilvl w:val="0"/>
          <w:numId w:val="15"/>
        </w:numPr>
        <w:jc w:val="both"/>
        <w:rPr>
          <w:rFonts w:ascii="Palatino Linotype" w:hAnsi="Palatino Linotype"/>
          <w:sz w:val="22"/>
          <w:szCs w:val="22"/>
        </w:rPr>
      </w:pPr>
      <w:r>
        <w:rPr>
          <w:rFonts w:ascii="Palatino Linotype" w:hAnsi="Palatino Linotype"/>
          <w:sz w:val="22"/>
          <w:szCs w:val="22"/>
          <w:lang w:val="en-US"/>
        </w:rPr>
        <w:t xml:space="preserve">J. </w:t>
      </w:r>
      <w:r w:rsidR="00B4749A" w:rsidRPr="00100966">
        <w:rPr>
          <w:rFonts w:ascii="Palatino Linotype" w:hAnsi="Palatino Linotype"/>
          <w:sz w:val="22"/>
          <w:szCs w:val="22"/>
          <w:lang w:val="en-US"/>
        </w:rPr>
        <w:t xml:space="preserve">Mustafa, </w:t>
      </w:r>
      <w:r w:rsidR="0009522A" w:rsidRPr="0009522A">
        <w:rPr>
          <w:rFonts w:ascii="Palatino Linotype" w:hAnsi="Palatino Linotype"/>
          <w:sz w:val="22"/>
          <w:szCs w:val="22"/>
          <w:lang w:val="en-US"/>
        </w:rPr>
        <w:t>S</w:t>
      </w:r>
      <w:r w:rsidR="0009522A">
        <w:rPr>
          <w:rFonts w:ascii="Palatino Linotype" w:hAnsi="Palatino Linotype"/>
          <w:sz w:val="22"/>
          <w:szCs w:val="22"/>
          <w:lang w:val="en-US"/>
        </w:rPr>
        <w:t>.</w:t>
      </w:r>
      <w:r w:rsidR="0009522A" w:rsidRPr="0009522A">
        <w:rPr>
          <w:rFonts w:ascii="Palatino Linotype" w:hAnsi="Palatino Linotype"/>
          <w:sz w:val="22"/>
          <w:szCs w:val="22"/>
          <w:lang w:val="en-US"/>
        </w:rPr>
        <w:t xml:space="preserve"> Alqaed, M</w:t>
      </w:r>
      <w:r w:rsidR="0009522A">
        <w:rPr>
          <w:rFonts w:ascii="Palatino Linotype" w:hAnsi="Palatino Linotype"/>
          <w:sz w:val="22"/>
          <w:szCs w:val="22"/>
          <w:lang w:val="en-US"/>
        </w:rPr>
        <w:t>.</w:t>
      </w:r>
      <w:r w:rsidR="0009522A" w:rsidRPr="0009522A">
        <w:rPr>
          <w:rFonts w:ascii="Palatino Linotype" w:hAnsi="Palatino Linotype"/>
          <w:sz w:val="22"/>
          <w:szCs w:val="22"/>
          <w:lang w:val="en-US"/>
        </w:rPr>
        <w:t xml:space="preserve"> Sharifpur</w:t>
      </w:r>
      <w:r w:rsidR="00B4749A" w:rsidRPr="00100966">
        <w:rPr>
          <w:rFonts w:ascii="Palatino Linotype" w:hAnsi="Palatino Linotype"/>
          <w:sz w:val="22"/>
          <w:szCs w:val="22"/>
          <w:lang w:val="en-US"/>
        </w:rPr>
        <w:t xml:space="preserve">. "PCM embedded radiant chilled ceilings with nanofluid heat exchangers for improved solidification and cooling efficiency". </w:t>
      </w:r>
      <w:r w:rsidR="0009522A" w:rsidRPr="0009522A">
        <w:rPr>
          <w:rStyle w:val="Emphasis"/>
          <w:rFonts w:ascii="Palatino Linotype" w:hAnsi="Palatino Linotype"/>
          <w:sz w:val="22"/>
          <w:szCs w:val="22"/>
        </w:rPr>
        <w:t>Journal of Building Engineering</w:t>
      </w:r>
      <w:r w:rsidR="00B4749A" w:rsidRPr="00100966">
        <w:rPr>
          <w:rFonts w:ascii="Palatino Linotype" w:hAnsi="Palatino Linotype"/>
          <w:sz w:val="22"/>
          <w:szCs w:val="22"/>
        </w:rPr>
        <w:t xml:space="preserve"> </w:t>
      </w:r>
      <w:r w:rsidR="006411D3">
        <w:rPr>
          <w:rFonts w:ascii="Palatino Linotype" w:hAnsi="Palatino Linotype"/>
          <w:sz w:val="22"/>
          <w:szCs w:val="22"/>
        </w:rPr>
        <w:t>57</w:t>
      </w:r>
      <w:r w:rsidR="00B4749A" w:rsidRPr="00100966">
        <w:rPr>
          <w:rFonts w:ascii="Palatino Linotype" w:hAnsi="Palatino Linotype"/>
          <w:sz w:val="22"/>
          <w:szCs w:val="22"/>
        </w:rPr>
        <w:t xml:space="preserve"> (2022) </w:t>
      </w:r>
      <w:r w:rsidR="006411D3" w:rsidRPr="006411D3">
        <w:rPr>
          <w:rFonts w:ascii="Palatino Linotype" w:hAnsi="Palatino Linotype"/>
          <w:sz w:val="22"/>
          <w:szCs w:val="22"/>
        </w:rPr>
        <w:t>104894</w:t>
      </w:r>
      <w:r w:rsidR="00B4749A" w:rsidRPr="00100966">
        <w:rPr>
          <w:rFonts w:ascii="Palatino Linotype" w:hAnsi="Palatino Linotype"/>
          <w:sz w:val="22"/>
          <w:szCs w:val="22"/>
        </w:rPr>
        <w:t xml:space="preserve">. </w:t>
      </w:r>
      <w:hyperlink r:id="rId288" w:history="1">
        <w:r w:rsidR="00A64644" w:rsidRPr="00FB3BE2">
          <w:rPr>
            <w:rStyle w:val="Hyperlink"/>
          </w:rPr>
          <w:t>https://doi.org/10.1016/j.jobe.2022.104894</w:t>
        </w:r>
      </w:hyperlink>
    </w:p>
    <w:p w14:paraId="5800B4D6" w14:textId="261660A6" w:rsidR="00B4749A" w:rsidRDefault="00B4749A" w:rsidP="00A64644">
      <w:pPr>
        <w:pStyle w:val="NormalWeb"/>
        <w:numPr>
          <w:ilvl w:val="0"/>
          <w:numId w:val="15"/>
        </w:numPr>
        <w:jc w:val="both"/>
        <w:rPr>
          <w:rFonts w:ascii="Palatino Linotype" w:hAnsi="Palatino Linotype"/>
          <w:sz w:val="22"/>
          <w:szCs w:val="22"/>
          <w:lang w:val="en-US"/>
        </w:rPr>
      </w:pPr>
      <w:r w:rsidRPr="00F43E9A">
        <w:rPr>
          <w:rFonts w:ascii="Palatino Linotype" w:hAnsi="Palatino Linotype"/>
          <w:sz w:val="22"/>
          <w:szCs w:val="22"/>
        </w:rPr>
        <w:t xml:space="preserve">H. Lim, S.Z. Kang, B.W. Olsen, K. Hah. </w:t>
      </w:r>
      <w:r w:rsidRPr="00A64644">
        <w:rPr>
          <w:rFonts w:ascii="Palatino Linotype" w:hAnsi="Palatino Linotype"/>
          <w:sz w:val="22"/>
          <w:szCs w:val="22"/>
          <w:lang w:val="en-US"/>
        </w:rPr>
        <w:t xml:space="preserve">"Thermoelectric air-conditioning using applications with heat-transfer technologies in PCM panels". </w:t>
      </w:r>
      <w:r w:rsidRPr="00A64644">
        <w:rPr>
          <w:rStyle w:val="Emphasis"/>
          <w:rFonts w:ascii="Palatino Linotype" w:hAnsi="Palatino Linotype"/>
          <w:sz w:val="22"/>
          <w:szCs w:val="22"/>
          <w:lang w:val="en-US"/>
        </w:rPr>
        <w:t>Journal of Air Conditioning and Refrigeration</w:t>
      </w:r>
      <w:r w:rsidRPr="00A64644">
        <w:rPr>
          <w:rFonts w:ascii="Palatino Linotype" w:hAnsi="Palatino Linotype"/>
          <w:sz w:val="22"/>
          <w:szCs w:val="22"/>
          <w:lang w:val="en-US"/>
        </w:rPr>
        <w:t xml:space="preserve"> 2</w:t>
      </w:r>
      <w:r w:rsidR="005A274D">
        <w:rPr>
          <w:rFonts w:ascii="Palatino Linotype" w:hAnsi="Palatino Linotype"/>
          <w:sz w:val="22"/>
          <w:szCs w:val="22"/>
          <w:lang w:val="en-US"/>
        </w:rPr>
        <w:t xml:space="preserve">7 </w:t>
      </w:r>
      <w:r w:rsidRPr="00A64644">
        <w:rPr>
          <w:rFonts w:ascii="Palatino Linotype" w:hAnsi="Palatino Linotype"/>
          <w:sz w:val="22"/>
          <w:szCs w:val="22"/>
          <w:lang w:val="en-US"/>
        </w:rPr>
        <w:t>(2019) 1–17.</w:t>
      </w:r>
      <w:r w:rsidR="00A64644" w:rsidRPr="00A64644">
        <w:rPr>
          <w:rFonts w:ascii="Palatino Linotype" w:hAnsi="Palatino Linotype"/>
          <w:sz w:val="22"/>
          <w:szCs w:val="22"/>
          <w:lang w:val="en-US"/>
        </w:rPr>
        <w:t xml:space="preserve"> </w:t>
      </w:r>
      <w:hyperlink r:id="rId289" w:history="1">
        <w:r w:rsidR="00A64644" w:rsidRPr="00FB3BE2">
          <w:rPr>
            <w:rStyle w:val="Hyperlink"/>
            <w:rFonts w:ascii="Palatino Linotype" w:hAnsi="Palatino Linotype"/>
            <w:sz w:val="22"/>
            <w:szCs w:val="22"/>
            <w:lang w:val="en-US"/>
          </w:rPr>
          <w:t>https://doi.org/10.1142/S2010132519300027</w:t>
        </w:r>
      </w:hyperlink>
      <w:r w:rsidR="00A64644" w:rsidRPr="00A64644">
        <w:rPr>
          <w:rFonts w:ascii="Palatino Linotype" w:hAnsi="Palatino Linotype"/>
          <w:sz w:val="22"/>
          <w:szCs w:val="22"/>
          <w:lang w:val="en-US"/>
        </w:rPr>
        <w:t>.</w:t>
      </w:r>
    </w:p>
    <w:p w14:paraId="2E264E3C" w14:textId="77777777" w:rsidR="00B4749A" w:rsidRPr="00A64644" w:rsidRDefault="00B4749A" w:rsidP="00A64644">
      <w:pPr>
        <w:pStyle w:val="NormalWeb"/>
        <w:numPr>
          <w:ilvl w:val="0"/>
          <w:numId w:val="15"/>
        </w:numPr>
        <w:jc w:val="both"/>
        <w:rPr>
          <w:rFonts w:ascii="Palatino Linotype" w:hAnsi="Palatino Linotype"/>
          <w:sz w:val="22"/>
          <w:szCs w:val="22"/>
          <w:lang w:val="en-US"/>
        </w:rPr>
      </w:pPr>
      <w:r w:rsidRPr="00A64644">
        <w:rPr>
          <w:rFonts w:ascii="Palatino Linotype" w:hAnsi="Palatino Linotype"/>
          <w:sz w:val="22"/>
          <w:szCs w:val="22"/>
          <w:lang w:val="en-US"/>
        </w:rPr>
        <w:lastRenderedPageBreak/>
        <w:t xml:space="preserve">A. Pasupathy, R. Velraj. "Effect of double layer phase change material in building roof for year round thermal management". </w:t>
      </w:r>
      <w:r w:rsidRPr="00A64644">
        <w:rPr>
          <w:rStyle w:val="Emphasis"/>
          <w:rFonts w:ascii="Palatino Linotype" w:hAnsi="Palatino Linotype"/>
          <w:sz w:val="22"/>
          <w:szCs w:val="22"/>
        </w:rPr>
        <w:t>Energy and Buildings</w:t>
      </w:r>
      <w:r w:rsidRPr="00A64644">
        <w:rPr>
          <w:rFonts w:ascii="Palatino Linotype" w:hAnsi="Palatino Linotype"/>
          <w:sz w:val="22"/>
          <w:szCs w:val="22"/>
        </w:rPr>
        <w:t xml:space="preserve"> 40 (2008) 193–203. </w:t>
      </w:r>
      <w:hyperlink r:id="rId290" w:tgtFrame="_new" w:history="1">
        <w:r w:rsidRPr="00A64644">
          <w:rPr>
            <w:rStyle w:val="Hyperlink"/>
            <w:rFonts w:ascii="Palatino Linotype" w:hAnsi="Palatino Linotype"/>
            <w:sz w:val="22"/>
            <w:szCs w:val="22"/>
          </w:rPr>
          <w:t>https://doi.org/10.1016/j.enbuild.2007.02.016</w:t>
        </w:r>
      </w:hyperlink>
    </w:p>
    <w:p w14:paraId="0E942699" w14:textId="6C24F60F" w:rsidR="00B4749A" w:rsidRPr="00100966" w:rsidRDefault="00A64644" w:rsidP="00B4749A">
      <w:pPr>
        <w:pStyle w:val="NormalWeb"/>
        <w:numPr>
          <w:ilvl w:val="0"/>
          <w:numId w:val="15"/>
        </w:numPr>
        <w:jc w:val="both"/>
        <w:rPr>
          <w:rFonts w:ascii="Palatino Linotype" w:hAnsi="Palatino Linotype"/>
          <w:sz w:val="22"/>
          <w:szCs w:val="22"/>
        </w:rPr>
      </w:pPr>
      <w:r>
        <w:rPr>
          <w:rFonts w:ascii="Palatino Linotype" w:hAnsi="Palatino Linotype"/>
          <w:sz w:val="22"/>
          <w:szCs w:val="22"/>
          <w:lang w:val="nb-NO"/>
        </w:rPr>
        <w:t>J.</w:t>
      </w:r>
      <w:r w:rsidR="00B4749A" w:rsidRPr="00100966">
        <w:rPr>
          <w:rFonts w:ascii="Palatino Linotype" w:hAnsi="Palatino Linotype"/>
          <w:sz w:val="22"/>
          <w:szCs w:val="22"/>
          <w:lang w:val="nb-NO"/>
        </w:rPr>
        <w:t xml:space="preserve">Kośny, K. Biswas, M. Wifler, S. Kriner. </w:t>
      </w:r>
      <w:r w:rsidR="00B4749A" w:rsidRPr="00100966">
        <w:rPr>
          <w:rFonts w:ascii="Palatino Linotype" w:hAnsi="Palatino Linotype"/>
          <w:sz w:val="22"/>
          <w:szCs w:val="22"/>
          <w:lang w:val="en-US"/>
        </w:rPr>
        <w:t xml:space="preserve">"Field thermal performance of naturally ventilated solar roof with PCM heat sink". </w:t>
      </w:r>
      <w:r w:rsidR="00B4749A" w:rsidRPr="00100966">
        <w:rPr>
          <w:rStyle w:val="Emphasis"/>
          <w:rFonts w:ascii="Palatino Linotype" w:hAnsi="Palatino Linotype"/>
          <w:sz w:val="22"/>
          <w:szCs w:val="22"/>
        </w:rPr>
        <w:t>Solar Energy</w:t>
      </w:r>
      <w:r w:rsidR="00B4749A" w:rsidRPr="00100966">
        <w:rPr>
          <w:rFonts w:ascii="Palatino Linotype" w:hAnsi="Palatino Linotype"/>
          <w:sz w:val="22"/>
          <w:szCs w:val="22"/>
        </w:rPr>
        <w:t xml:space="preserve"> 86 (2012) 2504–2514. </w:t>
      </w:r>
      <w:hyperlink r:id="rId291" w:tgtFrame="_new" w:history="1">
        <w:r w:rsidR="00B4749A" w:rsidRPr="00100966">
          <w:rPr>
            <w:rStyle w:val="Hyperlink"/>
            <w:rFonts w:ascii="Palatino Linotype" w:hAnsi="Palatino Linotype"/>
            <w:sz w:val="22"/>
            <w:szCs w:val="22"/>
          </w:rPr>
          <w:t>https://doi.org/10.1016/j.solener.2012.05.020</w:t>
        </w:r>
      </w:hyperlink>
    </w:p>
    <w:p w14:paraId="6499640B"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M. Elawady, M.R. Bekheit, A.A. Sultan, A. Radwan. "Energy assessment of a roof-integrated phase change materials, long-term numerical analysis with experimental validation". </w:t>
      </w:r>
      <w:r w:rsidRPr="00100966">
        <w:rPr>
          <w:rStyle w:val="Emphasis"/>
          <w:rFonts w:ascii="Palatino Linotype" w:hAnsi="Palatino Linotype"/>
          <w:sz w:val="22"/>
          <w:szCs w:val="22"/>
        </w:rPr>
        <w:t>Applied Thermal Engineering</w:t>
      </w:r>
      <w:r w:rsidRPr="00100966">
        <w:rPr>
          <w:rFonts w:ascii="Palatino Linotype" w:hAnsi="Palatino Linotype"/>
          <w:sz w:val="22"/>
          <w:szCs w:val="22"/>
        </w:rPr>
        <w:t xml:space="preserve"> 202 (2022) 117773. </w:t>
      </w:r>
      <w:hyperlink r:id="rId292" w:tgtFrame="_new" w:history="1">
        <w:r w:rsidRPr="00100966">
          <w:rPr>
            <w:rStyle w:val="Hyperlink"/>
            <w:rFonts w:ascii="Palatino Linotype" w:hAnsi="Palatino Linotype"/>
            <w:sz w:val="22"/>
            <w:szCs w:val="22"/>
          </w:rPr>
          <w:t>https://doi.org/10.1016/j.applthermaleng.2021.117773</w:t>
        </w:r>
      </w:hyperlink>
    </w:p>
    <w:p w14:paraId="6B9FD721"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rPr>
        <w:t xml:space="preserve">H. Elarga, S. Fantucci, V. Serra, R. Zecchin, B. Benini. </w:t>
      </w:r>
      <w:r w:rsidRPr="00100966">
        <w:rPr>
          <w:rFonts w:ascii="Palatino Linotype" w:hAnsi="Palatino Linotype"/>
          <w:sz w:val="22"/>
          <w:szCs w:val="22"/>
          <w:lang w:val="en-US"/>
        </w:rPr>
        <w:t xml:space="preserve">"Experimental analyses on thermal performance of different typologies of PCMs integrated in the roof space". </w:t>
      </w:r>
      <w:r w:rsidRPr="00100966">
        <w:rPr>
          <w:rStyle w:val="Emphasis"/>
          <w:rFonts w:ascii="Palatino Linotype" w:hAnsi="Palatino Linotype"/>
          <w:sz w:val="22"/>
          <w:szCs w:val="22"/>
        </w:rPr>
        <w:t>Energy and Buildings</w:t>
      </w:r>
      <w:r w:rsidRPr="00100966">
        <w:rPr>
          <w:rFonts w:ascii="Palatino Linotype" w:hAnsi="Palatino Linotype"/>
          <w:sz w:val="22"/>
          <w:szCs w:val="22"/>
        </w:rPr>
        <w:t xml:space="preserve"> 157 (2017) 554–557. </w:t>
      </w:r>
      <w:hyperlink r:id="rId293" w:tgtFrame="_new" w:history="1">
        <w:r w:rsidRPr="00100966">
          <w:rPr>
            <w:rStyle w:val="Hyperlink"/>
            <w:rFonts w:ascii="Palatino Linotype" w:hAnsi="Palatino Linotype"/>
            <w:sz w:val="22"/>
            <w:szCs w:val="22"/>
          </w:rPr>
          <w:t>https://doi.org/10.1016/j.enbuild.2017.06.038</w:t>
        </w:r>
      </w:hyperlink>
    </w:p>
    <w:p w14:paraId="6E0D04B9"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E. Meng, J. Wang, H. Ryu, B. Cai, Y. Shen, B. Zhou. "Experimental thermal performance of the high reflectivity-phase change material (PCM) in summer". </w:t>
      </w:r>
      <w:r w:rsidRPr="00100966">
        <w:rPr>
          <w:rStyle w:val="Emphasis"/>
          <w:rFonts w:ascii="Palatino Linotype" w:hAnsi="Palatino Linotype"/>
          <w:sz w:val="22"/>
          <w:szCs w:val="22"/>
        </w:rPr>
        <w:t>Building and Environment</w:t>
      </w:r>
      <w:r w:rsidRPr="00100966">
        <w:rPr>
          <w:rFonts w:ascii="Palatino Linotype" w:hAnsi="Palatino Linotype"/>
          <w:sz w:val="22"/>
          <w:szCs w:val="22"/>
        </w:rPr>
        <w:t xml:space="preserve"> 164 (2019) 106381. </w:t>
      </w:r>
      <w:hyperlink r:id="rId294" w:tgtFrame="_new" w:history="1">
        <w:r w:rsidRPr="00100966">
          <w:rPr>
            <w:rStyle w:val="Hyperlink"/>
            <w:rFonts w:ascii="Palatino Linotype" w:hAnsi="Palatino Linotype"/>
            <w:sz w:val="22"/>
            <w:szCs w:val="22"/>
          </w:rPr>
          <w:t>https://doi.org/10.1016/j.buildenv.2019.106381</w:t>
        </w:r>
      </w:hyperlink>
    </w:p>
    <w:p w14:paraId="047B113E"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rPr>
        <w:t xml:space="preserve">S. Zhang, Y. Ma, D. Li, C. Liu, R. Yang. </w:t>
      </w:r>
      <w:r w:rsidRPr="00100966">
        <w:rPr>
          <w:rFonts w:ascii="Palatino Linotype" w:hAnsi="Palatino Linotype"/>
          <w:sz w:val="22"/>
          <w:szCs w:val="22"/>
          <w:lang w:val="en-US"/>
        </w:rPr>
        <w:t xml:space="preserve">"Thermal performance of a reversible multiple-glazing roof filled with two PCM". </w:t>
      </w:r>
      <w:r w:rsidRPr="00100966">
        <w:rPr>
          <w:rStyle w:val="Emphasis"/>
          <w:rFonts w:ascii="Palatino Linotype" w:hAnsi="Palatino Linotype"/>
          <w:sz w:val="22"/>
          <w:szCs w:val="22"/>
        </w:rPr>
        <w:t>Renewable Energy</w:t>
      </w:r>
      <w:r w:rsidRPr="00100966">
        <w:rPr>
          <w:rFonts w:ascii="Palatino Linotype" w:hAnsi="Palatino Linotype"/>
          <w:sz w:val="22"/>
          <w:szCs w:val="22"/>
        </w:rPr>
        <w:t xml:space="preserve"> 182 (2022) 1080–1093. </w:t>
      </w:r>
      <w:hyperlink r:id="rId295" w:tgtFrame="_new" w:history="1">
        <w:r w:rsidRPr="00100966">
          <w:rPr>
            <w:rStyle w:val="Hyperlink"/>
            <w:rFonts w:ascii="Palatino Linotype" w:hAnsi="Palatino Linotype"/>
            <w:sz w:val="22"/>
            <w:szCs w:val="22"/>
          </w:rPr>
          <w:t>https://doi.org/10.1016/j.renene.2021.11.008</w:t>
        </w:r>
      </w:hyperlink>
    </w:p>
    <w:p w14:paraId="00511786"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P.J. Abass, S. Muthulingam. "Thermal energy storage performance of biaxial voided RCC roof slab integrated with macroencapsulated PCM for passive cooling of buildings". </w:t>
      </w:r>
      <w:r w:rsidRPr="00100966">
        <w:rPr>
          <w:rStyle w:val="Emphasis"/>
          <w:rFonts w:ascii="Palatino Linotype" w:hAnsi="Palatino Linotype"/>
          <w:sz w:val="22"/>
          <w:szCs w:val="22"/>
        </w:rPr>
        <w:t>Journal of Energy Storage</w:t>
      </w:r>
      <w:r w:rsidRPr="00100966">
        <w:rPr>
          <w:rFonts w:ascii="Palatino Linotype" w:hAnsi="Palatino Linotype"/>
          <w:sz w:val="22"/>
          <w:szCs w:val="22"/>
        </w:rPr>
        <w:t xml:space="preserve"> 88 (2024) 111478. </w:t>
      </w:r>
      <w:hyperlink r:id="rId296" w:tgtFrame="_new" w:history="1">
        <w:r w:rsidRPr="00100966">
          <w:rPr>
            <w:rStyle w:val="Hyperlink"/>
            <w:rFonts w:ascii="Palatino Linotype" w:hAnsi="Palatino Linotype"/>
            <w:sz w:val="22"/>
            <w:szCs w:val="22"/>
          </w:rPr>
          <w:t>https://doi.org/10.1016/j.est.2024.111478</w:t>
        </w:r>
      </w:hyperlink>
    </w:p>
    <w:p w14:paraId="4200124C"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rPr>
        <w:t xml:space="preserve">A. Tokuc, G. Taspinar, A. Yesilata. </w:t>
      </w:r>
      <w:r w:rsidRPr="00100966">
        <w:rPr>
          <w:rFonts w:ascii="Palatino Linotype" w:hAnsi="Palatino Linotype"/>
          <w:sz w:val="22"/>
          <w:szCs w:val="22"/>
          <w:lang w:val="en-US"/>
        </w:rPr>
        <w:t xml:space="preserve">"An experimental and numerical investigation of the use of phase change materials in building elements: The case of a flat roof in Istanbul". </w:t>
      </w:r>
      <w:r w:rsidRPr="00100966">
        <w:rPr>
          <w:rStyle w:val="Emphasis"/>
          <w:rFonts w:ascii="Palatino Linotype" w:hAnsi="Palatino Linotype"/>
          <w:sz w:val="22"/>
          <w:szCs w:val="22"/>
        </w:rPr>
        <w:t>Energy and Buildings</w:t>
      </w:r>
      <w:r w:rsidRPr="00100966">
        <w:rPr>
          <w:rFonts w:ascii="Palatino Linotype" w:hAnsi="Palatino Linotype"/>
          <w:sz w:val="22"/>
          <w:szCs w:val="22"/>
        </w:rPr>
        <w:t xml:space="preserve"> 102 (2015) 91–104. </w:t>
      </w:r>
      <w:hyperlink r:id="rId297" w:tgtFrame="_new" w:history="1">
        <w:r w:rsidRPr="00100966">
          <w:rPr>
            <w:rStyle w:val="Hyperlink"/>
            <w:rFonts w:ascii="Palatino Linotype" w:hAnsi="Palatino Linotype"/>
            <w:sz w:val="22"/>
            <w:szCs w:val="22"/>
          </w:rPr>
          <w:t>https://doi.org/10.1016/j.enbuild.2015.04.039</w:t>
        </w:r>
      </w:hyperlink>
    </w:p>
    <w:p w14:paraId="17CAC44E" w14:textId="0E496C91" w:rsidR="00B4749A" w:rsidRPr="00100966" w:rsidRDefault="0096196C" w:rsidP="00B4749A">
      <w:pPr>
        <w:pStyle w:val="NormalWeb"/>
        <w:numPr>
          <w:ilvl w:val="0"/>
          <w:numId w:val="15"/>
        </w:numPr>
        <w:jc w:val="both"/>
        <w:rPr>
          <w:rFonts w:ascii="Palatino Linotype" w:hAnsi="Palatino Linotype"/>
          <w:sz w:val="22"/>
          <w:szCs w:val="22"/>
        </w:rPr>
      </w:pPr>
      <w:r>
        <w:rPr>
          <w:rFonts w:ascii="Palatino Linotype" w:hAnsi="Palatino Linotype"/>
          <w:sz w:val="22"/>
          <w:szCs w:val="22"/>
          <w:lang w:val="en-US"/>
        </w:rPr>
        <w:t>L</w:t>
      </w:r>
      <w:r w:rsidR="00B4749A" w:rsidRPr="00100966">
        <w:rPr>
          <w:rFonts w:ascii="Palatino Linotype" w:hAnsi="Palatino Linotype"/>
          <w:sz w:val="22"/>
          <w:szCs w:val="22"/>
          <w:lang w:val="en-US"/>
        </w:rPr>
        <w:t>. Karim, F. Bar</w:t>
      </w:r>
      <w:r>
        <w:rPr>
          <w:rFonts w:ascii="Palatino Linotype" w:hAnsi="Palatino Linotype"/>
          <w:sz w:val="22"/>
          <w:szCs w:val="22"/>
          <w:lang w:val="en-US"/>
        </w:rPr>
        <w:t>beon</w:t>
      </w:r>
      <w:r w:rsidR="00B4749A" w:rsidRPr="00100966">
        <w:rPr>
          <w:rFonts w:ascii="Palatino Linotype" w:hAnsi="Palatino Linotype"/>
          <w:sz w:val="22"/>
          <w:szCs w:val="22"/>
          <w:lang w:val="en-US"/>
        </w:rPr>
        <w:t>, P. G</w:t>
      </w:r>
      <w:r>
        <w:rPr>
          <w:rFonts w:ascii="Palatino Linotype" w:hAnsi="Palatino Linotype"/>
          <w:sz w:val="22"/>
          <w:szCs w:val="22"/>
          <w:lang w:val="en-US"/>
        </w:rPr>
        <w:t>egout</w:t>
      </w:r>
      <w:r w:rsidR="00B4749A" w:rsidRPr="00100966">
        <w:rPr>
          <w:rFonts w:ascii="Palatino Linotype" w:hAnsi="Palatino Linotype"/>
          <w:sz w:val="22"/>
          <w:szCs w:val="22"/>
          <w:lang w:val="en-US"/>
        </w:rPr>
        <w:t>, A. B</w:t>
      </w:r>
      <w:r>
        <w:rPr>
          <w:rFonts w:ascii="Palatino Linotype" w:hAnsi="Palatino Linotype"/>
          <w:sz w:val="22"/>
          <w:szCs w:val="22"/>
          <w:lang w:val="en-US"/>
        </w:rPr>
        <w:t>ontemps</w:t>
      </w:r>
      <w:r w:rsidR="00B4749A" w:rsidRPr="00100966">
        <w:rPr>
          <w:rFonts w:ascii="Palatino Linotype" w:hAnsi="Palatino Linotype"/>
          <w:sz w:val="22"/>
          <w:szCs w:val="22"/>
          <w:lang w:val="en-US"/>
        </w:rPr>
        <w:t xml:space="preserve">, L. Royon. "New phase-change material composites for thermal management of the lightweight envelope of buildings". </w:t>
      </w:r>
      <w:r w:rsidR="00B4749A" w:rsidRPr="00100966">
        <w:rPr>
          <w:rStyle w:val="Emphasis"/>
          <w:rFonts w:ascii="Palatino Linotype" w:hAnsi="Palatino Linotype"/>
          <w:sz w:val="22"/>
          <w:szCs w:val="22"/>
        </w:rPr>
        <w:t>Energy and Buildings</w:t>
      </w:r>
      <w:r w:rsidR="00B4749A" w:rsidRPr="00100966">
        <w:rPr>
          <w:rFonts w:ascii="Palatino Linotype" w:hAnsi="Palatino Linotype"/>
          <w:sz w:val="22"/>
          <w:szCs w:val="22"/>
        </w:rPr>
        <w:t xml:space="preserve"> 68 (2014) 703–706</w:t>
      </w:r>
      <w:r>
        <w:rPr>
          <w:rFonts w:ascii="Palatino Linotype" w:hAnsi="Palatino Linotype"/>
          <w:sz w:val="22"/>
          <w:szCs w:val="22"/>
        </w:rPr>
        <w:t xml:space="preserve">. </w:t>
      </w:r>
      <w:hyperlink r:id="rId298" w:history="1">
        <w:r w:rsidRPr="00FE44E7">
          <w:rPr>
            <w:rStyle w:val="Hyperlink"/>
            <w:rFonts w:ascii="Palatino Linotype" w:hAnsi="Palatino Linotype"/>
            <w:sz w:val="22"/>
            <w:szCs w:val="22"/>
          </w:rPr>
          <w:t>https://doi.org/10.1016/j.enbuild.2013.08.056</w:t>
        </w:r>
      </w:hyperlink>
    </w:p>
    <w:p w14:paraId="58D9AC44" w14:textId="64B8FF29" w:rsidR="00B4749A" w:rsidRPr="00100966" w:rsidRDefault="00A64644" w:rsidP="00B4749A">
      <w:pPr>
        <w:pStyle w:val="NormalWeb"/>
        <w:numPr>
          <w:ilvl w:val="0"/>
          <w:numId w:val="15"/>
        </w:numPr>
        <w:jc w:val="both"/>
        <w:rPr>
          <w:rFonts w:ascii="Palatino Linotype" w:hAnsi="Palatino Linotype"/>
          <w:sz w:val="22"/>
          <w:szCs w:val="22"/>
        </w:rPr>
      </w:pPr>
      <w:r>
        <w:rPr>
          <w:rFonts w:ascii="Palatino Linotype" w:hAnsi="Palatino Linotype"/>
          <w:sz w:val="22"/>
          <w:szCs w:val="22"/>
          <w:lang w:val="en-US"/>
        </w:rPr>
        <w:t>J.</w:t>
      </w:r>
      <w:r w:rsidR="00B4749A" w:rsidRPr="00100966">
        <w:rPr>
          <w:rFonts w:ascii="Palatino Linotype" w:hAnsi="Palatino Linotype"/>
          <w:sz w:val="22"/>
          <w:szCs w:val="22"/>
          <w:lang w:val="en-US"/>
        </w:rPr>
        <w:t xml:space="preserve">Guo, Y. Jiang. "A semi-analytical model for evaluating the thermal storage capacity and heat use efficiency of flexible thermal storage heating floor". </w:t>
      </w:r>
      <w:r w:rsidR="00B4749A" w:rsidRPr="00100966">
        <w:rPr>
          <w:rStyle w:val="Emphasis"/>
          <w:rFonts w:ascii="Palatino Linotype" w:hAnsi="Palatino Linotype"/>
          <w:sz w:val="22"/>
          <w:szCs w:val="22"/>
        </w:rPr>
        <w:t>Applied Thermal Engineering</w:t>
      </w:r>
      <w:r w:rsidR="00B4749A" w:rsidRPr="00100966">
        <w:rPr>
          <w:rFonts w:ascii="Palatino Linotype" w:hAnsi="Palatino Linotype"/>
          <w:sz w:val="22"/>
          <w:szCs w:val="22"/>
        </w:rPr>
        <w:t xml:space="preserve"> 198 (2021) 117448. </w:t>
      </w:r>
      <w:hyperlink r:id="rId299" w:tgtFrame="_new" w:history="1">
        <w:r w:rsidR="00B4749A" w:rsidRPr="00100966">
          <w:rPr>
            <w:rStyle w:val="Hyperlink"/>
            <w:rFonts w:ascii="Palatino Linotype" w:hAnsi="Palatino Linotype"/>
            <w:sz w:val="22"/>
            <w:szCs w:val="22"/>
          </w:rPr>
          <w:t>https://doi.org/10.1016/j.applthermaleng.2021.117448</w:t>
        </w:r>
      </w:hyperlink>
      <w:r w:rsidR="00B4749A" w:rsidRPr="00100966">
        <w:rPr>
          <w:rFonts w:ascii="Palatino Linotype" w:hAnsi="Palatino Linotype"/>
          <w:sz w:val="22"/>
          <w:szCs w:val="22"/>
        </w:rPr>
        <w:t xml:space="preserve"> </w:t>
      </w:r>
    </w:p>
    <w:p w14:paraId="31B294EE" w14:textId="3B2BB0FD" w:rsidR="00B4749A" w:rsidRPr="0096196C"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nb-NO"/>
        </w:rPr>
        <w:t>W. Sun, Y. Zhang, Z. Li</w:t>
      </w:r>
      <w:r w:rsidR="0096196C">
        <w:rPr>
          <w:rFonts w:ascii="Palatino Linotype" w:hAnsi="Palatino Linotype"/>
          <w:sz w:val="22"/>
          <w:szCs w:val="22"/>
          <w:lang w:val="nb-NO"/>
        </w:rPr>
        <w:t>ng</w:t>
      </w:r>
      <w:r w:rsidRPr="00100966">
        <w:rPr>
          <w:rFonts w:ascii="Palatino Linotype" w:hAnsi="Palatino Linotype"/>
          <w:sz w:val="22"/>
          <w:szCs w:val="22"/>
          <w:lang w:val="nb-NO"/>
        </w:rPr>
        <w:t xml:space="preserve">, </w:t>
      </w:r>
      <w:r w:rsidR="0096196C">
        <w:rPr>
          <w:rFonts w:ascii="Palatino Linotype" w:hAnsi="Palatino Linotype"/>
          <w:sz w:val="22"/>
          <w:szCs w:val="22"/>
          <w:lang w:val="nb-NO"/>
        </w:rPr>
        <w:t>X</w:t>
      </w:r>
      <w:r w:rsidRPr="00100966">
        <w:rPr>
          <w:rFonts w:ascii="Palatino Linotype" w:hAnsi="Palatino Linotype"/>
          <w:sz w:val="22"/>
          <w:szCs w:val="22"/>
          <w:lang w:val="nb-NO"/>
        </w:rPr>
        <w:t xml:space="preserve">. Fang, Z. Zhang. </w:t>
      </w:r>
      <w:r w:rsidRPr="00100966">
        <w:rPr>
          <w:rFonts w:ascii="Palatino Linotype" w:hAnsi="Palatino Linotype"/>
          <w:sz w:val="22"/>
          <w:szCs w:val="22"/>
          <w:lang w:val="en-US"/>
        </w:rPr>
        <w:t xml:space="preserve">"Experimental investigation on the thermal performance of double-layer PCM radiant floor system containing two types of </w:t>
      </w:r>
      <w:r w:rsidR="0096196C">
        <w:rPr>
          <w:rFonts w:ascii="Palatino Linotype" w:hAnsi="Palatino Linotype"/>
          <w:sz w:val="22"/>
          <w:szCs w:val="22"/>
          <w:lang w:val="en-US"/>
        </w:rPr>
        <w:t xml:space="preserve">inorganic composite </w:t>
      </w:r>
      <w:r w:rsidRPr="00100966">
        <w:rPr>
          <w:rFonts w:ascii="Palatino Linotype" w:hAnsi="Palatino Linotype"/>
          <w:sz w:val="22"/>
          <w:szCs w:val="22"/>
          <w:lang w:val="en-US"/>
        </w:rPr>
        <w:t xml:space="preserve">PCMs". </w:t>
      </w:r>
      <w:r w:rsidRPr="0096196C">
        <w:rPr>
          <w:rStyle w:val="Emphasis"/>
          <w:rFonts w:ascii="Palatino Linotype" w:hAnsi="Palatino Linotype"/>
          <w:sz w:val="22"/>
          <w:szCs w:val="22"/>
          <w:lang w:val="en-US"/>
        </w:rPr>
        <w:t>Energy and Buildings</w:t>
      </w:r>
      <w:r w:rsidRPr="0096196C">
        <w:rPr>
          <w:rFonts w:ascii="Palatino Linotype" w:hAnsi="Palatino Linotype"/>
          <w:sz w:val="22"/>
          <w:szCs w:val="22"/>
          <w:lang w:val="en-US"/>
        </w:rPr>
        <w:t xml:space="preserve"> </w:t>
      </w:r>
      <w:r w:rsidR="0096196C">
        <w:rPr>
          <w:rFonts w:ascii="Palatino Linotype" w:hAnsi="Palatino Linotype"/>
          <w:sz w:val="22"/>
          <w:szCs w:val="22"/>
          <w:lang w:val="en-US"/>
        </w:rPr>
        <w:t>211</w:t>
      </w:r>
      <w:r w:rsidRPr="0096196C">
        <w:rPr>
          <w:rFonts w:ascii="Palatino Linotype" w:hAnsi="Palatino Linotype"/>
          <w:sz w:val="22"/>
          <w:szCs w:val="22"/>
          <w:lang w:val="en-US"/>
        </w:rPr>
        <w:t xml:space="preserve"> (202</w:t>
      </w:r>
      <w:r w:rsidR="0096196C">
        <w:rPr>
          <w:rFonts w:ascii="Palatino Linotype" w:hAnsi="Palatino Linotype"/>
          <w:sz w:val="22"/>
          <w:szCs w:val="22"/>
          <w:lang w:val="en-US"/>
        </w:rPr>
        <w:t>0</w:t>
      </w:r>
      <w:r w:rsidRPr="0096196C">
        <w:rPr>
          <w:rFonts w:ascii="Palatino Linotype" w:hAnsi="Palatino Linotype"/>
          <w:sz w:val="22"/>
          <w:szCs w:val="22"/>
          <w:lang w:val="en-US"/>
        </w:rPr>
        <w:t>) 1</w:t>
      </w:r>
      <w:r w:rsidR="0096196C">
        <w:rPr>
          <w:rFonts w:ascii="Palatino Linotype" w:hAnsi="Palatino Linotype"/>
          <w:sz w:val="22"/>
          <w:szCs w:val="22"/>
          <w:lang w:val="en-US"/>
        </w:rPr>
        <w:t xml:space="preserve">09806. </w:t>
      </w:r>
      <w:hyperlink r:id="rId300" w:tgtFrame="_blank" w:tooltip="Persistent link using digital object identifier" w:history="1">
        <w:r w:rsidR="0096196C" w:rsidRPr="0096196C">
          <w:rPr>
            <w:rStyle w:val="Hyperlink"/>
            <w:rFonts w:ascii="Palatino Linotype" w:hAnsi="Palatino Linotype"/>
            <w:sz w:val="22"/>
            <w:szCs w:val="22"/>
          </w:rPr>
          <w:t>https://doi.org/10.1016/j.enbuild.2020.109806</w:t>
        </w:r>
      </w:hyperlink>
    </w:p>
    <w:p w14:paraId="2B083B57" w14:textId="6DF2603E" w:rsidR="00B4749A" w:rsidRPr="00A64644" w:rsidRDefault="00A64644" w:rsidP="00B4749A">
      <w:pPr>
        <w:pStyle w:val="NormalWeb"/>
        <w:numPr>
          <w:ilvl w:val="0"/>
          <w:numId w:val="15"/>
        </w:numPr>
        <w:jc w:val="both"/>
        <w:rPr>
          <w:rFonts w:ascii="Palatino Linotype" w:hAnsi="Palatino Linotype"/>
          <w:sz w:val="22"/>
          <w:szCs w:val="22"/>
          <w:lang w:val="en-US"/>
        </w:rPr>
      </w:pPr>
      <w:r w:rsidRPr="00F43E9A">
        <w:rPr>
          <w:rFonts w:ascii="Palatino Linotype" w:hAnsi="Palatino Linotype"/>
          <w:sz w:val="22"/>
          <w:szCs w:val="22"/>
          <w:lang w:val="en-US"/>
        </w:rPr>
        <w:t xml:space="preserve">H. </w:t>
      </w:r>
      <w:r w:rsidR="00B4749A" w:rsidRPr="00F43E9A">
        <w:rPr>
          <w:rFonts w:ascii="Palatino Linotype" w:hAnsi="Palatino Linotype"/>
          <w:sz w:val="22"/>
          <w:szCs w:val="22"/>
          <w:lang w:val="en-US"/>
        </w:rPr>
        <w:t>Kitagawa, T. A</w:t>
      </w:r>
      <w:r w:rsidRPr="00F43E9A">
        <w:rPr>
          <w:rFonts w:ascii="Palatino Linotype" w:hAnsi="Palatino Linotype"/>
          <w:sz w:val="22"/>
          <w:szCs w:val="22"/>
          <w:lang w:val="en-US"/>
        </w:rPr>
        <w:t>sawa</w:t>
      </w:r>
      <w:r w:rsidR="00B4749A" w:rsidRPr="00F43E9A">
        <w:rPr>
          <w:rFonts w:ascii="Palatino Linotype" w:hAnsi="Palatino Linotype"/>
          <w:sz w:val="22"/>
          <w:szCs w:val="22"/>
          <w:lang w:val="en-US"/>
        </w:rPr>
        <w:t>,</w:t>
      </w:r>
      <w:r w:rsidR="0096196C" w:rsidRPr="00F43E9A">
        <w:rPr>
          <w:rFonts w:ascii="Palatino Linotype" w:hAnsi="Palatino Linotype"/>
          <w:sz w:val="22"/>
          <w:szCs w:val="22"/>
          <w:lang w:val="en-US"/>
        </w:rPr>
        <w:t xml:space="preserve"> T. Kubota, A.R. Trihamdani, H. Mori</w:t>
      </w:r>
      <w:r w:rsidR="00B4749A" w:rsidRPr="00F43E9A">
        <w:rPr>
          <w:rFonts w:ascii="Palatino Linotype" w:hAnsi="Palatino Linotype"/>
          <w:sz w:val="22"/>
          <w:szCs w:val="22"/>
          <w:lang w:val="en-US"/>
        </w:rPr>
        <w:t xml:space="preserve">. </w:t>
      </w:r>
      <w:r w:rsidR="00B4749A" w:rsidRPr="00100966">
        <w:rPr>
          <w:rFonts w:ascii="Palatino Linotype" w:hAnsi="Palatino Linotype"/>
          <w:sz w:val="22"/>
          <w:szCs w:val="22"/>
          <w:lang w:val="en-US"/>
        </w:rPr>
        <w:t>"</w:t>
      </w:r>
      <w:r w:rsidRPr="00A64644">
        <w:rPr>
          <w:rFonts w:ascii="Palatino Linotype" w:hAnsi="Palatino Linotype"/>
          <w:sz w:val="22"/>
          <w:szCs w:val="22"/>
          <w:lang w:val="en-US"/>
        </w:rPr>
        <w:t xml:space="preserve">Thermal storage effect of radiant floor cooling system using phase change materials in the hot and humid climate </w:t>
      </w:r>
      <w:r w:rsidRPr="00A64644">
        <w:rPr>
          <w:rFonts w:ascii="Palatino Linotype" w:hAnsi="Palatino Linotype"/>
          <w:sz w:val="22"/>
          <w:szCs w:val="22"/>
          <w:lang w:val="en-US"/>
        </w:rPr>
        <w:lastRenderedPageBreak/>
        <w:t>of Indonesia.</w:t>
      </w:r>
      <w:r w:rsidR="00B4749A" w:rsidRPr="00100966">
        <w:rPr>
          <w:rFonts w:ascii="Palatino Linotype" w:hAnsi="Palatino Linotype"/>
          <w:sz w:val="22"/>
          <w:szCs w:val="22"/>
          <w:lang w:val="en-US"/>
        </w:rPr>
        <w:t xml:space="preserve">". </w:t>
      </w:r>
      <w:r w:rsidRPr="00EE5050">
        <w:rPr>
          <w:rFonts w:ascii="Palatino Linotype" w:hAnsi="Palatino Linotype"/>
          <w:i/>
          <w:iCs/>
          <w:sz w:val="22"/>
          <w:szCs w:val="22"/>
          <w:lang w:val="en-US"/>
        </w:rPr>
        <w:t>Buildings and Environment</w:t>
      </w:r>
      <w:r>
        <w:rPr>
          <w:rFonts w:ascii="Palatino Linotype" w:hAnsi="Palatino Linotype"/>
          <w:sz w:val="22"/>
          <w:szCs w:val="22"/>
          <w:lang w:val="en-US"/>
        </w:rPr>
        <w:t xml:space="preserve"> 2</w:t>
      </w:r>
      <w:r w:rsidR="0096196C">
        <w:rPr>
          <w:rFonts w:ascii="Palatino Linotype" w:hAnsi="Palatino Linotype"/>
          <w:sz w:val="22"/>
          <w:szCs w:val="22"/>
          <w:lang w:val="en-US"/>
        </w:rPr>
        <w:t xml:space="preserve">07 </w:t>
      </w:r>
      <w:r>
        <w:rPr>
          <w:rFonts w:ascii="Palatino Linotype" w:hAnsi="Palatino Linotype"/>
          <w:sz w:val="22"/>
          <w:szCs w:val="22"/>
          <w:lang w:val="en-US"/>
        </w:rPr>
        <w:t>(2022) 10</w:t>
      </w:r>
      <w:r w:rsidR="0096196C">
        <w:rPr>
          <w:rFonts w:ascii="Palatino Linotype" w:hAnsi="Palatino Linotype"/>
          <w:sz w:val="22"/>
          <w:szCs w:val="22"/>
          <w:lang w:val="en-US"/>
        </w:rPr>
        <w:t>8442</w:t>
      </w:r>
      <w:r w:rsidR="00B4749A" w:rsidRPr="00A64644">
        <w:rPr>
          <w:rFonts w:ascii="Palatino Linotype" w:hAnsi="Palatino Linotype"/>
          <w:sz w:val="22"/>
          <w:szCs w:val="22"/>
          <w:lang w:val="en-US"/>
        </w:rPr>
        <w:t xml:space="preserve">. </w:t>
      </w:r>
      <w:hyperlink r:id="rId301" w:tgtFrame="_blank" w:tooltip="Persistent link using digital object identifier" w:history="1">
        <w:r w:rsidR="0096196C" w:rsidRPr="0096196C">
          <w:rPr>
            <w:rStyle w:val="Hyperlink"/>
            <w:rFonts w:ascii="Palatino Linotype" w:hAnsi="Palatino Linotype"/>
            <w:sz w:val="22"/>
            <w:szCs w:val="22"/>
          </w:rPr>
          <w:t>https://doi.org/10.1016/j.buildenv.2021.108442</w:t>
        </w:r>
      </w:hyperlink>
    </w:p>
    <w:p w14:paraId="37233F8B" w14:textId="0FBD5065" w:rsidR="00A645B6" w:rsidRPr="00A64644" w:rsidRDefault="00A645B6" w:rsidP="00A64644">
      <w:pPr>
        <w:pStyle w:val="NormalWeb"/>
        <w:numPr>
          <w:ilvl w:val="0"/>
          <w:numId w:val="15"/>
        </w:numPr>
        <w:jc w:val="both"/>
        <w:rPr>
          <w:rFonts w:ascii="Palatino Linotype" w:hAnsi="Palatino Linotype"/>
          <w:sz w:val="22"/>
          <w:szCs w:val="22"/>
          <w:lang w:val="en-US"/>
        </w:rPr>
      </w:pPr>
      <w:r w:rsidRPr="00A64644">
        <w:rPr>
          <w:rFonts w:ascii="Palatino Linotype" w:hAnsi="Palatino Linotype"/>
          <w:sz w:val="22"/>
          <w:szCs w:val="22"/>
          <w:lang w:val="nb-NO"/>
        </w:rPr>
        <w:t xml:space="preserve">X. </w:t>
      </w:r>
      <w:r w:rsidR="0096196C">
        <w:rPr>
          <w:rFonts w:ascii="Palatino Linotype" w:hAnsi="Palatino Linotype"/>
          <w:sz w:val="22"/>
          <w:szCs w:val="22"/>
          <w:lang w:val="nb-NO"/>
        </w:rPr>
        <w:t>Y</w:t>
      </w:r>
      <w:r w:rsidRPr="00A64644">
        <w:rPr>
          <w:rFonts w:ascii="Palatino Linotype" w:hAnsi="Palatino Linotype"/>
          <w:sz w:val="22"/>
          <w:szCs w:val="22"/>
          <w:lang w:val="nb-NO"/>
        </w:rPr>
        <w:t xml:space="preserve">ang, D. Li, </w:t>
      </w:r>
      <w:r w:rsidR="0096196C">
        <w:rPr>
          <w:rFonts w:ascii="Palatino Linotype" w:hAnsi="Palatino Linotype"/>
          <w:sz w:val="22"/>
          <w:szCs w:val="22"/>
          <w:lang w:val="nb-NO"/>
        </w:rPr>
        <w:t>R</w:t>
      </w:r>
      <w:r w:rsidRPr="00A64644">
        <w:rPr>
          <w:rFonts w:ascii="Palatino Linotype" w:hAnsi="Palatino Linotype"/>
          <w:sz w:val="22"/>
          <w:szCs w:val="22"/>
          <w:lang w:val="nb-NO"/>
        </w:rPr>
        <w:t xml:space="preserve">. Yang, Y. Ma, X. Tong, </w:t>
      </w:r>
      <w:r w:rsidR="0096196C">
        <w:rPr>
          <w:rFonts w:ascii="Palatino Linotype" w:hAnsi="Palatino Linotype"/>
          <w:sz w:val="22"/>
          <w:szCs w:val="22"/>
          <w:lang w:val="nb-NO"/>
        </w:rPr>
        <w:t>Y</w:t>
      </w:r>
      <w:r w:rsidRPr="00A64644">
        <w:rPr>
          <w:rFonts w:ascii="Palatino Linotype" w:hAnsi="Palatino Linotype"/>
          <w:sz w:val="22"/>
          <w:szCs w:val="22"/>
          <w:lang w:val="nb-NO"/>
        </w:rPr>
        <w:t xml:space="preserve">. </w:t>
      </w:r>
      <w:r w:rsidR="0096196C">
        <w:rPr>
          <w:rFonts w:ascii="Palatino Linotype" w:hAnsi="Palatino Linotype"/>
          <w:sz w:val="22"/>
          <w:szCs w:val="22"/>
          <w:lang w:val="nb-NO"/>
        </w:rPr>
        <w:t>Y</w:t>
      </w:r>
      <w:r w:rsidRPr="00A64644">
        <w:rPr>
          <w:rFonts w:ascii="Palatino Linotype" w:hAnsi="Palatino Linotype"/>
          <w:sz w:val="22"/>
          <w:szCs w:val="22"/>
          <w:lang w:val="nb-NO"/>
        </w:rPr>
        <w:t xml:space="preserve">u, M. Mann. </w:t>
      </w:r>
      <w:r w:rsidRPr="00A64644">
        <w:rPr>
          <w:rFonts w:ascii="Palatino Linotype" w:hAnsi="Palatino Linotype"/>
          <w:sz w:val="22"/>
          <w:szCs w:val="22"/>
          <w:lang w:val="en-US"/>
        </w:rPr>
        <w:t>"Comprehensive performance evaluation of double-glazed windows containing hybrid nanoparticle</w:t>
      </w:r>
      <w:r w:rsidR="0096196C">
        <w:rPr>
          <w:rFonts w:ascii="Palatino Linotype" w:hAnsi="Palatino Linotype"/>
          <w:sz w:val="22"/>
          <w:szCs w:val="22"/>
          <w:lang w:val="en-US"/>
        </w:rPr>
        <w:t>-enhanced phase change materials</w:t>
      </w:r>
      <w:r w:rsidRPr="00A64644">
        <w:rPr>
          <w:rFonts w:ascii="Palatino Linotype" w:hAnsi="Palatino Linotype"/>
          <w:sz w:val="22"/>
          <w:szCs w:val="22"/>
          <w:lang w:val="en-US"/>
        </w:rPr>
        <w:t xml:space="preserve">". </w:t>
      </w:r>
      <w:r w:rsidRPr="0096196C">
        <w:rPr>
          <w:rStyle w:val="Emphasis"/>
          <w:rFonts w:ascii="Palatino Linotype" w:hAnsi="Palatino Linotype"/>
          <w:sz w:val="22"/>
          <w:szCs w:val="22"/>
          <w:lang w:val="en-US"/>
        </w:rPr>
        <w:t>Applied Thermal Engineering</w:t>
      </w:r>
      <w:r w:rsidRPr="0096196C">
        <w:rPr>
          <w:rFonts w:ascii="Palatino Linotype" w:hAnsi="Palatino Linotype"/>
          <w:sz w:val="22"/>
          <w:szCs w:val="22"/>
          <w:lang w:val="en-US"/>
        </w:rPr>
        <w:t xml:space="preserve"> 22</w:t>
      </w:r>
      <w:r w:rsidR="0096196C">
        <w:rPr>
          <w:rFonts w:ascii="Palatino Linotype" w:hAnsi="Palatino Linotype"/>
          <w:sz w:val="22"/>
          <w:szCs w:val="22"/>
          <w:lang w:val="en-US"/>
        </w:rPr>
        <w:t>3</w:t>
      </w:r>
      <w:r w:rsidRPr="0096196C">
        <w:rPr>
          <w:rFonts w:ascii="Palatino Linotype" w:hAnsi="Palatino Linotype"/>
          <w:sz w:val="22"/>
          <w:szCs w:val="22"/>
          <w:lang w:val="en-US"/>
        </w:rPr>
        <w:t xml:space="preserve"> (2023) </w:t>
      </w:r>
      <w:r w:rsidR="0096196C">
        <w:rPr>
          <w:rFonts w:ascii="Palatino Linotype" w:hAnsi="Palatino Linotype"/>
          <w:sz w:val="22"/>
          <w:szCs w:val="22"/>
          <w:lang w:val="en-US"/>
        </w:rPr>
        <w:t>119976</w:t>
      </w:r>
      <w:r w:rsidRPr="0096196C">
        <w:rPr>
          <w:rFonts w:ascii="Palatino Linotype" w:hAnsi="Palatino Linotype"/>
          <w:sz w:val="22"/>
          <w:szCs w:val="22"/>
          <w:lang w:val="en-US"/>
        </w:rPr>
        <w:t xml:space="preserve">. </w:t>
      </w:r>
      <w:hyperlink r:id="rId302" w:tgtFrame="_blank" w:tooltip="Persistent link using digital object identifier" w:history="1">
        <w:r w:rsidR="0096196C" w:rsidRPr="0096196C">
          <w:rPr>
            <w:rStyle w:val="Hyperlink"/>
            <w:rFonts w:ascii="Palatino Linotype" w:hAnsi="Palatino Linotype"/>
            <w:sz w:val="22"/>
            <w:szCs w:val="22"/>
          </w:rPr>
          <w:t>https://doi.org/10.1016/j.applthermaleng.2023.119976</w:t>
        </w:r>
      </w:hyperlink>
    </w:p>
    <w:p w14:paraId="28F1B902" w14:textId="77777777" w:rsidR="00A645B6" w:rsidRPr="00100966" w:rsidRDefault="00A645B6" w:rsidP="00A645B6">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en-US"/>
        </w:rPr>
        <w:t xml:space="preserve">X. Xu, W. Wang, Z. Zhang. "Preparation and thermal performances of Na₂HPO₄·12H₂O/SiO₂ hydrophilic modified expanded graphite form-stable composite phase change material for radiant floor heating system". </w:t>
      </w:r>
      <w:r w:rsidRPr="00100966">
        <w:rPr>
          <w:rStyle w:val="Emphasis"/>
          <w:rFonts w:ascii="Palatino Linotype" w:hAnsi="Palatino Linotype"/>
          <w:sz w:val="22"/>
          <w:szCs w:val="22"/>
          <w:lang w:val="en-US"/>
        </w:rPr>
        <w:t>Solar Energy Materials and Solar Cells</w:t>
      </w:r>
      <w:r w:rsidRPr="00100966">
        <w:rPr>
          <w:rFonts w:ascii="Palatino Linotype" w:hAnsi="Palatino Linotype"/>
          <w:sz w:val="22"/>
          <w:szCs w:val="22"/>
          <w:lang w:val="en-US"/>
        </w:rPr>
        <w:t xml:space="preserve"> 220 (2021) 111221. </w:t>
      </w:r>
      <w:hyperlink r:id="rId303" w:tgtFrame="_new" w:history="1">
        <w:r w:rsidRPr="00100966">
          <w:rPr>
            <w:rStyle w:val="Hyperlink"/>
            <w:rFonts w:ascii="Palatino Linotype" w:hAnsi="Palatino Linotype"/>
            <w:sz w:val="22"/>
            <w:szCs w:val="22"/>
            <w:lang w:val="en-US"/>
          </w:rPr>
          <w:t>https://doi.org/10.1016/j.solmat.2021.111221</w:t>
        </w:r>
      </w:hyperlink>
    </w:p>
    <w:p w14:paraId="75D93A04" w14:textId="4F7BD568" w:rsidR="00B4749A" w:rsidRDefault="00EE5050" w:rsidP="00B4749A">
      <w:pPr>
        <w:pStyle w:val="NormalWeb"/>
        <w:numPr>
          <w:ilvl w:val="0"/>
          <w:numId w:val="15"/>
        </w:numPr>
        <w:jc w:val="both"/>
        <w:rPr>
          <w:rFonts w:ascii="Palatino Linotype" w:hAnsi="Palatino Linotype"/>
          <w:sz w:val="22"/>
          <w:szCs w:val="22"/>
        </w:rPr>
      </w:pPr>
      <w:r>
        <w:rPr>
          <w:rFonts w:ascii="Palatino Linotype" w:hAnsi="Palatino Linotype"/>
          <w:sz w:val="22"/>
          <w:szCs w:val="22"/>
          <w:lang w:val="en-US"/>
        </w:rPr>
        <w:t>M.</w:t>
      </w:r>
      <w:r w:rsidR="00B4749A" w:rsidRPr="00100966">
        <w:rPr>
          <w:rFonts w:ascii="Palatino Linotype" w:hAnsi="Palatino Linotype"/>
          <w:sz w:val="22"/>
          <w:szCs w:val="22"/>
          <w:lang w:val="en-US"/>
        </w:rPr>
        <w:t>Faraj, M. Khaled, J. Faraji,</w:t>
      </w:r>
      <w:r w:rsidR="00855396">
        <w:rPr>
          <w:rFonts w:ascii="Palatino Linotype" w:hAnsi="Palatino Linotype"/>
          <w:sz w:val="22"/>
          <w:szCs w:val="22"/>
          <w:lang w:val="en-US"/>
        </w:rPr>
        <w:t>F. Hachem, C. Castelain</w:t>
      </w:r>
      <w:r w:rsidR="00B4749A" w:rsidRPr="00100966">
        <w:rPr>
          <w:rFonts w:ascii="Palatino Linotype" w:hAnsi="Palatino Linotype"/>
          <w:sz w:val="22"/>
          <w:szCs w:val="22"/>
          <w:lang w:val="en-US"/>
        </w:rPr>
        <w:t xml:space="preserve">. "Experimental study on the use of coconut oil and paraffin wax phase change material in active radiant floor heating systems". </w:t>
      </w:r>
      <w:r w:rsidRPr="00EE5050">
        <w:rPr>
          <w:rFonts w:ascii="Palatino Linotype" w:hAnsi="Palatino Linotype"/>
          <w:i/>
          <w:iCs/>
          <w:sz w:val="22"/>
          <w:szCs w:val="22"/>
          <w:lang w:val="en-US"/>
        </w:rPr>
        <w:t>Journal of energy storage</w:t>
      </w:r>
      <w:r w:rsidR="00B4749A" w:rsidRPr="00100966">
        <w:rPr>
          <w:rFonts w:ascii="Palatino Linotype" w:hAnsi="Palatino Linotype"/>
          <w:sz w:val="22"/>
          <w:szCs w:val="22"/>
        </w:rPr>
        <w:t xml:space="preserve"> (202</w:t>
      </w:r>
      <w:r>
        <w:rPr>
          <w:rFonts w:ascii="Palatino Linotype" w:hAnsi="Palatino Linotype"/>
          <w:sz w:val="22"/>
          <w:szCs w:val="22"/>
        </w:rPr>
        <w:t>1</w:t>
      </w:r>
      <w:r w:rsidR="00B4749A" w:rsidRPr="00100966">
        <w:rPr>
          <w:rFonts w:ascii="Palatino Linotype" w:hAnsi="Palatino Linotype"/>
          <w:sz w:val="22"/>
          <w:szCs w:val="22"/>
        </w:rPr>
        <w:t>) 10</w:t>
      </w:r>
      <w:r>
        <w:rPr>
          <w:rFonts w:ascii="Palatino Linotype" w:hAnsi="Palatino Linotype"/>
          <w:sz w:val="22"/>
          <w:szCs w:val="22"/>
        </w:rPr>
        <w:t>2815</w:t>
      </w:r>
      <w:r w:rsidR="00B4749A" w:rsidRPr="00100966">
        <w:rPr>
          <w:rFonts w:ascii="Palatino Linotype" w:hAnsi="Palatino Linotype"/>
          <w:sz w:val="22"/>
          <w:szCs w:val="22"/>
        </w:rPr>
        <w:t xml:space="preserve">. </w:t>
      </w:r>
      <w:hyperlink r:id="rId304" w:history="1">
        <w:r w:rsidRPr="00FB3BE2">
          <w:rPr>
            <w:rStyle w:val="Hyperlink"/>
            <w:rFonts w:ascii="Palatino Linotype" w:hAnsi="Palatino Linotype"/>
            <w:sz w:val="22"/>
            <w:szCs w:val="22"/>
          </w:rPr>
          <w:t>https://doi.org/10.1016/j.est.2021.102815</w:t>
        </w:r>
      </w:hyperlink>
      <w:r w:rsidRPr="00EE5050">
        <w:rPr>
          <w:rFonts w:ascii="Palatino Linotype" w:hAnsi="Palatino Linotype"/>
          <w:sz w:val="22"/>
          <w:szCs w:val="22"/>
        </w:rPr>
        <w:t>.</w:t>
      </w:r>
    </w:p>
    <w:p w14:paraId="29939B3F" w14:textId="2AD306C4" w:rsidR="00B4749A" w:rsidRPr="00855396" w:rsidRDefault="00855396" w:rsidP="00EE5050">
      <w:pPr>
        <w:pStyle w:val="NormalWeb"/>
        <w:numPr>
          <w:ilvl w:val="0"/>
          <w:numId w:val="15"/>
        </w:numPr>
        <w:jc w:val="both"/>
        <w:rPr>
          <w:rFonts w:ascii="Palatino Linotype" w:hAnsi="Palatino Linotype"/>
          <w:sz w:val="22"/>
          <w:szCs w:val="22"/>
          <w:lang w:val="en-US"/>
        </w:rPr>
      </w:pPr>
      <w:r w:rsidRPr="00855396">
        <w:rPr>
          <w:rFonts w:ascii="Palatino Linotype" w:hAnsi="Palatino Linotype"/>
          <w:sz w:val="22"/>
          <w:szCs w:val="22"/>
          <w:lang w:val="nb-NO"/>
        </w:rPr>
        <w:t>X</w:t>
      </w:r>
      <w:r w:rsidR="00B4749A" w:rsidRPr="00855396">
        <w:rPr>
          <w:rFonts w:ascii="Palatino Linotype" w:hAnsi="Palatino Linotype"/>
          <w:sz w:val="22"/>
          <w:szCs w:val="22"/>
          <w:lang w:val="nb-NO"/>
        </w:rPr>
        <w:t xml:space="preserve">. Jin, </w:t>
      </w:r>
      <w:r w:rsidRPr="00855396">
        <w:rPr>
          <w:rFonts w:ascii="Palatino Linotype" w:hAnsi="Palatino Linotype"/>
          <w:sz w:val="22"/>
          <w:szCs w:val="22"/>
          <w:lang w:val="nb-NO"/>
        </w:rPr>
        <w:t xml:space="preserve">J. Yang, </w:t>
      </w:r>
      <w:r w:rsidR="00B4749A" w:rsidRPr="00855396">
        <w:rPr>
          <w:rFonts w:ascii="Palatino Linotype" w:hAnsi="Palatino Linotype"/>
          <w:sz w:val="22"/>
          <w:szCs w:val="22"/>
          <w:lang w:val="nb-NO"/>
        </w:rPr>
        <w:t>M.</w:t>
      </w:r>
      <w:r>
        <w:rPr>
          <w:rFonts w:ascii="Palatino Linotype" w:hAnsi="Palatino Linotype"/>
          <w:sz w:val="22"/>
          <w:szCs w:val="22"/>
          <w:lang w:val="nb-NO"/>
        </w:rPr>
        <w:t xml:space="preserve"> Li</w:t>
      </w:r>
      <w:r w:rsidR="00B4749A" w:rsidRPr="00855396">
        <w:rPr>
          <w:rFonts w:ascii="Palatino Linotype" w:hAnsi="Palatino Linotype"/>
          <w:sz w:val="22"/>
          <w:szCs w:val="22"/>
          <w:lang w:val="nb-NO"/>
        </w:rPr>
        <w:t xml:space="preserve">, </w:t>
      </w:r>
      <w:r>
        <w:rPr>
          <w:rFonts w:ascii="Palatino Linotype" w:hAnsi="Palatino Linotype"/>
          <w:sz w:val="22"/>
          <w:szCs w:val="22"/>
          <w:lang w:val="nb-NO"/>
        </w:rPr>
        <w:t xml:space="preserve"> G. Huang, </w:t>
      </w:r>
      <w:r w:rsidR="00B4749A" w:rsidRPr="00855396">
        <w:rPr>
          <w:rFonts w:ascii="Palatino Linotype" w:hAnsi="Palatino Linotype"/>
          <w:sz w:val="22"/>
          <w:szCs w:val="22"/>
          <w:lang w:val="nb-NO"/>
        </w:rPr>
        <w:t xml:space="preserve">A.C.K. </w:t>
      </w:r>
      <w:r>
        <w:rPr>
          <w:rFonts w:ascii="Palatino Linotype" w:hAnsi="Palatino Linotype"/>
          <w:sz w:val="22"/>
          <w:szCs w:val="22"/>
          <w:lang w:val="nb-NO"/>
        </w:rPr>
        <w:t>Lai</w:t>
      </w:r>
      <w:r w:rsidR="00B4749A" w:rsidRPr="00855396">
        <w:rPr>
          <w:rFonts w:ascii="Palatino Linotype" w:hAnsi="Palatino Linotype"/>
          <w:sz w:val="22"/>
          <w:szCs w:val="22"/>
          <w:lang w:val="nb-NO"/>
        </w:rPr>
        <w:t xml:space="preserve">. </w:t>
      </w:r>
      <w:r w:rsidR="00B4749A" w:rsidRPr="00EE5050">
        <w:rPr>
          <w:rFonts w:ascii="Palatino Linotype" w:hAnsi="Palatino Linotype"/>
          <w:sz w:val="22"/>
          <w:szCs w:val="22"/>
          <w:lang w:val="en-US"/>
        </w:rPr>
        <w:t>"</w:t>
      </w:r>
      <w:r w:rsidRPr="00855396">
        <w:rPr>
          <w:lang w:val="en-US"/>
        </w:rPr>
        <w:t xml:space="preserve"> </w:t>
      </w:r>
      <w:r w:rsidRPr="00855396">
        <w:rPr>
          <w:rFonts w:ascii="Palatino Linotype" w:hAnsi="Palatino Linotype"/>
          <w:sz w:val="22"/>
          <w:szCs w:val="22"/>
          <w:lang w:val="en-US"/>
        </w:rPr>
        <w:t>Experimental and numerical study on the thermal energy storage performance of a novel phase-change material for radiant floor heating systems</w:t>
      </w:r>
      <w:r w:rsidR="00B4749A" w:rsidRPr="00EE5050">
        <w:rPr>
          <w:rFonts w:ascii="Palatino Linotype" w:hAnsi="Palatino Linotype"/>
          <w:sz w:val="22"/>
          <w:szCs w:val="22"/>
          <w:lang w:val="en-US"/>
        </w:rPr>
        <w:t xml:space="preserve">". </w:t>
      </w:r>
      <w:r w:rsidR="00B4749A" w:rsidRPr="00855396">
        <w:rPr>
          <w:rStyle w:val="Emphasis"/>
          <w:rFonts w:ascii="Palatino Linotype" w:hAnsi="Palatino Linotype"/>
          <w:sz w:val="22"/>
          <w:szCs w:val="22"/>
          <w:lang w:val="en-US"/>
        </w:rPr>
        <w:t>Building and Environment</w:t>
      </w:r>
      <w:r w:rsidR="00B4749A" w:rsidRPr="00855396">
        <w:rPr>
          <w:rFonts w:ascii="Palatino Linotype" w:hAnsi="Palatino Linotype"/>
          <w:sz w:val="22"/>
          <w:szCs w:val="22"/>
          <w:lang w:val="en-US"/>
        </w:rPr>
        <w:t xml:space="preserve"> 2</w:t>
      </w:r>
      <w:r>
        <w:rPr>
          <w:rFonts w:ascii="Palatino Linotype" w:hAnsi="Palatino Linotype"/>
          <w:sz w:val="22"/>
          <w:szCs w:val="22"/>
          <w:lang w:val="en-US"/>
        </w:rPr>
        <w:t>2</w:t>
      </w:r>
      <w:r w:rsidR="00B4749A" w:rsidRPr="00855396">
        <w:rPr>
          <w:rFonts w:ascii="Palatino Linotype" w:hAnsi="Palatino Linotype"/>
          <w:sz w:val="22"/>
          <w:szCs w:val="22"/>
          <w:lang w:val="en-US"/>
        </w:rPr>
        <w:t>3 (2022) 1094</w:t>
      </w:r>
      <w:r>
        <w:rPr>
          <w:rFonts w:ascii="Palatino Linotype" w:hAnsi="Palatino Linotype"/>
          <w:sz w:val="22"/>
          <w:szCs w:val="22"/>
          <w:lang w:val="en-US"/>
        </w:rPr>
        <w:t>91</w:t>
      </w:r>
      <w:r w:rsidR="00B4749A" w:rsidRPr="00855396">
        <w:rPr>
          <w:rFonts w:ascii="Palatino Linotype" w:hAnsi="Palatino Linotype"/>
          <w:sz w:val="22"/>
          <w:szCs w:val="22"/>
          <w:lang w:val="en-US"/>
        </w:rPr>
        <w:t>.</w:t>
      </w:r>
      <w:r>
        <w:rPr>
          <w:rFonts w:ascii="Palatino Linotype" w:hAnsi="Palatino Linotype"/>
          <w:sz w:val="22"/>
          <w:szCs w:val="22"/>
          <w:lang w:val="en-US"/>
        </w:rPr>
        <w:t xml:space="preserve"> </w:t>
      </w:r>
      <w:hyperlink r:id="rId305" w:tgtFrame="_blank" w:tooltip="Persistent link using digital object identifier" w:history="1">
        <w:r w:rsidRPr="00855396">
          <w:rPr>
            <w:rStyle w:val="Hyperlink"/>
            <w:rFonts w:ascii="Palatino Linotype" w:hAnsi="Palatino Linotype"/>
            <w:sz w:val="22"/>
            <w:szCs w:val="22"/>
          </w:rPr>
          <w:t>https://doi.org/10.1016/j.buildenv.2022.10949</w:t>
        </w:r>
      </w:hyperlink>
      <w:r w:rsidR="00B4749A" w:rsidRPr="00855396">
        <w:rPr>
          <w:rFonts w:ascii="Palatino Linotype" w:hAnsi="Palatino Linotype"/>
          <w:sz w:val="22"/>
          <w:szCs w:val="22"/>
          <w:lang w:val="en-US"/>
        </w:rPr>
        <w:t xml:space="preserve"> </w:t>
      </w:r>
    </w:p>
    <w:p w14:paraId="07B58093" w14:textId="6E1CA48C" w:rsidR="00A645B6" w:rsidRPr="00EE5050" w:rsidRDefault="001E1387" w:rsidP="00A645B6">
      <w:pPr>
        <w:pStyle w:val="NormalWeb"/>
        <w:numPr>
          <w:ilvl w:val="0"/>
          <w:numId w:val="15"/>
        </w:numPr>
        <w:jc w:val="both"/>
        <w:rPr>
          <w:rFonts w:ascii="Palatino Linotype" w:hAnsi="Palatino Linotype"/>
          <w:sz w:val="22"/>
          <w:szCs w:val="22"/>
        </w:rPr>
      </w:pPr>
      <w:r>
        <w:rPr>
          <w:rFonts w:ascii="Palatino Linotype" w:hAnsi="Palatino Linotype"/>
          <w:sz w:val="22"/>
          <w:szCs w:val="22"/>
          <w:lang w:val="en-US"/>
        </w:rPr>
        <w:t xml:space="preserve">E.M. </w:t>
      </w:r>
      <w:r w:rsidR="00A645B6" w:rsidRPr="00100966">
        <w:rPr>
          <w:rFonts w:ascii="Palatino Linotype" w:hAnsi="Palatino Linotype"/>
          <w:sz w:val="22"/>
          <w:szCs w:val="22"/>
          <w:lang w:val="en-US"/>
        </w:rPr>
        <w:t xml:space="preserve">Alawadhi. "Effect of an incompletely closed window shutter on indoor illuminance level and heat gain". </w:t>
      </w:r>
      <w:r w:rsidR="00A645B6" w:rsidRPr="00100966">
        <w:rPr>
          <w:rStyle w:val="Emphasis"/>
          <w:rFonts w:ascii="Palatino Linotype" w:hAnsi="Palatino Linotype"/>
          <w:sz w:val="22"/>
          <w:szCs w:val="22"/>
        </w:rPr>
        <w:t>Energy and Buildings</w:t>
      </w:r>
      <w:r w:rsidR="00A645B6" w:rsidRPr="00100966">
        <w:rPr>
          <w:rFonts w:ascii="Palatino Linotype" w:hAnsi="Palatino Linotype"/>
          <w:sz w:val="22"/>
          <w:szCs w:val="22"/>
        </w:rPr>
        <w:t xml:space="preserve"> 110 (2016) 112–119. </w:t>
      </w:r>
      <w:hyperlink r:id="rId306" w:history="1">
        <w:r w:rsidR="00EE5050" w:rsidRPr="00FB3BE2">
          <w:rPr>
            <w:rStyle w:val="Hyperlink"/>
          </w:rPr>
          <w:t>https://doi.org/10.1016/j.enbuild.2015.10.040</w:t>
        </w:r>
      </w:hyperlink>
    </w:p>
    <w:p w14:paraId="31D60307" w14:textId="3151D7E8" w:rsidR="00B4749A" w:rsidRPr="00EE5050" w:rsidRDefault="00B4749A" w:rsidP="00EE5050">
      <w:pPr>
        <w:pStyle w:val="NormalWeb"/>
        <w:numPr>
          <w:ilvl w:val="0"/>
          <w:numId w:val="15"/>
        </w:numPr>
        <w:jc w:val="both"/>
        <w:rPr>
          <w:rFonts w:ascii="Palatino Linotype" w:hAnsi="Palatino Linotype"/>
          <w:sz w:val="22"/>
          <w:szCs w:val="22"/>
        </w:rPr>
      </w:pPr>
      <w:r w:rsidRPr="00EE5050">
        <w:rPr>
          <w:rFonts w:ascii="Palatino Linotype" w:hAnsi="Palatino Linotype"/>
          <w:sz w:val="22"/>
          <w:szCs w:val="22"/>
        </w:rPr>
        <w:t xml:space="preserve">T. Silva, R. Vicente, F. Rodrigues, A. Samagaio, C. Cardoso. </w:t>
      </w:r>
      <w:r w:rsidRPr="00EE5050">
        <w:rPr>
          <w:rFonts w:ascii="Palatino Linotype" w:hAnsi="Palatino Linotype"/>
          <w:sz w:val="22"/>
          <w:szCs w:val="22"/>
          <w:lang w:val="en-US"/>
        </w:rPr>
        <w:t xml:space="preserve">"Development of a window shutter with phase change materials: Full scale outdoor experimental approach". </w:t>
      </w:r>
      <w:r w:rsidRPr="00EE5050">
        <w:rPr>
          <w:rStyle w:val="Emphasis"/>
          <w:rFonts w:ascii="Palatino Linotype" w:hAnsi="Palatino Linotype"/>
          <w:sz w:val="22"/>
          <w:szCs w:val="22"/>
        </w:rPr>
        <w:t>Energy and Buildings</w:t>
      </w:r>
      <w:r w:rsidRPr="00EE5050">
        <w:rPr>
          <w:rFonts w:ascii="Palatino Linotype" w:hAnsi="Palatino Linotype"/>
          <w:sz w:val="22"/>
          <w:szCs w:val="22"/>
        </w:rPr>
        <w:t xml:space="preserve"> 88 (2015) 110–121. </w:t>
      </w:r>
      <w:hyperlink r:id="rId307" w:tgtFrame="_blank" w:tooltip="Persistent link using digital object identifier" w:history="1">
        <w:r w:rsidR="00855396" w:rsidRPr="00855396">
          <w:rPr>
            <w:rStyle w:val="Hyperlink"/>
            <w:rFonts w:ascii="Palatino Linotype" w:hAnsi="Palatino Linotype"/>
            <w:sz w:val="22"/>
            <w:szCs w:val="22"/>
          </w:rPr>
          <w:t>https://doi.org/10.1016/j.enbuild.2014.11.053</w:t>
        </w:r>
      </w:hyperlink>
      <w:r w:rsidR="00855396">
        <w:rPr>
          <w:rFonts w:ascii="Palatino Linotype" w:hAnsi="Palatino Linotype"/>
          <w:sz w:val="22"/>
          <w:szCs w:val="22"/>
        </w:rPr>
        <w:t xml:space="preserve"> DA QUI</w:t>
      </w:r>
    </w:p>
    <w:p w14:paraId="1CB275C5" w14:textId="72969906" w:rsidR="00A645B6" w:rsidRPr="00C03B53" w:rsidRDefault="00C03B53" w:rsidP="00A645B6">
      <w:pPr>
        <w:pStyle w:val="NormalWeb"/>
        <w:numPr>
          <w:ilvl w:val="0"/>
          <w:numId w:val="15"/>
        </w:numPr>
        <w:jc w:val="both"/>
        <w:rPr>
          <w:rFonts w:ascii="Palatino Linotype" w:hAnsi="Palatino Linotype"/>
          <w:sz w:val="22"/>
          <w:szCs w:val="22"/>
          <w:lang w:val="en-US"/>
        </w:rPr>
      </w:pPr>
      <w:r>
        <w:rPr>
          <w:rFonts w:ascii="Palatino Linotype" w:hAnsi="Palatino Linotype"/>
          <w:sz w:val="22"/>
          <w:szCs w:val="22"/>
        </w:rPr>
        <w:t>S</w:t>
      </w:r>
      <w:r w:rsidR="00A645B6" w:rsidRPr="00100966">
        <w:rPr>
          <w:rFonts w:ascii="Palatino Linotype" w:hAnsi="Palatino Linotype"/>
          <w:sz w:val="22"/>
          <w:szCs w:val="22"/>
        </w:rPr>
        <w:t xml:space="preserve">. Li, </w:t>
      </w:r>
      <w:r>
        <w:rPr>
          <w:rFonts w:ascii="Palatino Linotype" w:hAnsi="Palatino Linotype"/>
          <w:sz w:val="22"/>
          <w:szCs w:val="22"/>
        </w:rPr>
        <w:t>G</w:t>
      </w:r>
      <w:r w:rsidR="00A645B6" w:rsidRPr="00100966">
        <w:rPr>
          <w:rFonts w:ascii="Palatino Linotype" w:hAnsi="Palatino Linotype"/>
          <w:sz w:val="22"/>
          <w:szCs w:val="22"/>
        </w:rPr>
        <w:t xml:space="preserve">. </w:t>
      </w:r>
      <w:r>
        <w:rPr>
          <w:rFonts w:ascii="Palatino Linotype" w:hAnsi="Palatino Linotype"/>
          <w:sz w:val="22"/>
          <w:szCs w:val="22"/>
        </w:rPr>
        <w:t>Sun</w:t>
      </w:r>
      <w:r w:rsidR="00A645B6" w:rsidRPr="00100966">
        <w:rPr>
          <w:rFonts w:ascii="Palatino Linotype" w:hAnsi="Palatino Linotype"/>
          <w:sz w:val="22"/>
          <w:szCs w:val="22"/>
        </w:rPr>
        <w:t>, X.</w:t>
      </w:r>
      <w:r>
        <w:rPr>
          <w:rFonts w:ascii="Palatino Linotype" w:hAnsi="Palatino Linotype"/>
          <w:sz w:val="22"/>
          <w:szCs w:val="22"/>
        </w:rPr>
        <w:t xml:space="preserve"> Zhang</w:t>
      </w:r>
      <w:r w:rsidR="00A645B6" w:rsidRPr="00100966">
        <w:rPr>
          <w:rFonts w:ascii="Palatino Linotype" w:hAnsi="Palatino Linotype"/>
          <w:sz w:val="22"/>
          <w:szCs w:val="22"/>
        </w:rPr>
        <w:t xml:space="preserve">, K. Zou. </w:t>
      </w:r>
      <w:r>
        <w:rPr>
          <w:rFonts w:ascii="Palatino Linotype" w:hAnsi="Palatino Linotype"/>
          <w:sz w:val="22"/>
          <w:szCs w:val="22"/>
          <w:lang w:val="en-US"/>
        </w:rPr>
        <w:t xml:space="preserve">“Experimental </w:t>
      </w:r>
      <w:r w:rsidR="00A645B6" w:rsidRPr="00100966">
        <w:rPr>
          <w:rFonts w:ascii="Palatino Linotype" w:hAnsi="Palatino Linotype"/>
          <w:sz w:val="22"/>
          <w:szCs w:val="22"/>
          <w:lang w:val="en-US"/>
        </w:rPr>
        <w:t xml:space="preserve">research on the dynamic thermal performance of a novel triple-pane building window filled with PCM". </w:t>
      </w:r>
      <w:r w:rsidR="00A645B6" w:rsidRPr="00C03B53">
        <w:rPr>
          <w:rStyle w:val="Emphasis"/>
          <w:rFonts w:ascii="Palatino Linotype" w:hAnsi="Palatino Linotype"/>
          <w:sz w:val="22"/>
          <w:szCs w:val="22"/>
          <w:lang w:val="en-US"/>
        </w:rPr>
        <w:t>Sustainable Cities and Society</w:t>
      </w:r>
      <w:r w:rsidR="00A645B6" w:rsidRPr="00C03B53">
        <w:rPr>
          <w:rFonts w:ascii="Palatino Linotype" w:hAnsi="Palatino Linotype"/>
          <w:sz w:val="22"/>
          <w:szCs w:val="22"/>
          <w:lang w:val="en-US"/>
        </w:rPr>
        <w:t xml:space="preserve"> </w:t>
      </w:r>
      <w:r>
        <w:rPr>
          <w:rFonts w:ascii="Palatino Linotype" w:hAnsi="Palatino Linotype"/>
          <w:sz w:val="22"/>
          <w:szCs w:val="22"/>
          <w:lang w:val="en-US"/>
        </w:rPr>
        <w:t>27</w:t>
      </w:r>
      <w:r w:rsidR="00A645B6" w:rsidRPr="00C03B53">
        <w:rPr>
          <w:rFonts w:ascii="Palatino Linotype" w:hAnsi="Palatino Linotype"/>
          <w:sz w:val="22"/>
          <w:szCs w:val="22"/>
          <w:lang w:val="en-US"/>
        </w:rPr>
        <w:t xml:space="preserve"> (201</w:t>
      </w:r>
      <w:r>
        <w:rPr>
          <w:rFonts w:ascii="Palatino Linotype" w:hAnsi="Palatino Linotype"/>
          <w:sz w:val="22"/>
          <w:szCs w:val="22"/>
          <w:lang w:val="en-US"/>
        </w:rPr>
        <w:t>6</w:t>
      </w:r>
      <w:r w:rsidR="00A645B6" w:rsidRPr="00C03B53">
        <w:rPr>
          <w:rFonts w:ascii="Palatino Linotype" w:hAnsi="Palatino Linotype"/>
          <w:sz w:val="22"/>
          <w:szCs w:val="22"/>
          <w:lang w:val="en-US"/>
        </w:rPr>
        <w:t xml:space="preserve">) </w:t>
      </w:r>
      <w:r>
        <w:rPr>
          <w:rFonts w:ascii="Palatino Linotype" w:hAnsi="Palatino Linotype"/>
          <w:sz w:val="22"/>
          <w:szCs w:val="22"/>
          <w:lang w:val="en-US"/>
        </w:rPr>
        <w:t>15</w:t>
      </w:r>
      <w:r w:rsidR="00A645B6" w:rsidRPr="00C03B53">
        <w:rPr>
          <w:rFonts w:ascii="Palatino Linotype" w:hAnsi="Palatino Linotype"/>
          <w:sz w:val="22"/>
          <w:szCs w:val="22"/>
          <w:lang w:val="en-US"/>
        </w:rPr>
        <w:t>–</w:t>
      </w:r>
      <w:r>
        <w:rPr>
          <w:rFonts w:ascii="Palatino Linotype" w:hAnsi="Palatino Linotype"/>
          <w:sz w:val="22"/>
          <w:szCs w:val="22"/>
          <w:lang w:val="en-US"/>
        </w:rPr>
        <w:t>22</w:t>
      </w:r>
      <w:r w:rsidR="00A645B6" w:rsidRPr="00C03B53">
        <w:rPr>
          <w:rFonts w:ascii="Palatino Linotype" w:hAnsi="Palatino Linotype"/>
          <w:sz w:val="22"/>
          <w:szCs w:val="22"/>
          <w:lang w:val="en-US"/>
        </w:rPr>
        <w:t xml:space="preserve">. </w:t>
      </w:r>
    </w:p>
    <w:p w14:paraId="7753D23B" w14:textId="05946D22" w:rsidR="00A645B6" w:rsidRPr="00C03B53" w:rsidRDefault="00C03B53" w:rsidP="00A645B6">
      <w:pPr>
        <w:pStyle w:val="NormalWeb"/>
        <w:numPr>
          <w:ilvl w:val="0"/>
          <w:numId w:val="15"/>
        </w:numPr>
        <w:jc w:val="both"/>
        <w:rPr>
          <w:rFonts w:ascii="Palatino Linotype" w:hAnsi="Palatino Linotype"/>
          <w:sz w:val="22"/>
          <w:szCs w:val="22"/>
          <w:lang w:val="en-US"/>
        </w:rPr>
      </w:pPr>
      <w:r>
        <w:rPr>
          <w:rFonts w:ascii="Palatino Linotype" w:hAnsi="Palatino Linotype"/>
          <w:sz w:val="22"/>
          <w:szCs w:val="22"/>
        </w:rPr>
        <w:t>F</w:t>
      </w:r>
      <w:r w:rsidR="00A645B6" w:rsidRPr="00100966">
        <w:rPr>
          <w:rFonts w:ascii="Palatino Linotype" w:hAnsi="Palatino Linotype"/>
          <w:sz w:val="22"/>
          <w:szCs w:val="22"/>
        </w:rPr>
        <w:t xml:space="preserve">. Goia, M. Perino, </w:t>
      </w:r>
      <w:r>
        <w:rPr>
          <w:rFonts w:ascii="Palatino Linotype" w:hAnsi="Palatino Linotype"/>
          <w:sz w:val="22"/>
          <w:szCs w:val="22"/>
        </w:rPr>
        <w:t>V</w:t>
      </w:r>
      <w:r w:rsidR="00A645B6" w:rsidRPr="00100966">
        <w:rPr>
          <w:rFonts w:ascii="Palatino Linotype" w:hAnsi="Palatino Linotype"/>
          <w:sz w:val="22"/>
          <w:szCs w:val="22"/>
        </w:rPr>
        <w:t xml:space="preserve">. Serra. </w:t>
      </w:r>
      <w:r w:rsidR="00A645B6" w:rsidRPr="00100966">
        <w:rPr>
          <w:rFonts w:ascii="Palatino Linotype" w:hAnsi="Palatino Linotype"/>
          <w:sz w:val="22"/>
          <w:szCs w:val="22"/>
          <w:lang w:val="en-US"/>
        </w:rPr>
        <w:t xml:space="preserve">"Improving thermal comfort </w:t>
      </w:r>
      <w:r>
        <w:rPr>
          <w:rFonts w:ascii="Palatino Linotype" w:hAnsi="Palatino Linotype"/>
          <w:sz w:val="22"/>
          <w:szCs w:val="22"/>
          <w:lang w:val="en-US"/>
        </w:rPr>
        <w:t>conditions by means of PCM glazing systems</w:t>
      </w:r>
      <w:r w:rsidR="00A645B6" w:rsidRPr="00100966">
        <w:rPr>
          <w:rFonts w:ascii="Palatino Linotype" w:hAnsi="Palatino Linotype"/>
          <w:sz w:val="22"/>
          <w:szCs w:val="22"/>
          <w:lang w:val="en-US"/>
        </w:rPr>
        <w:t xml:space="preserve">". </w:t>
      </w:r>
      <w:r w:rsidR="00A645B6" w:rsidRPr="00C03B53">
        <w:rPr>
          <w:rStyle w:val="Emphasis"/>
          <w:rFonts w:ascii="Palatino Linotype" w:hAnsi="Palatino Linotype"/>
          <w:sz w:val="22"/>
          <w:szCs w:val="22"/>
          <w:lang w:val="en-US"/>
        </w:rPr>
        <w:t>Energy and Buildings</w:t>
      </w:r>
      <w:r w:rsidR="00A645B6" w:rsidRPr="00C03B53">
        <w:rPr>
          <w:rFonts w:ascii="Palatino Linotype" w:hAnsi="Palatino Linotype"/>
          <w:sz w:val="22"/>
          <w:szCs w:val="22"/>
          <w:lang w:val="en-US"/>
        </w:rPr>
        <w:t xml:space="preserve"> 60 (2013) 442–452. </w:t>
      </w:r>
      <w:hyperlink r:id="rId308" w:tgtFrame="_blank" w:tooltip="Persistent link using digital object identifier" w:history="1">
        <w:r w:rsidRPr="00C03B53">
          <w:rPr>
            <w:rStyle w:val="Hyperlink"/>
            <w:rFonts w:ascii="Palatino Linotype" w:hAnsi="Palatino Linotype"/>
            <w:sz w:val="22"/>
            <w:szCs w:val="22"/>
          </w:rPr>
          <w:t>https://doi.org/10.1016/j.enbuild.2013.01.029</w:t>
        </w:r>
      </w:hyperlink>
    </w:p>
    <w:p w14:paraId="7A3EE9D3" w14:textId="73C648D5" w:rsidR="00B4749A" w:rsidRPr="00100966" w:rsidRDefault="00C03B53" w:rsidP="00B4749A">
      <w:pPr>
        <w:pStyle w:val="NormalWeb"/>
        <w:numPr>
          <w:ilvl w:val="0"/>
          <w:numId w:val="15"/>
        </w:numPr>
        <w:jc w:val="both"/>
        <w:rPr>
          <w:rFonts w:ascii="Palatino Linotype" w:hAnsi="Palatino Linotype"/>
          <w:sz w:val="22"/>
          <w:szCs w:val="22"/>
        </w:rPr>
      </w:pPr>
      <w:r>
        <w:rPr>
          <w:rFonts w:ascii="Palatino Linotype" w:hAnsi="Palatino Linotype"/>
          <w:sz w:val="22"/>
          <w:szCs w:val="22"/>
          <w:lang w:val="en-US"/>
        </w:rPr>
        <w:t>Q</w:t>
      </w:r>
      <w:r w:rsidR="00B4749A" w:rsidRPr="00100966">
        <w:rPr>
          <w:rFonts w:ascii="Palatino Linotype" w:hAnsi="Palatino Linotype"/>
          <w:sz w:val="22"/>
          <w:szCs w:val="22"/>
          <w:lang w:val="en-US"/>
        </w:rPr>
        <w:t xml:space="preserve">. Wang, C.Y. Zhao. "Parametric investigation of using a PCM curtain for energy efficient buildings". </w:t>
      </w:r>
      <w:r w:rsidR="00B4749A" w:rsidRPr="00100966">
        <w:rPr>
          <w:rStyle w:val="Emphasis"/>
          <w:rFonts w:ascii="Palatino Linotype" w:hAnsi="Palatino Linotype"/>
          <w:sz w:val="22"/>
          <w:szCs w:val="22"/>
        </w:rPr>
        <w:t>Energy and Buildings</w:t>
      </w:r>
      <w:r w:rsidR="00B4749A" w:rsidRPr="00100966">
        <w:rPr>
          <w:rFonts w:ascii="Palatino Linotype" w:hAnsi="Palatino Linotype"/>
          <w:sz w:val="22"/>
          <w:szCs w:val="22"/>
        </w:rPr>
        <w:t xml:space="preserve"> 94 (2015) 33–42. </w:t>
      </w:r>
      <w:hyperlink r:id="rId309" w:tgtFrame="_blank" w:tooltip="Persistent link using digital object identifier" w:history="1">
        <w:r w:rsidRPr="00C03B53">
          <w:rPr>
            <w:rStyle w:val="Hyperlink"/>
            <w:rFonts w:ascii="Palatino Linotype" w:hAnsi="Palatino Linotype"/>
            <w:sz w:val="22"/>
            <w:szCs w:val="22"/>
          </w:rPr>
          <w:t>https://doi.org/10.1016/j.enbuild.2015.02.024</w:t>
        </w:r>
      </w:hyperlink>
    </w:p>
    <w:p w14:paraId="5A9D2C07" w14:textId="2FE3482F" w:rsidR="00B4749A" w:rsidRPr="00100966" w:rsidRDefault="00B4749A" w:rsidP="00B4749A">
      <w:pPr>
        <w:pStyle w:val="NormalWeb"/>
        <w:numPr>
          <w:ilvl w:val="0"/>
          <w:numId w:val="15"/>
        </w:numPr>
        <w:jc w:val="both"/>
        <w:rPr>
          <w:rFonts w:ascii="Palatino Linotype" w:hAnsi="Palatino Linotype"/>
          <w:sz w:val="22"/>
          <w:szCs w:val="22"/>
        </w:rPr>
      </w:pPr>
      <w:r w:rsidRPr="00C03B53">
        <w:rPr>
          <w:rFonts w:ascii="Palatino Linotype" w:hAnsi="Palatino Linotype"/>
          <w:sz w:val="22"/>
          <w:szCs w:val="22"/>
        </w:rPr>
        <w:t xml:space="preserve">X. Yang, D. Li, </w:t>
      </w:r>
      <w:r w:rsidR="00C03B53" w:rsidRPr="00C03B53">
        <w:rPr>
          <w:rFonts w:ascii="Palatino Linotype" w:hAnsi="Palatino Linotype"/>
          <w:sz w:val="22"/>
          <w:szCs w:val="22"/>
        </w:rPr>
        <w:t>R</w:t>
      </w:r>
      <w:r w:rsidRPr="00C03B53">
        <w:rPr>
          <w:rFonts w:ascii="Palatino Linotype" w:hAnsi="Palatino Linotype"/>
          <w:sz w:val="22"/>
          <w:szCs w:val="22"/>
        </w:rPr>
        <w:t>. Yang, Y. Ma, X. Tong, Y. Wu, M. A</w:t>
      </w:r>
      <w:r w:rsidR="00C03B53">
        <w:rPr>
          <w:rFonts w:ascii="Palatino Linotype" w:hAnsi="Palatino Linotype"/>
          <w:sz w:val="22"/>
          <w:szCs w:val="22"/>
        </w:rPr>
        <w:t>rici</w:t>
      </w:r>
      <w:r w:rsidRPr="00C03B53">
        <w:rPr>
          <w:rFonts w:ascii="Palatino Linotype" w:hAnsi="Palatino Linotype"/>
          <w:sz w:val="22"/>
          <w:szCs w:val="22"/>
        </w:rPr>
        <w:t xml:space="preserve">. </w:t>
      </w:r>
      <w:r w:rsidRPr="00100966">
        <w:rPr>
          <w:rFonts w:ascii="Palatino Linotype" w:hAnsi="Palatino Linotype"/>
          <w:sz w:val="22"/>
          <w:szCs w:val="22"/>
          <w:lang w:val="en-US"/>
        </w:rPr>
        <w:t xml:space="preserve">"Comprehensive performance evaluation of double-glazed windows containing hybrid nanoparticle-enhanced PCM material". </w:t>
      </w:r>
      <w:r w:rsidRPr="00100966">
        <w:rPr>
          <w:rStyle w:val="Emphasis"/>
          <w:rFonts w:ascii="Palatino Linotype" w:hAnsi="Palatino Linotype"/>
          <w:sz w:val="22"/>
          <w:szCs w:val="22"/>
        </w:rPr>
        <w:t>Applied Thermal Engineering</w:t>
      </w:r>
      <w:r w:rsidRPr="00100966">
        <w:rPr>
          <w:rFonts w:ascii="Palatino Linotype" w:hAnsi="Palatino Linotype"/>
          <w:sz w:val="22"/>
          <w:szCs w:val="22"/>
        </w:rPr>
        <w:t xml:space="preserve"> 223 (2023) 119</w:t>
      </w:r>
      <w:r w:rsidR="00C03B53">
        <w:rPr>
          <w:rFonts w:ascii="Palatino Linotype" w:hAnsi="Palatino Linotype"/>
          <w:sz w:val="22"/>
          <w:szCs w:val="22"/>
        </w:rPr>
        <w:t>976</w:t>
      </w:r>
      <w:r w:rsidRPr="00100966">
        <w:rPr>
          <w:rFonts w:ascii="Palatino Linotype" w:hAnsi="Palatino Linotype"/>
          <w:sz w:val="22"/>
          <w:szCs w:val="22"/>
        </w:rPr>
        <w:t xml:space="preserve">. </w:t>
      </w:r>
      <w:hyperlink r:id="rId310" w:tgtFrame="_blank" w:tooltip="Persistent link using digital object identifier" w:history="1">
        <w:r w:rsidR="00C03B53" w:rsidRPr="00C03B53">
          <w:rPr>
            <w:rStyle w:val="Hyperlink"/>
            <w:rFonts w:ascii="Palatino Linotype" w:hAnsi="Palatino Linotype"/>
            <w:sz w:val="22"/>
            <w:szCs w:val="22"/>
          </w:rPr>
          <w:t>https://doi.org/10.1016/j.applthermaleng.2023.119976</w:t>
        </w:r>
      </w:hyperlink>
    </w:p>
    <w:p w14:paraId="5AAEE36E" w14:textId="60CE1780"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rPr>
        <w:lastRenderedPageBreak/>
        <w:t xml:space="preserve">M.F. King, </w:t>
      </w:r>
      <w:r w:rsidR="00C03B53">
        <w:rPr>
          <w:rFonts w:ascii="Palatino Linotype" w:hAnsi="Palatino Linotype"/>
          <w:sz w:val="22"/>
          <w:szCs w:val="22"/>
        </w:rPr>
        <w:t>P</w:t>
      </w:r>
      <w:r w:rsidRPr="00100966">
        <w:rPr>
          <w:rFonts w:ascii="Palatino Linotype" w:hAnsi="Palatino Linotype"/>
          <w:sz w:val="22"/>
          <w:szCs w:val="22"/>
        </w:rPr>
        <w:t>.</w:t>
      </w:r>
      <w:r w:rsidR="00C03B53">
        <w:rPr>
          <w:rFonts w:ascii="Palatino Linotype" w:hAnsi="Palatino Linotype"/>
          <w:sz w:val="22"/>
          <w:szCs w:val="22"/>
        </w:rPr>
        <w:t xml:space="preserve">N. Rao, A. Sivakumar, V.K. Mamidi, S.Richard, M. Vijakumar, </w:t>
      </w:r>
      <w:r w:rsidRPr="00100966">
        <w:rPr>
          <w:rFonts w:ascii="Palatino Linotype" w:hAnsi="Palatino Linotype"/>
          <w:sz w:val="22"/>
          <w:szCs w:val="22"/>
        </w:rPr>
        <w:t xml:space="preserve">P.M. Kumar. </w:t>
      </w:r>
      <w:r w:rsidRPr="00100966">
        <w:rPr>
          <w:rFonts w:ascii="Palatino Linotype" w:hAnsi="Palatino Linotype"/>
          <w:sz w:val="22"/>
          <w:szCs w:val="22"/>
          <w:lang w:val="en-US"/>
        </w:rPr>
        <w:t xml:space="preserve">"Thermal performance of a double glazed window integrated with a phase change material (PCM)". </w:t>
      </w:r>
      <w:r w:rsidRPr="00100966">
        <w:rPr>
          <w:rStyle w:val="Emphasis"/>
          <w:rFonts w:ascii="Palatino Linotype" w:hAnsi="Palatino Linotype"/>
          <w:sz w:val="22"/>
          <w:szCs w:val="22"/>
        </w:rPr>
        <w:t>Materials Today: Proceedings</w:t>
      </w:r>
      <w:r w:rsidRPr="00100966">
        <w:rPr>
          <w:rFonts w:ascii="Palatino Linotype" w:hAnsi="Palatino Linotype"/>
          <w:sz w:val="22"/>
          <w:szCs w:val="22"/>
        </w:rPr>
        <w:t xml:space="preserve"> 50 (2022) 151</w:t>
      </w:r>
      <w:r w:rsidR="00C03B53">
        <w:rPr>
          <w:rFonts w:ascii="Palatino Linotype" w:hAnsi="Palatino Linotype"/>
          <w:sz w:val="22"/>
          <w:szCs w:val="22"/>
        </w:rPr>
        <w:t>6</w:t>
      </w:r>
      <w:r w:rsidRPr="00100966">
        <w:rPr>
          <w:rFonts w:ascii="Palatino Linotype" w:hAnsi="Palatino Linotype"/>
          <w:sz w:val="22"/>
          <w:szCs w:val="22"/>
        </w:rPr>
        <w:t xml:space="preserve">–1521. </w:t>
      </w:r>
      <w:hyperlink r:id="rId311" w:tgtFrame="_blank" w:tooltip="Persistent link using digital object identifier" w:history="1">
        <w:r w:rsidR="00C03B53" w:rsidRPr="00C03B53">
          <w:rPr>
            <w:rStyle w:val="Hyperlink"/>
            <w:rFonts w:ascii="Palatino Linotype" w:hAnsi="Palatino Linotype"/>
            <w:sz w:val="22"/>
            <w:szCs w:val="22"/>
          </w:rPr>
          <w:t>https://doi.org/10.1016/j.matpr.2021.09.099</w:t>
        </w:r>
      </w:hyperlink>
    </w:p>
    <w:p w14:paraId="0257D978"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B. Duraković, S. Mešetović. "Thermal performance of glazed energy storage systems with various storage materials: An experimental study". </w:t>
      </w:r>
      <w:r w:rsidRPr="00100966">
        <w:rPr>
          <w:rStyle w:val="Emphasis"/>
          <w:rFonts w:ascii="Palatino Linotype" w:hAnsi="Palatino Linotype"/>
          <w:sz w:val="22"/>
          <w:szCs w:val="22"/>
        </w:rPr>
        <w:t>Sustainable Cities and Society</w:t>
      </w:r>
      <w:r w:rsidRPr="00100966">
        <w:rPr>
          <w:rFonts w:ascii="Palatino Linotype" w:hAnsi="Palatino Linotype"/>
          <w:sz w:val="22"/>
          <w:szCs w:val="22"/>
        </w:rPr>
        <w:t xml:space="preserve"> 45 (2019) 420–430. </w:t>
      </w:r>
      <w:hyperlink r:id="rId312" w:tgtFrame="_new" w:history="1">
        <w:r w:rsidRPr="00100966">
          <w:rPr>
            <w:rStyle w:val="Hyperlink"/>
            <w:rFonts w:ascii="Palatino Linotype" w:hAnsi="Palatino Linotype"/>
            <w:sz w:val="22"/>
            <w:szCs w:val="22"/>
          </w:rPr>
          <w:t>https://doi.org/10.1016/j.scs.2018.12.003</w:t>
        </w:r>
      </w:hyperlink>
    </w:p>
    <w:p w14:paraId="7175F938" w14:textId="11B64E2D" w:rsidR="00585B2A" w:rsidRDefault="00EE5050" w:rsidP="00B4749A">
      <w:pPr>
        <w:pStyle w:val="NormalWeb"/>
        <w:numPr>
          <w:ilvl w:val="0"/>
          <w:numId w:val="15"/>
        </w:numPr>
        <w:jc w:val="both"/>
        <w:rPr>
          <w:rFonts w:ascii="Palatino Linotype" w:hAnsi="Palatino Linotype"/>
          <w:sz w:val="22"/>
          <w:szCs w:val="22"/>
          <w:lang w:val="en-US"/>
        </w:rPr>
      </w:pPr>
      <w:r w:rsidRPr="00EE5050">
        <w:rPr>
          <w:rFonts w:ascii="Palatino Linotype" w:hAnsi="Palatino Linotype"/>
          <w:sz w:val="22"/>
          <w:szCs w:val="22"/>
          <w:lang w:val="en-US"/>
        </w:rPr>
        <w:t>A. Gallardo, U. Berardi</w:t>
      </w:r>
      <w:r>
        <w:rPr>
          <w:rFonts w:ascii="Palatino Linotype" w:hAnsi="Palatino Linotype"/>
          <w:sz w:val="22"/>
          <w:szCs w:val="22"/>
          <w:lang w:val="en-US"/>
        </w:rPr>
        <w:t>. “</w:t>
      </w:r>
      <w:r w:rsidRPr="00EE5050">
        <w:rPr>
          <w:rFonts w:ascii="Palatino Linotype" w:hAnsi="Palatino Linotype"/>
          <w:sz w:val="22"/>
          <w:szCs w:val="22"/>
          <w:lang w:val="en-US"/>
        </w:rPr>
        <w:t>Design and control of radiant ceiling panels incorporating phase change materials for cooling applications</w:t>
      </w:r>
      <w:r>
        <w:rPr>
          <w:rFonts w:ascii="Palatino Linotype" w:hAnsi="Palatino Linotype"/>
          <w:sz w:val="22"/>
          <w:szCs w:val="22"/>
          <w:lang w:val="en-US"/>
        </w:rPr>
        <w:t>”</w:t>
      </w:r>
      <w:r w:rsidRPr="00EE5050">
        <w:rPr>
          <w:rFonts w:ascii="Palatino Linotype" w:hAnsi="Palatino Linotype"/>
          <w:sz w:val="22"/>
          <w:szCs w:val="22"/>
          <w:lang w:val="en-US"/>
        </w:rPr>
        <w:t xml:space="preserve"> </w:t>
      </w:r>
      <w:r w:rsidRPr="00EE5050">
        <w:rPr>
          <w:rFonts w:ascii="Palatino Linotype" w:hAnsi="Palatino Linotype"/>
          <w:i/>
          <w:iCs/>
          <w:sz w:val="22"/>
          <w:szCs w:val="22"/>
          <w:lang w:val="en-US"/>
        </w:rPr>
        <w:t>Appl</w:t>
      </w:r>
      <w:r>
        <w:rPr>
          <w:rFonts w:ascii="Palatino Linotype" w:hAnsi="Palatino Linotype"/>
          <w:i/>
          <w:iCs/>
          <w:sz w:val="22"/>
          <w:szCs w:val="22"/>
          <w:lang w:val="en-US"/>
        </w:rPr>
        <w:t>ied</w:t>
      </w:r>
      <w:r w:rsidRPr="00EE5050">
        <w:rPr>
          <w:rFonts w:ascii="Palatino Linotype" w:hAnsi="Palatino Linotype"/>
          <w:i/>
          <w:iCs/>
          <w:sz w:val="22"/>
          <w:szCs w:val="22"/>
          <w:lang w:val="en-US"/>
        </w:rPr>
        <w:t xml:space="preserve"> Energy</w:t>
      </w:r>
      <w:r w:rsidRPr="00EE5050">
        <w:rPr>
          <w:rFonts w:ascii="Palatino Linotype" w:hAnsi="Palatino Linotype"/>
          <w:sz w:val="22"/>
          <w:szCs w:val="22"/>
          <w:lang w:val="en-US"/>
        </w:rPr>
        <w:t xml:space="preserve"> 304 (2021) 117736. </w:t>
      </w:r>
      <w:hyperlink r:id="rId313" w:history="1">
        <w:r w:rsidRPr="00FB3BE2">
          <w:rPr>
            <w:rStyle w:val="Hyperlink"/>
            <w:rFonts w:ascii="Palatino Linotype" w:hAnsi="Palatino Linotype"/>
            <w:sz w:val="22"/>
            <w:szCs w:val="22"/>
            <w:lang w:val="en-US"/>
          </w:rPr>
          <w:t>https://doi.org/10.1016/j.apenergy.2021.117736</w:t>
        </w:r>
      </w:hyperlink>
      <w:r w:rsidRPr="00EE5050">
        <w:rPr>
          <w:rFonts w:ascii="Palatino Linotype" w:hAnsi="Palatino Linotype"/>
          <w:sz w:val="22"/>
          <w:szCs w:val="22"/>
          <w:lang w:val="en-US"/>
        </w:rPr>
        <w:t>.</w:t>
      </w:r>
    </w:p>
    <w:p w14:paraId="3B9AAC4E" w14:textId="022C1D8A" w:rsidR="00B4749A" w:rsidRPr="00EE5050" w:rsidRDefault="00B4749A" w:rsidP="00EE5050">
      <w:pPr>
        <w:pStyle w:val="NormalWeb"/>
        <w:numPr>
          <w:ilvl w:val="0"/>
          <w:numId w:val="15"/>
        </w:numPr>
        <w:jc w:val="both"/>
        <w:rPr>
          <w:rFonts w:ascii="Palatino Linotype" w:hAnsi="Palatino Linotype"/>
          <w:sz w:val="22"/>
          <w:szCs w:val="22"/>
          <w:lang w:val="en-US"/>
        </w:rPr>
      </w:pPr>
      <w:r w:rsidRPr="00EE5050">
        <w:rPr>
          <w:rFonts w:ascii="Palatino Linotype" w:hAnsi="Palatino Linotype"/>
          <w:sz w:val="22"/>
          <w:szCs w:val="22"/>
          <w:lang w:val="en-US"/>
        </w:rPr>
        <w:t xml:space="preserve">A. Arumugam, S. Shaik. "Air-conditioning cost saving and CO₂ emission reduction prospective of buildings designed with PCM integrated blocks and roofs". </w:t>
      </w:r>
      <w:r w:rsidRPr="00EE5050">
        <w:rPr>
          <w:rStyle w:val="Emphasis"/>
          <w:rFonts w:ascii="Palatino Linotype" w:hAnsi="Palatino Linotype"/>
          <w:sz w:val="22"/>
          <w:szCs w:val="22"/>
          <w:lang w:val="en-US"/>
        </w:rPr>
        <w:t>Sustainable Energy Technologies and Assessments</w:t>
      </w:r>
      <w:r w:rsidRPr="00EE5050">
        <w:rPr>
          <w:rFonts w:ascii="Palatino Linotype" w:hAnsi="Palatino Linotype"/>
          <w:sz w:val="22"/>
          <w:szCs w:val="22"/>
          <w:lang w:val="en-US"/>
        </w:rPr>
        <w:t xml:space="preserve"> 48 (2021) 101657. </w:t>
      </w:r>
      <w:hyperlink r:id="rId314" w:tgtFrame="_new" w:history="1">
        <w:r w:rsidRPr="00EE5050">
          <w:rPr>
            <w:rStyle w:val="Hyperlink"/>
            <w:rFonts w:ascii="Palatino Linotype" w:hAnsi="Palatino Linotype"/>
            <w:sz w:val="22"/>
            <w:szCs w:val="22"/>
            <w:lang w:val="en-US"/>
          </w:rPr>
          <w:t>https://doi.org/10.1016/j.seta.2021.101657</w:t>
        </w:r>
      </w:hyperlink>
    </w:p>
    <w:p w14:paraId="27C9396A" w14:textId="35A6008C" w:rsidR="00A645B6" w:rsidRPr="00EE5050" w:rsidRDefault="00EE5050" w:rsidP="00A645B6">
      <w:pPr>
        <w:pStyle w:val="NormalWeb"/>
        <w:numPr>
          <w:ilvl w:val="0"/>
          <w:numId w:val="15"/>
        </w:numPr>
        <w:jc w:val="both"/>
        <w:rPr>
          <w:rFonts w:ascii="Palatino Linotype" w:hAnsi="Palatino Linotype"/>
          <w:sz w:val="22"/>
          <w:szCs w:val="22"/>
          <w:lang w:val="en-US"/>
        </w:rPr>
      </w:pPr>
      <w:r>
        <w:rPr>
          <w:rFonts w:ascii="Palatino Linotype" w:hAnsi="Palatino Linotype"/>
          <w:sz w:val="22"/>
          <w:szCs w:val="22"/>
          <w:lang w:val="en-US"/>
        </w:rPr>
        <w:t xml:space="preserve">X.Y.D. </w:t>
      </w:r>
      <w:r w:rsidR="00A645B6" w:rsidRPr="00100966">
        <w:rPr>
          <w:rFonts w:ascii="Palatino Linotype" w:hAnsi="Palatino Linotype"/>
          <w:sz w:val="22"/>
          <w:szCs w:val="22"/>
          <w:lang w:val="en-US"/>
        </w:rPr>
        <w:t xml:space="preserve">Soo, </w:t>
      </w:r>
      <w:r>
        <w:rPr>
          <w:rFonts w:ascii="Palatino Linotype" w:hAnsi="Palatino Linotype"/>
          <w:sz w:val="22"/>
          <w:szCs w:val="22"/>
          <w:lang w:val="en-US"/>
        </w:rPr>
        <w:t xml:space="preserve">P.J. </w:t>
      </w:r>
      <w:r w:rsidR="00A645B6" w:rsidRPr="00100966">
        <w:rPr>
          <w:rFonts w:ascii="Palatino Linotype" w:hAnsi="Palatino Linotype"/>
          <w:sz w:val="22"/>
          <w:szCs w:val="22"/>
          <w:lang w:val="en-US"/>
        </w:rPr>
        <w:t xml:space="preserve">Ong, </w:t>
      </w:r>
      <w:r>
        <w:rPr>
          <w:rFonts w:ascii="Palatino Linotype" w:hAnsi="Palatino Linotype"/>
          <w:sz w:val="22"/>
          <w:szCs w:val="22"/>
          <w:lang w:val="en-US"/>
        </w:rPr>
        <w:t xml:space="preserve">Y.K.Z. </w:t>
      </w:r>
      <w:r w:rsidR="00A645B6" w:rsidRPr="00100966">
        <w:rPr>
          <w:rFonts w:ascii="Palatino Linotype" w:hAnsi="Palatino Linotype"/>
          <w:sz w:val="22"/>
          <w:szCs w:val="22"/>
          <w:lang w:val="en-US"/>
        </w:rPr>
        <w:t xml:space="preserve">Lim, </w:t>
      </w:r>
      <w:r>
        <w:rPr>
          <w:rFonts w:ascii="Palatino Linotype" w:hAnsi="Palatino Linotype"/>
          <w:sz w:val="22"/>
          <w:szCs w:val="22"/>
          <w:lang w:val="en-US"/>
        </w:rPr>
        <w:t xml:space="preserve">S. </w:t>
      </w:r>
      <w:r w:rsidR="00A645B6" w:rsidRPr="00100966">
        <w:rPr>
          <w:rFonts w:ascii="Palatino Linotype" w:hAnsi="Palatino Linotype"/>
          <w:sz w:val="22"/>
          <w:szCs w:val="22"/>
          <w:lang w:val="en-US"/>
        </w:rPr>
        <w:t xml:space="preserve">Wang, </w:t>
      </w:r>
      <w:r>
        <w:rPr>
          <w:rFonts w:ascii="Palatino Linotype" w:hAnsi="Palatino Linotype"/>
          <w:sz w:val="22"/>
          <w:szCs w:val="22"/>
          <w:lang w:val="en-US"/>
        </w:rPr>
        <w:t xml:space="preserve">W. </w:t>
      </w:r>
      <w:r w:rsidR="00A645B6" w:rsidRPr="00100966">
        <w:rPr>
          <w:rFonts w:ascii="Palatino Linotype" w:hAnsi="Palatino Linotype"/>
          <w:sz w:val="22"/>
          <w:szCs w:val="22"/>
          <w:lang w:val="en-US"/>
        </w:rPr>
        <w:t xml:space="preserve">Thitsartarn, </w:t>
      </w:r>
      <w:r>
        <w:rPr>
          <w:rFonts w:ascii="Palatino Linotype" w:hAnsi="Palatino Linotype"/>
          <w:sz w:val="22"/>
          <w:szCs w:val="22"/>
          <w:lang w:val="en-US"/>
        </w:rPr>
        <w:t>F.</w:t>
      </w:r>
      <w:r w:rsidR="00A645B6" w:rsidRPr="00100966">
        <w:rPr>
          <w:rFonts w:ascii="Palatino Linotype" w:hAnsi="Palatino Linotype"/>
          <w:sz w:val="22"/>
          <w:szCs w:val="22"/>
          <w:lang w:val="en-US"/>
        </w:rPr>
        <w:t xml:space="preserve"> Wang, </w:t>
      </w:r>
      <w:r>
        <w:rPr>
          <w:rFonts w:ascii="Palatino Linotype" w:hAnsi="Palatino Linotype"/>
          <w:sz w:val="22"/>
          <w:szCs w:val="22"/>
          <w:lang w:val="en-US"/>
        </w:rPr>
        <w:t xml:space="preserve">J. </w:t>
      </w:r>
      <w:r w:rsidR="00A645B6" w:rsidRPr="00100966">
        <w:rPr>
          <w:rFonts w:ascii="Palatino Linotype" w:hAnsi="Palatino Linotype"/>
          <w:sz w:val="22"/>
          <w:szCs w:val="22"/>
          <w:lang w:val="en-US"/>
        </w:rPr>
        <w:t xml:space="preserve">Kong, </w:t>
      </w:r>
      <w:r>
        <w:rPr>
          <w:rFonts w:ascii="Palatino Linotype" w:hAnsi="Palatino Linotype"/>
          <w:sz w:val="22"/>
          <w:szCs w:val="22"/>
          <w:lang w:val="en-US"/>
        </w:rPr>
        <w:t xml:space="preserve">R. </w:t>
      </w:r>
      <w:r w:rsidR="00A645B6" w:rsidRPr="00100966">
        <w:rPr>
          <w:rFonts w:ascii="Palatino Linotype" w:hAnsi="Palatino Linotype"/>
          <w:sz w:val="22"/>
          <w:szCs w:val="22"/>
          <w:lang w:val="en-US"/>
        </w:rPr>
        <w:t xml:space="preserve">Ji, </w:t>
      </w:r>
      <w:r>
        <w:rPr>
          <w:rFonts w:ascii="Palatino Linotype" w:hAnsi="Palatino Linotype"/>
          <w:sz w:val="22"/>
          <w:szCs w:val="22"/>
          <w:lang w:val="en-US"/>
        </w:rPr>
        <w:t xml:space="preserve">N. </w:t>
      </w:r>
      <w:r w:rsidR="00A645B6" w:rsidRPr="00100966">
        <w:rPr>
          <w:rFonts w:ascii="Palatino Linotype" w:hAnsi="Palatino Linotype"/>
          <w:sz w:val="22"/>
          <w:szCs w:val="22"/>
          <w:lang w:val="en-US"/>
        </w:rPr>
        <w:t>Tomczak,</w:t>
      </w:r>
      <w:r>
        <w:rPr>
          <w:rFonts w:ascii="Palatino Linotype" w:hAnsi="Palatino Linotype"/>
          <w:sz w:val="22"/>
          <w:szCs w:val="22"/>
          <w:lang w:val="en-US"/>
        </w:rPr>
        <w:t xml:space="preserve"> B.H.</w:t>
      </w:r>
      <w:r w:rsidR="00A645B6" w:rsidRPr="00100966">
        <w:rPr>
          <w:rFonts w:ascii="Palatino Linotype" w:hAnsi="Palatino Linotype"/>
          <w:sz w:val="22"/>
          <w:szCs w:val="22"/>
          <w:lang w:val="en-US"/>
        </w:rPr>
        <w:t xml:space="preserve"> Tan,</w:t>
      </w:r>
      <w:r>
        <w:rPr>
          <w:rFonts w:ascii="Palatino Linotype" w:hAnsi="Palatino Linotype"/>
          <w:sz w:val="22"/>
          <w:szCs w:val="22"/>
          <w:lang w:val="en-US"/>
        </w:rPr>
        <w:t xml:space="preserve"> P.</w:t>
      </w:r>
      <w:r w:rsidR="00A645B6" w:rsidRPr="00100966">
        <w:rPr>
          <w:rFonts w:ascii="Palatino Linotype" w:hAnsi="Palatino Linotype"/>
          <w:sz w:val="22"/>
          <w:szCs w:val="22"/>
          <w:lang w:val="en-US"/>
        </w:rPr>
        <w:t xml:space="preserve"> Wang, </w:t>
      </w:r>
      <w:r>
        <w:rPr>
          <w:rFonts w:ascii="Palatino Linotype" w:hAnsi="Palatino Linotype"/>
          <w:sz w:val="22"/>
          <w:szCs w:val="22"/>
          <w:lang w:val="en-US"/>
        </w:rPr>
        <w:t>J.</w:t>
      </w:r>
      <w:r w:rsidR="00A645B6" w:rsidRPr="00100966">
        <w:rPr>
          <w:rFonts w:ascii="Palatino Linotype" w:hAnsi="Palatino Linotype"/>
          <w:sz w:val="22"/>
          <w:szCs w:val="22"/>
          <w:lang w:val="en-US"/>
        </w:rPr>
        <w:t xml:space="preserve"> Xu,</w:t>
      </w:r>
      <w:r>
        <w:rPr>
          <w:rFonts w:ascii="Palatino Linotype" w:hAnsi="Palatino Linotype"/>
          <w:sz w:val="22"/>
          <w:szCs w:val="22"/>
          <w:lang w:val="en-US"/>
        </w:rPr>
        <w:t xml:space="preserve"> X.J.</w:t>
      </w:r>
      <w:r w:rsidR="00A645B6" w:rsidRPr="00100966">
        <w:rPr>
          <w:rFonts w:ascii="Palatino Linotype" w:hAnsi="Palatino Linotype"/>
          <w:sz w:val="22"/>
          <w:szCs w:val="22"/>
          <w:lang w:val="en-US"/>
        </w:rPr>
        <w:t xml:space="preserve"> Loh, </w:t>
      </w:r>
      <w:r>
        <w:rPr>
          <w:rFonts w:ascii="Palatino Linotype" w:hAnsi="Palatino Linotype"/>
          <w:sz w:val="22"/>
          <w:szCs w:val="22"/>
          <w:lang w:val="en-US"/>
        </w:rPr>
        <w:t xml:space="preserve">Q. </w:t>
      </w:r>
      <w:r w:rsidR="00A645B6" w:rsidRPr="00100966">
        <w:rPr>
          <w:rFonts w:ascii="Palatino Linotype" w:hAnsi="Palatino Linotype"/>
          <w:sz w:val="22"/>
          <w:szCs w:val="22"/>
          <w:lang w:val="en-US"/>
        </w:rPr>
        <w:t xml:space="preserve">Zhu. </w:t>
      </w:r>
      <w:r>
        <w:rPr>
          <w:rFonts w:ascii="Palatino Linotype" w:hAnsi="Palatino Linotype"/>
          <w:sz w:val="22"/>
          <w:szCs w:val="22"/>
          <w:lang w:val="en-US"/>
        </w:rPr>
        <w:t>“</w:t>
      </w:r>
      <w:r w:rsidR="00A645B6" w:rsidRPr="00100966">
        <w:rPr>
          <w:rFonts w:ascii="Palatino Linotype" w:hAnsi="Palatino Linotype"/>
          <w:sz w:val="22"/>
          <w:szCs w:val="22"/>
          <w:lang w:val="en-US"/>
        </w:rPr>
        <w:t>Recent advances in low-temperature phase change materials for cold chain logistics</w:t>
      </w:r>
      <w:r>
        <w:rPr>
          <w:rFonts w:ascii="Palatino Linotype" w:hAnsi="Palatino Linotype"/>
          <w:sz w:val="22"/>
          <w:szCs w:val="22"/>
          <w:lang w:val="en-US"/>
        </w:rPr>
        <w:t>"</w:t>
      </w:r>
      <w:r w:rsidR="00A645B6" w:rsidRPr="00100966">
        <w:rPr>
          <w:rFonts w:ascii="Palatino Linotype" w:hAnsi="Palatino Linotype"/>
          <w:sz w:val="22"/>
          <w:szCs w:val="22"/>
          <w:lang w:val="en-US"/>
        </w:rPr>
        <w:t xml:space="preserve">. </w:t>
      </w:r>
      <w:r w:rsidR="00A645B6" w:rsidRPr="00EE5050">
        <w:rPr>
          <w:rFonts w:ascii="Palatino Linotype" w:hAnsi="Palatino Linotype"/>
          <w:i/>
          <w:iCs/>
          <w:sz w:val="22"/>
          <w:szCs w:val="22"/>
          <w:lang w:val="en-US"/>
        </w:rPr>
        <w:t>International Journal of Refrigeration</w:t>
      </w:r>
      <w:r>
        <w:rPr>
          <w:rFonts w:ascii="Palatino Linotype" w:hAnsi="Palatino Linotype"/>
          <w:i/>
          <w:iCs/>
          <w:sz w:val="22"/>
          <w:szCs w:val="22"/>
          <w:lang w:val="en-US"/>
        </w:rPr>
        <w:t xml:space="preserve"> </w:t>
      </w:r>
      <w:r w:rsidRPr="00EE5050">
        <w:rPr>
          <w:rFonts w:ascii="Palatino Linotype" w:hAnsi="Palatino Linotype"/>
          <w:sz w:val="22"/>
          <w:szCs w:val="22"/>
          <w:lang w:val="en-US"/>
        </w:rPr>
        <w:t>(2025)</w:t>
      </w:r>
      <w:r w:rsidR="00A645B6" w:rsidRPr="00EE5050">
        <w:rPr>
          <w:rFonts w:ascii="Palatino Linotype" w:hAnsi="Palatino Linotype"/>
          <w:sz w:val="22"/>
          <w:szCs w:val="22"/>
          <w:lang w:val="en-US"/>
        </w:rPr>
        <w:t xml:space="preserve"> 174, 232–251. </w:t>
      </w:r>
      <w:hyperlink r:id="rId315" w:history="1">
        <w:r w:rsidR="00A645B6" w:rsidRPr="00EE5050">
          <w:rPr>
            <w:rStyle w:val="Hyperlink"/>
            <w:rFonts w:ascii="Palatino Linotype" w:hAnsi="Palatino Linotype"/>
            <w:sz w:val="22"/>
            <w:szCs w:val="22"/>
            <w:lang w:val="en-US"/>
          </w:rPr>
          <w:t>https://doi.org/10.1016/j.ijrefrig.2025.03.011</w:t>
        </w:r>
      </w:hyperlink>
      <w:r w:rsidR="00A645B6" w:rsidRPr="00EE5050">
        <w:rPr>
          <w:rFonts w:ascii="Palatino Linotype" w:hAnsi="Palatino Linotype"/>
          <w:sz w:val="22"/>
          <w:szCs w:val="22"/>
          <w:lang w:val="en-US"/>
        </w:rPr>
        <w:t>.</w:t>
      </w:r>
    </w:p>
    <w:p w14:paraId="17CFA07C" w14:textId="77777777" w:rsidR="00A645B6" w:rsidRPr="00100966" w:rsidRDefault="00A645B6" w:rsidP="00A645B6">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nb-NO"/>
        </w:rPr>
        <w:t xml:space="preserve">K. Ma, X. Zhang, J. Ji, L. Han, X. Ding, W. Xie. </w:t>
      </w:r>
      <w:r w:rsidRPr="00100966">
        <w:rPr>
          <w:rFonts w:ascii="Palatino Linotype" w:hAnsi="Palatino Linotype"/>
          <w:sz w:val="22"/>
          <w:szCs w:val="22"/>
          <w:lang w:val="en-US"/>
        </w:rPr>
        <w:t xml:space="preserve">"Application and research progress of phase change materials in biomedical field". </w:t>
      </w:r>
      <w:r w:rsidRPr="00100966">
        <w:rPr>
          <w:rStyle w:val="Emphasis"/>
          <w:rFonts w:ascii="Palatino Linotype" w:hAnsi="Palatino Linotype"/>
          <w:sz w:val="22"/>
          <w:szCs w:val="22"/>
        </w:rPr>
        <w:t>Biomaterials Science</w:t>
      </w:r>
      <w:r w:rsidRPr="00100966">
        <w:rPr>
          <w:rFonts w:ascii="Palatino Linotype" w:hAnsi="Palatino Linotype"/>
          <w:sz w:val="22"/>
          <w:szCs w:val="22"/>
        </w:rPr>
        <w:t xml:space="preserve"> 9 (2021) 5762–5783. </w:t>
      </w:r>
      <w:hyperlink r:id="rId316" w:tgtFrame="_new" w:history="1">
        <w:r w:rsidRPr="00100966">
          <w:rPr>
            <w:rStyle w:val="Hyperlink"/>
            <w:rFonts w:ascii="Palatino Linotype" w:hAnsi="Palatino Linotype"/>
            <w:sz w:val="22"/>
            <w:szCs w:val="22"/>
          </w:rPr>
          <w:t>https://doi.org/10.1039/D1BM00880J</w:t>
        </w:r>
      </w:hyperlink>
    </w:p>
    <w:p w14:paraId="134C744A" w14:textId="1AB07F99" w:rsidR="00A645B6" w:rsidRPr="00100966" w:rsidRDefault="00A645B6" w:rsidP="00A645B6">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en-US"/>
        </w:rPr>
        <w:t xml:space="preserve">Y. Chen, X. Zhang, J. Ji, and C. Zhang, “Cold chain transportation energy conservation and emission reduction based on phase change materials under dual-carbon background: A review,” </w:t>
      </w:r>
      <w:r w:rsidRPr="00100966">
        <w:rPr>
          <w:rFonts w:ascii="Palatino Linotype" w:hAnsi="Palatino Linotype"/>
          <w:i/>
          <w:iCs/>
          <w:sz w:val="22"/>
          <w:szCs w:val="22"/>
          <w:lang w:val="en-US"/>
        </w:rPr>
        <w:t>Journal of Energy Storage</w:t>
      </w:r>
      <w:r w:rsidR="00911D9A">
        <w:rPr>
          <w:rFonts w:ascii="Palatino Linotype" w:hAnsi="Palatino Linotype"/>
          <w:i/>
          <w:iCs/>
          <w:sz w:val="22"/>
          <w:szCs w:val="22"/>
          <w:lang w:val="en-US"/>
        </w:rPr>
        <w:t xml:space="preserve"> </w:t>
      </w:r>
      <w:r w:rsidR="00911D9A">
        <w:rPr>
          <w:rFonts w:ascii="Palatino Linotype" w:hAnsi="Palatino Linotype"/>
          <w:sz w:val="22"/>
          <w:szCs w:val="22"/>
          <w:lang w:val="en-US"/>
        </w:rPr>
        <w:t>86</w:t>
      </w:r>
      <w:r w:rsidR="00EE5050">
        <w:rPr>
          <w:rFonts w:ascii="Palatino Linotype" w:hAnsi="Palatino Linotype"/>
          <w:i/>
          <w:iCs/>
          <w:sz w:val="22"/>
          <w:szCs w:val="22"/>
          <w:lang w:val="en-US"/>
        </w:rPr>
        <w:t xml:space="preserve"> (</w:t>
      </w:r>
      <w:r w:rsidR="00EE5050" w:rsidRPr="00EE5050">
        <w:rPr>
          <w:rFonts w:ascii="Palatino Linotype" w:hAnsi="Palatino Linotype"/>
          <w:sz w:val="22"/>
          <w:szCs w:val="22"/>
          <w:lang w:val="en-US"/>
        </w:rPr>
        <w:t>2024</w:t>
      </w:r>
      <w:r w:rsidR="00911D9A">
        <w:rPr>
          <w:rFonts w:ascii="Palatino Linotype" w:hAnsi="Palatino Linotype"/>
          <w:sz w:val="22"/>
          <w:szCs w:val="22"/>
          <w:lang w:val="en-US"/>
        </w:rPr>
        <w:t xml:space="preserve">) </w:t>
      </w:r>
      <w:r w:rsidRPr="00100966">
        <w:rPr>
          <w:rFonts w:ascii="Palatino Linotype" w:hAnsi="Palatino Linotype"/>
          <w:sz w:val="22"/>
          <w:szCs w:val="22"/>
          <w:lang w:val="en-US"/>
        </w:rPr>
        <w:t xml:space="preserve">111258. </w:t>
      </w:r>
      <w:hyperlink r:id="rId317" w:history="1">
        <w:r w:rsidRPr="00100966">
          <w:rPr>
            <w:rStyle w:val="Hyperlink"/>
            <w:rFonts w:ascii="Palatino Linotype" w:hAnsi="Palatino Linotype"/>
            <w:sz w:val="22"/>
            <w:szCs w:val="22"/>
            <w:lang w:val="en-US"/>
          </w:rPr>
          <w:t>https://doi.org/10.1016/j.est.2024.111258</w:t>
        </w:r>
      </w:hyperlink>
    </w:p>
    <w:p w14:paraId="7715FA0B" w14:textId="77777777" w:rsidR="00A645B6" w:rsidRPr="00100966" w:rsidRDefault="00A645B6" w:rsidP="00A645B6">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nb-NO"/>
        </w:rPr>
        <w:t xml:space="preserve">Z. Yang, J.E. Tate, E. Morganti. </w:t>
      </w:r>
      <w:r w:rsidRPr="00100966">
        <w:rPr>
          <w:rFonts w:ascii="Palatino Linotype" w:hAnsi="Palatino Linotype"/>
          <w:sz w:val="22"/>
          <w:szCs w:val="22"/>
          <w:lang w:val="en-US"/>
        </w:rPr>
        <w:t>"Real-world CO₂ and NO</w:t>
      </w:r>
      <w:r w:rsidRPr="00100966">
        <w:rPr>
          <w:rFonts w:ascii="Cambria Math" w:hAnsi="Cambria Math" w:cs="Cambria Math"/>
          <w:sz w:val="22"/>
          <w:szCs w:val="22"/>
          <w:lang w:val="en-US"/>
        </w:rPr>
        <w:t>ₓ</w:t>
      </w:r>
      <w:r w:rsidRPr="00100966">
        <w:rPr>
          <w:rFonts w:ascii="Palatino Linotype" w:hAnsi="Palatino Linotype"/>
          <w:sz w:val="22"/>
          <w:szCs w:val="22"/>
          <w:lang w:val="en-US"/>
        </w:rPr>
        <w:t xml:space="preserve"> emissions from refrigerated vans". </w:t>
      </w:r>
      <w:r w:rsidRPr="00100966">
        <w:rPr>
          <w:rStyle w:val="Emphasis"/>
          <w:rFonts w:ascii="Palatino Linotype" w:hAnsi="Palatino Linotype"/>
          <w:sz w:val="22"/>
          <w:szCs w:val="22"/>
          <w:lang w:val="en-US"/>
        </w:rPr>
        <w:t>Science of the Total Environment</w:t>
      </w:r>
      <w:r w:rsidRPr="00100966">
        <w:rPr>
          <w:rFonts w:ascii="Palatino Linotype" w:hAnsi="Palatino Linotype"/>
          <w:sz w:val="22"/>
          <w:szCs w:val="22"/>
          <w:lang w:val="en-US"/>
        </w:rPr>
        <w:t xml:space="preserve"> 763 (2021) 142974. </w:t>
      </w:r>
      <w:hyperlink r:id="rId318" w:history="1">
        <w:r w:rsidRPr="00100966">
          <w:rPr>
            <w:rStyle w:val="Hyperlink"/>
            <w:rFonts w:ascii="Palatino Linotype" w:hAnsi="Palatino Linotype"/>
            <w:sz w:val="22"/>
            <w:szCs w:val="22"/>
            <w:lang w:val="en-US"/>
          </w:rPr>
          <w:t>https://doi.org/10.1016/j.scitotenv.2020.142974 eprints.whiterose.ac.uk</w:t>
        </w:r>
      </w:hyperlink>
    </w:p>
    <w:p w14:paraId="21267CEC" w14:textId="725195BB" w:rsidR="00A645B6" w:rsidRPr="00100966" w:rsidRDefault="00A645B6" w:rsidP="00A645B6">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nb-NO"/>
        </w:rPr>
        <w:t xml:space="preserve">A. Finnveden, M.Z. Hauschild, T. Ekvall. </w:t>
      </w:r>
      <w:r w:rsidRPr="00100966">
        <w:rPr>
          <w:rFonts w:ascii="Palatino Linotype" w:hAnsi="Palatino Linotype"/>
          <w:sz w:val="22"/>
          <w:szCs w:val="22"/>
          <w:lang w:val="en-US"/>
        </w:rPr>
        <w:t xml:space="preserve">"Recent developments in life cycle assessment". </w:t>
      </w:r>
      <w:r w:rsidRPr="00100966">
        <w:rPr>
          <w:rStyle w:val="Emphasis"/>
          <w:rFonts w:ascii="Palatino Linotype" w:hAnsi="Palatino Linotype"/>
          <w:sz w:val="22"/>
          <w:szCs w:val="22"/>
        </w:rPr>
        <w:t>Journal of Environmental Management</w:t>
      </w:r>
      <w:r w:rsidRPr="00100966">
        <w:rPr>
          <w:rFonts w:ascii="Palatino Linotype" w:hAnsi="Palatino Linotype"/>
          <w:sz w:val="22"/>
          <w:szCs w:val="22"/>
        </w:rPr>
        <w:t xml:space="preserve"> 91 (2009) 1–21. </w:t>
      </w:r>
      <w:hyperlink r:id="rId319" w:tgtFrame="_blank" w:tooltip="Persistent link using digital object identifier" w:history="1">
        <w:r w:rsidR="00911D9A" w:rsidRPr="00911D9A">
          <w:rPr>
            <w:rStyle w:val="Hyperlink"/>
            <w:rFonts w:ascii="Palatino Linotype" w:hAnsi="Palatino Linotype"/>
            <w:sz w:val="22"/>
            <w:szCs w:val="22"/>
          </w:rPr>
          <w:t>https://doi.org/10.1016/j.scitotenv.2020.142974</w:t>
        </w:r>
      </w:hyperlink>
    </w:p>
    <w:p w14:paraId="5C932633" w14:textId="77777777" w:rsidR="00A645B6" w:rsidRPr="00100966" w:rsidRDefault="00A645B6" w:rsidP="00A645B6">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H.M. Hoang, T. Brown, E. Indergard, T. Schütz. "Life cycle assessment of salmon cold chains: Comparison between chilling and superchilling technologies". </w:t>
      </w:r>
      <w:r w:rsidRPr="00100966">
        <w:rPr>
          <w:rStyle w:val="Emphasis"/>
          <w:rFonts w:ascii="Palatino Linotype" w:hAnsi="Palatino Linotype"/>
          <w:sz w:val="22"/>
          <w:szCs w:val="22"/>
        </w:rPr>
        <w:t>Journal of Cleaner Production</w:t>
      </w:r>
      <w:r w:rsidRPr="00100966">
        <w:rPr>
          <w:rFonts w:ascii="Palatino Linotype" w:hAnsi="Palatino Linotype"/>
          <w:sz w:val="22"/>
          <w:szCs w:val="22"/>
        </w:rPr>
        <w:t xml:space="preserve"> 126 (2016) 363–372. </w:t>
      </w:r>
      <w:hyperlink r:id="rId320" w:tgtFrame="_new" w:history="1">
        <w:r w:rsidRPr="00100966">
          <w:rPr>
            <w:rStyle w:val="Hyperlink"/>
            <w:rFonts w:ascii="Palatino Linotype" w:hAnsi="Palatino Linotype"/>
            <w:sz w:val="22"/>
            <w:szCs w:val="22"/>
          </w:rPr>
          <w:t>https://doi.org/10.1016/j.jclepro.2016.03.049</w:t>
        </w:r>
      </w:hyperlink>
    </w:p>
    <w:p w14:paraId="142D62C6" w14:textId="6BAFE66D" w:rsidR="00A645B6" w:rsidRPr="00100966" w:rsidRDefault="00A645B6" w:rsidP="00A645B6">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nb-NO"/>
        </w:rPr>
        <w:t xml:space="preserve">W. Wu, C. Beretta, P. Cronje, S. Hellweg, T. Defraeye. </w:t>
      </w:r>
      <w:r w:rsidRPr="00100966">
        <w:rPr>
          <w:rFonts w:ascii="Palatino Linotype" w:hAnsi="Palatino Linotype"/>
          <w:sz w:val="22"/>
          <w:szCs w:val="22"/>
          <w:lang w:val="en-US"/>
        </w:rPr>
        <w:t xml:space="preserve">"Environmental trade-offs in fresh-fruit cold chains by combining virtual cold chains with life cycle assessment". </w:t>
      </w:r>
      <w:r w:rsidRPr="00100966">
        <w:rPr>
          <w:rStyle w:val="Emphasis"/>
          <w:rFonts w:ascii="Palatino Linotype" w:hAnsi="Palatino Linotype"/>
          <w:sz w:val="22"/>
          <w:szCs w:val="22"/>
        </w:rPr>
        <w:t>Applied Energy</w:t>
      </w:r>
      <w:r w:rsidRPr="00100966">
        <w:rPr>
          <w:rFonts w:ascii="Palatino Linotype" w:hAnsi="Palatino Linotype"/>
          <w:sz w:val="22"/>
          <w:szCs w:val="22"/>
        </w:rPr>
        <w:t xml:space="preserve"> 254 (2019) 113586.</w:t>
      </w:r>
      <w:r w:rsidR="00911D9A">
        <w:rPr>
          <w:rFonts w:ascii="Palatino Linotype" w:hAnsi="Palatino Linotype"/>
          <w:sz w:val="22"/>
          <w:szCs w:val="22"/>
        </w:rPr>
        <w:t xml:space="preserve"> </w:t>
      </w:r>
      <w:hyperlink r:id="rId321" w:tgtFrame="_blank" w:tooltip="Persistent link using digital object identifier" w:history="1">
        <w:r w:rsidR="00911D9A" w:rsidRPr="00911D9A">
          <w:rPr>
            <w:rStyle w:val="Hyperlink"/>
            <w:rFonts w:ascii="Palatino Linotype" w:hAnsi="Palatino Linotype"/>
            <w:sz w:val="22"/>
            <w:szCs w:val="22"/>
          </w:rPr>
          <w:t>https://doi.org/10.1016/j.apenergy.2019.113586</w:t>
        </w:r>
      </w:hyperlink>
    </w:p>
    <w:p w14:paraId="2C32FD27" w14:textId="77777777" w:rsidR="00A645B6" w:rsidRPr="00100966" w:rsidRDefault="00A645B6" w:rsidP="00A645B6">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lastRenderedPageBreak/>
        <w:t xml:space="preserve">I.P. Koronaki, D. Cowan, G. Maidment, K. Beerman, M. Schreurs, K. Kaar. "Refrigerant emissions and leakage prevention across Europe – Results from the RealSkillsEurope project". </w:t>
      </w:r>
      <w:r w:rsidRPr="00100966">
        <w:rPr>
          <w:rStyle w:val="Emphasis"/>
          <w:rFonts w:ascii="Palatino Linotype" w:hAnsi="Palatino Linotype"/>
          <w:sz w:val="22"/>
          <w:szCs w:val="22"/>
        </w:rPr>
        <w:t>Energy</w:t>
      </w:r>
      <w:r w:rsidRPr="00100966">
        <w:rPr>
          <w:rFonts w:ascii="Palatino Linotype" w:hAnsi="Palatino Linotype"/>
          <w:sz w:val="22"/>
          <w:szCs w:val="22"/>
        </w:rPr>
        <w:t xml:space="preserve"> 45 (2012) 71–80. </w:t>
      </w:r>
      <w:hyperlink r:id="rId322" w:tgtFrame="_new" w:history="1">
        <w:r w:rsidRPr="00100966">
          <w:rPr>
            <w:rStyle w:val="Hyperlink"/>
            <w:rFonts w:ascii="Palatino Linotype" w:hAnsi="Palatino Linotype"/>
            <w:sz w:val="22"/>
            <w:szCs w:val="22"/>
          </w:rPr>
          <w:t>https://doi.org/10.1016/j.energy.2012.05.040</w:t>
        </w:r>
      </w:hyperlink>
    </w:p>
    <w:p w14:paraId="3B2695FD" w14:textId="77777777" w:rsidR="00A645B6" w:rsidRPr="00100966" w:rsidRDefault="00A645B6" w:rsidP="00A645B6">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rPr>
        <w:t xml:space="preserve">H.M. Stellingwerf, A. Kanellopoulos, J.G.A.J. van der Vorst, J.M. Bloemhof. </w:t>
      </w:r>
      <w:r w:rsidRPr="00100966">
        <w:rPr>
          <w:rFonts w:ascii="Palatino Linotype" w:hAnsi="Palatino Linotype"/>
          <w:sz w:val="22"/>
          <w:szCs w:val="22"/>
          <w:lang w:val="en-US"/>
        </w:rPr>
        <w:t xml:space="preserve">"Reducing CO₂ emissions in temperature-controlled road transportation using the LDVRP model". </w:t>
      </w:r>
      <w:r w:rsidRPr="00100966">
        <w:rPr>
          <w:rStyle w:val="Emphasis"/>
          <w:rFonts w:ascii="Palatino Linotype" w:hAnsi="Palatino Linotype"/>
          <w:sz w:val="22"/>
          <w:szCs w:val="22"/>
          <w:lang w:val="en-US"/>
        </w:rPr>
        <w:t>Transportation Research Part D: Transport and Environment</w:t>
      </w:r>
      <w:r w:rsidRPr="00100966">
        <w:rPr>
          <w:rFonts w:ascii="Palatino Linotype" w:hAnsi="Palatino Linotype"/>
          <w:sz w:val="22"/>
          <w:szCs w:val="22"/>
          <w:lang w:val="en-US"/>
        </w:rPr>
        <w:t xml:space="preserve"> 58 (2018) 80–93. </w:t>
      </w:r>
      <w:hyperlink r:id="rId323" w:tgtFrame="_new" w:history="1">
        <w:r w:rsidRPr="00100966">
          <w:rPr>
            <w:rStyle w:val="Hyperlink"/>
            <w:rFonts w:ascii="Palatino Linotype" w:hAnsi="Palatino Linotype"/>
            <w:sz w:val="22"/>
            <w:szCs w:val="22"/>
            <w:lang w:val="en-US"/>
          </w:rPr>
          <w:t>https://doi.org/10.1016/j.trd.2017.11.008</w:t>
        </w:r>
      </w:hyperlink>
    </w:p>
    <w:p w14:paraId="5254D610" w14:textId="066D66DD" w:rsidR="00A645B6" w:rsidRPr="00911D9A" w:rsidRDefault="00A645B6" w:rsidP="00A645B6">
      <w:pPr>
        <w:pStyle w:val="NormalWeb"/>
        <w:numPr>
          <w:ilvl w:val="0"/>
          <w:numId w:val="15"/>
        </w:numPr>
        <w:jc w:val="both"/>
        <w:rPr>
          <w:rFonts w:ascii="Palatino Linotype" w:hAnsi="Palatino Linotype"/>
          <w:sz w:val="22"/>
          <w:szCs w:val="22"/>
          <w:lang w:val="en-US"/>
        </w:rPr>
      </w:pPr>
      <w:r w:rsidRPr="00911D9A">
        <w:rPr>
          <w:rFonts w:ascii="Palatino Linotype" w:hAnsi="Palatino Linotype"/>
          <w:sz w:val="22"/>
          <w:szCs w:val="22"/>
          <w:lang w:val="en-US"/>
        </w:rPr>
        <w:t xml:space="preserve">J. Wu, G. Liu, A. Marson, </w:t>
      </w:r>
      <w:r w:rsidR="00911D9A" w:rsidRPr="00911D9A">
        <w:rPr>
          <w:rFonts w:ascii="Palatino Linotype" w:hAnsi="Palatino Linotype"/>
          <w:sz w:val="22"/>
          <w:szCs w:val="22"/>
          <w:lang w:val="en-US"/>
        </w:rPr>
        <w:t>A. Fedele</w:t>
      </w:r>
      <w:r w:rsidR="00911D9A">
        <w:rPr>
          <w:rFonts w:ascii="Palatino Linotype" w:hAnsi="Palatino Linotype"/>
          <w:sz w:val="22"/>
          <w:szCs w:val="22"/>
          <w:lang w:val="en-US"/>
        </w:rPr>
        <w:t xml:space="preserve">, </w:t>
      </w:r>
      <w:r w:rsidR="00911D9A" w:rsidRPr="00911D9A">
        <w:rPr>
          <w:rFonts w:ascii="Palatino Linotype" w:hAnsi="Palatino Linotype"/>
          <w:sz w:val="22"/>
          <w:szCs w:val="22"/>
          <w:lang w:val="en-US"/>
        </w:rPr>
        <w:t>A.Scipioni, A.Manzardo</w:t>
      </w:r>
      <w:r w:rsidRPr="00911D9A">
        <w:rPr>
          <w:rFonts w:ascii="Palatino Linotype" w:hAnsi="Palatino Linotype"/>
          <w:sz w:val="22"/>
          <w:szCs w:val="22"/>
          <w:lang w:val="en-US"/>
        </w:rPr>
        <w:t xml:space="preserve">. </w:t>
      </w:r>
      <w:r w:rsidRPr="00100966">
        <w:rPr>
          <w:rFonts w:ascii="Palatino Linotype" w:hAnsi="Palatino Linotype"/>
          <w:sz w:val="22"/>
          <w:szCs w:val="22"/>
          <w:lang w:val="en-US"/>
        </w:rPr>
        <w:t xml:space="preserve">"Mitigating environmental burden of the refrigerated transportation sector: Carbon footprint comparisons of commonly used refrigeration systems and alternative cold storage systems". </w:t>
      </w:r>
      <w:r w:rsidRPr="00911D9A">
        <w:rPr>
          <w:rStyle w:val="Emphasis"/>
          <w:rFonts w:ascii="Palatino Linotype" w:hAnsi="Palatino Linotype"/>
          <w:sz w:val="22"/>
          <w:szCs w:val="22"/>
          <w:lang w:val="en-US"/>
        </w:rPr>
        <w:t>Journal of Cleaner Production</w:t>
      </w:r>
      <w:r w:rsidRPr="00911D9A">
        <w:rPr>
          <w:rFonts w:ascii="Palatino Linotype" w:hAnsi="Palatino Linotype"/>
          <w:sz w:val="22"/>
          <w:szCs w:val="22"/>
          <w:lang w:val="en-US"/>
        </w:rPr>
        <w:t xml:space="preserve"> 372 (2022) 133514. </w:t>
      </w:r>
      <w:hyperlink r:id="rId324" w:tgtFrame="_new" w:history="1">
        <w:r w:rsidRPr="00911D9A">
          <w:rPr>
            <w:rStyle w:val="Hyperlink"/>
            <w:rFonts w:ascii="Palatino Linotype" w:hAnsi="Palatino Linotype"/>
            <w:sz w:val="22"/>
            <w:szCs w:val="22"/>
            <w:lang w:val="en-US"/>
          </w:rPr>
          <w:t>https://doi.org/10.1016/j.jclepro.2022.133514</w:t>
        </w:r>
      </w:hyperlink>
    </w:p>
    <w:p w14:paraId="1BA504C6" w14:textId="2034A1EC" w:rsidR="00A645B6" w:rsidRPr="00100966" w:rsidRDefault="00911D9A" w:rsidP="00A645B6">
      <w:pPr>
        <w:pStyle w:val="NormalWeb"/>
        <w:numPr>
          <w:ilvl w:val="0"/>
          <w:numId w:val="15"/>
        </w:numPr>
        <w:jc w:val="both"/>
        <w:rPr>
          <w:rFonts w:ascii="Palatino Linotype" w:hAnsi="Palatino Linotype"/>
          <w:sz w:val="22"/>
          <w:szCs w:val="22"/>
          <w:lang w:val="en-US"/>
        </w:rPr>
      </w:pPr>
      <w:r w:rsidRPr="00911D9A">
        <w:rPr>
          <w:rFonts w:ascii="Palatino Linotype" w:hAnsi="Palatino Linotype"/>
          <w:sz w:val="22"/>
          <w:szCs w:val="22"/>
          <w:lang w:val="en-US"/>
        </w:rPr>
        <w:t>H</w:t>
      </w:r>
      <w:r w:rsidR="00A645B6" w:rsidRPr="00911D9A">
        <w:rPr>
          <w:rFonts w:ascii="Palatino Linotype" w:hAnsi="Palatino Linotype"/>
          <w:sz w:val="22"/>
          <w:szCs w:val="22"/>
          <w:lang w:val="en-US"/>
        </w:rPr>
        <w:t xml:space="preserve">. Song, M. Cai, J. Cen, </w:t>
      </w:r>
      <w:r>
        <w:rPr>
          <w:rFonts w:ascii="Palatino Linotype" w:hAnsi="Palatino Linotype"/>
          <w:sz w:val="22"/>
          <w:szCs w:val="22"/>
          <w:lang w:val="en-US"/>
        </w:rPr>
        <w:t xml:space="preserve">C. Xu, Q.Zeng. </w:t>
      </w:r>
      <w:r w:rsidR="00A645B6" w:rsidRPr="00100966">
        <w:rPr>
          <w:rFonts w:ascii="Palatino Linotype" w:hAnsi="Palatino Linotype"/>
          <w:sz w:val="22"/>
          <w:szCs w:val="22"/>
          <w:lang w:val="en-US"/>
        </w:rPr>
        <w:t xml:space="preserve">"Research on energy saving optimization method of electric refrigerated truck based on genetic algorithm". </w:t>
      </w:r>
      <w:r w:rsidR="00A645B6" w:rsidRPr="00100966">
        <w:rPr>
          <w:rStyle w:val="Emphasis"/>
          <w:rFonts w:ascii="Palatino Linotype" w:hAnsi="Palatino Linotype"/>
          <w:sz w:val="22"/>
          <w:szCs w:val="22"/>
          <w:lang w:val="en-US"/>
        </w:rPr>
        <w:t>International Journal of Refrigeration</w:t>
      </w:r>
      <w:r w:rsidR="00A645B6" w:rsidRPr="00100966">
        <w:rPr>
          <w:rFonts w:ascii="Palatino Linotype" w:hAnsi="Palatino Linotype"/>
          <w:sz w:val="22"/>
          <w:szCs w:val="22"/>
          <w:lang w:val="en-US"/>
        </w:rPr>
        <w:t xml:space="preserve"> 137 (2022) 62–69. </w:t>
      </w:r>
      <w:hyperlink r:id="rId325" w:tgtFrame="_new" w:history="1">
        <w:r w:rsidR="00A645B6" w:rsidRPr="00100966">
          <w:rPr>
            <w:rStyle w:val="Hyperlink"/>
            <w:rFonts w:ascii="Palatino Linotype" w:hAnsi="Palatino Linotype"/>
            <w:sz w:val="22"/>
            <w:szCs w:val="22"/>
            <w:lang w:val="en-US"/>
          </w:rPr>
          <w:t>https://doi.org/10.1016/j.ijrefrig.2022.02.003</w:t>
        </w:r>
      </w:hyperlink>
    </w:p>
    <w:p w14:paraId="24B4D50E" w14:textId="57E4B5C8" w:rsidR="00A645B6" w:rsidRPr="00100966" w:rsidRDefault="00A645B6" w:rsidP="00A645B6">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Y. Yao, L. Shi, J. He,</w:t>
      </w:r>
      <w:r w:rsidR="00911D9A">
        <w:rPr>
          <w:rFonts w:ascii="Palatino Linotype" w:hAnsi="Palatino Linotype"/>
          <w:sz w:val="22"/>
          <w:szCs w:val="22"/>
          <w:lang w:val="en-US"/>
        </w:rPr>
        <w:t xml:space="preserve"> H. Tian, X. Wuang, X. Zhang, X. Sun, B. Lu, G. Shu</w:t>
      </w:r>
      <w:r w:rsidRPr="00100966">
        <w:rPr>
          <w:rFonts w:ascii="Palatino Linotype" w:hAnsi="Palatino Linotype"/>
          <w:sz w:val="22"/>
          <w:szCs w:val="22"/>
          <w:lang w:val="en-US"/>
        </w:rPr>
        <w:t xml:space="preserve">. "Dynamic analysis of refrigerated truck integrated with combined cooling and power cycle under various driving conditions". </w:t>
      </w:r>
      <w:r w:rsidRPr="00100966">
        <w:rPr>
          <w:rStyle w:val="Emphasis"/>
          <w:rFonts w:ascii="Palatino Linotype" w:hAnsi="Palatino Linotype"/>
          <w:sz w:val="22"/>
          <w:szCs w:val="22"/>
        </w:rPr>
        <w:t>Energy Conversion and Management</w:t>
      </w:r>
      <w:r w:rsidRPr="00100966">
        <w:rPr>
          <w:rFonts w:ascii="Palatino Linotype" w:hAnsi="Palatino Linotype"/>
          <w:sz w:val="22"/>
          <w:szCs w:val="22"/>
        </w:rPr>
        <w:t xml:space="preserve"> 278 (2023) 116716. </w:t>
      </w:r>
      <w:hyperlink r:id="rId326" w:tgtFrame="_new" w:history="1">
        <w:r w:rsidRPr="00100966">
          <w:rPr>
            <w:rStyle w:val="Hyperlink"/>
            <w:rFonts w:ascii="Palatino Linotype" w:hAnsi="Palatino Linotype"/>
            <w:sz w:val="22"/>
            <w:szCs w:val="22"/>
          </w:rPr>
          <w:t>https://doi.org/10.1016/j.enconman.2023.116716</w:t>
        </w:r>
      </w:hyperlink>
    </w:p>
    <w:p w14:paraId="485E4B9C" w14:textId="5504F69A" w:rsidR="00A645B6" w:rsidRDefault="00A645B6" w:rsidP="00A645B6">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R. Zhang, S. Fujimori. "The role of transport electrification in global climate change mitigation scenarios". </w:t>
      </w:r>
      <w:r w:rsidRPr="00100966">
        <w:rPr>
          <w:rStyle w:val="Emphasis"/>
          <w:rFonts w:ascii="Palatino Linotype" w:hAnsi="Palatino Linotype"/>
          <w:sz w:val="22"/>
          <w:szCs w:val="22"/>
        </w:rPr>
        <w:t>Environmental Research Letters</w:t>
      </w:r>
      <w:r w:rsidRPr="00100966">
        <w:rPr>
          <w:rFonts w:ascii="Palatino Linotype" w:hAnsi="Palatino Linotype"/>
          <w:sz w:val="22"/>
          <w:szCs w:val="22"/>
        </w:rPr>
        <w:t xml:space="preserve"> 15 (3) (2020) 034019. </w:t>
      </w:r>
      <w:hyperlink r:id="rId327" w:history="1">
        <w:r w:rsidR="00E43DD8" w:rsidRPr="00C3365E">
          <w:rPr>
            <w:rStyle w:val="Hyperlink"/>
            <w:rFonts w:ascii="Palatino Linotype" w:hAnsi="Palatino Linotype"/>
            <w:sz w:val="22"/>
            <w:szCs w:val="22"/>
          </w:rPr>
          <w:t>https://iopscience.iop.org/article/10.1088/1748-9326/ab6658</w:t>
        </w:r>
      </w:hyperlink>
    </w:p>
    <w:p w14:paraId="64876B1F" w14:textId="1956B2CC" w:rsidR="00A645B6" w:rsidRPr="00E43DD8" w:rsidRDefault="00A645B6" w:rsidP="00E43DD8">
      <w:pPr>
        <w:pStyle w:val="NormalWeb"/>
        <w:numPr>
          <w:ilvl w:val="0"/>
          <w:numId w:val="15"/>
        </w:numPr>
        <w:jc w:val="both"/>
        <w:rPr>
          <w:rFonts w:ascii="Palatino Linotype" w:hAnsi="Palatino Linotype"/>
          <w:sz w:val="22"/>
          <w:szCs w:val="22"/>
        </w:rPr>
      </w:pPr>
      <w:r w:rsidRPr="00E43DD8">
        <w:rPr>
          <w:rFonts w:ascii="Palatino Linotype" w:hAnsi="Palatino Linotype"/>
          <w:sz w:val="22"/>
          <w:szCs w:val="22"/>
          <w:lang w:val="en-US"/>
        </w:rPr>
        <w:t xml:space="preserve">M. Yuan, J.Z. Thellufsen, H. Lund, </w:t>
      </w:r>
      <w:r w:rsidR="00E43DD8" w:rsidRPr="00E43DD8">
        <w:rPr>
          <w:rFonts w:ascii="Palatino Linotype" w:hAnsi="Palatino Linotype"/>
          <w:sz w:val="22"/>
          <w:szCs w:val="22"/>
          <w:lang w:val="en-US"/>
        </w:rPr>
        <w:t>Y.Liang</w:t>
      </w:r>
      <w:r w:rsidRPr="00E43DD8">
        <w:rPr>
          <w:rFonts w:ascii="Palatino Linotype" w:hAnsi="Palatino Linotype"/>
          <w:sz w:val="22"/>
          <w:szCs w:val="22"/>
          <w:lang w:val="en-US"/>
        </w:rPr>
        <w:t xml:space="preserve">. "The electrification of transportation in energy transition". </w:t>
      </w:r>
      <w:r w:rsidRPr="00E43DD8">
        <w:rPr>
          <w:rStyle w:val="Emphasis"/>
          <w:rFonts w:ascii="Palatino Linotype" w:hAnsi="Palatino Linotype"/>
          <w:sz w:val="22"/>
          <w:szCs w:val="22"/>
        </w:rPr>
        <w:t>Energy</w:t>
      </w:r>
      <w:r w:rsidRPr="00E43DD8">
        <w:rPr>
          <w:rFonts w:ascii="Palatino Linotype" w:hAnsi="Palatino Linotype"/>
          <w:sz w:val="22"/>
          <w:szCs w:val="22"/>
        </w:rPr>
        <w:t xml:space="preserve"> 236 (2021) 121564. </w:t>
      </w:r>
      <w:hyperlink r:id="rId328" w:tgtFrame="_new" w:history="1">
        <w:r w:rsidRPr="00E43DD8">
          <w:rPr>
            <w:rStyle w:val="Hyperlink"/>
            <w:rFonts w:ascii="Palatino Linotype" w:hAnsi="Palatino Linotype"/>
            <w:sz w:val="22"/>
            <w:szCs w:val="22"/>
          </w:rPr>
          <w:t>https://doi.org/10.1016/j.energy.2021.121564</w:t>
        </w:r>
      </w:hyperlink>
    </w:p>
    <w:p w14:paraId="5C2F7D49" w14:textId="3A258118" w:rsidR="00A645B6" w:rsidRPr="005E297E" w:rsidRDefault="00A645B6" w:rsidP="005E297E">
      <w:pPr>
        <w:pStyle w:val="NormalWeb"/>
        <w:numPr>
          <w:ilvl w:val="0"/>
          <w:numId w:val="15"/>
        </w:numPr>
        <w:jc w:val="both"/>
        <w:rPr>
          <w:rFonts w:ascii="Palatino Linotype" w:hAnsi="Palatino Linotype"/>
          <w:sz w:val="22"/>
          <w:szCs w:val="22"/>
        </w:rPr>
      </w:pPr>
      <w:r w:rsidRPr="005E297E">
        <w:rPr>
          <w:rFonts w:ascii="Palatino Linotype" w:hAnsi="Palatino Linotype"/>
          <w:sz w:val="22"/>
          <w:szCs w:val="22"/>
          <w:lang w:val="nb-NO"/>
        </w:rPr>
        <w:t xml:space="preserve">W. Chen, D. Zhang, T. Van Woensel, et al. </w:t>
      </w:r>
      <w:r w:rsidRPr="005E297E">
        <w:rPr>
          <w:rFonts w:ascii="Palatino Linotype" w:hAnsi="Palatino Linotype"/>
          <w:sz w:val="22"/>
          <w:szCs w:val="22"/>
          <w:lang w:val="en-US"/>
        </w:rPr>
        <w:t xml:space="preserve">"Green vehicle routing using mixed fleets for cold chain distribution". </w:t>
      </w:r>
      <w:r w:rsidRPr="005E297E">
        <w:rPr>
          <w:rStyle w:val="Emphasis"/>
          <w:rFonts w:ascii="Palatino Linotype" w:hAnsi="Palatino Linotype"/>
          <w:sz w:val="22"/>
          <w:szCs w:val="22"/>
        </w:rPr>
        <w:t>Expert Systems with Applications</w:t>
      </w:r>
      <w:r w:rsidRPr="005E297E">
        <w:rPr>
          <w:rFonts w:ascii="Palatino Linotype" w:hAnsi="Palatino Linotype"/>
          <w:sz w:val="22"/>
          <w:szCs w:val="22"/>
        </w:rPr>
        <w:t xml:space="preserve"> 233 (2023) 120979. </w:t>
      </w:r>
      <w:hyperlink r:id="rId329" w:tgtFrame="_new" w:history="1">
        <w:r w:rsidRPr="005E297E">
          <w:rPr>
            <w:rStyle w:val="Hyperlink"/>
            <w:rFonts w:ascii="Palatino Linotype" w:hAnsi="Palatino Linotype"/>
            <w:sz w:val="22"/>
            <w:szCs w:val="22"/>
          </w:rPr>
          <w:t>https://doi.org/10.1016/j.eswa.2023.120979</w:t>
        </w:r>
      </w:hyperlink>
    </w:p>
    <w:p w14:paraId="73076BE6" w14:textId="766A5738" w:rsidR="005E297E" w:rsidRDefault="005E297E" w:rsidP="005E297E">
      <w:pPr>
        <w:pStyle w:val="NormalWeb"/>
        <w:numPr>
          <w:ilvl w:val="0"/>
          <w:numId w:val="15"/>
        </w:numPr>
        <w:jc w:val="both"/>
        <w:rPr>
          <w:rFonts w:ascii="Palatino Linotype" w:hAnsi="Palatino Linotype"/>
          <w:sz w:val="22"/>
          <w:szCs w:val="22"/>
        </w:rPr>
      </w:pPr>
      <w:r w:rsidRPr="005E297E">
        <w:rPr>
          <w:rFonts w:ascii="Palatino Linotype" w:hAnsi="Palatino Linotype"/>
          <w:sz w:val="22"/>
          <w:szCs w:val="22"/>
        </w:rPr>
        <w:t xml:space="preserve">A. Das, M.M.H. Apu, A. Akter, M.M.A. Reza, R. Mia. </w:t>
      </w:r>
      <w:r w:rsidRPr="00433ABD">
        <w:rPr>
          <w:rFonts w:ascii="Palatino Linotype" w:hAnsi="Palatino Linotype"/>
          <w:sz w:val="22"/>
          <w:szCs w:val="22"/>
          <w:lang w:val="en-US"/>
        </w:rPr>
        <w:t xml:space="preserve">"An overview of phase change materials, their production, and applications in textiles". </w:t>
      </w:r>
      <w:r w:rsidRPr="005E297E">
        <w:rPr>
          <w:rStyle w:val="Emphasis"/>
          <w:rFonts w:ascii="Palatino Linotype" w:hAnsi="Palatino Linotype"/>
          <w:sz w:val="22"/>
          <w:szCs w:val="22"/>
        </w:rPr>
        <w:t>Results in Engineering</w:t>
      </w:r>
      <w:r w:rsidRPr="005E297E">
        <w:rPr>
          <w:rFonts w:ascii="Palatino Linotype" w:hAnsi="Palatino Linotype"/>
          <w:sz w:val="22"/>
          <w:szCs w:val="22"/>
        </w:rPr>
        <w:t xml:space="preserve"> 25 (2025) 103603. </w:t>
      </w:r>
      <w:hyperlink r:id="rId330" w:history="1">
        <w:r w:rsidR="00433ABD" w:rsidRPr="00A8065D">
          <w:rPr>
            <w:rStyle w:val="Hyperlink"/>
            <w:rFonts w:ascii="Palatino Linotype" w:hAnsi="Palatino Linotype"/>
            <w:sz w:val="22"/>
            <w:szCs w:val="22"/>
          </w:rPr>
          <w:t>https://doi.org/10.1016/j.rineng.2024.103603</w:t>
        </w:r>
      </w:hyperlink>
    </w:p>
    <w:p w14:paraId="7EC34153" w14:textId="66BF6559" w:rsidR="005E297E" w:rsidRDefault="005E297E" w:rsidP="00433ABD">
      <w:pPr>
        <w:pStyle w:val="NormalWeb"/>
        <w:numPr>
          <w:ilvl w:val="0"/>
          <w:numId w:val="15"/>
        </w:numPr>
        <w:jc w:val="both"/>
        <w:rPr>
          <w:rFonts w:ascii="Palatino Linotype" w:hAnsi="Palatino Linotype"/>
          <w:sz w:val="22"/>
          <w:szCs w:val="22"/>
        </w:rPr>
      </w:pPr>
      <w:r w:rsidRPr="00433ABD">
        <w:rPr>
          <w:rFonts w:ascii="Palatino Linotype" w:hAnsi="Palatino Linotype"/>
          <w:sz w:val="22"/>
          <w:szCs w:val="22"/>
          <w:lang w:val="nb-NO"/>
        </w:rPr>
        <w:t xml:space="preserve">C. Gao, K. Kuklane, I. Holmér. </w:t>
      </w:r>
      <w:r w:rsidRPr="00433ABD">
        <w:rPr>
          <w:rFonts w:ascii="Palatino Linotype" w:hAnsi="Palatino Linotype"/>
          <w:sz w:val="22"/>
          <w:szCs w:val="22"/>
          <w:lang w:val="en-US"/>
        </w:rPr>
        <w:t xml:space="preserve">"Cooling vests with phase change materials: the effects of melting temperature on heat strain alleviation in an extremely hot environment". </w:t>
      </w:r>
      <w:r w:rsidR="00BE2287" w:rsidRPr="00BE2287">
        <w:rPr>
          <w:rFonts w:ascii="Palatino Linotype" w:hAnsi="Palatino Linotype"/>
          <w:i/>
          <w:iCs/>
          <w:sz w:val="22"/>
          <w:szCs w:val="22"/>
          <w:lang w:val="en-US"/>
        </w:rPr>
        <w:t>European Journal of Applied Physiology</w:t>
      </w:r>
      <w:r w:rsidRPr="00433ABD">
        <w:rPr>
          <w:rFonts w:ascii="Palatino Linotype" w:hAnsi="Palatino Linotype"/>
          <w:sz w:val="22"/>
          <w:szCs w:val="22"/>
        </w:rPr>
        <w:t xml:space="preserve"> 111 (2011) 1207–1216. </w:t>
      </w:r>
      <w:hyperlink r:id="rId331" w:history="1">
        <w:r w:rsidR="00433ABD" w:rsidRPr="00A8065D">
          <w:rPr>
            <w:rStyle w:val="Hyperlink"/>
            <w:rFonts w:ascii="Palatino Linotype" w:hAnsi="Palatino Linotype"/>
            <w:sz w:val="22"/>
            <w:szCs w:val="22"/>
          </w:rPr>
          <w:t>https://doi.org/10.1007/s00421-010-1748-4</w:t>
        </w:r>
      </w:hyperlink>
    </w:p>
    <w:p w14:paraId="6D0917E6" w14:textId="1ACA2C2B" w:rsidR="00433ABD" w:rsidRDefault="005E297E" w:rsidP="00433ABD">
      <w:pPr>
        <w:pStyle w:val="NormalWeb"/>
        <w:numPr>
          <w:ilvl w:val="0"/>
          <w:numId w:val="15"/>
        </w:numPr>
        <w:jc w:val="both"/>
        <w:rPr>
          <w:rFonts w:ascii="Palatino Linotype" w:hAnsi="Palatino Linotype"/>
          <w:sz w:val="22"/>
          <w:szCs w:val="22"/>
        </w:rPr>
      </w:pPr>
      <w:r w:rsidRPr="00F43E9A">
        <w:rPr>
          <w:rFonts w:ascii="Palatino Linotype" w:hAnsi="Palatino Linotype"/>
          <w:sz w:val="22"/>
          <w:szCs w:val="22"/>
        </w:rPr>
        <w:t xml:space="preserve">F. Mneimneh, C. Moussallem, N. Ghaddar, K. Ghali, I. Omeis. </w:t>
      </w:r>
      <w:r w:rsidRPr="00433ABD">
        <w:rPr>
          <w:rFonts w:ascii="Palatino Linotype" w:hAnsi="Palatino Linotype"/>
          <w:sz w:val="22"/>
          <w:szCs w:val="22"/>
          <w:lang w:val="en-US"/>
        </w:rPr>
        <w:t xml:space="preserve">"Experimental study on the effectiveness of the PCM cooling vest in persons with paraplegia of varying levels". </w:t>
      </w:r>
      <w:r w:rsidRPr="00433ABD">
        <w:rPr>
          <w:rStyle w:val="Emphasis"/>
          <w:rFonts w:ascii="Palatino Linotype" w:hAnsi="Palatino Linotype"/>
          <w:sz w:val="22"/>
          <w:szCs w:val="22"/>
        </w:rPr>
        <w:t>J</w:t>
      </w:r>
      <w:r w:rsidR="00BE2287">
        <w:rPr>
          <w:rStyle w:val="Emphasis"/>
          <w:rFonts w:ascii="Palatino Linotype" w:hAnsi="Palatino Linotype"/>
          <w:sz w:val="22"/>
          <w:szCs w:val="22"/>
        </w:rPr>
        <w:t>ournal of</w:t>
      </w:r>
      <w:r w:rsidRPr="00433ABD">
        <w:rPr>
          <w:rStyle w:val="Emphasis"/>
          <w:rFonts w:ascii="Palatino Linotype" w:hAnsi="Palatino Linotype"/>
          <w:sz w:val="22"/>
          <w:szCs w:val="22"/>
        </w:rPr>
        <w:t xml:space="preserve"> Therm</w:t>
      </w:r>
      <w:r w:rsidR="00BE2287">
        <w:rPr>
          <w:rStyle w:val="Emphasis"/>
          <w:rFonts w:ascii="Palatino Linotype" w:hAnsi="Palatino Linotype"/>
          <w:sz w:val="22"/>
          <w:szCs w:val="22"/>
        </w:rPr>
        <w:t>al</w:t>
      </w:r>
      <w:r w:rsidRPr="00433ABD">
        <w:rPr>
          <w:rStyle w:val="Emphasis"/>
          <w:rFonts w:ascii="Palatino Linotype" w:hAnsi="Palatino Linotype"/>
          <w:sz w:val="22"/>
          <w:szCs w:val="22"/>
        </w:rPr>
        <w:t xml:space="preserve"> Biol</w:t>
      </w:r>
      <w:r w:rsidR="00BE2287">
        <w:rPr>
          <w:rStyle w:val="Emphasis"/>
          <w:rFonts w:ascii="Palatino Linotype" w:hAnsi="Palatino Linotype"/>
          <w:sz w:val="22"/>
          <w:szCs w:val="22"/>
        </w:rPr>
        <w:t xml:space="preserve">ogy </w:t>
      </w:r>
      <w:r w:rsidRPr="00433ABD">
        <w:rPr>
          <w:rFonts w:ascii="Palatino Linotype" w:hAnsi="Palatino Linotype"/>
          <w:sz w:val="22"/>
          <w:szCs w:val="22"/>
        </w:rPr>
        <w:t xml:space="preserve">91 (2020) 102634. </w:t>
      </w:r>
      <w:hyperlink r:id="rId332" w:history="1">
        <w:r w:rsidR="00433ABD" w:rsidRPr="00A8065D">
          <w:rPr>
            <w:rStyle w:val="Hyperlink"/>
            <w:rFonts w:ascii="Palatino Linotype" w:hAnsi="Palatino Linotype"/>
            <w:sz w:val="22"/>
            <w:szCs w:val="22"/>
          </w:rPr>
          <w:t>https://doi.org/10.1016/j.jtherbio.2020.102634</w:t>
        </w:r>
      </w:hyperlink>
    </w:p>
    <w:p w14:paraId="66577868" w14:textId="0BDBA80B" w:rsidR="005E297E" w:rsidRDefault="005E297E" w:rsidP="00433ABD">
      <w:pPr>
        <w:pStyle w:val="NormalWeb"/>
        <w:numPr>
          <w:ilvl w:val="0"/>
          <w:numId w:val="15"/>
        </w:numPr>
        <w:jc w:val="both"/>
        <w:rPr>
          <w:rFonts w:ascii="Palatino Linotype" w:hAnsi="Palatino Linotype"/>
          <w:sz w:val="22"/>
          <w:szCs w:val="22"/>
        </w:rPr>
      </w:pPr>
      <w:r w:rsidRPr="00433ABD">
        <w:rPr>
          <w:rFonts w:ascii="Palatino Linotype" w:hAnsi="Palatino Linotype"/>
          <w:sz w:val="22"/>
          <w:szCs w:val="22"/>
        </w:rPr>
        <w:lastRenderedPageBreak/>
        <w:t xml:space="preserve">M. Itani, R. Bachnak, N. Ghaddar, K. Ghali. </w:t>
      </w:r>
      <w:r w:rsidRPr="00433ABD">
        <w:rPr>
          <w:rFonts w:ascii="Palatino Linotype" w:hAnsi="Palatino Linotype"/>
          <w:sz w:val="22"/>
          <w:szCs w:val="22"/>
          <w:lang w:val="en-US"/>
        </w:rPr>
        <w:t xml:space="preserve">"Evaluating performance of hybrid PCM-fan and hybrid PCM-desiccant vests in moderate and hot climates". </w:t>
      </w:r>
      <w:r w:rsidRPr="00433ABD">
        <w:rPr>
          <w:rStyle w:val="Emphasis"/>
          <w:rFonts w:ascii="Palatino Linotype" w:hAnsi="Palatino Linotype"/>
          <w:sz w:val="22"/>
          <w:szCs w:val="22"/>
        </w:rPr>
        <w:t>J</w:t>
      </w:r>
      <w:r w:rsidR="00BE2287">
        <w:rPr>
          <w:rStyle w:val="Emphasis"/>
          <w:rFonts w:ascii="Palatino Linotype" w:hAnsi="Palatino Linotype"/>
          <w:sz w:val="22"/>
          <w:szCs w:val="22"/>
        </w:rPr>
        <w:t>ournal of</w:t>
      </w:r>
      <w:r w:rsidRPr="00433ABD">
        <w:rPr>
          <w:rStyle w:val="Emphasis"/>
          <w:rFonts w:ascii="Palatino Linotype" w:hAnsi="Palatino Linotype"/>
          <w:sz w:val="22"/>
          <w:szCs w:val="22"/>
        </w:rPr>
        <w:t xml:space="preserve"> Building Eng</w:t>
      </w:r>
      <w:r w:rsidR="00BE2287">
        <w:rPr>
          <w:rStyle w:val="Emphasis"/>
          <w:rFonts w:ascii="Palatino Linotype" w:hAnsi="Palatino Linotype"/>
          <w:sz w:val="22"/>
          <w:szCs w:val="22"/>
        </w:rPr>
        <w:t>ineering</w:t>
      </w:r>
      <w:r w:rsidRPr="00433ABD">
        <w:rPr>
          <w:rFonts w:ascii="Palatino Linotype" w:hAnsi="Palatino Linotype"/>
          <w:sz w:val="22"/>
          <w:szCs w:val="22"/>
        </w:rPr>
        <w:t xml:space="preserve"> 22 (2019) 383–396. </w:t>
      </w:r>
      <w:hyperlink r:id="rId333" w:history="1">
        <w:r w:rsidR="00433ABD" w:rsidRPr="00A8065D">
          <w:rPr>
            <w:rStyle w:val="Hyperlink"/>
            <w:rFonts w:ascii="Palatino Linotype" w:hAnsi="Palatino Linotype"/>
            <w:sz w:val="22"/>
            <w:szCs w:val="22"/>
          </w:rPr>
          <w:t>https://doi.org/10.1016/j.jobe.2019.01.003</w:t>
        </w:r>
      </w:hyperlink>
    </w:p>
    <w:p w14:paraId="72A069B9" w14:textId="4995E925" w:rsidR="00433ABD" w:rsidRDefault="005E297E" w:rsidP="00433ABD">
      <w:pPr>
        <w:pStyle w:val="NormalWeb"/>
        <w:numPr>
          <w:ilvl w:val="0"/>
          <w:numId w:val="15"/>
        </w:numPr>
        <w:jc w:val="both"/>
        <w:rPr>
          <w:rFonts w:ascii="Palatino Linotype" w:hAnsi="Palatino Linotype"/>
          <w:sz w:val="22"/>
          <w:szCs w:val="22"/>
        </w:rPr>
      </w:pPr>
      <w:r w:rsidRPr="00433ABD">
        <w:rPr>
          <w:rFonts w:ascii="Palatino Linotype" w:hAnsi="Palatino Linotype"/>
          <w:sz w:val="22"/>
          <w:szCs w:val="22"/>
          <w:lang w:val="en-US"/>
        </w:rPr>
        <w:t xml:space="preserve">M. Pan, W. Lai. "Cutting copper fiber/paraffin composite phase change material discharging experimental study based on heat dissipation capability of Li-ion battery". </w:t>
      </w:r>
      <w:r w:rsidRPr="00433ABD">
        <w:rPr>
          <w:rStyle w:val="Emphasis"/>
          <w:rFonts w:ascii="Palatino Linotype" w:hAnsi="Palatino Linotype"/>
          <w:sz w:val="22"/>
          <w:szCs w:val="22"/>
        </w:rPr>
        <w:t>Renew</w:t>
      </w:r>
      <w:r w:rsidR="00BE2287">
        <w:rPr>
          <w:rStyle w:val="Emphasis"/>
          <w:rFonts w:ascii="Palatino Linotype" w:hAnsi="Palatino Linotype"/>
          <w:sz w:val="22"/>
          <w:szCs w:val="22"/>
        </w:rPr>
        <w:t>able</w:t>
      </w:r>
      <w:r w:rsidRPr="00433ABD">
        <w:rPr>
          <w:rStyle w:val="Emphasis"/>
          <w:rFonts w:ascii="Palatino Linotype" w:hAnsi="Palatino Linotype"/>
          <w:sz w:val="22"/>
          <w:szCs w:val="22"/>
        </w:rPr>
        <w:t xml:space="preserve"> Energy</w:t>
      </w:r>
      <w:r w:rsidRPr="00433ABD">
        <w:rPr>
          <w:rFonts w:ascii="Palatino Linotype" w:hAnsi="Palatino Linotype"/>
          <w:sz w:val="22"/>
          <w:szCs w:val="22"/>
        </w:rPr>
        <w:t xml:space="preserve"> 114 (2017) 408–422. </w:t>
      </w:r>
      <w:hyperlink r:id="rId334" w:history="1">
        <w:r w:rsidR="00433ABD" w:rsidRPr="00A8065D">
          <w:rPr>
            <w:rStyle w:val="Hyperlink"/>
            <w:rFonts w:ascii="Palatino Linotype" w:hAnsi="Palatino Linotype"/>
            <w:sz w:val="22"/>
            <w:szCs w:val="22"/>
          </w:rPr>
          <w:t>https://doi.org/10.1016/j.renene.2017.07.004</w:t>
        </w:r>
      </w:hyperlink>
    </w:p>
    <w:p w14:paraId="28D84FA5" w14:textId="55F89F71" w:rsidR="005E297E" w:rsidRDefault="005E297E" w:rsidP="00433ABD">
      <w:pPr>
        <w:pStyle w:val="NormalWeb"/>
        <w:numPr>
          <w:ilvl w:val="0"/>
          <w:numId w:val="15"/>
        </w:numPr>
        <w:jc w:val="both"/>
        <w:rPr>
          <w:rFonts w:ascii="Palatino Linotype" w:hAnsi="Palatino Linotype"/>
          <w:sz w:val="22"/>
          <w:szCs w:val="22"/>
        </w:rPr>
      </w:pPr>
      <w:r w:rsidRPr="00A90E2C">
        <w:rPr>
          <w:rFonts w:ascii="Palatino Linotype" w:hAnsi="Palatino Linotype"/>
          <w:sz w:val="22"/>
          <w:szCs w:val="22"/>
          <w:lang w:val="en-US"/>
        </w:rPr>
        <w:t xml:space="preserve"> </w:t>
      </w:r>
      <w:r w:rsidRPr="00433ABD">
        <w:rPr>
          <w:rFonts w:ascii="Palatino Linotype" w:hAnsi="Palatino Linotype"/>
          <w:sz w:val="22"/>
          <w:szCs w:val="22"/>
          <w:lang w:val="en-US"/>
        </w:rPr>
        <w:t xml:space="preserve">B. Pause. "Nonwoven protective garments with thermo-regulating properties". </w:t>
      </w:r>
      <w:r w:rsidRPr="00433ABD">
        <w:rPr>
          <w:rStyle w:val="Emphasis"/>
          <w:rFonts w:ascii="Palatino Linotype" w:hAnsi="Palatino Linotype"/>
          <w:sz w:val="22"/>
          <w:szCs w:val="22"/>
        </w:rPr>
        <w:t>J</w:t>
      </w:r>
      <w:r w:rsidR="00BE2287">
        <w:rPr>
          <w:rStyle w:val="Emphasis"/>
          <w:rFonts w:ascii="Palatino Linotype" w:hAnsi="Palatino Linotype"/>
          <w:sz w:val="22"/>
          <w:szCs w:val="22"/>
        </w:rPr>
        <w:t>ournal of</w:t>
      </w:r>
      <w:r w:rsidRPr="00433ABD">
        <w:rPr>
          <w:rStyle w:val="Emphasis"/>
          <w:rFonts w:ascii="Palatino Linotype" w:hAnsi="Palatino Linotype"/>
          <w:sz w:val="22"/>
          <w:szCs w:val="22"/>
        </w:rPr>
        <w:t xml:space="preserve"> Ind</w:t>
      </w:r>
      <w:r w:rsidR="00BE2287">
        <w:rPr>
          <w:rStyle w:val="Emphasis"/>
          <w:rFonts w:ascii="Palatino Linotype" w:hAnsi="Palatino Linotype"/>
          <w:sz w:val="22"/>
          <w:szCs w:val="22"/>
        </w:rPr>
        <w:t>ustrial</w:t>
      </w:r>
      <w:r w:rsidRPr="00433ABD">
        <w:rPr>
          <w:rStyle w:val="Emphasis"/>
          <w:rFonts w:ascii="Palatino Linotype" w:hAnsi="Palatino Linotype"/>
          <w:sz w:val="22"/>
          <w:szCs w:val="22"/>
        </w:rPr>
        <w:t xml:space="preserve"> Text</w:t>
      </w:r>
      <w:r w:rsidR="00BE2287">
        <w:rPr>
          <w:rStyle w:val="Emphasis"/>
          <w:rFonts w:ascii="Palatino Linotype" w:hAnsi="Palatino Linotype"/>
          <w:sz w:val="22"/>
          <w:szCs w:val="22"/>
        </w:rPr>
        <w:t>iles</w:t>
      </w:r>
      <w:r w:rsidRPr="00433ABD">
        <w:rPr>
          <w:rFonts w:ascii="Palatino Linotype" w:hAnsi="Palatino Linotype"/>
          <w:sz w:val="22"/>
          <w:szCs w:val="22"/>
        </w:rPr>
        <w:t xml:space="preserve"> 33 (2) (2003) 93–99. </w:t>
      </w:r>
      <w:hyperlink r:id="rId335" w:history="1">
        <w:r w:rsidR="00433ABD" w:rsidRPr="00A8065D">
          <w:rPr>
            <w:rStyle w:val="Hyperlink"/>
            <w:rFonts w:ascii="Palatino Linotype" w:hAnsi="Palatino Linotype"/>
            <w:sz w:val="22"/>
            <w:szCs w:val="22"/>
          </w:rPr>
          <w:t>https://doi.org/10.1177/152808303038859</w:t>
        </w:r>
      </w:hyperlink>
    </w:p>
    <w:p w14:paraId="0D7426F0" w14:textId="44261BCD" w:rsidR="005E297E" w:rsidRPr="00BE2287" w:rsidRDefault="005E297E" w:rsidP="00433ABD">
      <w:pPr>
        <w:pStyle w:val="NormalWeb"/>
        <w:numPr>
          <w:ilvl w:val="0"/>
          <w:numId w:val="15"/>
        </w:numPr>
        <w:jc w:val="both"/>
        <w:rPr>
          <w:rFonts w:ascii="Palatino Linotype" w:hAnsi="Palatino Linotype"/>
          <w:sz w:val="22"/>
          <w:szCs w:val="22"/>
          <w:lang w:val="en-US"/>
        </w:rPr>
      </w:pPr>
      <w:r w:rsidRPr="00433ABD">
        <w:rPr>
          <w:rFonts w:ascii="Palatino Linotype" w:hAnsi="Palatino Linotype"/>
          <w:sz w:val="22"/>
          <w:szCs w:val="22"/>
          <w:lang w:val="en-US"/>
        </w:rPr>
        <w:t xml:space="preserve">E. Rahimi, A. Babapoor, G. Moradi, S. Kalantary, M.M. Esmaeelpour. "Personal cooling garments and phase change materials: A review". </w:t>
      </w:r>
      <w:r w:rsidRPr="00433ABD">
        <w:rPr>
          <w:rStyle w:val="Emphasis"/>
          <w:rFonts w:ascii="Palatino Linotype" w:hAnsi="Palatino Linotype"/>
          <w:sz w:val="22"/>
          <w:szCs w:val="22"/>
          <w:lang w:val="en-US"/>
        </w:rPr>
        <w:t>Renew</w:t>
      </w:r>
      <w:r w:rsidR="00BE2287">
        <w:rPr>
          <w:rStyle w:val="Emphasis"/>
          <w:rFonts w:ascii="Palatino Linotype" w:hAnsi="Palatino Linotype"/>
          <w:sz w:val="22"/>
          <w:szCs w:val="22"/>
          <w:lang w:val="en-US"/>
        </w:rPr>
        <w:t>able and</w:t>
      </w:r>
      <w:r w:rsidRPr="00433ABD">
        <w:rPr>
          <w:rStyle w:val="Emphasis"/>
          <w:rFonts w:ascii="Palatino Linotype" w:hAnsi="Palatino Linotype"/>
          <w:sz w:val="22"/>
          <w:szCs w:val="22"/>
          <w:lang w:val="en-US"/>
        </w:rPr>
        <w:t xml:space="preserve"> </w:t>
      </w:r>
      <w:r w:rsidRPr="00BE2287">
        <w:rPr>
          <w:rStyle w:val="Emphasis"/>
          <w:rFonts w:ascii="Palatino Linotype" w:hAnsi="Palatino Linotype"/>
          <w:sz w:val="22"/>
          <w:szCs w:val="22"/>
          <w:lang w:val="en-US"/>
        </w:rPr>
        <w:t>Sustain</w:t>
      </w:r>
      <w:r w:rsidR="00BE2287" w:rsidRPr="00BE2287">
        <w:rPr>
          <w:rStyle w:val="Emphasis"/>
          <w:rFonts w:ascii="Palatino Linotype" w:hAnsi="Palatino Linotype"/>
          <w:sz w:val="22"/>
          <w:szCs w:val="22"/>
          <w:lang w:val="en-US"/>
        </w:rPr>
        <w:t>able</w:t>
      </w:r>
      <w:r w:rsidRPr="00BE2287">
        <w:rPr>
          <w:rStyle w:val="Emphasis"/>
          <w:rFonts w:ascii="Palatino Linotype" w:hAnsi="Palatino Linotype"/>
          <w:sz w:val="22"/>
          <w:szCs w:val="22"/>
          <w:lang w:val="en-US"/>
        </w:rPr>
        <w:t xml:space="preserve"> Energy Rev</w:t>
      </w:r>
      <w:r w:rsidR="00BE2287">
        <w:rPr>
          <w:rStyle w:val="Emphasis"/>
          <w:rFonts w:ascii="Palatino Linotype" w:hAnsi="Palatino Linotype"/>
          <w:sz w:val="22"/>
          <w:szCs w:val="22"/>
          <w:lang w:val="en-US"/>
        </w:rPr>
        <w:t xml:space="preserve">iews </w:t>
      </w:r>
      <w:r w:rsidRPr="00BE2287">
        <w:rPr>
          <w:rFonts w:ascii="Palatino Linotype" w:hAnsi="Palatino Linotype"/>
          <w:sz w:val="22"/>
          <w:szCs w:val="22"/>
          <w:lang w:val="en-US"/>
        </w:rPr>
        <w:t xml:space="preserve">190 (2024) 114063. </w:t>
      </w:r>
      <w:hyperlink r:id="rId336" w:history="1">
        <w:r w:rsidR="00433ABD" w:rsidRPr="00BE2287">
          <w:rPr>
            <w:rStyle w:val="Hyperlink"/>
            <w:rFonts w:ascii="Palatino Linotype" w:hAnsi="Palatino Linotype"/>
            <w:sz w:val="22"/>
            <w:szCs w:val="22"/>
            <w:lang w:val="en-US"/>
          </w:rPr>
          <w:t>https://doi.org/10.1016/j.rser.2023.114063</w:t>
        </w:r>
      </w:hyperlink>
    </w:p>
    <w:p w14:paraId="3C068F4B" w14:textId="478965AC" w:rsidR="005E297E" w:rsidRDefault="00BE2287" w:rsidP="00433ABD">
      <w:pPr>
        <w:pStyle w:val="NormalWeb"/>
        <w:numPr>
          <w:ilvl w:val="0"/>
          <w:numId w:val="15"/>
        </w:numPr>
        <w:jc w:val="both"/>
        <w:rPr>
          <w:rFonts w:ascii="Palatino Linotype" w:hAnsi="Palatino Linotype"/>
          <w:sz w:val="22"/>
          <w:szCs w:val="22"/>
        </w:rPr>
      </w:pPr>
      <w:r>
        <w:rPr>
          <w:rFonts w:ascii="Palatino Linotype" w:hAnsi="Palatino Linotype"/>
          <w:sz w:val="22"/>
          <w:szCs w:val="22"/>
          <w:lang w:val="en-US"/>
        </w:rPr>
        <w:t xml:space="preserve">Y. </w:t>
      </w:r>
      <w:r w:rsidR="005E297E" w:rsidRPr="00BE2287">
        <w:rPr>
          <w:rFonts w:ascii="Palatino Linotype" w:hAnsi="Palatino Linotype"/>
          <w:sz w:val="22"/>
          <w:szCs w:val="22"/>
          <w:lang w:val="en-US"/>
        </w:rPr>
        <w:t xml:space="preserve">Udayraj, F. Wang, W. Song, Y. Ke, P. Xu, C.S.W. Chow. </w:t>
      </w:r>
      <w:r w:rsidR="005E297E" w:rsidRPr="00433ABD">
        <w:rPr>
          <w:rFonts w:ascii="Palatino Linotype" w:hAnsi="Palatino Linotype"/>
          <w:sz w:val="22"/>
          <w:szCs w:val="22"/>
          <w:lang w:val="en-US"/>
        </w:rPr>
        <w:t xml:space="preserve">"Performance enhancement of hybrid personal cooling clothing in a hot environment: PCM cooling energy management with additional insulation". </w:t>
      </w:r>
      <w:r w:rsidR="005E297E" w:rsidRPr="00433ABD">
        <w:rPr>
          <w:rStyle w:val="Emphasis"/>
          <w:rFonts w:ascii="Palatino Linotype" w:hAnsi="Palatino Linotype"/>
          <w:sz w:val="22"/>
          <w:szCs w:val="22"/>
        </w:rPr>
        <w:t>Ergonomics</w:t>
      </w:r>
      <w:r w:rsidR="005E297E" w:rsidRPr="00433ABD">
        <w:rPr>
          <w:rFonts w:ascii="Palatino Linotype" w:hAnsi="Palatino Linotype"/>
          <w:sz w:val="22"/>
          <w:szCs w:val="22"/>
        </w:rPr>
        <w:t xml:space="preserve"> 62 (7) (2019) 928–939. </w:t>
      </w:r>
      <w:hyperlink r:id="rId337" w:history="1">
        <w:r w:rsidR="00433ABD" w:rsidRPr="00A8065D">
          <w:rPr>
            <w:rStyle w:val="Hyperlink"/>
            <w:rFonts w:ascii="Palatino Linotype" w:hAnsi="Palatino Linotype"/>
            <w:sz w:val="22"/>
            <w:szCs w:val="22"/>
          </w:rPr>
          <w:t>https://doi.org/10.1080/00140139.2019.1596318</w:t>
        </w:r>
      </w:hyperlink>
    </w:p>
    <w:p w14:paraId="2EEF782B" w14:textId="7C797045" w:rsidR="00585B2A" w:rsidRPr="00BE2287" w:rsidRDefault="00BE2287" w:rsidP="005E297E">
      <w:pPr>
        <w:pStyle w:val="NormalWeb"/>
        <w:numPr>
          <w:ilvl w:val="0"/>
          <w:numId w:val="15"/>
        </w:numPr>
        <w:jc w:val="both"/>
        <w:rPr>
          <w:rFonts w:ascii="Palatino Linotype" w:hAnsi="Palatino Linotype"/>
          <w:sz w:val="22"/>
          <w:szCs w:val="22"/>
          <w:lang w:val="en-US"/>
        </w:rPr>
      </w:pPr>
      <w:r>
        <w:rPr>
          <w:rFonts w:ascii="Palatino Linotype" w:hAnsi="Palatino Linotype"/>
          <w:sz w:val="22"/>
          <w:szCs w:val="22"/>
        </w:rPr>
        <w:t xml:space="preserve">H. </w:t>
      </w:r>
      <w:r w:rsidR="00585B2A" w:rsidRPr="00585B2A">
        <w:rPr>
          <w:rFonts w:ascii="Palatino Linotype" w:hAnsi="Palatino Linotype"/>
          <w:sz w:val="22"/>
          <w:szCs w:val="22"/>
        </w:rPr>
        <w:t xml:space="preserve">Pourghayoomi, </w:t>
      </w:r>
      <w:r>
        <w:rPr>
          <w:rFonts w:ascii="Palatino Linotype" w:hAnsi="Palatino Linotype"/>
          <w:sz w:val="22"/>
          <w:szCs w:val="22"/>
        </w:rPr>
        <w:t>H.</w:t>
      </w:r>
      <w:r w:rsidR="00585B2A" w:rsidRPr="00585B2A">
        <w:rPr>
          <w:rFonts w:ascii="Palatino Linotype" w:hAnsi="Palatino Linotype"/>
          <w:sz w:val="22"/>
          <w:szCs w:val="22"/>
        </w:rPr>
        <w:t xml:space="preserve"> Dehghan,</w:t>
      </w:r>
      <w:r>
        <w:rPr>
          <w:rFonts w:ascii="Palatino Linotype" w:hAnsi="Palatino Linotype"/>
          <w:sz w:val="22"/>
          <w:szCs w:val="22"/>
        </w:rPr>
        <w:t xml:space="preserve"> M.J.</w:t>
      </w:r>
      <w:r w:rsidR="00585B2A" w:rsidRPr="00585B2A">
        <w:rPr>
          <w:rFonts w:ascii="Palatino Linotype" w:hAnsi="Palatino Linotype"/>
          <w:sz w:val="22"/>
          <w:szCs w:val="22"/>
        </w:rPr>
        <w:t xml:space="preserve"> Tarrahi. </w:t>
      </w:r>
      <w:r w:rsidRPr="00BE2287">
        <w:rPr>
          <w:rFonts w:ascii="Palatino Linotype" w:hAnsi="Palatino Linotype"/>
          <w:sz w:val="22"/>
          <w:szCs w:val="22"/>
          <w:lang w:val="en-US"/>
        </w:rPr>
        <w:t>“</w:t>
      </w:r>
      <w:r w:rsidR="00585B2A" w:rsidRPr="00585B2A">
        <w:rPr>
          <w:rFonts w:ascii="Palatino Linotype" w:hAnsi="Palatino Linotype"/>
          <w:sz w:val="22"/>
          <w:szCs w:val="22"/>
          <w:lang w:val="en-US"/>
        </w:rPr>
        <w:t>The effect of an optimized cooling vest for controlling women’s thermal strain in hot laboratory conditions</w:t>
      </w:r>
      <w:r>
        <w:rPr>
          <w:rFonts w:ascii="Palatino Linotype" w:hAnsi="Palatino Linotype"/>
          <w:sz w:val="22"/>
          <w:szCs w:val="22"/>
          <w:lang w:val="en-US"/>
        </w:rPr>
        <w:t>”</w:t>
      </w:r>
      <w:r w:rsidR="00585B2A" w:rsidRPr="00585B2A">
        <w:rPr>
          <w:rFonts w:ascii="Palatino Linotype" w:hAnsi="Palatino Linotype"/>
          <w:sz w:val="22"/>
          <w:szCs w:val="22"/>
          <w:lang w:val="en-US"/>
        </w:rPr>
        <w:t xml:space="preserve">. </w:t>
      </w:r>
      <w:r w:rsidR="00585B2A" w:rsidRPr="00585B2A">
        <w:rPr>
          <w:rFonts w:ascii="Palatino Linotype" w:hAnsi="Palatino Linotype"/>
          <w:i/>
          <w:iCs/>
          <w:sz w:val="22"/>
          <w:szCs w:val="22"/>
          <w:lang w:val="en-US"/>
        </w:rPr>
        <w:t>Health Scope</w:t>
      </w:r>
      <w:r w:rsidR="00585B2A" w:rsidRPr="00585B2A">
        <w:rPr>
          <w:rFonts w:ascii="Palatino Linotype" w:hAnsi="Palatino Linotype"/>
          <w:sz w:val="22"/>
          <w:szCs w:val="22"/>
          <w:lang w:val="en-US"/>
        </w:rPr>
        <w:t xml:space="preserve"> 9(2)</w:t>
      </w:r>
      <w:r>
        <w:rPr>
          <w:rFonts w:ascii="Palatino Linotype" w:hAnsi="Palatino Linotype"/>
          <w:sz w:val="22"/>
          <w:szCs w:val="22"/>
          <w:lang w:val="en-US"/>
        </w:rPr>
        <w:t xml:space="preserve"> (2020)</w:t>
      </w:r>
      <w:r w:rsidR="00585B2A" w:rsidRPr="00585B2A">
        <w:rPr>
          <w:rFonts w:ascii="Palatino Linotype" w:hAnsi="Palatino Linotype"/>
          <w:sz w:val="22"/>
          <w:szCs w:val="22"/>
          <w:lang w:val="en-US"/>
        </w:rPr>
        <w:t xml:space="preserve">, e94739. </w:t>
      </w:r>
      <w:hyperlink r:id="rId338" w:history="1">
        <w:r w:rsidR="00585B2A" w:rsidRPr="00A8065D">
          <w:rPr>
            <w:rStyle w:val="Hyperlink"/>
            <w:rFonts w:ascii="Palatino Linotype" w:hAnsi="Palatino Linotype"/>
            <w:sz w:val="22"/>
            <w:szCs w:val="22"/>
            <w:lang w:val="en-US"/>
          </w:rPr>
          <w:t>https://doi.org/10.5812/jhealthscope.94739</w:t>
        </w:r>
      </w:hyperlink>
      <w:r w:rsidR="00585B2A" w:rsidRPr="00585B2A">
        <w:rPr>
          <w:rFonts w:ascii="Palatino Linotype" w:hAnsi="Palatino Linotype"/>
          <w:sz w:val="22"/>
          <w:szCs w:val="22"/>
          <w:lang w:val="en-US"/>
        </w:rPr>
        <w:t>.</w:t>
      </w:r>
    </w:p>
    <w:p w14:paraId="2DE5B755" w14:textId="4ED863B0" w:rsidR="005E297E" w:rsidRDefault="005E297E" w:rsidP="005E297E">
      <w:pPr>
        <w:pStyle w:val="NormalWeb"/>
        <w:numPr>
          <w:ilvl w:val="0"/>
          <w:numId w:val="15"/>
        </w:numPr>
        <w:jc w:val="both"/>
        <w:rPr>
          <w:rFonts w:ascii="Palatino Linotype" w:hAnsi="Palatino Linotype"/>
          <w:sz w:val="22"/>
          <w:szCs w:val="22"/>
        </w:rPr>
      </w:pPr>
      <w:r w:rsidRPr="003A65E5">
        <w:rPr>
          <w:rFonts w:ascii="Palatino Linotype" w:hAnsi="Palatino Linotype"/>
          <w:sz w:val="22"/>
          <w:szCs w:val="22"/>
          <w:lang w:val="en-US"/>
        </w:rPr>
        <w:t xml:space="preserve">C.L. Butts, C.R. Smith, M.S. Ganio, B.P. McDermott. </w:t>
      </w:r>
      <w:r w:rsidRPr="00433ABD">
        <w:rPr>
          <w:rFonts w:ascii="Palatino Linotype" w:hAnsi="Palatino Linotype"/>
          <w:sz w:val="22"/>
          <w:szCs w:val="22"/>
          <w:lang w:val="en-US"/>
        </w:rPr>
        <w:t xml:space="preserve">"Physiological and perceptual effects of a cooling garment during simulated industrial work in the heat". </w:t>
      </w:r>
      <w:r w:rsidRPr="005E297E">
        <w:rPr>
          <w:rStyle w:val="Emphasis"/>
          <w:rFonts w:ascii="Palatino Linotype" w:hAnsi="Palatino Linotype"/>
          <w:sz w:val="22"/>
          <w:szCs w:val="22"/>
        </w:rPr>
        <w:t>Appl</w:t>
      </w:r>
      <w:r w:rsidR="00BE2287">
        <w:rPr>
          <w:rStyle w:val="Emphasis"/>
          <w:rFonts w:ascii="Palatino Linotype" w:hAnsi="Palatino Linotype"/>
          <w:sz w:val="22"/>
          <w:szCs w:val="22"/>
        </w:rPr>
        <w:t>ied</w:t>
      </w:r>
      <w:r w:rsidRPr="005E297E">
        <w:rPr>
          <w:rStyle w:val="Emphasis"/>
          <w:rFonts w:ascii="Palatino Linotype" w:hAnsi="Palatino Linotype"/>
          <w:sz w:val="22"/>
          <w:szCs w:val="22"/>
        </w:rPr>
        <w:t xml:space="preserve"> Ergon</w:t>
      </w:r>
      <w:r w:rsidR="00BE2287">
        <w:rPr>
          <w:rStyle w:val="Emphasis"/>
          <w:rFonts w:ascii="Palatino Linotype" w:hAnsi="Palatino Linotype"/>
          <w:sz w:val="22"/>
          <w:szCs w:val="22"/>
        </w:rPr>
        <w:t>omics</w:t>
      </w:r>
      <w:r w:rsidRPr="005E297E">
        <w:rPr>
          <w:rFonts w:ascii="Palatino Linotype" w:hAnsi="Palatino Linotype"/>
          <w:sz w:val="22"/>
          <w:szCs w:val="22"/>
        </w:rPr>
        <w:t xml:space="preserve"> 59 (2017) 442–448.</w:t>
      </w:r>
      <w:r w:rsidR="00BE2287" w:rsidRPr="00BE2287">
        <w:rPr>
          <w:rFonts w:ascii="Palatino Linotype" w:hAnsi="Palatino Linotype" w:cstheme="minorBidi"/>
          <w:kern w:val="0"/>
          <w:szCs w:val="22"/>
          <w14:ligatures w14:val="none"/>
        </w:rPr>
        <w:t xml:space="preserve"> </w:t>
      </w:r>
      <w:hyperlink r:id="rId339" w:history="1">
        <w:r w:rsidR="00BE2287" w:rsidRPr="00FB3BE2">
          <w:rPr>
            <w:rStyle w:val="Hyperlink"/>
            <w:rFonts w:ascii="Palatino Linotype" w:hAnsi="Palatino Linotype"/>
            <w:sz w:val="22"/>
            <w:szCs w:val="22"/>
          </w:rPr>
          <w:t>https://doi.org/10.1016/j.apergo.2016.10.001</w:t>
        </w:r>
      </w:hyperlink>
      <w:r w:rsidR="00BE2287" w:rsidRPr="00BE2287">
        <w:rPr>
          <w:rFonts w:ascii="Palatino Linotype" w:hAnsi="Palatino Linotype"/>
          <w:sz w:val="22"/>
          <w:szCs w:val="22"/>
        </w:rPr>
        <w:t>.</w:t>
      </w:r>
    </w:p>
    <w:p w14:paraId="60B70427" w14:textId="40BF7C25" w:rsidR="005E297E" w:rsidRPr="00BE2287" w:rsidRDefault="005E297E" w:rsidP="00BE2287">
      <w:pPr>
        <w:pStyle w:val="NormalWeb"/>
        <w:numPr>
          <w:ilvl w:val="0"/>
          <w:numId w:val="15"/>
        </w:numPr>
        <w:jc w:val="both"/>
        <w:rPr>
          <w:rFonts w:ascii="Palatino Linotype" w:hAnsi="Palatino Linotype"/>
          <w:sz w:val="22"/>
          <w:szCs w:val="22"/>
        </w:rPr>
      </w:pPr>
      <w:r w:rsidRPr="00BE2287">
        <w:rPr>
          <w:rFonts w:ascii="Palatino Linotype" w:hAnsi="Palatino Linotype"/>
          <w:sz w:val="22"/>
          <w:szCs w:val="22"/>
          <w:lang w:val="en-US"/>
        </w:rPr>
        <w:t xml:space="preserve">C. Chou, Y. Tochihara, T. Kim. "Physiological and subjective responses to cooling devices on firefighting protective clothing". </w:t>
      </w:r>
      <w:r w:rsidR="00BE2287" w:rsidRPr="00BE2287">
        <w:rPr>
          <w:rFonts w:ascii="Palatino Linotype" w:hAnsi="Palatino Linotype"/>
          <w:i/>
          <w:iCs/>
          <w:sz w:val="22"/>
          <w:szCs w:val="22"/>
          <w:lang w:val="en-US"/>
        </w:rPr>
        <w:t>European Journal of Applied Physiology</w:t>
      </w:r>
      <w:r w:rsidR="00BE2287" w:rsidRPr="00BE2287">
        <w:rPr>
          <w:rFonts w:ascii="Palatino Linotype" w:hAnsi="Palatino Linotype"/>
          <w:sz w:val="22"/>
          <w:szCs w:val="22"/>
        </w:rPr>
        <w:t xml:space="preserve"> </w:t>
      </w:r>
      <w:r w:rsidRPr="00BE2287">
        <w:rPr>
          <w:rFonts w:ascii="Palatino Linotype" w:hAnsi="Palatino Linotype"/>
          <w:sz w:val="22"/>
          <w:szCs w:val="22"/>
        </w:rPr>
        <w:t xml:space="preserve"> 104 (2008) 369–374. </w:t>
      </w:r>
      <w:hyperlink r:id="rId340" w:history="1">
        <w:r w:rsidR="00433ABD" w:rsidRPr="00BE2287">
          <w:rPr>
            <w:rStyle w:val="Hyperlink"/>
            <w:rFonts w:ascii="Palatino Linotype" w:hAnsi="Palatino Linotype"/>
            <w:sz w:val="22"/>
            <w:szCs w:val="22"/>
          </w:rPr>
          <w:t>https://doi.org/10.1007/s00421-007-0665-7</w:t>
        </w:r>
      </w:hyperlink>
    </w:p>
    <w:p w14:paraId="4603DD2C" w14:textId="74EAE581" w:rsidR="00BE2287" w:rsidRDefault="00BE2287" w:rsidP="00BE2287">
      <w:pPr>
        <w:pStyle w:val="NormalWeb"/>
        <w:numPr>
          <w:ilvl w:val="0"/>
          <w:numId w:val="15"/>
        </w:numPr>
        <w:jc w:val="both"/>
        <w:rPr>
          <w:rFonts w:ascii="Palatino Linotype" w:hAnsi="Palatino Linotype"/>
          <w:sz w:val="22"/>
          <w:szCs w:val="22"/>
        </w:rPr>
      </w:pPr>
      <w:r>
        <w:rPr>
          <w:rFonts w:ascii="Palatino Linotype" w:hAnsi="Palatino Linotype"/>
          <w:sz w:val="22"/>
          <w:szCs w:val="22"/>
          <w:lang w:val="en-US"/>
        </w:rPr>
        <w:t xml:space="preserve">S. </w:t>
      </w:r>
      <w:r w:rsidR="00635BA9" w:rsidRPr="0037407A">
        <w:rPr>
          <w:rFonts w:ascii="Palatino Linotype" w:hAnsi="Palatino Linotype"/>
          <w:sz w:val="22"/>
          <w:szCs w:val="22"/>
          <w:lang w:val="en-US"/>
        </w:rPr>
        <w:t>Marks</w:t>
      </w:r>
      <w:r>
        <w:rPr>
          <w:rFonts w:ascii="Palatino Linotype" w:hAnsi="Palatino Linotype"/>
          <w:sz w:val="22"/>
          <w:szCs w:val="22"/>
          <w:lang w:val="en-US"/>
        </w:rPr>
        <w:t>.</w:t>
      </w:r>
      <w:r w:rsidR="00635BA9" w:rsidRPr="0037407A">
        <w:rPr>
          <w:rFonts w:ascii="Palatino Linotype" w:hAnsi="Palatino Linotype"/>
          <w:sz w:val="22"/>
          <w:szCs w:val="22"/>
          <w:lang w:val="en-US"/>
        </w:rPr>
        <w:t xml:space="preserve"> </w:t>
      </w:r>
      <w:r>
        <w:rPr>
          <w:rFonts w:ascii="Palatino Linotype" w:hAnsi="Palatino Linotype"/>
          <w:sz w:val="22"/>
          <w:szCs w:val="22"/>
          <w:lang w:val="en-US"/>
        </w:rPr>
        <w:t>“</w:t>
      </w:r>
      <w:r w:rsidR="00635BA9" w:rsidRPr="0037407A">
        <w:rPr>
          <w:rFonts w:ascii="Palatino Linotype" w:hAnsi="Palatino Linotype"/>
          <w:sz w:val="22"/>
          <w:szCs w:val="22"/>
          <w:lang w:val="en-US"/>
        </w:rPr>
        <w:t>An investigation of the thermal energy storage capacity of Glauber’s salt with respect to thermal cycling</w:t>
      </w:r>
      <w:r>
        <w:rPr>
          <w:rFonts w:ascii="Palatino Linotype" w:hAnsi="Palatino Linotype"/>
          <w:sz w:val="22"/>
          <w:szCs w:val="22"/>
          <w:lang w:val="en-US"/>
        </w:rPr>
        <w:t>”</w:t>
      </w:r>
      <w:r w:rsidR="00635BA9" w:rsidRPr="0037407A">
        <w:rPr>
          <w:rFonts w:ascii="Palatino Linotype" w:hAnsi="Palatino Linotype"/>
          <w:sz w:val="22"/>
          <w:szCs w:val="22"/>
          <w:lang w:val="en-US"/>
        </w:rPr>
        <w:t xml:space="preserve">. </w:t>
      </w:r>
      <w:r w:rsidR="00635BA9" w:rsidRPr="00BE2287">
        <w:rPr>
          <w:rFonts w:ascii="Palatino Linotype" w:hAnsi="Palatino Linotype"/>
          <w:i/>
          <w:iCs/>
          <w:sz w:val="22"/>
          <w:szCs w:val="22"/>
          <w:lang w:val="en-US"/>
        </w:rPr>
        <w:t>Sol</w:t>
      </w:r>
      <w:r>
        <w:rPr>
          <w:rFonts w:ascii="Palatino Linotype" w:hAnsi="Palatino Linotype"/>
          <w:i/>
          <w:iCs/>
          <w:sz w:val="22"/>
          <w:szCs w:val="22"/>
          <w:lang w:val="en-US"/>
        </w:rPr>
        <w:t>ar</w:t>
      </w:r>
      <w:r w:rsidR="00635BA9" w:rsidRPr="00BE2287">
        <w:rPr>
          <w:rFonts w:ascii="Palatino Linotype" w:hAnsi="Palatino Linotype"/>
          <w:i/>
          <w:iCs/>
          <w:sz w:val="22"/>
          <w:szCs w:val="22"/>
          <w:lang w:val="en-US"/>
        </w:rPr>
        <w:t xml:space="preserve"> Energy</w:t>
      </w:r>
      <w:r w:rsidR="00635BA9" w:rsidRPr="00BE2287">
        <w:rPr>
          <w:rFonts w:ascii="Palatino Linotype" w:hAnsi="Palatino Linotype"/>
          <w:sz w:val="22"/>
          <w:szCs w:val="22"/>
          <w:lang w:val="en-US"/>
        </w:rPr>
        <w:t xml:space="preserve"> 25</w:t>
      </w:r>
      <w:r w:rsidR="00BD46BA">
        <w:rPr>
          <w:rFonts w:ascii="Palatino Linotype" w:hAnsi="Palatino Linotype"/>
          <w:sz w:val="22"/>
          <w:szCs w:val="22"/>
          <w:lang w:val="en-US"/>
        </w:rPr>
        <w:t xml:space="preserve"> </w:t>
      </w:r>
      <w:r w:rsidR="00635BA9" w:rsidRPr="00BE2287">
        <w:rPr>
          <w:rFonts w:ascii="Palatino Linotype" w:hAnsi="Palatino Linotype"/>
          <w:sz w:val="22"/>
          <w:szCs w:val="22"/>
          <w:lang w:val="en-US"/>
        </w:rPr>
        <w:t>(3)</w:t>
      </w:r>
      <w:r>
        <w:rPr>
          <w:rFonts w:ascii="Palatino Linotype" w:hAnsi="Palatino Linotype"/>
          <w:sz w:val="22"/>
          <w:szCs w:val="22"/>
          <w:lang w:val="en-US"/>
        </w:rPr>
        <w:t xml:space="preserve"> (1980)</w:t>
      </w:r>
      <w:r w:rsidR="00635BA9" w:rsidRPr="00BE2287">
        <w:rPr>
          <w:rFonts w:ascii="Palatino Linotype" w:hAnsi="Palatino Linotype"/>
          <w:sz w:val="22"/>
          <w:szCs w:val="22"/>
          <w:lang w:val="en-US"/>
        </w:rPr>
        <w:t xml:space="preserve">, 255–258. </w:t>
      </w:r>
      <w:hyperlink r:id="rId341" w:history="1">
        <w:r w:rsidRPr="00FB3BE2">
          <w:rPr>
            <w:rStyle w:val="Hyperlink"/>
            <w:rFonts w:ascii="Palatino Linotype" w:hAnsi="Palatino Linotype"/>
            <w:sz w:val="22"/>
            <w:szCs w:val="22"/>
          </w:rPr>
          <w:t>https://doi.org/10.1016/0038-092X(80)90332-1</w:t>
        </w:r>
      </w:hyperlink>
    </w:p>
    <w:p w14:paraId="254B9F7F" w14:textId="3D3F0FDD" w:rsidR="005E297E" w:rsidRDefault="005E297E" w:rsidP="00BE2287">
      <w:pPr>
        <w:pStyle w:val="NormalWeb"/>
        <w:numPr>
          <w:ilvl w:val="0"/>
          <w:numId w:val="15"/>
        </w:numPr>
        <w:jc w:val="both"/>
        <w:rPr>
          <w:rFonts w:ascii="Palatino Linotype" w:hAnsi="Palatino Linotype"/>
          <w:sz w:val="22"/>
          <w:szCs w:val="22"/>
        </w:rPr>
      </w:pPr>
      <w:r w:rsidRPr="00BE2287">
        <w:rPr>
          <w:rFonts w:ascii="Palatino Linotype" w:hAnsi="Palatino Linotype"/>
          <w:sz w:val="22"/>
          <w:szCs w:val="22"/>
          <w:lang w:val="en-US"/>
        </w:rPr>
        <w:t xml:space="preserve">C. Gao, K. Kuklane, F. Wang, I. Holmér. "Personal cooling with phase change materials to improve thermal comfort from a heat wave perspective". </w:t>
      </w:r>
      <w:r w:rsidRPr="00BE2287">
        <w:rPr>
          <w:rStyle w:val="Emphasis"/>
          <w:rFonts w:ascii="Palatino Linotype" w:hAnsi="Palatino Linotype"/>
          <w:sz w:val="22"/>
          <w:szCs w:val="22"/>
        </w:rPr>
        <w:t>Indoor Air</w:t>
      </w:r>
      <w:r w:rsidRPr="00BE2287">
        <w:rPr>
          <w:rFonts w:ascii="Palatino Linotype" w:hAnsi="Palatino Linotype"/>
          <w:sz w:val="22"/>
          <w:szCs w:val="22"/>
        </w:rPr>
        <w:t xml:space="preserve"> 22 (6) (2012) 523–530. </w:t>
      </w:r>
      <w:hyperlink r:id="rId342" w:history="1">
        <w:r w:rsidR="00176DCF" w:rsidRPr="00FB3BE2">
          <w:rPr>
            <w:rStyle w:val="Hyperlink"/>
            <w:rFonts w:ascii="Palatino Linotype" w:hAnsi="Palatino Linotype"/>
            <w:sz w:val="22"/>
            <w:szCs w:val="22"/>
          </w:rPr>
          <w:t>https://doi.org/10.1111/j.1600-0668.2012.00778.x</w:t>
        </w:r>
      </w:hyperlink>
    </w:p>
    <w:p w14:paraId="61328820" w14:textId="5E9A83EE" w:rsidR="005E297E" w:rsidRDefault="005E297E" w:rsidP="00176DCF">
      <w:pPr>
        <w:pStyle w:val="NormalWeb"/>
        <w:numPr>
          <w:ilvl w:val="0"/>
          <w:numId w:val="15"/>
        </w:numPr>
        <w:jc w:val="both"/>
        <w:rPr>
          <w:rFonts w:ascii="Palatino Linotype" w:hAnsi="Palatino Linotype"/>
          <w:sz w:val="22"/>
          <w:szCs w:val="22"/>
        </w:rPr>
      </w:pPr>
      <w:r w:rsidRPr="00176DCF">
        <w:rPr>
          <w:rFonts w:ascii="Palatino Linotype" w:hAnsi="Palatino Linotype"/>
          <w:sz w:val="22"/>
          <w:szCs w:val="22"/>
          <w:lang w:val="nb-NO"/>
        </w:rPr>
        <w:t xml:space="preserve">M. Zhao, C. Gao, F. Wang, K. Kuklane, I. Holmér, J. Li. </w:t>
      </w:r>
      <w:r w:rsidRPr="00176DCF">
        <w:rPr>
          <w:rFonts w:ascii="Palatino Linotype" w:hAnsi="Palatino Linotype"/>
          <w:sz w:val="22"/>
          <w:szCs w:val="22"/>
          <w:lang w:val="en-US"/>
        </w:rPr>
        <w:t xml:space="preserve">"The torso cooling of vests incorporated with phase change materials: a sweat evaporation perspective". </w:t>
      </w:r>
      <w:r w:rsidRPr="00176DCF">
        <w:rPr>
          <w:rStyle w:val="Emphasis"/>
          <w:rFonts w:ascii="Palatino Linotype" w:hAnsi="Palatino Linotype"/>
          <w:sz w:val="22"/>
          <w:szCs w:val="22"/>
        </w:rPr>
        <w:t>Text. Res. J.</w:t>
      </w:r>
      <w:r w:rsidRPr="00176DCF">
        <w:rPr>
          <w:rFonts w:ascii="Palatino Linotype" w:hAnsi="Palatino Linotype"/>
          <w:sz w:val="22"/>
          <w:szCs w:val="22"/>
        </w:rPr>
        <w:t xml:space="preserve"> 83 (4) (2013) 418–425. </w:t>
      </w:r>
      <w:hyperlink r:id="rId343" w:history="1">
        <w:r w:rsidR="00176DCF" w:rsidRPr="00FB3BE2">
          <w:rPr>
            <w:rStyle w:val="Hyperlink"/>
            <w:rFonts w:ascii="Palatino Linotype" w:hAnsi="Palatino Linotype"/>
            <w:sz w:val="22"/>
            <w:szCs w:val="22"/>
          </w:rPr>
          <w:t>https://doi.org/10.1177/0040517512460294</w:t>
        </w:r>
      </w:hyperlink>
    </w:p>
    <w:p w14:paraId="6A9D2E48" w14:textId="1AE39D25" w:rsidR="005E297E" w:rsidRDefault="005E297E" w:rsidP="00176DCF">
      <w:pPr>
        <w:pStyle w:val="NormalWeb"/>
        <w:numPr>
          <w:ilvl w:val="0"/>
          <w:numId w:val="15"/>
        </w:numPr>
        <w:jc w:val="both"/>
        <w:rPr>
          <w:rFonts w:ascii="Palatino Linotype" w:hAnsi="Palatino Linotype"/>
          <w:sz w:val="22"/>
          <w:szCs w:val="22"/>
        </w:rPr>
      </w:pPr>
      <w:r w:rsidRPr="00176DCF">
        <w:rPr>
          <w:rFonts w:ascii="Palatino Linotype" w:hAnsi="Palatino Linotype"/>
          <w:sz w:val="22"/>
          <w:szCs w:val="22"/>
          <w:lang w:val="en-US"/>
        </w:rPr>
        <w:t xml:space="preserve">J.R. House, H.C. Lunt, R. Taylor, G. Milligan, J.A. Lyons, C.M. House. "The impact of a phase-change cooling vest on heat strain and the effect of different cooling pack melting temperatures". </w:t>
      </w:r>
      <w:r w:rsidR="00176DCF" w:rsidRPr="00BE2287">
        <w:rPr>
          <w:rFonts w:ascii="Palatino Linotype" w:hAnsi="Palatino Linotype"/>
          <w:i/>
          <w:iCs/>
          <w:sz w:val="22"/>
          <w:szCs w:val="22"/>
          <w:lang w:val="en-US"/>
        </w:rPr>
        <w:t>European Journal of Applied Physiology</w:t>
      </w:r>
      <w:r w:rsidRPr="00176DCF">
        <w:rPr>
          <w:rFonts w:ascii="Palatino Linotype" w:hAnsi="Palatino Linotype"/>
          <w:sz w:val="22"/>
          <w:szCs w:val="22"/>
        </w:rPr>
        <w:t xml:space="preserve"> 113 (2013) 1223–1231.</w:t>
      </w:r>
      <w:r w:rsidR="00176DCF">
        <w:rPr>
          <w:rFonts w:ascii="Palatino Linotype" w:hAnsi="Palatino Linotype"/>
          <w:sz w:val="22"/>
          <w:szCs w:val="22"/>
        </w:rPr>
        <w:t xml:space="preserve"> </w:t>
      </w:r>
      <w:bookmarkStart w:id="231" w:name="_Hlk213855259"/>
      <w:r w:rsidR="00176DCF">
        <w:fldChar w:fldCharType="begin"/>
      </w:r>
      <w:r w:rsidR="00176DCF">
        <w:instrText>HYPERLINK "https://doi.org/10.1007/s00421-012-2534-2"</w:instrText>
      </w:r>
      <w:r w:rsidR="00176DCF">
        <w:fldChar w:fldCharType="separate"/>
      </w:r>
      <w:r w:rsidR="00176DCF" w:rsidRPr="00FB3BE2">
        <w:rPr>
          <w:rStyle w:val="Hyperlink"/>
          <w:rFonts w:ascii="Palatino Linotype" w:hAnsi="Palatino Linotype"/>
          <w:sz w:val="22"/>
          <w:szCs w:val="22"/>
        </w:rPr>
        <w:t>https://doi.org/10.1007/s00421-012-2534-2</w:t>
      </w:r>
      <w:r w:rsidR="00176DCF">
        <w:fldChar w:fldCharType="end"/>
      </w:r>
      <w:bookmarkEnd w:id="231"/>
      <w:r w:rsidR="00176DCF" w:rsidRPr="00176DCF">
        <w:rPr>
          <w:rFonts w:ascii="Palatino Linotype" w:hAnsi="Palatino Linotype"/>
          <w:sz w:val="22"/>
          <w:szCs w:val="22"/>
        </w:rPr>
        <w:t>.</w:t>
      </w:r>
    </w:p>
    <w:p w14:paraId="2B056742" w14:textId="7DE77FEC" w:rsidR="005E297E" w:rsidRDefault="005E297E" w:rsidP="00176DCF">
      <w:pPr>
        <w:pStyle w:val="NormalWeb"/>
        <w:numPr>
          <w:ilvl w:val="0"/>
          <w:numId w:val="15"/>
        </w:numPr>
        <w:jc w:val="both"/>
        <w:rPr>
          <w:rFonts w:ascii="Palatino Linotype" w:hAnsi="Palatino Linotype"/>
          <w:sz w:val="22"/>
          <w:szCs w:val="22"/>
        </w:rPr>
      </w:pPr>
      <w:r w:rsidRPr="00176DCF">
        <w:rPr>
          <w:rFonts w:ascii="Palatino Linotype" w:hAnsi="Palatino Linotype"/>
          <w:sz w:val="22"/>
          <w:szCs w:val="22"/>
        </w:rPr>
        <w:lastRenderedPageBreak/>
        <w:t xml:space="preserve">M. Zhao, C. Gao, J. Li, F. Wang. </w:t>
      </w:r>
      <w:r w:rsidRPr="00176DCF">
        <w:rPr>
          <w:rFonts w:ascii="Palatino Linotype" w:hAnsi="Palatino Linotype"/>
          <w:sz w:val="22"/>
          <w:szCs w:val="22"/>
          <w:lang w:val="en-US"/>
        </w:rPr>
        <w:t xml:space="preserve">"Effects of two cooling garments on post-exercise thermal comfort of female subjects in the heat". </w:t>
      </w:r>
      <w:r w:rsidRPr="00176DCF">
        <w:rPr>
          <w:rStyle w:val="Emphasis"/>
          <w:rFonts w:ascii="Palatino Linotype" w:hAnsi="Palatino Linotype"/>
          <w:sz w:val="22"/>
          <w:szCs w:val="22"/>
        </w:rPr>
        <w:t>Fibers Polym</w:t>
      </w:r>
      <w:r w:rsidRPr="00176DCF">
        <w:rPr>
          <w:rFonts w:ascii="Palatino Linotype" w:hAnsi="Palatino Linotype"/>
          <w:sz w:val="22"/>
          <w:szCs w:val="22"/>
        </w:rPr>
        <w:t xml:space="preserve"> 16 (2015) 1403–1409. </w:t>
      </w:r>
      <w:hyperlink r:id="rId344" w:history="1">
        <w:r w:rsidR="00176DCF" w:rsidRPr="00FB3BE2">
          <w:rPr>
            <w:rStyle w:val="Hyperlink"/>
            <w:rFonts w:ascii="Palatino Linotype" w:hAnsi="Palatino Linotype"/>
            <w:sz w:val="22"/>
            <w:szCs w:val="22"/>
          </w:rPr>
          <w:t>https://doi.org/10.1007/s12221-015-1403-0</w:t>
        </w:r>
      </w:hyperlink>
    </w:p>
    <w:p w14:paraId="0957266C" w14:textId="5AEB081F" w:rsidR="005E297E" w:rsidRDefault="005E297E" w:rsidP="00176DCF">
      <w:pPr>
        <w:pStyle w:val="NormalWeb"/>
        <w:numPr>
          <w:ilvl w:val="0"/>
          <w:numId w:val="15"/>
        </w:numPr>
        <w:jc w:val="both"/>
        <w:rPr>
          <w:rFonts w:ascii="Palatino Linotype" w:hAnsi="Palatino Linotype"/>
          <w:sz w:val="22"/>
          <w:szCs w:val="22"/>
        </w:rPr>
      </w:pPr>
      <w:r w:rsidRPr="00176DCF">
        <w:rPr>
          <w:rFonts w:ascii="Palatino Linotype" w:hAnsi="Palatino Linotype"/>
          <w:sz w:val="22"/>
          <w:szCs w:val="22"/>
        </w:rPr>
        <w:t xml:space="preserve">D. Ouahrani, M. Itani, N. Ghaddar, K. Ghali, B. Khater. </w:t>
      </w:r>
      <w:r w:rsidRPr="00176DCF">
        <w:rPr>
          <w:rFonts w:ascii="Palatino Linotype" w:hAnsi="Palatino Linotype"/>
          <w:sz w:val="22"/>
          <w:szCs w:val="22"/>
          <w:lang w:val="en-US"/>
        </w:rPr>
        <w:t xml:space="preserve">"Experimental study on using PCMs of different melting temperatures in one cooling vest to reduce its weight and improve comfort". </w:t>
      </w:r>
      <w:r w:rsidRPr="00176DCF">
        <w:rPr>
          <w:rStyle w:val="Emphasis"/>
          <w:rFonts w:ascii="Palatino Linotype" w:hAnsi="Palatino Linotype"/>
          <w:sz w:val="22"/>
          <w:szCs w:val="22"/>
        </w:rPr>
        <w:t>Energy</w:t>
      </w:r>
      <w:r w:rsidR="00176DCF">
        <w:rPr>
          <w:rStyle w:val="Emphasis"/>
          <w:rFonts w:ascii="Palatino Linotype" w:hAnsi="Palatino Linotype"/>
          <w:sz w:val="22"/>
          <w:szCs w:val="22"/>
        </w:rPr>
        <w:t xml:space="preserve"> and</w:t>
      </w:r>
      <w:r w:rsidRPr="00176DCF">
        <w:rPr>
          <w:rStyle w:val="Emphasis"/>
          <w:rFonts w:ascii="Palatino Linotype" w:hAnsi="Palatino Linotype"/>
          <w:sz w:val="22"/>
          <w:szCs w:val="22"/>
        </w:rPr>
        <w:t xml:space="preserve"> Build</w:t>
      </w:r>
      <w:r w:rsidR="00176DCF">
        <w:rPr>
          <w:rStyle w:val="Emphasis"/>
          <w:rFonts w:ascii="Palatino Linotype" w:hAnsi="Palatino Linotype"/>
          <w:sz w:val="22"/>
          <w:szCs w:val="22"/>
        </w:rPr>
        <w:t>ings</w:t>
      </w:r>
      <w:r w:rsidRPr="00176DCF">
        <w:rPr>
          <w:rFonts w:ascii="Palatino Linotype" w:hAnsi="Palatino Linotype"/>
          <w:sz w:val="22"/>
          <w:szCs w:val="22"/>
        </w:rPr>
        <w:t xml:space="preserve"> 155 (2017) 533–545. </w:t>
      </w:r>
      <w:hyperlink r:id="rId345" w:history="1">
        <w:r w:rsidR="00176DCF" w:rsidRPr="00FB3BE2">
          <w:rPr>
            <w:rStyle w:val="Hyperlink"/>
            <w:rFonts w:ascii="Palatino Linotype" w:hAnsi="Palatino Linotype"/>
            <w:sz w:val="22"/>
            <w:szCs w:val="22"/>
          </w:rPr>
          <w:t>https://doi.org/10.1016/j.enbuild.2017.09.057</w:t>
        </w:r>
      </w:hyperlink>
    </w:p>
    <w:p w14:paraId="6F69AFBC" w14:textId="078724B9" w:rsidR="005E297E" w:rsidRDefault="005E297E" w:rsidP="00176DCF">
      <w:pPr>
        <w:pStyle w:val="NormalWeb"/>
        <w:numPr>
          <w:ilvl w:val="0"/>
          <w:numId w:val="15"/>
        </w:numPr>
        <w:jc w:val="both"/>
        <w:rPr>
          <w:rFonts w:ascii="Palatino Linotype" w:hAnsi="Palatino Linotype"/>
          <w:sz w:val="22"/>
          <w:szCs w:val="22"/>
        </w:rPr>
      </w:pPr>
      <w:r w:rsidRPr="00176DCF">
        <w:rPr>
          <w:rFonts w:ascii="Palatino Linotype" w:hAnsi="Palatino Linotype"/>
          <w:sz w:val="22"/>
          <w:szCs w:val="22"/>
        </w:rPr>
        <w:t xml:space="preserve">M.A. Shahid, M.T. Hossain, I. Hossain, M.G.M. Limon, M. Rabbani, A. Rahim. </w:t>
      </w:r>
      <w:r w:rsidRPr="00176DCF">
        <w:rPr>
          <w:rFonts w:ascii="Palatino Linotype" w:hAnsi="Palatino Linotype"/>
          <w:sz w:val="22"/>
          <w:szCs w:val="22"/>
          <w:lang w:val="en-US"/>
        </w:rPr>
        <w:t xml:space="preserve">"Research and development on phase change material-integrated cloth: A review". </w:t>
      </w:r>
      <w:r w:rsidRPr="00176DCF">
        <w:rPr>
          <w:rStyle w:val="Emphasis"/>
          <w:rFonts w:ascii="Palatino Linotype" w:hAnsi="Palatino Linotype"/>
          <w:sz w:val="22"/>
          <w:szCs w:val="22"/>
        </w:rPr>
        <w:t>J</w:t>
      </w:r>
      <w:r w:rsidR="00176DCF">
        <w:rPr>
          <w:rStyle w:val="Emphasis"/>
          <w:rFonts w:ascii="Palatino Linotype" w:hAnsi="Palatino Linotype"/>
          <w:sz w:val="22"/>
          <w:szCs w:val="22"/>
        </w:rPr>
        <w:t>ournal of</w:t>
      </w:r>
      <w:r w:rsidRPr="00176DCF">
        <w:rPr>
          <w:rStyle w:val="Emphasis"/>
          <w:rFonts w:ascii="Palatino Linotype" w:hAnsi="Palatino Linotype"/>
          <w:sz w:val="22"/>
          <w:szCs w:val="22"/>
        </w:rPr>
        <w:t xml:space="preserve"> Ind</w:t>
      </w:r>
      <w:r w:rsidR="00176DCF">
        <w:rPr>
          <w:rStyle w:val="Emphasis"/>
          <w:rFonts w:ascii="Palatino Linotype" w:hAnsi="Palatino Linotype"/>
          <w:sz w:val="22"/>
          <w:szCs w:val="22"/>
        </w:rPr>
        <w:t>ustrial</w:t>
      </w:r>
      <w:r w:rsidRPr="00176DCF">
        <w:rPr>
          <w:rStyle w:val="Emphasis"/>
          <w:rFonts w:ascii="Palatino Linotype" w:hAnsi="Palatino Linotype"/>
          <w:sz w:val="22"/>
          <w:szCs w:val="22"/>
        </w:rPr>
        <w:t xml:space="preserve"> Text</w:t>
      </w:r>
      <w:r w:rsidR="00176DCF">
        <w:rPr>
          <w:rStyle w:val="Emphasis"/>
          <w:rFonts w:ascii="Palatino Linotype" w:hAnsi="Palatino Linotype"/>
          <w:sz w:val="22"/>
          <w:szCs w:val="22"/>
        </w:rPr>
        <w:t>iles</w:t>
      </w:r>
      <w:r w:rsidRPr="00176DCF">
        <w:rPr>
          <w:rFonts w:ascii="Palatino Linotype" w:hAnsi="Palatino Linotype"/>
          <w:sz w:val="22"/>
          <w:szCs w:val="22"/>
        </w:rPr>
        <w:t xml:space="preserve"> 54 (2024) 1–45. </w:t>
      </w:r>
      <w:hyperlink r:id="rId346" w:history="1">
        <w:r w:rsidR="00176DCF" w:rsidRPr="00FB3BE2">
          <w:rPr>
            <w:rStyle w:val="Hyperlink"/>
            <w:rFonts w:ascii="Palatino Linotype" w:hAnsi="Palatino Linotype"/>
            <w:sz w:val="22"/>
            <w:szCs w:val="22"/>
          </w:rPr>
          <w:t>https://doi.org/10.1177/15280837241262518</w:t>
        </w:r>
      </w:hyperlink>
    </w:p>
    <w:p w14:paraId="4487A978" w14:textId="64457949" w:rsidR="005E297E" w:rsidRDefault="005E297E" w:rsidP="00176DCF">
      <w:pPr>
        <w:pStyle w:val="NormalWeb"/>
        <w:numPr>
          <w:ilvl w:val="0"/>
          <w:numId w:val="15"/>
        </w:numPr>
        <w:jc w:val="both"/>
        <w:rPr>
          <w:rFonts w:ascii="Palatino Linotype" w:hAnsi="Palatino Linotype"/>
          <w:sz w:val="22"/>
          <w:szCs w:val="22"/>
        </w:rPr>
      </w:pPr>
      <w:r w:rsidRPr="00176DCF">
        <w:rPr>
          <w:rFonts w:ascii="Palatino Linotype" w:hAnsi="Palatino Linotype"/>
          <w:sz w:val="22"/>
          <w:szCs w:val="22"/>
          <w:lang w:val="en-US"/>
        </w:rPr>
        <w:t xml:space="preserve">K.H. Ryu et al. "Spacesuit textiles from extreme fabric materials: aromatic amide polymer and boron nitride nanotube composite fiber for neutron shielding and thermal management". </w:t>
      </w:r>
      <w:r w:rsidRPr="00176DCF">
        <w:rPr>
          <w:rStyle w:val="Emphasis"/>
          <w:rFonts w:ascii="Palatino Linotype" w:hAnsi="Palatino Linotype"/>
          <w:sz w:val="22"/>
          <w:szCs w:val="22"/>
        </w:rPr>
        <w:t>Adv</w:t>
      </w:r>
      <w:r w:rsidR="00176DCF">
        <w:rPr>
          <w:rStyle w:val="Emphasis"/>
          <w:rFonts w:ascii="Palatino Linotype" w:hAnsi="Palatino Linotype"/>
          <w:sz w:val="22"/>
          <w:szCs w:val="22"/>
        </w:rPr>
        <w:t>anced</w:t>
      </w:r>
      <w:r w:rsidRPr="00176DCF">
        <w:rPr>
          <w:rStyle w:val="Emphasis"/>
          <w:rFonts w:ascii="Palatino Linotype" w:hAnsi="Palatino Linotype"/>
          <w:sz w:val="22"/>
          <w:szCs w:val="22"/>
        </w:rPr>
        <w:t xml:space="preserve"> Fiber Mater</w:t>
      </w:r>
      <w:r w:rsidR="00176DCF">
        <w:rPr>
          <w:rStyle w:val="Emphasis"/>
          <w:rFonts w:ascii="Palatino Linotype" w:hAnsi="Palatino Linotype"/>
          <w:sz w:val="22"/>
          <w:szCs w:val="22"/>
        </w:rPr>
        <w:t>ials</w:t>
      </w:r>
      <w:r w:rsidRPr="00176DCF">
        <w:rPr>
          <w:rFonts w:ascii="Palatino Linotype" w:hAnsi="Palatino Linotype"/>
          <w:sz w:val="22"/>
          <w:szCs w:val="22"/>
        </w:rPr>
        <w:t xml:space="preserve"> 6 (2024) 1509–1520. </w:t>
      </w:r>
      <w:hyperlink r:id="rId347" w:history="1">
        <w:r w:rsidR="00176DCF" w:rsidRPr="00FB3BE2">
          <w:rPr>
            <w:rStyle w:val="Hyperlink"/>
            <w:rFonts w:ascii="Palatino Linotype" w:hAnsi="Palatino Linotype"/>
            <w:sz w:val="22"/>
            <w:szCs w:val="22"/>
          </w:rPr>
          <w:t>https://doi.org/10.1007/s42765-024-00432-6</w:t>
        </w:r>
      </w:hyperlink>
    </w:p>
    <w:p w14:paraId="237D4945" w14:textId="6DFB00EF" w:rsidR="005E297E" w:rsidRDefault="005E297E" w:rsidP="00176DCF">
      <w:pPr>
        <w:pStyle w:val="NormalWeb"/>
        <w:numPr>
          <w:ilvl w:val="0"/>
          <w:numId w:val="15"/>
        </w:numPr>
        <w:jc w:val="both"/>
        <w:rPr>
          <w:rFonts w:ascii="Palatino Linotype" w:hAnsi="Palatino Linotype"/>
          <w:sz w:val="22"/>
          <w:szCs w:val="22"/>
        </w:rPr>
      </w:pPr>
      <w:r w:rsidRPr="00F43E9A">
        <w:rPr>
          <w:rFonts w:ascii="Palatino Linotype" w:hAnsi="Palatino Linotype"/>
          <w:sz w:val="22"/>
          <w:szCs w:val="22"/>
        </w:rPr>
        <w:t xml:space="preserve">S. Gulati, A. Amar, L. Chhabra, R. Katiyar, T. Sahu, R.S. Varma. </w:t>
      </w:r>
      <w:r w:rsidRPr="00176DCF">
        <w:rPr>
          <w:rFonts w:ascii="Palatino Linotype" w:hAnsi="Palatino Linotype"/>
          <w:sz w:val="22"/>
          <w:szCs w:val="22"/>
          <w:lang w:val="en-US"/>
        </w:rPr>
        <w:t xml:space="preserve">"Greener nanobiopolymers and nanoencapsulation: environmental implications and future prospects". </w:t>
      </w:r>
      <w:r w:rsidRPr="00176DCF">
        <w:rPr>
          <w:rStyle w:val="Emphasis"/>
          <w:rFonts w:ascii="Palatino Linotype" w:hAnsi="Palatino Linotype"/>
          <w:sz w:val="22"/>
          <w:szCs w:val="22"/>
          <w:lang w:val="en-US"/>
        </w:rPr>
        <w:t>RSC Sustain.</w:t>
      </w:r>
      <w:r w:rsidRPr="00176DCF">
        <w:rPr>
          <w:rFonts w:ascii="Palatino Linotype" w:hAnsi="Palatino Linotype"/>
          <w:sz w:val="22"/>
          <w:szCs w:val="22"/>
          <w:lang w:val="en-US"/>
        </w:rPr>
        <w:t xml:space="preserve"> </w:t>
      </w:r>
      <w:r w:rsidRPr="00176DCF">
        <w:rPr>
          <w:rFonts w:ascii="Palatino Linotype" w:hAnsi="Palatino Linotype"/>
          <w:sz w:val="22"/>
          <w:szCs w:val="22"/>
        </w:rPr>
        <w:t xml:space="preserve">2 (2024) 2805–2832. </w:t>
      </w:r>
      <w:hyperlink r:id="rId348" w:history="1">
        <w:r w:rsidR="00176DCF" w:rsidRPr="00FB3BE2">
          <w:rPr>
            <w:rStyle w:val="Hyperlink"/>
            <w:rFonts w:ascii="Palatino Linotype" w:hAnsi="Palatino Linotype"/>
            <w:sz w:val="22"/>
            <w:szCs w:val="22"/>
          </w:rPr>
          <w:t>https://doi.org/10.1039/D4SU00411F</w:t>
        </w:r>
      </w:hyperlink>
    </w:p>
    <w:p w14:paraId="1870AC64" w14:textId="41104666" w:rsidR="005E297E" w:rsidRDefault="005E297E" w:rsidP="00176DCF">
      <w:pPr>
        <w:pStyle w:val="NormalWeb"/>
        <w:numPr>
          <w:ilvl w:val="0"/>
          <w:numId w:val="15"/>
        </w:numPr>
        <w:jc w:val="both"/>
        <w:rPr>
          <w:rFonts w:ascii="Palatino Linotype" w:hAnsi="Palatino Linotype"/>
          <w:sz w:val="22"/>
          <w:szCs w:val="22"/>
        </w:rPr>
      </w:pPr>
      <w:r w:rsidRPr="00176DCF">
        <w:rPr>
          <w:rFonts w:ascii="Palatino Linotype" w:hAnsi="Palatino Linotype"/>
          <w:sz w:val="22"/>
          <w:szCs w:val="22"/>
          <w:lang w:val="en-US"/>
        </w:rPr>
        <w:t xml:space="preserve">A. Kumar, R. Kumar. "Enhancement and estimation of thermo-physical properties of organic-phase change materials (O-PCMs) and their applications in solar thermal technologies: a review". </w:t>
      </w:r>
      <w:r w:rsidRPr="00176DCF">
        <w:rPr>
          <w:rStyle w:val="Emphasis"/>
          <w:rFonts w:ascii="Palatino Linotype" w:hAnsi="Palatino Linotype"/>
          <w:sz w:val="22"/>
          <w:szCs w:val="22"/>
        </w:rPr>
        <w:t>J</w:t>
      </w:r>
      <w:r w:rsidR="00176DCF">
        <w:rPr>
          <w:rStyle w:val="Emphasis"/>
          <w:rFonts w:ascii="Palatino Linotype" w:hAnsi="Palatino Linotype"/>
          <w:sz w:val="22"/>
          <w:szCs w:val="22"/>
        </w:rPr>
        <w:t>ournal of</w:t>
      </w:r>
      <w:r w:rsidRPr="00176DCF">
        <w:rPr>
          <w:rStyle w:val="Emphasis"/>
          <w:rFonts w:ascii="Palatino Linotype" w:hAnsi="Palatino Linotype"/>
          <w:sz w:val="22"/>
          <w:szCs w:val="22"/>
        </w:rPr>
        <w:t xml:space="preserve"> Energy Storage</w:t>
      </w:r>
      <w:r w:rsidRPr="00176DCF">
        <w:rPr>
          <w:rFonts w:ascii="Palatino Linotype" w:hAnsi="Palatino Linotype"/>
          <w:sz w:val="22"/>
          <w:szCs w:val="22"/>
        </w:rPr>
        <w:t xml:space="preserve"> 101 (2024) 113741. </w:t>
      </w:r>
      <w:hyperlink r:id="rId349" w:history="1">
        <w:r w:rsidR="00176DCF" w:rsidRPr="00FB3BE2">
          <w:rPr>
            <w:rStyle w:val="Hyperlink"/>
            <w:rFonts w:ascii="Palatino Linotype" w:hAnsi="Palatino Linotype"/>
            <w:sz w:val="22"/>
            <w:szCs w:val="22"/>
          </w:rPr>
          <w:t>https://doi.org/10.1016/j.est.2024.113741</w:t>
        </w:r>
      </w:hyperlink>
    </w:p>
    <w:p w14:paraId="35924761" w14:textId="0B632B5D" w:rsidR="005E297E" w:rsidRDefault="005E297E" w:rsidP="00176DCF">
      <w:pPr>
        <w:pStyle w:val="NormalWeb"/>
        <w:numPr>
          <w:ilvl w:val="0"/>
          <w:numId w:val="15"/>
        </w:numPr>
        <w:jc w:val="both"/>
        <w:rPr>
          <w:rFonts w:ascii="Palatino Linotype" w:hAnsi="Palatino Linotype"/>
          <w:sz w:val="22"/>
          <w:szCs w:val="22"/>
        </w:rPr>
      </w:pPr>
      <w:r w:rsidRPr="00176DCF">
        <w:rPr>
          <w:rFonts w:ascii="Palatino Linotype" w:hAnsi="Palatino Linotype"/>
          <w:sz w:val="22"/>
          <w:szCs w:val="22"/>
        </w:rPr>
        <w:t xml:space="preserve">M.T. Hossain, M.A. Shahid, M.Y. Ali, S. Saha, M.S.I. Jamal, A. Habib. </w:t>
      </w:r>
      <w:r w:rsidRPr="00176DCF">
        <w:rPr>
          <w:rFonts w:ascii="Palatino Linotype" w:hAnsi="Palatino Linotype"/>
          <w:sz w:val="22"/>
          <w:szCs w:val="22"/>
          <w:lang w:val="en-US"/>
        </w:rPr>
        <w:t xml:space="preserve">"Fabrications, classifications, and environmental impact of PCM-incorporated textiles: current state and future outlook". </w:t>
      </w:r>
      <w:r w:rsidRPr="00176DCF">
        <w:rPr>
          <w:rStyle w:val="Emphasis"/>
          <w:rFonts w:ascii="Palatino Linotype" w:hAnsi="Palatino Linotype"/>
          <w:sz w:val="22"/>
          <w:szCs w:val="22"/>
        </w:rPr>
        <w:t>ACS Omega</w:t>
      </w:r>
      <w:r w:rsidRPr="00176DCF">
        <w:rPr>
          <w:rFonts w:ascii="Palatino Linotype" w:hAnsi="Palatino Linotype"/>
          <w:sz w:val="22"/>
          <w:szCs w:val="22"/>
        </w:rPr>
        <w:t xml:space="preserve"> 8 (48) (2023) 45164–45176. </w:t>
      </w:r>
      <w:hyperlink r:id="rId350" w:history="1">
        <w:r w:rsidR="00176DCF" w:rsidRPr="00FB3BE2">
          <w:rPr>
            <w:rStyle w:val="Hyperlink"/>
            <w:rFonts w:ascii="Palatino Linotype" w:hAnsi="Palatino Linotype"/>
            <w:sz w:val="22"/>
            <w:szCs w:val="22"/>
          </w:rPr>
          <w:t>https://doi.org/10.1021/acsomega.3c05702</w:t>
        </w:r>
      </w:hyperlink>
    </w:p>
    <w:p w14:paraId="47C91FEA" w14:textId="71915341" w:rsidR="005E297E" w:rsidRDefault="005E297E" w:rsidP="00176DCF">
      <w:pPr>
        <w:pStyle w:val="NormalWeb"/>
        <w:numPr>
          <w:ilvl w:val="0"/>
          <w:numId w:val="15"/>
        </w:numPr>
        <w:jc w:val="both"/>
        <w:rPr>
          <w:rFonts w:ascii="Palatino Linotype" w:hAnsi="Palatino Linotype"/>
          <w:sz w:val="22"/>
          <w:szCs w:val="22"/>
        </w:rPr>
      </w:pPr>
      <w:r w:rsidRPr="00176DCF">
        <w:rPr>
          <w:rFonts w:ascii="Palatino Linotype" w:hAnsi="Palatino Linotype"/>
          <w:sz w:val="22"/>
          <w:szCs w:val="22"/>
        </w:rPr>
        <w:t xml:space="preserve">M.A. Rahman, R. Zairov, N. Akylbekov, R. Zhapparbergenov, S.M. Hasnain. </w:t>
      </w:r>
      <w:r w:rsidRPr="00176DCF">
        <w:rPr>
          <w:rFonts w:ascii="Palatino Linotype" w:hAnsi="Palatino Linotype"/>
          <w:sz w:val="22"/>
          <w:szCs w:val="22"/>
          <w:lang w:val="en-US"/>
        </w:rPr>
        <w:t xml:space="preserve">"Pioneering heat transfer enhancements in latent thermal energy storage: passive and active strategies unveiled". </w:t>
      </w:r>
      <w:r w:rsidRPr="00176DCF">
        <w:rPr>
          <w:rStyle w:val="Emphasis"/>
          <w:rFonts w:ascii="Palatino Linotype" w:hAnsi="Palatino Linotype"/>
          <w:sz w:val="22"/>
          <w:szCs w:val="22"/>
        </w:rPr>
        <w:t>Heliyon</w:t>
      </w:r>
      <w:r w:rsidRPr="00176DCF">
        <w:rPr>
          <w:rFonts w:ascii="Palatino Linotype" w:hAnsi="Palatino Linotype"/>
          <w:sz w:val="22"/>
          <w:szCs w:val="22"/>
        </w:rPr>
        <w:t xml:space="preserve"> 10 (19) (2024) e37981. </w:t>
      </w:r>
      <w:hyperlink r:id="rId351" w:history="1">
        <w:r w:rsidR="00176DCF" w:rsidRPr="00FB3BE2">
          <w:rPr>
            <w:rStyle w:val="Hyperlink"/>
            <w:rFonts w:ascii="Palatino Linotype" w:hAnsi="Palatino Linotype"/>
            <w:sz w:val="22"/>
            <w:szCs w:val="22"/>
          </w:rPr>
          <w:t>https://doi.org/10.1016/j.heliyon.2024.e37981</w:t>
        </w:r>
      </w:hyperlink>
    </w:p>
    <w:p w14:paraId="09DA3F62" w14:textId="750945F4" w:rsidR="005E297E" w:rsidRDefault="005E297E" w:rsidP="00176DCF">
      <w:pPr>
        <w:pStyle w:val="NormalWeb"/>
        <w:numPr>
          <w:ilvl w:val="0"/>
          <w:numId w:val="15"/>
        </w:numPr>
        <w:jc w:val="both"/>
        <w:rPr>
          <w:rFonts w:ascii="Palatino Linotype" w:hAnsi="Palatino Linotype"/>
          <w:sz w:val="22"/>
          <w:szCs w:val="22"/>
        </w:rPr>
      </w:pPr>
      <w:r w:rsidRPr="00F43E9A">
        <w:rPr>
          <w:rFonts w:ascii="Palatino Linotype" w:hAnsi="Palatino Linotype"/>
          <w:sz w:val="22"/>
          <w:szCs w:val="22"/>
        </w:rPr>
        <w:t xml:space="preserve">M.T. Rahaman, M.S.H. Khan. </w:t>
      </w:r>
      <w:r w:rsidRPr="00176DCF">
        <w:rPr>
          <w:rFonts w:ascii="Palatino Linotype" w:hAnsi="Palatino Linotype"/>
          <w:sz w:val="22"/>
          <w:szCs w:val="22"/>
          <w:lang w:val="en-US"/>
        </w:rPr>
        <w:t xml:space="preserve">"Applications of green nano textile materials for environmental sustainability and functional performance: past, present and future perspectives". </w:t>
      </w:r>
      <w:r w:rsidRPr="00176DCF">
        <w:rPr>
          <w:rStyle w:val="Emphasis"/>
          <w:rFonts w:ascii="Palatino Linotype" w:hAnsi="Palatino Linotype"/>
          <w:sz w:val="22"/>
          <w:szCs w:val="22"/>
        </w:rPr>
        <w:t>Nano-Struct</w:t>
      </w:r>
      <w:r w:rsidR="00176DCF">
        <w:rPr>
          <w:rStyle w:val="Emphasis"/>
          <w:rFonts w:ascii="Palatino Linotype" w:hAnsi="Palatino Linotype"/>
          <w:sz w:val="22"/>
          <w:szCs w:val="22"/>
        </w:rPr>
        <w:t>ures &amp;</w:t>
      </w:r>
      <w:r w:rsidRPr="00176DCF">
        <w:rPr>
          <w:rStyle w:val="Emphasis"/>
          <w:rFonts w:ascii="Palatino Linotype" w:hAnsi="Palatino Linotype"/>
          <w:sz w:val="22"/>
          <w:szCs w:val="22"/>
        </w:rPr>
        <w:t xml:space="preserve"> Nano-Objects</w:t>
      </w:r>
      <w:r w:rsidRPr="00176DCF">
        <w:rPr>
          <w:rFonts w:ascii="Palatino Linotype" w:hAnsi="Palatino Linotype"/>
          <w:sz w:val="22"/>
          <w:szCs w:val="22"/>
        </w:rPr>
        <w:t xml:space="preserve"> 40 (2024) 101332. </w:t>
      </w:r>
      <w:hyperlink r:id="rId352" w:history="1">
        <w:r w:rsidR="00176DCF" w:rsidRPr="00FB3BE2">
          <w:rPr>
            <w:rStyle w:val="Hyperlink"/>
            <w:rFonts w:ascii="Palatino Linotype" w:hAnsi="Palatino Linotype"/>
            <w:sz w:val="22"/>
            <w:szCs w:val="22"/>
          </w:rPr>
          <w:t>https://doi.org/10.1016/j.nanoso.2024.101332</w:t>
        </w:r>
      </w:hyperlink>
    </w:p>
    <w:p w14:paraId="14BE513F" w14:textId="28E0F159" w:rsidR="005E297E" w:rsidRPr="00176DCF" w:rsidRDefault="005E297E" w:rsidP="00176DCF">
      <w:pPr>
        <w:pStyle w:val="NormalWeb"/>
        <w:numPr>
          <w:ilvl w:val="0"/>
          <w:numId w:val="15"/>
        </w:numPr>
        <w:jc w:val="both"/>
        <w:rPr>
          <w:rFonts w:ascii="Palatino Linotype" w:hAnsi="Palatino Linotype"/>
          <w:sz w:val="22"/>
          <w:szCs w:val="22"/>
        </w:rPr>
      </w:pPr>
      <w:r w:rsidRPr="00176DCF">
        <w:rPr>
          <w:rFonts w:ascii="Palatino Linotype" w:hAnsi="Palatino Linotype"/>
          <w:sz w:val="22"/>
          <w:szCs w:val="22"/>
          <w:lang w:val="nb-NO"/>
        </w:rPr>
        <w:t xml:space="preserve">M. Zare, K.S. Mikkonen. </w:t>
      </w:r>
      <w:r w:rsidRPr="00176DCF">
        <w:rPr>
          <w:rFonts w:ascii="Palatino Linotype" w:hAnsi="Palatino Linotype"/>
          <w:sz w:val="22"/>
          <w:szCs w:val="22"/>
          <w:lang w:val="en-US"/>
        </w:rPr>
        <w:t xml:space="preserve">"Phase change materials for life science applications". </w:t>
      </w:r>
      <w:r w:rsidRPr="00176DCF">
        <w:rPr>
          <w:rStyle w:val="Emphasis"/>
          <w:rFonts w:ascii="Palatino Linotype" w:hAnsi="Palatino Linotype"/>
          <w:sz w:val="22"/>
          <w:szCs w:val="22"/>
        </w:rPr>
        <w:t>Adv</w:t>
      </w:r>
      <w:r w:rsidR="00AF5033">
        <w:rPr>
          <w:rStyle w:val="Emphasis"/>
          <w:rFonts w:ascii="Palatino Linotype" w:hAnsi="Palatino Linotype"/>
          <w:sz w:val="22"/>
          <w:szCs w:val="22"/>
        </w:rPr>
        <w:t>anced</w:t>
      </w:r>
      <w:r w:rsidRPr="00176DCF">
        <w:rPr>
          <w:rStyle w:val="Emphasis"/>
          <w:rFonts w:ascii="Palatino Linotype" w:hAnsi="Palatino Linotype"/>
          <w:sz w:val="22"/>
          <w:szCs w:val="22"/>
        </w:rPr>
        <w:t xml:space="preserve"> Funct</w:t>
      </w:r>
      <w:r w:rsidR="00176DCF">
        <w:rPr>
          <w:rStyle w:val="Emphasis"/>
          <w:rFonts w:ascii="Palatino Linotype" w:hAnsi="Palatino Linotype"/>
          <w:sz w:val="22"/>
          <w:szCs w:val="22"/>
        </w:rPr>
        <w:t>ional</w:t>
      </w:r>
      <w:r w:rsidRPr="00176DCF">
        <w:rPr>
          <w:rStyle w:val="Emphasis"/>
          <w:rFonts w:ascii="Palatino Linotype" w:hAnsi="Palatino Linotype"/>
          <w:sz w:val="22"/>
          <w:szCs w:val="22"/>
        </w:rPr>
        <w:t xml:space="preserve"> Mater</w:t>
      </w:r>
      <w:r w:rsidR="00176DCF">
        <w:rPr>
          <w:rStyle w:val="Emphasis"/>
          <w:rFonts w:ascii="Palatino Linotype" w:hAnsi="Palatino Linotype"/>
          <w:sz w:val="22"/>
          <w:szCs w:val="22"/>
        </w:rPr>
        <w:t>ials</w:t>
      </w:r>
      <w:r w:rsidRPr="00176DCF">
        <w:rPr>
          <w:rFonts w:ascii="Palatino Linotype" w:hAnsi="Palatino Linotype"/>
          <w:sz w:val="22"/>
          <w:szCs w:val="22"/>
        </w:rPr>
        <w:t xml:space="preserve"> 33 (12) (2023) 2213455. </w:t>
      </w:r>
      <w:hyperlink r:id="rId353" w:tgtFrame="_new" w:history="1">
        <w:r w:rsidRPr="00176DCF">
          <w:rPr>
            <w:rStyle w:val="Hyperlink"/>
            <w:rFonts w:ascii="Palatino Linotype" w:hAnsi="Palatino Linotype"/>
            <w:sz w:val="22"/>
            <w:szCs w:val="22"/>
          </w:rPr>
          <w:t>https://doi.org/10.1002/adfm.202213455</w:t>
        </w:r>
      </w:hyperlink>
    </w:p>
    <w:p w14:paraId="643F8BAB" w14:textId="63038644" w:rsidR="005E297E" w:rsidRPr="00433ABD" w:rsidRDefault="005E297E" w:rsidP="005E297E">
      <w:pPr>
        <w:pStyle w:val="NormalWeb"/>
        <w:numPr>
          <w:ilvl w:val="0"/>
          <w:numId w:val="15"/>
        </w:numPr>
        <w:jc w:val="both"/>
        <w:rPr>
          <w:rFonts w:ascii="Palatino Linotype" w:hAnsi="Palatino Linotype"/>
          <w:sz w:val="22"/>
          <w:szCs w:val="22"/>
          <w:lang w:val="en-US"/>
        </w:rPr>
      </w:pPr>
      <w:r w:rsidRPr="00433ABD">
        <w:rPr>
          <w:rFonts w:ascii="Palatino Linotype" w:hAnsi="Palatino Linotype"/>
          <w:sz w:val="22"/>
          <w:szCs w:val="22"/>
          <w:lang w:val="en-US"/>
        </w:rPr>
        <w:lastRenderedPageBreak/>
        <w:t xml:space="preserve">Strategic Market Research. </w:t>
      </w:r>
      <w:r w:rsidRPr="00433ABD">
        <w:rPr>
          <w:rStyle w:val="Emphasis"/>
          <w:rFonts w:ascii="Palatino Linotype" w:hAnsi="Palatino Linotype"/>
          <w:sz w:val="22"/>
          <w:szCs w:val="22"/>
          <w:lang w:val="en-US"/>
        </w:rPr>
        <w:t>Phase Change Materials Market Size, Share, Growth Analysis</w:t>
      </w:r>
      <w:r w:rsidRPr="00433ABD">
        <w:rPr>
          <w:rFonts w:ascii="Palatino Linotype" w:hAnsi="Palatino Linotype"/>
          <w:sz w:val="22"/>
          <w:szCs w:val="22"/>
          <w:lang w:val="en-US"/>
        </w:rPr>
        <w:t xml:space="preserve">. New York: SM Strategic Market Research, 2024. URL: </w:t>
      </w:r>
      <w:hyperlink r:id="rId354" w:tgtFrame="_new" w:history="1">
        <w:r w:rsidRPr="00433ABD">
          <w:rPr>
            <w:rStyle w:val="Hyperlink"/>
            <w:rFonts w:ascii="Palatino Linotype" w:hAnsi="Palatino Linotype"/>
            <w:sz w:val="22"/>
            <w:szCs w:val="22"/>
            <w:lang w:val="en-US"/>
          </w:rPr>
          <w:t>https://www.strategicmarketresearch.com/market-report/phase-change-materials-market</w:t>
        </w:r>
      </w:hyperlink>
    </w:p>
    <w:p w14:paraId="37D0F0E5" w14:textId="22403E0F" w:rsidR="00B4749A" w:rsidRPr="00100966" w:rsidRDefault="00B4749A" w:rsidP="005E297E">
      <w:pPr>
        <w:pStyle w:val="NormalWeb"/>
        <w:numPr>
          <w:ilvl w:val="0"/>
          <w:numId w:val="15"/>
        </w:numPr>
        <w:jc w:val="both"/>
        <w:rPr>
          <w:rFonts w:ascii="Palatino Linotype" w:hAnsi="Palatino Linotype"/>
          <w:sz w:val="22"/>
          <w:szCs w:val="22"/>
        </w:rPr>
      </w:pPr>
      <w:r w:rsidRPr="005E297E">
        <w:rPr>
          <w:rFonts w:ascii="Palatino Linotype" w:hAnsi="Palatino Linotype"/>
          <w:sz w:val="22"/>
          <w:szCs w:val="22"/>
          <w:lang w:val="nb-NO"/>
        </w:rPr>
        <w:t>H. Li, G. Yu, H. Xu, H. Han</w:t>
      </w:r>
      <w:r w:rsidRPr="00100966">
        <w:rPr>
          <w:rFonts w:ascii="Palatino Linotype" w:hAnsi="Palatino Linotype"/>
          <w:sz w:val="22"/>
          <w:szCs w:val="22"/>
          <w:lang w:val="nb-NO"/>
        </w:rPr>
        <w:t xml:space="preserve">, H. Liu. </w:t>
      </w:r>
      <w:r w:rsidRPr="00100966">
        <w:rPr>
          <w:rFonts w:ascii="Palatino Linotype" w:hAnsi="Palatino Linotype"/>
          <w:sz w:val="22"/>
          <w:szCs w:val="22"/>
          <w:lang w:val="en-US"/>
        </w:rPr>
        <w:t xml:space="preserve">"A review of the mathematical models for the flow and heat transfer of microencapsulated phase change slurry (MEPCS)". </w:t>
      </w:r>
      <w:r w:rsidRPr="00100966">
        <w:rPr>
          <w:rStyle w:val="Emphasis"/>
          <w:rFonts w:ascii="Palatino Linotype" w:hAnsi="Palatino Linotype"/>
          <w:sz w:val="22"/>
          <w:szCs w:val="22"/>
        </w:rPr>
        <w:t>Energies</w:t>
      </w:r>
      <w:r w:rsidRPr="00100966">
        <w:rPr>
          <w:rFonts w:ascii="Palatino Linotype" w:hAnsi="Palatino Linotype"/>
          <w:sz w:val="22"/>
          <w:szCs w:val="22"/>
        </w:rPr>
        <w:t xml:space="preserve"> 16 (16) (2023) 6030.</w:t>
      </w:r>
      <w:r w:rsidR="00AF5033">
        <w:rPr>
          <w:rFonts w:ascii="Palatino Linotype" w:hAnsi="Palatino Linotype"/>
          <w:sz w:val="22"/>
          <w:szCs w:val="22"/>
        </w:rPr>
        <w:t xml:space="preserve"> </w:t>
      </w:r>
      <w:r w:rsidR="00AF5033" w:rsidRPr="00AF5033">
        <w:rPr>
          <w:rFonts w:ascii="Palatino Linotype" w:hAnsi="Palatino Linotype"/>
          <w:sz w:val="22"/>
          <w:szCs w:val="22"/>
        </w:rPr>
        <w:t> </w:t>
      </w:r>
      <w:hyperlink r:id="rId355" w:history="1">
        <w:r w:rsidR="00AF5033" w:rsidRPr="00AF5033">
          <w:rPr>
            <w:rStyle w:val="Hyperlink"/>
            <w:rFonts w:ascii="Palatino Linotype" w:hAnsi="Palatino Linotype"/>
            <w:sz w:val="22"/>
            <w:szCs w:val="22"/>
          </w:rPr>
          <w:t>https://doi.org/10.3390/en16062914</w:t>
        </w:r>
      </w:hyperlink>
    </w:p>
    <w:p w14:paraId="65B662BF" w14:textId="38698F57" w:rsidR="00B4749A" w:rsidRPr="00100966"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en-US"/>
        </w:rPr>
        <w:t xml:space="preserve">H. Inaba, Y. Zhang, A. Horibe. "Transient heat storage characteristics on horizontal rectangular enclosures filled with fluidity slurry of micro-encapsulated phase-change material dispersed in water". </w:t>
      </w:r>
      <w:r w:rsidRPr="00100966">
        <w:rPr>
          <w:rStyle w:val="Emphasis"/>
          <w:rFonts w:ascii="Palatino Linotype" w:hAnsi="Palatino Linotype"/>
          <w:sz w:val="22"/>
          <w:szCs w:val="22"/>
          <w:lang w:val="en-US"/>
        </w:rPr>
        <w:t>Journal of Thermal Science and Technology</w:t>
      </w:r>
      <w:r w:rsidRPr="00100966">
        <w:rPr>
          <w:rFonts w:ascii="Palatino Linotype" w:hAnsi="Palatino Linotype"/>
          <w:sz w:val="22"/>
          <w:szCs w:val="22"/>
          <w:lang w:val="en-US"/>
        </w:rPr>
        <w:t xml:space="preserve"> 1 (2006) 66–77. </w:t>
      </w:r>
      <w:hyperlink r:id="rId356" w:tgtFrame="_new" w:history="1">
        <w:r w:rsidRPr="00100966">
          <w:rPr>
            <w:rStyle w:val="Hyperlink"/>
            <w:rFonts w:ascii="Palatino Linotype" w:hAnsi="Palatino Linotype"/>
            <w:sz w:val="22"/>
            <w:szCs w:val="22"/>
            <w:lang w:val="en-US"/>
          </w:rPr>
          <w:t>https://doi.org/10.1299/jtst.1.66</w:t>
        </w:r>
      </w:hyperlink>
    </w:p>
    <w:p w14:paraId="20F72642" w14:textId="505441FB" w:rsidR="00B4749A" w:rsidRPr="00100966"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en-US"/>
        </w:rPr>
        <w:t xml:space="preserve">R. Zeng, X. Wang, B. Chen, Y. Zhang, J. Niu, X. Wang, H. Di. "Heat transfer characteristics of microencapsulated phase change material slurry in laminar flow under constant heat flux". </w:t>
      </w:r>
      <w:r w:rsidRPr="00100966">
        <w:rPr>
          <w:rStyle w:val="Emphasis"/>
          <w:rFonts w:ascii="Palatino Linotype" w:hAnsi="Palatino Linotype"/>
          <w:sz w:val="22"/>
          <w:szCs w:val="22"/>
          <w:lang w:val="en-US"/>
        </w:rPr>
        <w:t>Applied Energy</w:t>
      </w:r>
      <w:r w:rsidRPr="00100966">
        <w:rPr>
          <w:rFonts w:ascii="Palatino Linotype" w:hAnsi="Palatino Linotype"/>
          <w:sz w:val="22"/>
          <w:szCs w:val="22"/>
          <w:lang w:val="en-US"/>
        </w:rPr>
        <w:t xml:space="preserve"> 86 (2009) 2661–2670. </w:t>
      </w:r>
      <w:hyperlink r:id="rId357" w:tgtFrame="_new" w:history="1">
        <w:r w:rsidRPr="00100966">
          <w:rPr>
            <w:rStyle w:val="Hyperlink"/>
            <w:rFonts w:ascii="Palatino Linotype" w:hAnsi="Palatino Linotype"/>
            <w:sz w:val="22"/>
            <w:szCs w:val="22"/>
            <w:lang w:val="en-US"/>
          </w:rPr>
          <w:t>https://doi.org/10.1016/j.apenergy.2009.04.025</w:t>
        </w:r>
      </w:hyperlink>
    </w:p>
    <w:p w14:paraId="448388E5" w14:textId="613A02D1" w:rsidR="00B4749A" w:rsidRPr="00100966" w:rsidRDefault="00B4749A" w:rsidP="00B4749A">
      <w:pPr>
        <w:pStyle w:val="NormalWeb"/>
        <w:numPr>
          <w:ilvl w:val="0"/>
          <w:numId w:val="15"/>
        </w:numPr>
        <w:jc w:val="both"/>
        <w:rPr>
          <w:rFonts w:ascii="Palatino Linotype" w:hAnsi="Palatino Linotype"/>
          <w:sz w:val="22"/>
          <w:szCs w:val="22"/>
          <w:lang w:val="en-US"/>
        </w:rPr>
      </w:pPr>
      <w:r w:rsidRPr="00F43E9A">
        <w:rPr>
          <w:rFonts w:ascii="Palatino Linotype" w:hAnsi="Palatino Linotype"/>
          <w:sz w:val="22"/>
          <w:szCs w:val="22"/>
          <w:lang w:val="en-US"/>
        </w:rPr>
        <w:t xml:space="preserve">R. Sabbah, M.M. Farid, S. Al-Hallaj. </w:t>
      </w:r>
      <w:r w:rsidRPr="00100966">
        <w:rPr>
          <w:rFonts w:ascii="Palatino Linotype" w:hAnsi="Palatino Linotype"/>
          <w:sz w:val="22"/>
          <w:szCs w:val="22"/>
          <w:lang w:val="en-US"/>
        </w:rPr>
        <w:t xml:space="preserve">"Micro-channel heat sink with slurry of water with micro-encapsulated phase change material: 3D numerical study". </w:t>
      </w:r>
      <w:r w:rsidRPr="00100966">
        <w:rPr>
          <w:rStyle w:val="Emphasis"/>
          <w:rFonts w:ascii="Palatino Linotype" w:hAnsi="Palatino Linotype"/>
          <w:sz w:val="22"/>
          <w:szCs w:val="22"/>
          <w:lang w:val="en-US"/>
        </w:rPr>
        <w:t>Applied Thermal Engineering</w:t>
      </w:r>
      <w:r w:rsidRPr="00100966">
        <w:rPr>
          <w:rFonts w:ascii="Palatino Linotype" w:hAnsi="Palatino Linotype"/>
          <w:sz w:val="22"/>
          <w:szCs w:val="22"/>
          <w:lang w:val="en-US"/>
        </w:rPr>
        <w:t xml:space="preserve"> 29 (2009) 445–454. </w:t>
      </w:r>
      <w:hyperlink r:id="rId358" w:tgtFrame="_new" w:history="1">
        <w:r w:rsidRPr="00100966">
          <w:rPr>
            <w:rStyle w:val="Hyperlink"/>
            <w:rFonts w:ascii="Palatino Linotype" w:hAnsi="Palatino Linotype"/>
            <w:sz w:val="22"/>
            <w:szCs w:val="22"/>
            <w:lang w:val="en-US"/>
          </w:rPr>
          <w:t>https://doi.org/10.1016/j.applthermaleng.2008.03.027</w:t>
        </w:r>
      </w:hyperlink>
      <w:r w:rsidRPr="00100966">
        <w:rPr>
          <w:rFonts w:ascii="Palatino Linotype" w:hAnsi="Palatino Linotype"/>
          <w:sz w:val="22"/>
          <w:szCs w:val="22"/>
          <w:lang w:val="en-US"/>
        </w:rPr>
        <w:t xml:space="preserve"> </w:t>
      </w:r>
    </w:p>
    <w:p w14:paraId="052787A5" w14:textId="48A17BD1"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M.I. Hasan. "Numerical investigation of counter flow microchannel heat exchanger with MEPCM suspension". </w:t>
      </w:r>
      <w:r w:rsidRPr="00100966">
        <w:rPr>
          <w:rStyle w:val="Emphasis"/>
          <w:rFonts w:ascii="Palatino Linotype" w:hAnsi="Palatino Linotype"/>
          <w:sz w:val="22"/>
          <w:szCs w:val="22"/>
        </w:rPr>
        <w:t>Applied Thermal Engineering</w:t>
      </w:r>
      <w:r w:rsidRPr="00100966">
        <w:rPr>
          <w:rFonts w:ascii="Palatino Linotype" w:hAnsi="Palatino Linotype"/>
          <w:sz w:val="22"/>
          <w:szCs w:val="22"/>
        </w:rPr>
        <w:t xml:space="preserve"> 31 (2011) 1068–1075. </w:t>
      </w:r>
      <w:hyperlink r:id="rId359" w:tgtFrame="_new" w:history="1">
        <w:r w:rsidRPr="00100966">
          <w:rPr>
            <w:rStyle w:val="Hyperlink"/>
            <w:rFonts w:ascii="Palatino Linotype" w:hAnsi="Palatino Linotype"/>
            <w:sz w:val="22"/>
            <w:szCs w:val="22"/>
          </w:rPr>
          <w:t>https://doi.org/10.1016/j.applthermaleng.2010.11.032</w:t>
        </w:r>
      </w:hyperlink>
    </w:p>
    <w:p w14:paraId="588B7F3C" w14:textId="660143F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Y.L. Hao, Y.X. Tao. "A numerical model for phase-change suspension flow in microchannels". </w:t>
      </w:r>
      <w:r w:rsidRPr="00100966">
        <w:rPr>
          <w:rStyle w:val="Emphasis"/>
          <w:rFonts w:ascii="Palatino Linotype" w:hAnsi="Palatino Linotype"/>
          <w:sz w:val="22"/>
          <w:szCs w:val="22"/>
        </w:rPr>
        <w:t>Numerical Heat Transfer, Part A: Applications</w:t>
      </w:r>
      <w:r w:rsidRPr="00100966">
        <w:rPr>
          <w:rFonts w:ascii="Palatino Linotype" w:hAnsi="Palatino Linotype"/>
          <w:sz w:val="22"/>
          <w:szCs w:val="22"/>
        </w:rPr>
        <w:t xml:space="preserve"> 46 (2004) 55–77. </w:t>
      </w:r>
      <w:hyperlink r:id="rId360" w:history="1">
        <w:r w:rsidR="00AF5033" w:rsidRPr="00AF5033">
          <w:rPr>
            <w:rStyle w:val="Hyperlink"/>
            <w:rFonts w:ascii="Palatino Linotype" w:hAnsi="Palatino Linotype"/>
            <w:sz w:val="22"/>
            <w:szCs w:val="22"/>
          </w:rPr>
          <w:t>https://doi.org/10.1080/10407780490457545</w:t>
        </w:r>
      </w:hyperlink>
    </w:p>
    <w:p w14:paraId="7A9D06C5" w14:textId="785A9ACB" w:rsidR="00B4749A" w:rsidRPr="00AF5033" w:rsidRDefault="00B4749A" w:rsidP="00B4749A">
      <w:pPr>
        <w:pStyle w:val="NormalWeb"/>
        <w:numPr>
          <w:ilvl w:val="0"/>
          <w:numId w:val="15"/>
        </w:numPr>
        <w:jc w:val="both"/>
        <w:rPr>
          <w:rFonts w:ascii="Palatino Linotype" w:hAnsi="Palatino Linotype"/>
          <w:sz w:val="22"/>
          <w:szCs w:val="22"/>
          <w:lang w:val="en-US"/>
        </w:rPr>
      </w:pPr>
      <w:r w:rsidRPr="00F43E9A">
        <w:rPr>
          <w:rFonts w:ascii="Palatino Linotype" w:hAnsi="Palatino Linotype"/>
          <w:sz w:val="22"/>
          <w:szCs w:val="22"/>
        </w:rPr>
        <w:t>K.Q. Xing, Y</w:t>
      </w:r>
      <w:r w:rsidR="00AF5033" w:rsidRPr="00F43E9A">
        <w:rPr>
          <w:rFonts w:ascii="Palatino Linotype" w:hAnsi="Palatino Linotype"/>
          <w:sz w:val="22"/>
          <w:szCs w:val="22"/>
        </w:rPr>
        <w:t>-</w:t>
      </w:r>
      <w:r w:rsidRPr="00F43E9A">
        <w:rPr>
          <w:rFonts w:ascii="Palatino Linotype" w:hAnsi="Palatino Linotype"/>
          <w:sz w:val="22"/>
          <w:szCs w:val="22"/>
        </w:rPr>
        <w:t>.X. Tao</w:t>
      </w:r>
      <w:r w:rsidR="00AF5033" w:rsidRPr="00F43E9A">
        <w:rPr>
          <w:rFonts w:ascii="Palatino Linotype" w:hAnsi="Palatino Linotype"/>
          <w:sz w:val="22"/>
          <w:szCs w:val="22"/>
        </w:rPr>
        <w:t>, L. Hao.</w:t>
      </w:r>
      <w:r w:rsidRPr="00F43E9A">
        <w:rPr>
          <w:rFonts w:ascii="Palatino Linotype" w:hAnsi="Palatino Linotype"/>
          <w:sz w:val="22"/>
          <w:szCs w:val="22"/>
        </w:rPr>
        <w:t xml:space="preserve"> </w:t>
      </w:r>
      <w:r w:rsidRPr="00100966">
        <w:rPr>
          <w:rFonts w:ascii="Palatino Linotype" w:hAnsi="Palatino Linotype"/>
          <w:sz w:val="22"/>
          <w:szCs w:val="22"/>
          <w:lang w:val="en-US"/>
        </w:rPr>
        <w:t xml:space="preserve">"Performance evaluation of liquid flow with PCM particles in microchannels". </w:t>
      </w:r>
      <w:r w:rsidRPr="00AF5033">
        <w:rPr>
          <w:rStyle w:val="Emphasis"/>
          <w:rFonts w:ascii="Palatino Linotype" w:hAnsi="Palatino Linotype"/>
          <w:sz w:val="22"/>
          <w:szCs w:val="22"/>
          <w:lang w:val="en-US"/>
        </w:rPr>
        <w:t>Journal of Heat Transfer</w:t>
      </w:r>
      <w:r w:rsidRPr="00AF5033">
        <w:rPr>
          <w:rFonts w:ascii="Palatino Linotype" w:hAnsi="Palatino Linotype"/>
          <w:sz w:val="22"/>
          <w:szCs w:val="22"/>
          <w:lang w:val="en-US"/>
        </w:rPr>
        <w:t xml:space="preserve"> 127 (2005) 931–940. </w:t>
      </w:r>
      <w:hyperlink r:id="rId361" w:tgtFrame="_blank" w:history="1">
        <w:r w:rsidR="00AF5033" w:rsidRPr="00AF5033">
          <w:rPr>
            <w:rStyle w:val="Hyperlink"/>
            <w:rFonts w:ascii="Palatino Linotype" w:hAnsi="Palatino Linotype"/>
            <w:sz w:val="22"/>
            <w:szCs w:val="22"/>
          </w:rPr>
          <w:t>https://doi.org/10.1115/1.1929783</w:t>
        </w:r>
      </w:hyperlink>
    </w:p>
    <w:p w14:paraId="7519BBEF" w14:textId="66D95769"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en-US"/>
        </w:rPr>
        <w:t xml:space="preserve">C. Lian, Y. Wang, Q. Li, H. Li, X. He. "Numerical investigation on the performance of microencapsulated phase change material suspension applied to liquid cold plates". </w:t>
      </w:r>
      <w:r w:rsidRPr="00100966">
        <w:rPr>
          <w:rStyle w:val="Emphasis"/>
          <w:rFonts w:ascii="Palatino Linotype" w:hAnsi="Palatino Linotype"/>
          <w:sz w:val="22"/>
          <w:szCs w:val="22"/>
        </w:rPr>
        <w:t>Numerical Heat Transfer, Part A: Applications</w:t>
      </w:r>
      <w:r w:rsidRPr="00100966">
        <w:rPr>
          <w:rFonts w:ascii="Palatino Linotype" w:hAnsi="Palatino Linotype"/>
          <w:sz w:val="22"/>
          <w:szCs w:val="22"/>
        </w:rPr>
        <w:t xml:space="preserve"> 75 (2019) 342–358. </w:t>
      </w:r>
      <w:hyperlink r:id="rId362" w:history="1">
        <w:r w:rsidR="00AF5033" w:rsidRPr="00AF5033">
          <w:rPr>
            <w:rStyle w:val="Hyperlink"/>
            <w:rFonts w:ascii="Palatino Linotype" w:hAnsi="Palatino Linotype"/>
            <w:sz w:val="22"/>
            <w:szCs w:val="22"/>
          </w:rPr>
          <w:t>https://doi.org/10.1080/10407782.2019.1595817</w:t>
        </w:r>
      </w:hyperlink>
    </w:p>
    <w:p w14:paraId="774BB024" w14:textId="6915FEBF" w:rsidR="00B4749A" w:rsidRPr="00100966"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en-US"/>
        </w:rPr>
        <w:t xml:space="preserve">X. Hu, Y. Zhang. "Novel insight and numerical analysis of convective heat transfer enhancement with microencapsulated phase change material slurries: Laminar flow in a circular tube with constant heat flux". </w:t>
      </w:r>
      <w:r w:rsidRPr="00100966">
        <w:rPr>
          <w:rStyle w:val="Emphasis"/>
          <w:rFonts w:ascii="Palatino Linotype" w:hAnsi="Palatino Linotype"/>
          <w:sz w:val="22"/>
          <w:szCs w:val="22"/>
          <w:lang w:val="en-US"/>
        </w:rPr>
        <w:t>International Journal of Heat and Mass Transfer</w:t>
      </w:r>
      <w:r w:rsidRPr="00100966">
        <w:rPr>
          <w:rFonts w:ascii="Palatino Linotype" w:hAnsi="Palatino Linotype"/>
          <w:sz w:val="22"/>
          <w:szCs w:val="22"/>
          <w:lang w:val="en-US"/>
        </w:rPr>
        <w:t xml:space="preserve"> 45 (2002) 3163–3172. </w:t>
      </w:r>
      <w:hyperlink r:id="rId363" w:tgtFrame="_blank" w:tooltip="Persistent link using digital object identifier" w:history="1">
        <w:r w:rsidR="00AF5033" w:rsidRPr="005A414B">
          <w:rPr>
            <w:rStyle w:val="Hyperlink"/>
            <w:rFonts w:ascii="Palatino Linotype" w:hAnsi="Palatino Linotype"/>
            <w:sz w:val="22"/>
            <w:szCs w:val="22"/>
            <w:lang w:val="en-US"/>
          </w:rPr>
          <w:t>https://doi.org/10.1016/S0017-9310(02)00034-0</w:t>
        </w:r>
      </w:hyperlink>
    </w:p>
    <w:p w14:paraId="2DB139B5" w14:textId="4E4D9948" w:rsidR="00B4749A" w:rsidRPr="00AF5033" w:rsidRDefault="00B4749A" w:rsidP="00B4749A">
      <w:pPr>
        <w:pStyle w:val="NormalWeb"/>
        <w:numPr>
          <w:ilvl w:val="0"/>
          <w:numId w:val="15"/>
        </w:numPr>
        <w:jc w:val="both"/>
        <w:rPr>
          <w:rFonts w:ascii="Palatino Linotype" w:hAnsi="Palatino Linotype"/>
          <w:sz w:val="22"/>
          <w:szCs w:val="22"/>
          <w:lang w:val="en-US"/>
        </w:rPr>
      </w:pPr>
      <w:r w:rsidRPr="00F43E9A">
        <w:rPr>
          <w:rFonts w:ascii="Palatino Linotype" w:hAnsi="Palatino Linotype"/>
          <w:sz w:val="22"/>
          <w:szCs w:val="22"/>
          <w:lang w:val="en-US"/>
        </w:rPr>
        <w:t xml:space="preserve">E.M. Languri, H.B. Rokni, J. Alvarado, B. Takabi, M. Kong. </w:t>
      </w:r>
      <w:r w:rsidRPr="00100966">
        <w:rPr>
          <w:rFonts w:ascii="Palatino Linotype" w:hAnsi="Palatino Linotype"/>
          <w:sz w:val="22"/>
          <w:szCs w:val="22"/>
          <w:lang w:val="en-US"/>
        </w:rPr>
        <w:t xml:space="preserve">"Heat transfer analysis of microencapsulated phase change material slurry flow in heated helical coils: A numerical </w:t>
      </w:r>
      <w:r w:rsidRPr="00100966">
        <w:rPr>
          <w:rFonts w:ascii="Palatino Linotype" w:hAnsi="Palatino Linotype"/>
          <w:sz w:val="22"/>
          <w:szCs w:val="22"/>
          <w:lang w:val="en-US"/>
        </w:rPr>
        <w:lastRenderedPageBreak/>
        <w:t xml:space="preserve">and analytical study". </w:t>
      </w:r>
      <w:r w:rsidRPr="00100966">
        <w:rPr>
          <w:rStyle w:val="Emphasis"/>
          <w:rFonts w:ascii="Palatino Linotype" w:hAnsi="Palatino Linotype"/>
          <w:sz w:val="22"/>
          <w:szCs w:val="22"/>
          <w:lang w:val="en-US"/>
        </w:rPr>
        <w:t>International Journal of Heat and Mass Transfer</w:t>
      </w:r>
      <w:r w:rsidRPr="00100966">
        <w:rPr>
          <w:rFonts w:ascii="Palatino Linotype" w:hAnsi="Palatino Linotype"/>
          <w:sz w:val="22"/>
          <w:szCs w:val="22"/>
          <w:lang w:val="en-US"/>
        </w:rPr>
        <w:t xml:space="preserve"> 118 (2018) 872–878.</w:t>
      </w:r>
      <w:r w:rsidR="00AF5033">
        <w:rPr>
          <w:rFonts w:ascii="Palatino Linotype" w:hAnsi="Palatino Linotype"/>
          <w:sz w:val="22"/>
          <w:szCs w:val="22"/>
          <w:lang w:val="en-US"/>
        </w:rPr>
        <w:t xml:space="preserve"> </w:t>
      </w:r>
      <w:hyperlink r:id="rId364" w:tgtFrame="_blank" w:tooltip="Persistent link using digital object identifier" w:history="1">
        <w:r w:rsidR="00AF5033" w:rsidRPr="00AF5033">
          <w:rPr>
            <w:rStyle w:val="Hyperlink"/>
            <w:rFonts w:ascii="Palatino Linotype" w:hAnsi="Palatino Linotype"/>
            <w:sz w:val="22"/>
            <w:szCs w:val="22"/>
            <w:lang w:val="en-US"/>
          </w:rPr>
          <w:t>https://doi.org/10.1016/j.ijheatmasstransfer.2017.10.130</w:t>
        </w:r>
      </w:hyperlink>
    </w:p>
    <w:p w14:paraId="02FFAC80" w14:textId="4FA8334A" w:rsidR="00B4749A" w:rsidRPr="00100966" w:rsidRDefault="00DA32CD" w:rsidP="00B4749A">
      <w:pPr>
        <w:pStyle w:val="NormalWeb"/>
        <w:numPr>
          <w:ilvl w:val="0"/>
          <w:numId w:val="15"/>
        </w:numPr>
        <w:jc w:val="both"/>
        <w:rPr>
          <w:rFonts w:ascii="Palatino Linotype" w:hAnsi="Palatino Linotype"/>
          <w:sz w:val="22"/>
          <w:szCs w:val="22"/>
        </w:rPr>
      </w:pPr>
      <w:r>
        <w:rPr>
          <w:rFonts w:ascii="Palatino Linotype" w:hAnsi="Palatino Linotype"/>
          <w:sz w:val="22"/>
          <w:szCs w:val="22"/>
          <w:lang w:val="en-US"/>
        </w:rPr>
        <w:t>F</w:t>
      </w:r>
      <w:r w:rsidR="00B4749A" w:rsidRPr="00100966">
        <w:rPr>
          <w:rFonts w:ascii="Palatino Linotype" w:hAnsi="Palatino Linotype"/>
          <w:sz w:val="22"/>
          <w:szCs w:val="22"/>
          <w:lang w:val="en-US"/>
        </w:rPr>
        <w:t xml:space="preserve">. </w:t>
      </w:r>
      <w:r>
        <w:rPr>
          <w:rFonts w:ascii="Palatino Linotype" w:hAnsi="Palatino Linotype"/>
          <w:sz w:val="22"/>
          <w:szCs w:val="22"/>
          <w:lang w:val="en-US"/>
        </w:rPr>
        <w:t>R</w:t>
      </w:r>
      <w:r w:rsidR="00B4749A" w:rsidRPr="00100966">
        <w:rPr>
          <w:rFonts w:ascii="Palatino Linotype" w:hAnsi="Palatino Linotype"/>
          <w:sz w:val="22"/>
          <w:szCs w:val="22"/>
          <w:lang w:val="en-US"/>
        </w:rPr>
        <w:t xml:space="preserve">an, C. Xu, Y. Chen, R. Cong, G. Fang. "Numerical flow characteristics of microencapsulated phase change slurry flowing in a helically coiled tube for thermal energy storage". </w:t>
      </w:r>
      <w:r w:rsidR="00B4749A" w:rsidRPr="00100966">
        <w:rPr>
          <w:rStyle w:val="Emphasis"/>
          <w:rFonts w:ascii="Palatino Linotype" w:hAnsi="Palatino Linotype"/>
          <w:sz w:val="22"/>
          <w:szCs w:val="22"/>
        </w:rPr>
        <w:t>Energy</w:t>
      </w:r>
      <w:r w:rsidR="00B4749A" w:rsidRPr="00100966">
        <w:rPr>
          <w:rFonts w:ascii="Palatino Linotype" w:hAnsi="Palatino Linotype"/>
          <w:sz w:val="22"/>
          <w:szCs w:val="22"/>
        </w:rPr>
        <w:t xml:space="preserve"> 223 (2021) 120–128. </w:t>
      </w:r>
      <w:hyperlink r:id="rId365" w:history="1">
        <w:r w:rsidR="00AF5033" w:rsidRPr="00C3365E">
          <w:rPr>
            <w:rStyle w:val="Hyperlink"/>
            <w:rFonts w:ascii="Palatino Linotype" w:hAnsi="Palatino Linotype"/>
            <w:sz w:val="22"/>
            <w:szCs w:val="22"/>
          </w:rPr>
          <w:t>https://doi.org/10.1016/j.energy.2021.120128</w:t>
        </w:r>
      </w:hyperlink>
    </w:p>
    <w:p w14:paraId="25895283" w14:textId="7264E46C" w:rsidR="00B4749A"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en-US"/>
        </w:rPr>
        <w:t xml:space="preserve">R. Shaukat, M.S. Kamran, S. Imran, Z. Anwar, H. Ali. "Numerical investigation of melting heat transfer during microencapsulated phase change slurry flow in microchannels". </w:t>
      </w:r>
      <w:r w:rsidRPr="00DA32CD">
        <w:rPr>
          <w:rStyle w:val="Emphasis"/>
          <w:rFonts w:ascii="Palatino Linotype" w:hAnsi="Palatino Linotype"/>
          <w:sz w:val="22"/>
          <w:szCs w:val="22"/>
          <w:lang w:val="en-US"/>
        </w:rPr>
        <w:t>Journal of Enhanced Heat Transfer</w:t>
      </w:r>
      <w:r w:rsidRPr="00DA32CD">
        <w:rPr>
          <w:rFonts w:ascii="Palatino Linotype" w:hAnsi="Palatino Linotype"/>
          <w:sz w:val="22"/>
          <w:szCs w:val="22"/>
          <w:lang w:val="en-US"/>
        </w:rPr>
        <w:t xml:space="preserve"> 26 (2019) 551–575. </w:t>
      </w:r>
      <w:hyperlink r:id="rId366" w:history="1">
        <w:r w:rsidR="00DA32CD" w:rsidRPr="00C3365E">
          <w:rPr>
            <w:rStyle w:val="Hyperlink"/>
            <w:rFonts w:ascii="Palatino Linotype" w:hAnsi="Palatino Linotype"/>
            <w:sz w:val="22"/>
            <w:szCs w:val="22"/>
            <w:lang w:val="en-US"/>
          </w:rPr>
          <w:t>https://www.dl.begellhouse.com/journals/4c8f5faa331b09ea,0659af8a587efd7c,7e1cefa62403b1a0.html</w:t>
        </w:r>
      </w:hyperlink>
    </w:p>
    <w:p w14:paraId="0381DC9D" w14:textId="35080BCA" w:rsidR="00DA32CD" w:rsidRPr="00DA32CD" w:rsidRDefault="00DA32CD" w:rsidP="00DA32CD">
      <w:pPr>
        <w:pStyle w:val="NormalWeb"/>
        <w:numPr>
          <w:ilvl w:val="0"/>
          <w:numId w:val="15"/>
        </w:numPr>
        <w:jc w:val="both"/>
        <w:rPr>
          <w:rFonts w:ascii="Palatino Linotype" w:hAnsi="Palatino Linotype"/>
          <w:sz w:val="22"/>
          <w:szCs w:val="22"/>
          <w:lang w:val="en-US"/>
        </w:rPr>
      </w:pPr>
      <w:r>
        <w:rPr>
          <w:rFonts w:ascii="Palatino Linotype" w:hAnsi="Palatino Linotype"/>
          <w:sz w:val="22"/>
          <w:szCs w:val="22"/>
          <w:lang w:val="en-US"/>
        </w:rPr>
        <w:t>F</w:t>
      </w:r>
      <w:r w:rsidR="00B4749A" w:rsidRPr="00DA32CD">
        <w:rPr>
          <w:rFonts w:ascii="Palatino Linotype" w:hAnsi="Palatino Linotype"/>
          <w:sz w:val="22"/>
          <w:szCs w:val="22"/>
          <w:lang w:val="en-US"/>
        </w:rPr>
        <w:t xml:space="preserve">. Bai, W.Q. Lu. "Numerical analysis of laminar forced convection heat transfer in microencapsulated phase change material suspensions". </w:t>
      </w:r>
      <w:r w:rsidR="00B4749A" w:rsidRPr="00DA32CD">
        <w:rPr>
          <w:rStyle w:val="Emphasis"/>
          <w:rFonts w:ascii="Palatino Linotype" w:hAnsi="Palatino Linotype"/>
          <w:sz w:val="22"/>
          <w:szCs w:val="22"/>
          <w:lang w:val="en-US"/>
        </w:rPr>
        <w:t>Journal of Enhanced Heat Transfer</w:t>
      </w:r>
      <w:r w:rsidR="00B4749A" w:rsidRPr="00DA32CD">
        <w:rPr>
          <w:rFonts w:ascii="Palatino Linotype" w:hAnsi="Palatino Linotype"/>
          <w:sz w:val="22"/>
          <w:szCs w:val="22"/>
          <w:lang w:val="en-US"/>
        </w:rPr>
        <w:t xml:space="preserve"> 10 (2003) 311–322. </w:t>
      </w:r>
      <w:hyperlink r:id="rId367" w:history="1">
        <w:r w:rsidRPr="00C3365E">
          <w:rPr>
            <w:rStyle w:val="Hyperlink"/>
            <w:rFonts w:ascii="Palatino Linotype" w:hAnsi="Palatino Linotype"/>
            <w:sz w:val="22"/>
            <w:szCs w:val="22"/>
            <w:lang w:val="en-US"/>
          </w:rPr>
          <w:t>https://doi.org/</w:t>
        </w:r>
        <w:r w:rsidRPr="005A414B">
          <w:rPr>
            <w:rStyle w:val="Hyperlink"/>
            <w:rFonts w:ascii="Palatino Linotype" w:hAnsi="Palatino Linotype"/>
            <w:sz w:val="22"/>
            <w:szCs w:val="22"/>
            <w:lang w:val="en-US"/>
          </w:rPr>
          <w:t>10.1615/JEnhHeatTransf.v10.i3.60</w:t>
        </w:r>
      </w:hyperlink>
    </w:p>
    <w:p w14:paraId="5081B5E5" w14:textId="561C4629" w:rsidR="00B4749A" w:rsidRPr="00DA32CD" w:rsidRDefault="00B4749A" w:rsidP="00DA32CD">
      <w:pPr>
        <w:pStyle w:val="NormalWeb"/>
        <w:numPr>
          <w:ilvl w:val="0"/>
          <w:numId w:val="15"/>
        </w:numPr>
        <w:jc w:val="both"/>
        <w:rPr>
          <w:rFonts w:ascii="Palatino Linotype" w:hAnsi="Palatino Linotype"/>
          <w:sz w:val="22"/>
          <w:szCs w:val="22"/>
          <w:lang w:val="en-US"/>
        </w:rPr>
      </w:pPr>
      <w:r w:rsidRPr="00DA32CD">
        <w:rPr>
          <w:rFonts w:ascii="Palatino Linotype" w:hAnsi="Palatino Linotype"/>
          <w:sz w:val="22"/>
          <w:szCs w:val="22"/>
          <w:lang w:val="en-US"/>
        </w:rPr>
        <w:t xml:space="preserve">H. Dai, W. Chen. "Numerical investigation of heat transfer in the double-layered minichannel with microencapsulated phase change suspension". </w:t>
      </w:r>
      <w:r w:rsidRPr="00DA32CD">
        <w:rPr>
          <w:rStyle w:val="Emphasis"/>
          <w:rFonts w:ascii="Palatino Linotype" w:hAnsi="Palatino Linotype"/>
          <w:sz w:val="22"/>
          <w:szCs w:val="22"/>
          <w:lang w:val="en-US"/>
        </w:rPr>
        <w:t>International Communications in Heat and Mass Transfer</w:t>
      </w:r>
      <w:r w:rsidRPr="00DA32CD">
        <w:rPr>
          <w:rFonts w:ascii="Palatino Linotype" w:hAnsi="Palatino Linotype"/>
          <w:sz w:val="22"/>
          <w:szCs w:val="22"/>
          <w:lang w:val="en-US"/>
        </w:rPr>
        <w:t xml:space="preserve"> 119 (2020) </w:t>
      </w:r>
      <w:r w:rsidR="000E027B" w:rsidRPr="00DA32CD">
        <w:rPr>
          <w:rFonts w:ascii="Palatino Linotype" w:hAnsi="Palatino Linotype"/>
          <w:sz w:val="22"/>
          <w:szCs w:val="22"/>
          <w:lang w:val="en-US"/>
        </w:rPr>
        <w:t>104918</w:t>
      </w:r>
      <w:r w:rsidRPr="00DA32CD">
        <w:rPr>
          <w:rFonts w:ascii="Palatino Linotype" w:hAnsi="Palatino Linotype"/>
          <w:sz w:val="22"/>
          <w:szCs w:val="22"/>
          <w:lang w:val="en-US"/>
        </w:rPr>
        <w:t xml:space="preserve">. </w:t>
      </w:r>
      <w:hyperlink r:id="rId368" w:tgtFrame="_new" w:history="1">
        <w:r w:rsidRPr="00DA32CD">
          <w:rPr>
            <w:rStyle w:val="Hyperlink"/>
            <w:rFonts w:ascii="Palatino Linotype" w:hAnsi="Palatino Linotype"/>
            <w:sz w:val="22"/>
            <w:szCs w:val="22"/>
            <w:lang w:val="en-US"/>
          </w:rPr>
          <w:t>https://doi.org/10.1016/j.icheatmasstransfer.2020.104918</w:t>
        </w:r>
      </w:hyperlink>
    </w:p>
    <w:p w14:paraId="1B2BEAC2" w14:textId="3452A4D4" w:rsidR="00B4749A" w:rsidRPr="00100966"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rPr>
        <w:t xml:space="preserve">H. Dai, W. Chen, Q. Cheng, Y. Liu, X. Dong. </w:t>
      </w:r>
      <w:r w:rsidRPr="00100966">
        <w:rPr>
          <w:rFonts w:ascii="Palatino Linotype" w:hAnsi="Palatino Linotype"/>
          <w:sz w:val="22"/>
          <w:szCs w:val="22"/>
          <w:lang w:val="en-US"/>
        </w:rPr>
        <w:t xml:space="preserve">"Analysis of thermo-hydraulic characteristics in the porous-wall microchannel with microencapsulated phase change slurry". </w:t>
      </w:r>
      <w:r w:rsidRPr="00100966">
        <w:rPr>
          <w:rStyle w:val="Emphasis"/>
          <w:rFonts w:ascii="Palatino Linotype" w:hAnsi="Palatino Linotype"/>
          <w:sz w:val="22"/>
          <w:szCs w:val="22"/>
          <w:lang w:val="en-US"/>
        </w:rPr>
        <w:t>International Journal of Heat and Mass Transfer</w:t>
      </w:r>
      <w:r w:rsidRPr="00100966">
        <w:rPr>
          <w:rFonts w:ascii="Palatino Linotype" w:hAnsi="Palatino Linotype"/>
          <w:sz w:val="22"/>
          <w:szCs w:val="22"/>
          <w:lang w:val="en-US"/>
        </w:rPr>
        <w:t xml:space="preserve"> 176 (2021) </w:t>
      </w:r>
      <w:r w:rsidR="000E027B" w:rsidRPr="000E027B">
        <w:rPr>
          <w:rFonts w:ascii="Palatino Linotype" w:hAnsi="Palatino Linotype"/>
          <w:sz w:val="22"/>
          <w:szCs w:val="22"/>
          <w:lang w:val="en-US"/>
        </w:rPr>
        <w:t>120634</w:t>
      </w:r>
      <w:r w:rsidRPr="00100966">
        <w:rPr>
          <w:rFonts w:ascii="Palatino Linotype" w:hAnsi="Palatino Linotype"/>
          <w:sz w:val="22"/>
          <w:szCs w:val="22"/>
          <w:lang w:val="en-US"/>
        </w:rPr>
        <w:t xml:space="preserve">. </w:t>
      </w:r>
      <w:hyperlink r:id="rId369" w:tgtFrame="_new" w:history="1">
        <w:r w:rsidRPr="00100966">
          <w:rPr>
            <w:rStyle w:val="Hyperlink"/>
            <w:rFonts w:ascii="Palatino Linotype" w:hAnsi="Palatino Linotype"/>
            <w:sz w:val="22"/>
            <w:szCs w:val="22"/>
            <w:lang w:val="en-US"/>
          </w:rPr>
          <w:t>https://doi.org/10.1016/j.ijheatmasstransfer.2020.120634</w:t>
        </w:r>
      </w:hyperlink>
    </w:p>
    <w:p w14:paraId="7ED9E2C6" w14:textId="051CD571" w:rsidR="00B4749A" w:rsidRPr="00100966" w:rsidRDefault="00B4749A" w:rsidP="00B4749A">
      <w:pPr>
        <w:pStyle w:val="NormalWeb"/>
        <w:numPr>
          <w:ilvl w:val="0"/>
          <w:numId w:val="15"/>
        </w:numPr>
        <w:jc w:val="both"/>
        <w:rPr>
          <w:rFonts w:ascii="Palatino Linotype" w:hAnsi="Palatino Linotype"/>
          <w:sz w:val="22"/>
          <w:szCs w:val="22"/>
          <w:lang w:val="en-US"/>
        </w:rPr>
      </w:pPr>
      <w:r w:rsidRPr="00F43E9A">
        <w:rPr>
          <w:rFonts w:ascii="Palatino Linotype" w:hAnsi="Palatino Linotype"/>
          <w:sz w:val="22"/>
          <w:szCs w:val="22"/>
        </w:rPr>
        <w:t xml:space="preserve">H. Dai, W. Chen, X. Dong, Y. Liu, Q. Cheng. </w:t>
      </w:r>
      <w:r w:rsidRPr="00100966">
        <w:rPr>
          <w:rFonts w:ascii="Palatino Linotype" w:hAnsi="Palatino Linotype"/>
          <w:sz w:val="22"/>
          <w:szCs w:val="22"/>
          <w:lang w:val="en-US"/>
        </w:rPr>
        <w:t xml:space="preserve">"Thermohydraulic performance analysis of graded porous media microchannel with microencapsulated phase change material suspension". </w:t>
      </w:r>
      <w:r w:rsidRPr="00100966">
        <w:rPr>
          <w:rStyle w:val="Emphasis"/>
          <w:rFonts w:ascii="Palatino Linotype" w:hAnsi="Palatino Linotype"/>
          <w:sz w:val="22"/>
          <w:szCs w:val="22"/>
          <w:lang w:val="en-US"/>
        </w:rPr>
        <w:t>International Journal of Heat and Mass Transfer</w:t>
      </w:r>
      <w:r w:rsidRPr="00100966">
        <w:rPr>
          <w:rFonts w:ascii="Palatino Linotype" w:hAnsi="Palatino Linotype"/>
          <w:sz w:val="22"/>
          <w:szCs w:val="22"/>
          <w:lang w:val="en-US"/>
        </w:rPr>
        <w:t xml:space="preserve"> </w:t>
      </w:r>
      <w:r w:rsidR="00DA32CD">
        <w:rPr>
          <w:rFonts w:ascii="Palatino Linotype" w:hAnsi="Palatino Linotype"/>
          <w:sz w:val="22"/>
          <w:szCs w:val="22"/>
          <w:lang w:val="en-US"/>
        </w:rPr>
        <w:t xml:space="preserve">176 </w:t>
      </w:r>
      <w:r w:rsidRPr="00100966">
        <w:rPr>
          <w:rFonts w:ascii="Palatino Linotype" w:hAnsi="Palatino Linotype"/>
          <w:sz w:val="22"/>
          <w:szCs w:val="22"/>
          <w:lang w:val="en-US"/>
        </w:rPr>
        <w:t>(202</w:t>
      </w:r>
      <w:r w:rsidR="00DA32CD">
        <w:rPr>
          <w:rFonts w:ascii="Palatino Linotype" w:hAnsi="Palatino Linotype"/>
          <w:sz w:val="22"/>
          <w:szCs w:val="22"/>
          <w:lang w:val="en-US"/>
        </w:rPr>
        <w:t>1</w:t>
      </w:r>
      <w:r w:rsidRPr="00100966">
        <w:rPr>
          <w:rFonts w:ascii="Palatino Linotype" w:hAnsi="Palatino Linotype"/>
          <w:sz w:val="22"/>
          <w:szCs w:val="22"/>
          <w:lang w:val="en-US"/>
        </w:rPr>
        <w:t xml:space="preserve">) </w:t>
      </w:r>
      <w:r w:rsidR="00EE7EF4" w:rsidRPr="00EE7EF4">
        <w:rPr>
          <w:rFonts w:ascii="Palatino Linotype" w:hAnsi="Palatino Linotype"/>
          <w:sz w:val="22"/>
          <w:szCs w:val="22"/>
          <w:lang w:val="en-US"/>
        </w:rPr>
        <w:t>121459</w:t>
      </w:r>
      <w:r w:rsidRPr="00100966">
        <w:rPr>
          <w:rFonts w:ascii="Palatino Linotype" w:hAnsi="Palatino Linotype"/>
          <w:sz w:val="22"/>
          <w:szCs w:val="22"/>
          <w:lang w:val="en-US"/>
        </w:rPr>
        <w:t xml:space="preserve">. </w:t>
      </w:r>
      <w:hyperlink r:id="rId370" w:tgtFrame="_new" w:history="1">
        <w:r w:rsidRPr="00100966">
          <w:rPr>
            <w:rStyle w:val="Hyperlink"/>
            <w:rFonts w:ascii="Palatino Linotype" w:hAnsi="Palatino Linotype"/>
            <w:sz w:val="22"/>
            <w:szCs w:val="22"/>
            <w:lang w:val="en-US"/>
          </w:rPr>
          <w:t>https://doi.org/10.1016/j.ijheatmasstransfer.2021.121459</w:t>
        </w:r>
      </w:hyperlink>
      <w:r w:rsidRPr="00100966">
        <w:rPr>
          <w:rFonts w:ascii="Palatino Linotype" w:hAnsi="Palatino Linotype"/>
          <w:sz w:val="22"/>
          <w:szCs w:val="22"/>
          <w:lang w:val="en-US"/>
        </w:rPr>
        <w:t xml:space="preserve"> </w:t>
      </w:r>
    </w:p>
    <w:p w14:paraId="07DDBF04" w14:textId="3022800C" w:rsidR="00B4749A" w:rsidRPr="00100966"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en-US"/>
        </w:rPr>
        <w:t>A. Kylli, M. Theodoridou, I. Ioannou, and P. A. Fokaides, “Numerical Heat Transfer Analysis of Phase Change Material (PCM)–Enhanced Plasters”</w:t>
      </w:r>
      <w:r w:rsidR="009E03B3">
        <w:rPr>
          <w:rFonts w:ascii="Palatino Linotype" w:hAnsi="Palatino Linotype"/>
          <w:sz w:val="22"/>
          <w:szCs w:val="22"/>
          <w:lang w:val="en-US"/>
        </w:rPr>
        <w:t xml:space="preserve">. </w:t>
      </w:r>
      <w:r w:rsidR="009E03B3" w:rsidRPr="00100966">
        <w:rPr>
          <w:rStyle w:val="Emphasis"/>
          <w:rFonts w:ascii="Palatino Linotype" w:hAnsi="Palatino Linotype"/>
          <w:sz w:val="22"/>
          <w:szCs w:val="22"/>
          <w:lang w:val="en-US"/>
        </w:rPr>
        <w:t>Proceedings of the 201</w:t>
      </w:r>
      <w:r w:rsidR="009E03B3">
        <w:rPr>
          <w:rStyle w:val="Emphasis"/>
          <w:rFonts w:ascii="Palatino Linotype" w:hAnsi="Palatino Linotype"/>
          <w:sz w:val="22"/>
          <w:szCs w:val="22"/>
          <w:lang w:val="en-US"/>
        </w:rPr>
        <w:t>6</w:t>
      </w:r>
      <w:r w:rsidR="009E03B3" w:rsidRPr="00100966">
        <w:rPr>
          <w:rStyle w:val="Emphasis"/>
          <w:rFonts w:ascii="Palatino Linotype" w:hAnsi="Palatino Linotype"/>
          <w:sz w:val="22"/>
          <w:szCs w:val="22"/>
          <w:lang w:val="en-US"/>
        </w:rPr>
        <w:t xml:space="preserve"> COMSOL Conference</w:t>
      </w:r>
      <w:r w:rsidR="009E03B3" w:rsidRPr="00100966">
        <w:rPr>
          <w:rFonts w:ascii="Palatino Linotype" w:hAnsi="Palatino Linotype"/>
          <w:sz w:val="22"/>
          <w:szCs w:val="22"/>
          <w:lang w:val="en-US"/>
        </w:rPr>
        <w:t xml:space="preserve">, </w:t>
      </w:r>
      <w:r w:rsidR="009E03B3">
        <w:rPr>
          <w:rFonts w:ascii="Palatino Linotype" w:hAnsi="Palatino Linotype"/>
          <w:sz w:val="22"/>
          <w:szCs w:val="22"/>
          <w:lang w:val="en-US"/>
        </w:rPr>
        <w:t>Munich</w:t>
      </w:r>
      <w:r w:rsidR="009E03B3" w:rsidRPr="00100966">
        <w:rPr>
          <w:rFonts w:ascii="Palatino Linotype" w:hAnsi="Palatino Linotype"/>
          <w:sz w:val="22"/>
          <w:szCs w:val="22"/>
          <w:lang w:val="en-US"/>
        </w:rPr>
        <w:t xml:space="preserve">, </w:t>
      </w:r>
      <w:r w:rsidR="009E03B3">
        <w:rPr>
          <w:rFonts w:ascii="Palatino Linotype" w:hAnsi="Palatino Linotype"/>
          <w:sz w:val="22"/>
          <w:szCs w:val="22"/>
          <w:lang w:val="en-US"/>
        </w:rPr>
        <w:t>Germany</w:t>
      </w:r>
      <w:r w:rsidR="009E03B3" w:rsidRPr="00100966">
        <w:rPr>
          <w:rFonts w:ascii="Palatino Linotype" w:hAnsi="Palatino Linotype"/>
          <w:sz w:val="22"/>
          <w:szCs w:val="22"/>
          <w:lang w:val="en-US"/>
        </w:rPr>
        <w:t>, 201</w:t>
      </w:r>
      <w:r w:rsidR="009E03B3">
        <w:rPr>
          <w:rFonts w:ascii="Palatino Linotype" w:hAnsi="Palatino Linotype"/>
          <w:sz w:val="22"/>
          <w:szCs w:val="22"/>
          <w:lang w:val="en-US"/>
        </w:rPr>
        <w:t>6</w:t>
      </w:r>
    </w:p>
    <w:p w14:paraId="60F5C44F" w14:textId="03B03F10" w:rsidR="00B4749A" w:rsidRPr="00100966"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en-US"/>
        </w:rPr>
        <w:t xml:space="preserve">R.E. Murray, D. Groulx. Modeling convection during melting of a phase change material. </w:t>
      </w:r>
      <w:r w:rsidRPr="00100966">
        <w:rPr>
          <w:rStyle w:val="Emphasis"/>
          <w:rFonts w:ascii="Palatino Linotype" w:hAnsi="Palatino Linotype"/>
          <w:sz w:val="22"/>
          <w:szCs w:val="22"/>
          <w:lang w:val="en-US"/>
        </w:rPr>
        <w:t>Proceedings of the 2011 COMSOL Conference</w:t>
      </w:r>
      <w:r w:rsidRPr="00100966">
        <w:rPr>
          <w:rFonts w:ascii="Palatino Linotype" w:hAnsi="Palatino Linotype"/>
          <w:sz w:val="22"/>
          <w:szCs w:val="22"/>
          <w:lang w:val="en-US"/>
        </w:rPr>
        <w:t xml:space="preserve">, Boston, USA, 2011. </w:t>
      </w:r>
    </w:p>
    <w:p w14:paraId="4F78EBF5" w14:textId="77777777" w:rsidR="00B4749A" w:rsidRPr="00100966" w:rsidRDefault="00B4749A" w:rsidP="00B4749A">
      <w:pPr>
        <w:pStyle w:val="NormalWeb"/>
        <w:numPr>
          <w:ilvl w:val="0"/>
          <w:numId w:val="15"/>
        </w:numPr>
        <w:jc w:val="both"/>
        <w:rPr>
          <w:rFonts w:ascii="Palatino Linotype" w:hAnsi="Palatino Linotype"/>
          <w:sz w:val="22"/>
          <w:szCs w:val="22"/>
        </w:rPr>
      </w:pPr>
      <w:r w:rsidRPr="00100966">
        <w:rPr>
          <w:rFonts w:ascii="Palatino Linotype" w:hAnsi="Palatino Linotype"/>
          <w:sz w:val="22"/>
          <w:szCs w:val="22"/>
          <w:lang w:val="nb-NO"/>
        </w:rPr>
        <w:t xml:space="preserve">A. Bertrand, B. Binet, et al. </w:t>
      </w:r>
      <w:r w:rsidRPr="00100966">
        <w:rPr>
          <w:rFonts w:ascii="Palatino Linotype" w:hAnsi="Palatino Linotype"/>
          <w:sz w:val="22"/>
          <w:szCs w:val="22"/>
          <w:lang w:val="en-US"/>
        </w:rPr>
        <w:t xml:space="preserve">"Melting driven by natural convection – A comparison exercise: First results". </w:t>
      </w:r>
      <w:r w:rsidRPr="00100966">
        <w:rPr>
          <w:rStyle w:val="Emphasis"/>
          <w:rFonts w:ascii="Palatino Linotype" w:hAnsi="Palatino Linotype"/>
          <w:sz w:val="22"/>
          <w:szCs w:val="22"/>
        </w:rPr>
        <w:t>International Journal of Thermal Sciences</w:t>
      </w:r>
      <w:r w:rsidRPr="00100966">
        <w:rPr>
          <w:rFonts w:ascii="Palatino Linotype" w:hAnsi="Palatino Linotype"/>
          <w:sz w:val="22"/>
          <w:szCs w:val="22"/>
        </w:rPr>
        <w:t xml:space="preserve"> 38 (1999) 5–26. </w:t>
      </w:r>
      <w:hyperlink r:id="rId371" w:tgtFrame="_new" w:history="1">
        <w:r w:rsidRPr="00100966">
          <w:rPr>
            <w:rStyle w:val="Hyperlink"/>
            <w:rFonts w:ascii="Palatino Linotype" w:hAnsi="Palatino Linotype"/>
            <w:sz w:val="22"/>
            <w:szCs w:val="22"/>
          </w:rPr>
          <w:t>https://doi.org/10.1016/S0035-3159(99)80013-0</w:t>
        </w:r>
      </w:hyperlink>
      <w:r w:rsidRPr="00100966">
        <w:rPr>
          <w:rFonts w:ascii="Palatino Linotype" w:hAnsi="Palatino Linotype"/>
          <w:sz w:val="22"/>
          <w:szCs w:val="22"/>
        </w:rPr>
        <w:t xml:space="preserve"> </w:t>
      </w:r>
    </w:p>
    <w:p w14:paraId="6D00E700" w14:textId="71422E48" w:rsidR="00B4749A" w:rsidRPr="00100966" w:rsidRDefault="00B4749A" w:rsidP="00B4749A">
      <w:pPr>
        <w:pStyle w:val="NormalWeb"/>
        <w:numPr>
          <w:ilvl w:val="0"/>
          <w:numId w:val="15"/>
        </w:numPr>
        <w:jc w:val="both"/>
        <w:rPr>
          <w:rFonts w:ascii="Palatino Linotype" w:hAnsi="Palatino Linotype"/>
          <w:sz w:val="22"/>
          <w:szCs w:val="22"/>
          <w:lang w:val="en-US"/>
        </w:rPr>
      </w:pPr>
      <w:r w:rsidRPr="00100966">
        <w:rPr>
          <w:rFonts w:ascii="Palatino Linotype" w:hAnsi="Palatino Linotype"/>
          <w:sz w:val="22"/>
          <w:szCs w:val="22"/>
          <w:lang w:val="en-US"/>
        </w:rPr>
        <w:t>D. Rubinetti, D. A. Weiss, A. Chaudhuri, and D. Kraniotis, “Modeling Approach to Facilitate Thermal Energy Management in Buildings with Phase Change Materials”</w:t>
      </w:r>
      <w:r w:rsidR="009E03B3">
        <w:rPr>
          <w:rFonts w:ascii="Palatino Linotype" w:hAnsi="Palatino Linotype"/>
          <w:sz w:val="22"/>
          <w:szCs w:val="22"/>
          <w:lang w:val="en-US"/>
        </w:rPr>
        <w:t xml:space="preserve"> </w:t>
      </w:r>
      <w:r w:rsidR="009E03B3" w:rsidRPr="00100966">
        <w:rPr>
          <w:rStyle w:val="Emphasis"/>
          <w:rFonts w:ascii="Palatino Linotype" w:hAnsi="Palatino Linotype"/>
          <w:sz w:val="22"/>
          <w:szCs w:val="22"/>
          <w:lang w:val="en-US"/>
        </w:rPr>
        <w:t>Proceedings of the 201</w:t>
      </w:r>
      <w:r w:rsidR="009E03B3">
        <w:rPr>
          <w:rStyle w:val="Emphasis"/>
          <w:rFonts w:ascii="Palatino Linotype" w:hAnsi="Palatino Linotype"/>
          <w:sz w:val="22"/>
          <w:szCs w:val="22"/>
          <w:lang w:val="en-US"/>
        </w:rPr>
        <w:t>8</w:t>
      </w:r>
      <w:r w:rsidR="009E03B3" w:rsidRPr="00100966">
        <w:rPr>
          <w:rStyle w:val="Emphasis"/>
          <w:rFonts w:ascii="Palatino Linotype" w:hAnsi="Palatino Linotype"/>
          <w:sz w:val="22"/>
          <w:szCs w:val="22"/>
          <w:lang w:val="en-US"/>
        </w:rPr>
        <w:t xml:space="preserve"> COMSOL Conference</w:t>
      </w:r>
      <w:r w:rsidR="009E03B3" w:rsidRPr="00100966">
        <w:rPr>
          <w:rFonts w:ascii="Palatino Linotype" w:hAnsi="Palatino Linotype"/>
          <w:sz w:val="22"/>
          <w:szCs w:val="22"/>
          <w:lang w:val="en-US"/>
        </w:rPr>
        <w:t xml:space="preserve">, </w:t>
      </w:r>
      <w:r w:rsidR="009E03B3">
        <w:rPr>
          <w:rFonts w:ascii="Palatino Linotype" w:hAnsi="Palatino Linotype"/>
          <w:sz w:val="22"/>
          <w:szCs w:val="22"/>
          <w:lang w:val="en-US"/>
        </w:rPr>
        <w:t>Lausanne</w:t>
      </w:r>
      <w:r w:rsidR="009E03B3" w:rsidRPr="00100966">
        <w:rPr>
          <w:rFonts w:ascii="Palatino Linotype" w:hAnsi="Palatino Linotype"/>
          <w:sz w:val="22"/>
          <w:szCs w:val="22"/>
          <w:lang w:val="en-US"/>
        </w:rPr>
        <w:t xml:space="preserve">, </w:t>
      </w:r>
      <w:r w:rsidR="009E03B3">
        <w:rPr>
          <w:rFonts w:ascii="Palatino Linotype" w:hAnsi="Palatino Linotype"/>
          <w:sz w:val="22"/>
          <w:szCs w:val="22"/>
          <w:lang w:val="en-US"/>
        </w:rPr>
        <w:t>Switzerland</w:t>
      </w:r>
      <w:r w:rsidR="009E03B3" w:rsidRPr="00100966">
        <w:rPr>
          <w:rFonts w:ascii="Palatino Linotype" w:hAnsi="Palatino Linotype"/>
          <w:sz w:val="22"/>
          <w:szCs w:val="22"/>
          <w:lang w:val="en-US"/>
        </w:rPr>
        <w:t>, 201</w:t>
      </w:r>
      <w:r w:rsidR="009E03B3">
        <w:rPr>
          <w:rFonts w:ascii="Palatino Linotype" w:hAnsi="Palatino Linotype"/>
          <w:sz w:val="22"/>
          <w:szCs w:val="22"/>
          <w:lang w:val="en-US"/>
        </w:rPr>
        <w:t>8</w:t>
      </w:r>
    </w:p>
    <w:p w14:paraId="20866419" w14:textId="0A653AB2" w:rsidR="001A387D" w:rsidRPr="009E03B3" w:rsidRDefault="00B4749A" w:rsidP="001A387D">
      <w:pPr>
        <w:pStyle w:val="NormalWeb"/>
        <w:numPr>
          <w:ilvl w:val="0"/>
          <w:numId w:val="15"/>
        </w:numPr>
        <w:jc w:val="both"/>
        <w:rPr>
          <w:rFonts w:ascii="Palatino Linotype" w:hAnsi="Palatino Linotype"/>
          <w:sz w:val="22"/>
          <w:szCs w:val="22"/>
          <w:lang w:val="en-US"/>
        </w:rPr>
        <w:sectPr w:rsidR="001A387D" w:rsidRPr="009E03B3" w:rsidSect="00070452">
          <w:headerReference w:type="even" r:id="rId372"/>
          <w:headerReference w:type="default" r:id="rId373"/>
          <w:footerReference w:type="even" r:id="rId374"/>
          <w:footerReference w:type="default" r:id="rId375"/>
          <w:headerReference w:type="first" r:id="rId376"/>
          <w:footerReference w:type="first" r:id="rId377"/>
          <w:type w:val="oddPage"/>
          <w:pgSz w:w="11906" w:h="16838" w:code="9"/>
          <w:pgMar w:top="1701" w:right="1418" w:bottom="1418" w:left="1418" w:header="851" w:footer="851" w:gutter="0"/>
          <w:cols w:space="708"/>
          <w:titlePg/>
          <w:docGrid w:linePitch="360"/>
        </w:sectPr>
      </w:pPr>
      <w:r w:rsidRPr="00100966">
        <w:rPr>
          <w:rFonts w:ascii="Palatino Linotype" w:hAnsi="Palatino Linotype"/>
          <w:sz w:val="22"/>
          <w:szCs w:val="22"/>
          <w:lang w:val="en-US"/>
        </w:rPr>
        <w:lastRenderedPageBreak/>
        <w:t>L. Salvador, J. Hastanin, F. Novello, A. Orléans, and F. Sente, “A Simple Method for Thermal Characterization of Low-Melting Temperature Phase Change Materials (PCMs)”</w:t>
      </w:r>
      <w:r w:rsidR="009E03B3">
        <w:rPr>
          <w:rFonts w:ascii="Palatino Linotype" w:hAnsi="Palatino Linotype"/>
          <w:sz w:val="22"/>
          <w:szCs w:val="22"/>
          <w:lang w:val="en-US"/>
        </w:rPr>
        <w:t xml:space="preserve"> </w:t>
      </w:r>
      <w:r w:rsidR="009E03B3" w:rsidRPr="009E03B3">
        <w:rPr>
          <w:rStyle w:val="Emphasis"/>
          <w:rFonts w:ascii="Palatino Linotype" w:hAnsi="Palatino Linotype"/>
          <w:sz w:val="22"/>
          <w:szCs w:val="22"/>
          <w:lang w:val="en-US"/>
        </w:rPr>
        <w:t>Proceedings of the 201</w:t>
      </w:r>
      <w:r w:rsidR="009E03B3">
        <w:rPr>
          <w:rStyle w:val="Emphasis"/>
          <w:rFonts w:ascii="Palatino Linotype" w:hAnsi="Palatino Linotype"/>
          <w:sz w:val="22"/>
          <w:szCs w:val="22"/>
          <w:lang w:val="en-US"/>
        </w:rPr>
        <w:t>6</w:t>
      </w:r>
      <w:r w:rsidR="009E03B3" w:rsidRPr="009E03B3">
        <w:rPr>
          <w:rStyle w:val="Emphasis"/>
          <w:rFonts w:ascii="Palatino Linotype" w:hAnsi="Palatino Linotype"/>
          <w:sz w:val="22"/>
          <w:szCs w:val="22"/>
          <w:lang w:val="en-US"/>
        </w:rPr>
        <w:t xml:space="preserve"> COMSOL Conference</w:t>
      </w:r>
      <w:r w:rsidR="009E03B3" w:rsidRPr="009E03B3">
        <w:rPr>
          <w:sz w:val="22"/>
          <w:lang w:val="en-US"/>
        </w:rPr>
        <w:t xml:space="preserve">, </w:t>
      </w:r>
      <w:r w:rsidR="009E03B3">
        <w:rPr>
          <w:sz w:val="22"/>
          <w:lang w:val="en-US"/>
        </w:rPr>
        <w:t>Munich</w:t>
      </w:r>
      <w:r w:rsidR="009E03B3" w:rsidRPr="009E03B3">
        <w:rPr>
          <w:sz w:val="22"/>
          <w:lang w:val="en-US"/>
        </w:rPr>
        <w:t xml:space="preserve">, </w:t>
      </w:r>
      <w:r w:rsidR="009E03B3">
        <w:rPr>
          <w:sz w:val="22"/>
          <w:lang w:val="en-US"/>
        </w:rPr>
        <w:t>Germany</w:t>
      </w:r>
      <w:r w:rsidR="009E03B3" w:rsidRPr="009E03B3">
        <w:rPr>
          <w:sz w:val="22"/>
          <w:lang w:val="en-US"/>
        </w:rPr>
        <w:t>, 201</w:t>
      </w:r>
      <w:r w:rsidR="009E03B3">
        <w:rPr>
          <w:sz w:val="22"/>
          <w:lang w:val="en-US"/>
        </w:rPr>
        <w:t>6</w:t>
      </w:r>
    </w:p>
    <w:p w14:paraId="29F8E8D3" w14:textId="01774D52" w:rsidR="001A387D" w:rsidRPr="00544E92" w:rsidRDefault="001A387D" w:rsidP="006E03AD">
      <w:pPr>
        <w:pStyle w:val="Heading1"/>
        <w:numPr>
          <w:ilvl w:val="0"/>
          <w:numId w:val="0"/>
        </w:numPr>
        <w:rPr>
          <w:lang w:val="en-GB"/>
        </w:rPr>
      </w:pPr>
      <w:bookmarkStart w:id="232" w:name="_Toc214356326"/>
      <w:r w:rsidRPr="00544E92">
        <w:rPr>
          <w:lang w:val="en-GB"/>
        </w:rPr>
        <w:lastRenderedPageBreak/>
        <w:t>List of Figures</w:t>
      </w:r>
      <w:bookmarkEnd w:id="232"/>
    </w:p>
    <w:p w14:paraId="6C5886EE" w14:textId="1F53815D" w:rsidR="001F2B15" w:rsidRDefault="00EF7AD5">
      <w:pPr>
        <w:pStyle w:val="TableofFigures"/>
        <w:tabs>
          <w:tab w:val="right" w:leader="dot" w:pos="9060"/>
        </w:tabs>
        <w:rPr>
          <w:rFonts w:asciiTheme="minorHAnsi" w:eastAsiaTheme="minorEastAsia" w:hAnsiTheme="minorHAnsi"/>
          <w:noProof/>
          <w:kern w:val="2"/>
          <w:szCs w:val="24"/>
          <w:lang w:eastAsia="ja-JP"/>
          <w14:ligatures w14:val="standardContextual"/>
        </w:rPr>
      </w:pPr>
      <w:r w:rsidRPr="00790E4C">
        <w:rPr>
          <w:sz w:val="22"/>
          <w:lang w:val="en-GB"/>
        </w:rPr>
        <w:fldChar w:fldCharType="begin"/>
      </w:r>
      <w:r w:rsidRPr="00790E4C">
        <w:rPr>
          <w:sz w:val="22"/>
          <w:lang w:val="en-GB"/>
        </w:rPr>
        <w:instrText xml:space="preserve"> TOC \h \z \c "Figure" </w:instrText>
      </w:r>
      <w:r w:rsidRPr="00790E4C">
        <w:rPr>
          <w:sz w:val="22"/>
          <w:lang w:val="en-GB"/>
        </w:rPr>
        <w:fldChar w:fldCharType="separate"/>
      </w:r>
      <w:hyperlink w:anchor="_Toc214357709" w:history="1">
        <w:r w:rsidR="001F2B15" w:rsidRPr="006F7CD3">
          <w:rPr>
            <w:rStyle w:val="Hyperlink"/>
            <w:noProof/>
          </w:rPr>
          <w:t>Figure 0.1. Classification of thermal energy storage (TES) systems: sensible heat storage, latent heat storage, and thermochemical storage; PCMs are a subclass of latent heat storage.</w:t>
        </w:r>
        <w:r w:rsidR="001F2B15">
          <w:rPr>
            <w:noProof/>
            <w:webHidden/>
          </w:rPr>
          <w:tab/>
        </w:r>
        <w:r w:rsidR="001F2B15">
          <w:rPr>
            <w:noProof/>
            <w:webHidden/>
          </w:rPr>
          <w:fldChar w:fldCharType="begin"/>
        </w:r>
        <w:r w:rsidR="001F2B15">
          <w:rPr>
            <w:noProof/>
            <w:webHidden/>
          </w:rPr>
          <w:instrText xml:space="preserve"> PAGEREF _Toc214357709 \h </w:instrText>
        </w:r>
        <w:r w:rsidR="001F2B15">
          <w:rPr>
            <w:noProof/>
            <w:webHidden/>
          </w:rPr>
        </w:r>
        <w:r w:rsidR="001F2B15">
          <w:rPr>
            <w:noProof/>
            <w:webHidden/>
          </w:rPr>
          <w:fldChar w:fldCharType="separate"/>
        </w:r>
        <w:r w:rsidR="000412CE">
          <w:rPr>
            <w:noProof/>
            <w:webHidden/>
          </w:rPr>
          <w:t>2</w:t>
        </w:r>
        <w:r w:rsidR="001F2B15">
          <w:rPr>
            <w:noProof/>
            <w:webHidden/>
          </w:rPr>
          <w:fldChar w:fldCharType="end"/>
        </w:r>
      </w:hyperlink>
    </w:p>
    <w:p w14:paraId="1B3D5AB0" w14:textId="6658D549"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10" w:history="1">
        <w:r w:rsidRPr="006F7CD3">
          <w:rPr>
            <w:rStyle w:val="Hyperlink"/>
            <w:noProof/>
          </w:rPr>
          <w:t>Figure 1.1. Phase-change pathways in PCM: solid–liquid, solid–solid, solid–gas, and liquid–gas.</w:t>
        </w:r>
        <w:r>
          <w:rPr>
            <w:noProof/>
            <w:webHidden/>
          </w:rPr>
          <w:tab/>
        </w:r>
        <w:r>
          <w:rPr>
            <w:noProof/>
            <w:webHidden/>
          </w:rPr>
          <w:fldChar w:fldCharType="begin"/>
        </w:r>
        <w:r>
          <w:rPr>
            <w:noProof/>
            <w:webHidden/>
          </w:rPr>
          <w:instrText xml:space="preserve"> PAGEREF _Toc214357710 \h </w:instrText>
        </w:r>
        <w:r>
          <w:rPr>
            <w:noProof/>
            <w:webHidden/>
          </w:rPr>
        </w:r>
        <w:r>
          <w:rPr>
            <w:noProof/>
            <w:webHidden/>
          </w:rPr>
          <w:fldChar w:fldCharType="separate"/>
        </w:r>
        <w:r w:rsidR="000412CE">
          <w:rPr>
            <w:noProof/>
            <w:webHidden/>
          </w:rPr>
          <w:t>5</w:t>
        </w:r>
        <w:r>
          <w:rPr>
            <w:noProof/>
            <w:webHidden/>
          </w:rPr>
          <w:fldChar w:fldCharType="end"/>
        </w:r>
      </w:hyperlink>
    </w:p>
    <w:p w14:paraId="1BCCE017" w14:textId="590B5F74"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11" w:history="1">
        <w:r w:rsidRPr="006F7CD3">
          <w:rPr>
            <w:rStyle w:val="Hyperlink"/>
            <w:noProof/>
          </w:rPr>
          <w:t>Figure 1.2. Classification of solid–liquid PCMs into organic, inorganic, and eutectic families.</w:t>
        </w:r>
        <w:r>
          <w:rPr>
            <w:noProof/>
            <w:webHidden/>
          </w:rPr>
          <w:tab/>
        </w:r>
        <w:r>
          <w:rPr>
            <w:noProof/>
            <w:webHidden/>
          </w:rPr>
          <w:fldChar w:fldCharType="begin"/>
        </w:r>
        <w:r>
          <w:rPr>
            <w:noProof/>
            <w:webHidden/>
          </w:rPr>
          <w:instrText xml:space="preserve"> PAGEREF _Toc214357711 \h </w:instrText>
        </w:r>
        <w:r>
          <w:rPr>
            <w:noProof/>
            <w:webHidden/>
          </w:rPr>
        </w:r>
        <w:r>
          <w:rPr>
            <w:noProof/>
            <w:webHidden/>
          </w:rPr>
          <w:fldChar w:fldCharType="separate"/>
        </w:r>
        <w:r w:rsidR="000412CE">
          <w:rPr>
            <w:noProof/>
            <w:webHidden/>
          </w:rPr>
          <w:t>6</w:t>
        </w:r>
        <w:r>
          <w:rPr>
            <w:noProof/>
            <w:webHidden/>
          </w:rPr>
          <w:fldChar w:fldCharType="end"/>
        </w:r>
      </w:hyperlink>
    </w:p>
    <w:p w14:paraId="1DBD9724" w14:textId="21317E2B"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12" w:history="1">
        <w:r w:rsidRPr="006F7CD3">
          <w:rPr>
            <w:rStyle w:val="Hyperlink"/>
            <w:noProof/>
          </w:rPr>
          <w:t xml:space="preserve">Figure 1.3. </w:t>
        </w:r>
        <w:r w:rsidRPr="006F7CD3">
          <w:rPr>
            <w:rStyle w:val="Hyperlink"/>
            <w:rFonts w:ascii="Times New Roman" w:hAnsi="Times New Roman" w:cs="Times New Roman"/>
            <w:noProof/>
          </w:rPr>
          <w:t>Classification of solid–solid PCMs: organic, organometallic, and polymeric.</w:t>
        </w:r>
        <w:r>
          <w:rPr>
            <w:noProof/>
            <w:webHidden/>
          </w:rPr>
          <w:tab/>
        </w:r>
        <w:r>
          <w:rPr>
            <w:noProof/>
            <w:webHidden/>
          </w:rPr>
          <w:fldChar w:fldCharType="begin"/>
        </w:r>
        <w:r>
          <w:rPr>
            <w:noProof/>
            <w:webHidden/>
          </w:rPr>
          <w:instrText xml:space="preserve"> PAGEREF _Toc214357712 \h </w:instrText>
        </w:r>
        <w:r>
          <w:rPr>
            <w:noProof/>
            <w:webHidden/>
          </w:rPr>
        </w:r>
        <w:r>
          <w:rPr>
            <w:noProof/>
            <w:webHidden/>
          </w:rPr>
          <w:fldChar w:fldCharType="separate"/>
        </w:r>
        <w:r w:rsidR="000412CE">
          <w:rPr>
            <w:noProof/>
            <w:webHidden/>
          </w:rPr>
          <w:t>10</w:t>
        </w:r>
        <w:r>
          <w:rPr>
            <w:noProof/>
            <w:webHidden/>
          </w:rPr>
          <w:fldChar w:fldCharType="end"/>
        </w:r>
      </w:hyperlink>
    </w:p>
    <w:p w14:paraId="0D5C102E" w14:textId="688C7FE7"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13" w:history="1">
        <w:r w:rsidRPr="006F7CD3">
          <w:rPr>
            <w:rStyle w:val="Hyperlink"/>
            <w:noProof/>
          </w:rPr>
          <w:t>Figure 1.4. Phase transition behavior  of organic polyol SS-PCM [10].</w:t>
        </w:r>
        <w:r>
          <w:rPr>
            <w:noProof/>
            <w:webHidden/>
          </w:rPr>
          <w:tab/>
        </w:r>
        <w:r>
          <w:rPr>
            <w:noProof/>
            <w:webHidden/>
          </w:rPr>
          <w:fldChar w:fldCharType="begin"/>
        </w:r>
        <w:r>
          <w:rPr>
            <w:noProof/>
            <w:webHidden/>
          </w:rPr>
          <w:instrText xml:space="preserve"> PAGEREF _Toc214357713 \h </w:instrText>
        </w:r>
        <w:r>
          <w:rPr>
            <w:noProof/>
            <w:webHidden/>
          </w:rPr>
        </w:r>
        <w:r>
          <w:rPr>
            <w:noProof/>
            <w:webHidden/>
          </w:rPr>
          <w:fldChar w:fldCharType="separate"/>
        </w:r>
        <w:r w:rsidR="000412CE">
          <w:rPr>
            <w:noProof/>
            <w:webHidden/>
          </w:rPr>
          <w:t>12</w:t>
        </w:r>
        <w:r>
          <w:rPr>
            <w:noProof/>
            <w:webHidden/>
          </w:rPr>
          <w:fldChar w:fldCharType="end"/>
        </w:r>
      </w:hyperlink>
    </w:p>
    <w:p w14:paraId="1FE56EDC" w14:textId="19895D1E"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14" w:history="1">
        <w:r w:rsidRPr="006F7CD3">
          <w:rPr>
            <w:rStyle w:val="Hyperlink"/>
            <w:noProof/>
          </w:rPr>
          <w:t>Figure 1.5. Phase transition behavior of polymeric SS-PCM [10].</w:t>
        </w:r>
        <w:r>
          <w:rPr>
            <w:noProof/>
            <w:webHidden/>
          </w:rPr>
          <w:tab/>
        </w:r>
        <w:r>
          <w:rPr>
            <w:noProof/>
            <w:webHidden/>
          </w:rPr>
          <w:fldChar w:fldCharType="begin"/>
        </w:r>
        <w:r>
          <w:rPr>
            <w:noProof/>
            <w:webHidden/>
          </w:rPr>
          <w:instrText xml:space="preserve"> PAGEREF _Toc214357714 \h </w:instrText>
        </w:r>
        <w:r>
          <w:rPr>
            <w:noProof/>
            <w:webHidden/>
          </w:rPr>
        </w:r>
        <w:r>
          <w:rPr>
            <w:noProof/>
            <w:webHidden/>
          </w:rPr>
          <w:fldChar w:fldCharType="separate"/>
        </w:r>
        <w:r w:rsidR="000412CE">
          <w:rPr>
            <w:noProof/>
            <w:webHidden/>
          </w:rPr>
          <w:t>13</w:t>
        </w:r>
        <w:r>
          <w:rPr>
            <w:noProof/>
            <w:webHidden/>
          </w:rPr>
          <w:fldChar w:fldCharType="end"/>
        </w:r>
      </w:hyperlink>
    </w:p>
    <w:p w14:paraId="3FDA9F9A" w14:textId="59C786D6"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15" w:history="1">
        <w:r w:rsidRPr="006F7CD3">
          <w:rPr>
            <w:rStyle w:val="Hyperlink"/>
            <w:noProof/>
          </w:rPr>
          <w:t>Figure 1.6. Phase transition behavior of organometallic SS-PCM [10].</w:t>
        </w:r>
        <w:r>
          <w:rPr>
            <w:noProof/>
            <w:webHidden/>
          </w:rPr>
          <w:tab/>
        </w:r>
        <w:r>
          <w:rPr>
            <w:noProof/>
            <w:webHidden/>
          </w:rPr>
          <w:fldChar w:fldCharType="begin"/>
        </w:r>
        <w:r>
          <w:rPr>
            <w:noProof/>
            <w:webHidden/>
          </w:rPr>
          <w:instrText xml:space="preserve"> PAGEREF _Toc214357715 \h </w:instrText>
        </w:r>
        <w:r>
          <w:rPr>
            <w:noProof/>
            <w:webHidden/>
          </w:rPr>
        </w:r>
        <w:r>
          <w:rPr>
            <w:noProof/>
            <w:webHidden/>
          </w:rPr>
          <w:fldChar w:fldCharType="separate"/>
        </w:r>
        <w:r w:rsidR="000412CE">
          <w:rPr>
            <w:noProof/>
            <w:webHidden/>
          </w:rPr>
          <w:t>13</w:t>
        </w:r>
        <w:r>
          <w:rPr>
            <w:noProof/>
            <w:webHidden/>
          </w:rPr>
          <w:fldChar w:fldCharType="end"/>
        </w:r>
      </w:hyperlink>
    </w:p>
    <w:p w14:paraId="41299AD5" w14:textId="6BBBB17D"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16" w:history="1">
        <w:r w:rsidRPr="006F7CD3">
          <w:rPr>
            <w:rStyle w:val="Hyperlink"/>
            <w:noProof/>
          </w:rPr>
          <w:t xml:space="preserve">Figure 1.7. </w:t>
        </w:r>
        <w:r w:rsidRPr="006F7CD3">
          <w:rPr>
            <w:rStyle w:val="Hyperlink"/>
            <w:rFonts w:ascii="Times New Roman" w:hAnsi="Times New Roman" w:cs="Times New Roman"/>
            <w:noProof/>
          </w:rPr>
          <w:t>Methods to improve the thermal conductivity of PCMs: chemical modification and addition of conductive structures at different length scales.</w:t>
        </w:r>
        <w:r>
          <w:rPr>
            <w:noProof/>
            <w:webHidden/>
          </w:rPr>
          <w:tab/>
        </w:r>
        <w:r>
          <w:rPr>
            <w:noProof/>
            <w:webHidden/>
          </w:rPr>
          <w:fldChar w:fldCharType="begin"/>
        </w:r>
        <w:r>
          <w:rPr>
            <w:noProof/>
            <w:webHidden/>
          </w:rPr>
          <w:instrText xml:space="preserve"> PAGEREF _Toc214357716 \h </w:instrText>
        </w:r>
        <w:r>
          <w:rPr>
            <w:noProof/>
            <w:webHidden/>
          </w:rPr>
        </w:r>
        <w:r>
          <w:rPr>
            <w:noProof/>
            <w:webHidden/>
          </w:rPr>
          <w:fldChar w:fldCharType="separate"/>
        </w:r>
        <w:r w:rsidR="000412CE">
          <w:rPr>
            <w:noProof/>
            <w:webHidden/>
          </w:rPr>
          <w:t>16</w:t>
        </w:r>
        <w:r>
          <w:rPr>
            <w:noProof/>
            <w:webHidden/>
          </w:rPr>
          <w:fldChar w:fldCharType="end"/>
        </w:r>
      </w:hyperlink>
    </w:p>
    <w:p w14:paraId="7425A695" w14:textId="5E2E322F"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17" w:history="1">
        <w:r w:rsidRPr="006F7CD3">
          <w:rPr>
            <w:rStyle w:val="Hyperlink"/>
            <w:noProof/>
          </w:rPr>
          <w:t>Figure 1.8</w:t>
        </w:r>
        <w:r w:rsidRPr="006F7CD3">
          <w:rPr>
            <w:rStyle w:val="Hyperlink"/>
            <w:rFonts w:ascii="Times New Roman" w:hAnsi="Times New Roman" w:cs="Times New Roman"/>
            <w:noProof/>
          </w:rPr>
          <w:t>. (a) The changing curve of latent heat value in the practical phase change transition [26]. (b) Plot of liquid undergoing supercooling upon cooling [27].</w:t>
        </w:r>
        <w:r>
          <w:rPr>
            <w:noProof/>
            <w:webHidden/>
          </w:rPr>
          <w:tab/>
        </w:r>
        <w:r>
          <w:rPr>
            <w:noProof/>
            <w:webHidden/>
          </w:rPr>
          <w:fldChar w:fldCharType="begin"/>
        </w:r>
        <w:r>
          <w:rPr>
            <w:noProof/>
            <w:webHidden/>
          </w:rPr>
          <w:instrText xml:space="preserve"> PAGEREF _Toc214357717 \h </w:instrText>
        </w:r>
        <w:r>
          <w:rPr>
            <w:noProof/>
            <w:webHidden/>
          </w:rPr>
        </w:r>
        <w:r>
          <w:rPr>
            <w:noProof/>
            <w:webHidden/>
          </w:rPr>
          <w:fldChar w:fldCharType="separate"/>
        </w:r>
        <w:r w:rsidR="000412CE">
          <w:rPr>
            <w:noProof/>
            <w:webHidden/>
          </w:rPr>
          <w:t>23</w:t>
        </w:r>
        <w:r>
          <w:rPr>
            <w:noProof/>
            <w:webHidden/>
          </w:rPr>
          <w:fldChar w:fldCharType="end"/>
        </w:r>
      </w:hyperlink>
    </w:p>
    <w:p w14:paraId="63748DB9" w14:textId="419ECB1A"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18" w:history="1">
        <w:r w:rsidRPr="006F7CD3">
          <w:rPr>
            <w:rStyle w:val="Hyperlink"/>
            <w:noProof/>
          </w:rPr>
          <w:t>Figure 1.9. Enthalpy–temperature diagram  without supercooling (black) and with supercooling (green) [17].</w:t>
        </w:r>
        <w:r>
          <w:rPr>
            <w:noProof/>
            <w:webHidden/>
          </w:rPr>
          <w:tab/>
        </w:r>
        <w:r>
          <w:rPr>
            <w:noProof/>
            <w:webHidden/>
          </w:rPr>
          <w:fldChar w:fldCharType="begin"/>
        </w:r>
        <w:r>
          <w:rPr>
            <w:noProof/>
            <w:webHidden/>
          </w:rPr>
          <w:instrText xml:space="preserve"> PAGEREF _Toc214357718 \h </w:instrText>
        </w:r>
        <w:r>
          <w:rPr>
            <w:noProof/>
            <w:webHidden/>
          </w:rPr>
        </w:r>
        <w:r>
          <w:rPr>
            <w:noProof/>
            <w:webHidden/>
          </w:rPr>
          <w:fldChar w:fldCharType="separate"/>
        </w:r>
        <w:r w:rsidR="000412CE">
          <w:rPr>
            <w:noProof/>
            <w:webHidden/>
          </w:rPr>
          <w:t>24</w:t>
        </w:r>
        <w:r>
          <w:rPr>
            <w:noProof/>
            <w:webHidden/>
          </w:rPr>
          <w:fldChar w:fldCharType="end"/>
        </w:r>
      </w:hyperlink>
    </w:p>
    <w:p w14:paraId="096DEC1E" w14:textId="21673B77"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19" w:history="1">
        <w:r w:rsidRPr="006F7CD3">
          <w:rPr>
            <w:rStyle w:val="Hyperlink"/>
            <w:noProof/>
          </w:rPr>
          <w:t xml:space="preserve">Figure 1.10. </w:t>
        </w:r>
        <w:r w:rsidRPr="006F7CD3">
          <w:rPr>
            <w:rStyle w:val="Hyperlink"/>
            <w:rFonts w:ascii="Times New Roman" w:hAnsi="Times New Roman" w:cs="Times New Roman"/>
            <w:noProof/>
          </w:rPr>
          <w:t>The position of solidification initiation for three different volumes having a measured degree of supercooling for the same PCM of a) 88 °C, b) 58 °C, and c) 48 °C [28].</w:t>
        </w:r>
        <w:r>
          <w:rPr>
            <w:noProof/>
            <w:webHidden/>
          </w:rPr>
          <w:tab/>
        </w:r>
        <w:r>
          <w:rPr>
            <w:noProof/>
            <w:webHidden/>
          </w:rPr>
          <w:fldChar w:fldCharType="begin"/>
        </w:r>
        <w:r>
          <w:rPr>
            <w:noProof/>
            <w:webHidden/>
          </w:rPr>
          <w:instrText xml:space="preserve"> PAGEREF _Toc214357719 \h </w:instrText>
        </w:r>
        <w:r>
          <w:rPr>
            <w:noProof/>
            <w:webHidden/>
          </w:rPr>
        </w:r>
        <w:r>
          <w:rPr>
            <w:noProof/>
            <w:webHidden/>
          </w:rPr>
          <w:fldChar w:fldCharType="separate"/>
        </w:r>
        <w:r w:rsidR="000412CE">
          <w:rPr>
            <w:noProof/>
            <w:webHidden/>
          </w:rPr>
          <w:t>24</w:t>
        </w:r>
        <w:r>
          <w:rPr>
            <w:noProof/>
            <w:webHidden/>
          </w:rPr>
          <w:fldChar w:fldCharType="end"/>
        </w:r>
      </w:hyperlink>
    </w:p>
    <w:p w14:paraId="590802AE" w14:textId="73030CD0"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20" w:history="1">
        <w:r w:rsidRPr="006F7CD3">
          <w:rPr>
            <w:rStyle w:val="Hyperlink"/>
            <w:noProof/>
          </w:rPr>
          <w:t>Figure 1.11. Top: DSC curve of ideal phase change transition [33]. Bottom: Difference in phase change temperature range of the PCM during solidification and melting [34].</w:t>
        </w:r>
        <w:r>
          <w:rPr>
            <w:noProof/>
            <w:webHidden/>
          </w:rPr>
          <w:tab/>
        </w:r>
        <w:r>
          <w:rPr>
            <w:noProof/>
            <w:webHidden/>
          </w:rPr>
          <w:fldChar w:fldCharType="begin"/>
        </w:r>
        <w:r>
          <w:rPr>
            <w:noProof/>
            <w:webHidden/>
          </w:rPr>
          <w:instrText xml:space="preserve"> PAGEREF _Toc214357720 \h </w:instrText>
        </w:r>
        <w:r>
          <w:rPr>
            <w:noProof/>
            <w:webHidden/>
          </w:rPr>
        </w:r>
        <w:r>
          <w:rPr>
            <w:noProof/>
            <w:webHidden/>
          </w:rPr>
          <w:fldChar w:fldCharType="separate"/>
        </w:r>
        <w:r w:rsidR="000412CE">
          <w:rPr>
            <w:noProof/>
            <w:webHidden/>
          </w:rPr>
          <w:t>25</w:t>
        </w:r>
        <w:r>
          <w:rPr>
            <w:noProof/>
            <w:webHidden/>
          </w:rPr>
          <w:fldChar w:fldCharType="end"/>
        </w:r>
      </w:hyperlink>
    </w:p>
    <w:p w14:paraId="235BA780" w14:textId="05E189AE"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21" w:history="1">
        <w:r w:rsidRPr="006F7CD3">
          <w:rPr>
            <w:rStyle w:val="Hyperlink"/>
            <w:noProof/>
          </w:rPr>
          <w:t>Figure 1.12. Enthalpy-temperature curve for (a) symmetric model with no phase change hysteresis, and for (b) asymmetric model considering phase change hysteresis [34].</w:t>
        </w:r>
        <w:r>
          <w:rPr>
            <w:noProof/>
            <w:webHidden/>
          </w:rPr>
          <w:tab/>
        </w:r>
        <w:r>
          <w:rPr>
            <w:noProof/>
            <w:webHidden/>
          </w:rPr>
          <w:fldChar w:fldCharType="begin"/>
        </w:r>
        <w:r>
          <w:rPr>
            <w:noProof/>
            <w:webHidden/>
          </w:rPr>
          <w:instrText xml:space="preserve"> PAGEREF _Toc214357721 \h </w:instrText>
        </w:r>
        <w:r>
          <w:rPr>
            <w:noProof/>
            <w:webHidden/>
          </w:rPr>
        </w:r>
        <w:r>
          <w:rPr>
            <w:noProof/>
            <w:webHidden/>
          </w:rPr>
          <w:fldChar w:fldCharType="separate"/>
        </w:r>
        <w:r w:rsidR="000412CE">
          <w:rPr>
            <w:noProof/>
            <w:webHidden/>
          </w:rPr>
          <w:t>26</w:t>
        </w:r>
        <w:r>
          <w:rPr>
            <w:noProof/>
            <w:webHidden/>
          </w:rPr>
          <w:fldChar w:fldCharType="end"/>
        </w:r>
      </w:hyperlink>
    </w:p>
    <w:p w14:paraId="0E35AE9F" w14:textId="126A3EA3"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22" w:history="1">
        <w:r w:rsidRPr="006F7CD3">
          <w:rPr>
            <w:rStyle w:val="Hyperlink"/>
            <w:noProof/>
          </w:rPr>
          <w:t xml:space="preserve">Figure 1.13. </w:t>
        </w:r>
        <w:r w:rsidRPr="006F7CD3">
          <w:rPr>
            <w:rStyle w:val="Hyperlink"/>
            <w:rFonts w:ascii="Times New Roman" w:hAnsi="Times New Roman" w:cs="Times New Roman"/>
            <w:noProof/>
          </w:rPr>
          <w:t>Typical heat flux DSC system [43].</w:t>
        </w:r>
        <w:r>
          <w:rPr>
            <w:noProof/>
            <w:webHidden/>
          </w:rPr>
          <w:tab/>
        </w:r>
        <w:r>
          <w:rPr>
            <w:noProof/>
            <w:webHidden/>
          </w:rPr>
          <w:fldChar w:fldCharType="begin"/>
        </w:r>
        <w:r>
          <w:rPr>
            <w:noProof/>
            <w:webHidden/>
          </w:rPr>
          <w:instrText xml:space="preserve"> PAGEREF _Toc214357722 \h </w:instrText>
        </w:r>
        <w:r>
          <w:rPr>
            <w:noProof/>
            <w:webHidden/>
          </w:rPr>
        </w:r>
        <w:r>
          <w:rPr>
            <w:noProof/>
            <w:webHidden/>
          </w:rPr>
          <w:fldChar w:fldCharType="separate"/>
        </w:r>
        <w:r w:rsidR="000412CE">
          <w:rPr>
            <w:noProof/>
            <w:webHidden/>
          </w:rPr>
          <w:t>29</w:t>
        </w:r>
        <w:r>
          <w:rPr>
            <w:noProof/>
            <w:webHidden/>
          </w:rPr>
          <w:fldChar w:fldCharType="end"/>
        </w:r>
      </w:hyperlink>
    </w:p>
    <w:p w14:paraId="3C78CA6D" w14:textId="21E80239"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23" w:history="1">
        <w:r w:rsidRPr="006F7CD3">
          <w:rPr>
            <w:rStyle w:val="Hyperlink"/>
            <w:noProof/>
          </w:rPr>
          <w:t xml:space="preserve">Figure 1.14. </w:t>
        </w:r>
        <w:r w:rsidRPr="006F7CD3">
          <w:rPr>
            <w:rStyle w:val="Hyperlink"/>
            <w:rFonts w:ascii="Times New Roman" w:hAnsi="Times New Roman" w:cs="Times New Roman"/>
            <w:noProof/>
          </w:rPr>
          <w:t>Power compensation DSC system [45].</w:t>
        </w:r>
        <w:r>
          <w:rPr>
            <w:noProof/>
            <w:webHidden/>
          </w:rPr>
          <w:tab/>
        </w:r>
        <w:r>
          <w:rPr>
            <w:noProof/>
            <w:webHidden/>
          </w:rPr>
          <w:fldChar w:fldCharType="begin"/>
        </w:r>
        <w:r>
          <w:rPr>
            <w:noProof/>
            <w:webHidden/>
          </w:rPr>
          <w:instrText xml:space="preserve"> PAGEREF _Toc214357723 \h </w:instrText>
        </w:r>
        <w:r>
          <w:rPr>
            <w:noProof/>
            <w:webHidden/>
          </w:rPr>
        </w:r>
        <w:r>
          <w:rPr>
            <w:noProof/>
            <w:webHidden/>
          </w:rPr>
          <w:fldChar w:fldCharType="separate"/>
        </w:r>
        <w:r w:rsidR="000412CE">
          <w:rPr>
            <w:noProof/>
            <w:webHidden/>
          </w:rPr>
          <w:t>29</w:t>
        </w:r>
        <w:r>
          <w:rPr>
            <w:noProof/>
            <w:webHidden/>
          </w:rPr>
          <w:fldChar w:fldCharType="end"/>
        </w:r>
      </w:hyperlink>
    </w:p>
    <w:p w14:paraId="00FA8813" w14:textId="04A7DAF1"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24" w:history="1">
        <w:r w:rsidRPr="006F7CD3">
          <w:rPr>
            <w:rStyle w:val="Hyperlink"/>
            <w:noProof/>
          </w:rPr>
          <w:t>Figure 1.15. Setup for T-hystory method [47].</w:t>
        </w:r>
        <w:r>
          <w:rPr>
            <w:noProof/>
            <w:webHidden/>
          </w:rPr>
          <w:tab/>
        </w:r>
        <w:r>
          <w:rPr>
            <w:noProof/>
            <w:webHidden/>
          </w:rPr>
          <w:fldChar w:fldCharType="begin"/>
        </w:r>
        <w:r>
          <w:rPr>
            <w:noProof/>
            <w:webHidden/>
          </w:rPr>
          <w:instrText xml:space="preserve"> PAGEREF _Toc214357724 \h </w:instrText>
        </w:r>
        <w:r>
          <w:rPr>
            <w:noProof/>
            <w:webHidden/>
          </w:rPr>
        </w:r>
        <w:r>
          <w:rPr>
            <w:noProof/>
            <w:webHidden/>
          </w:rPr>
          <w:fldChar w:fldCharType="separate"/>
        </w:r>
        <w:r w:rsidR="000412CE">
          <w:rPr>
            <w:noProof/>
            <w:webHidden/>
          </w:rPr>
          <w:t>30</w:t>
        </w:r>
        <w:r>
          <w:rPr>
            <w:noProof/>
            <w:webHidden/>
          </w:rPr>
          <w:fldChar w:fldCharType="end"/>
        </w:r>
      </w:hyperlink>
    </w:p>
    <w:p w14:paraId="2642F787" w14:textId="7460D727"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25" w:history="1">
        <w:r w:rsidRPr="006F7CD3">
          <w:rPr>
            <w:rStyle w:val="Hyperlink"/>
            <w:noProof/>
          </w:rPr>
          <w:t>Figure 1.16. a) Cooling temperature recorded versus time when PCM shows subcooling in the T-history method. b) Cooling temperature recorded versus time when PCM shows no subcooling in the T-history method [47].</w:t>
        </w:r>
        <w:r>
          <w:rPr>
            <w:noProof/>
            <w:webHidden/>
          </w:rPr>
          <w:tab/>
        </w:r>
        <w:r>
          <w:rPr>
            <w:noProof/>
            <w:webHidden/>
          </w:rPr>
          <w:fldChar w:fldCharType="begin"/>
        </w:r>
        <w:r>
          <w:rPr>
            <w:noProof/>
            <w:webHidden/>
          </w:rPr>
          <w:instrText xml:space="preserve"> PAGEREF _Toc214357725 \h </w:instrText>
        </w:r>
        <w:r>
          <w:rPr>
            <w:noProof/>
            <w:webHidden/>
          </w:rPr>
        </w:r>
        <w:r>
          <w:rPr>
            <w:noProof/>
            <w:webHidden/>
          </w:rPr>
          <w:fldChar w:fldCharType="separate"/>
        </w:r>
        <w:r w:rsidR="000412CE">
          <w:rPr>
            <w:noProof/>
            <w:webHidden/>
          </w:rPr>
          <w:t>31</w:t>
        </w:r>
        <w:r>
          <w:rPr>
            <w:noProof/>
            <w:webHidden/>
          </w:rPr>
          <w:fldChar w:fldCharType="end"/>
        </w:r>
      </w:hyperlink>
    </w:p>
    <w:p w14:paraId="721EB97A" w14:textId="027A0FD9"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26" w:history="1">
        <w:r w:rsidRPr="006F7CD3">
          <w:rPr>
            <w:rStyle w:val="Hyperlink"/>
            <w:noProof/>
          </w:rPr>
          <w:t>Figure 1.17. Cooling temperature recorded versus time of the reference substance  (water) in the T-history method [47].</w:t>
        </w:r>
        <w:r>
          <w:rPr>
            <w:noProof/>
            <w:webHidden/>
          </w:rPr>
          <w:tab/>
        </w:r>
        <w:r>
          <w:rPr>
            <w:noProof/>
            <w:webHidden/>
          </w:rPr>
          <w:fldChar w:fldCharType="begin"/>
        </w:r>
        <w:r>
          <w:rPr>
            <w:noProof/>
            <w:webHidden/>
          </w:rPr>
          <w:instrText xml:space="preserve"> PAGEREF _Toc214357726 \h </w:instrText>
        </w:r>
        <w:r>
          <w:rPr>
            <w:noProof/>
            <w:webHidden/>
          </w:rPr>
        </w:r>
        <w:r>
          <w:rPr>
            <w:noProof/>
            <w:webHidden/>
          </w:rPr>
          <w:fldChar w:fldCharType="separate"/>
        </w:r>
        <w:r w:rsidR="000412CE">
          <w:rPr>
            <w:noProof/>
            <w:webHidden/>
          </w:rPr>
          <w:t>31</w:t>
        </w:r>
        <w:r>
          <w:rPr>
            <w:noProof/>
            <w:webHidden/>
          </w:rPr>
          <w:fldChar w:fldCharType="end"/>
        </w:r>
      </w:hyperlink>
    </w:p>
    <w:p w14:paraId="1FBE74F2" w14:textId="72E3CEAB"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27" w:history="1">
        <w:r w:rsidRPr="006F7CD3">
          <w:rPr>
            <w:rStyle w:val="Hyperlink"/>
            <w:noProof/>
          </w:rPr>
          <w:t>Figure 1.18. Schematization of surface temperature trends Ttop and Tbot, on the left, and of surface heat flux trends F</w:t>
        </w:r>
        <w:r w:rsidRPr="006F7CD3">
          <w:rPr>
            <w:rStyle w:val="Hyperlink"/>
            <w:noProof/>
            <w:vertAlign w:val="subscript"/>
          </w:rPr>
          <w:t>top</w:t>
        </w:r>
        <w:r w:rsidRPr="006F7CD3">
          <w:rPr>
            <w:rStyle w:val="Hyperlink"/>
            <w:noProof/>
          </w:rPr>
          <w:t xml:space="preserve"> and F</w:t>
        </w:r>
        <w:r w:rsidRPr="006F7CD3">
          <w:rPr>
            <w:rStyle w:val="Hyperlink"/>
            <w:noProof/>
            <w:vertAlign w:val="subscript"/>
          </w:rPr>
          <w:t>bot</w:t>
        </w:r>
        <w:r w:rsidRPr="006F7CD3">
          <w:rPr>
            <w:rStyle w:val="Hyperlink"/>
            <w:noProof/>
          </w:rPr>
          <w:t>, and of the stored sensible energy ES, on the right, during the thermal transient between an initial steady state and a final one [49].</w:t>
        </w:r>
        <w:r>
          <w:rPr>
            <w:noProof/>
            <w:webHidden/>
          </w:rPr>
          <w:tab/>
        </w:r>
        <w:r>
          <w:rPr>
            <w:noProof/>
            <w:webHidden/>
          </w:rPr>
          <w:fldChar w:fldCharType="begin"/>
        </w:r>
        <w:r>
          <w:rPr>
            <w:noProof/>
            <w:webHidden/>
          </w:rPr>
          <w:instrText xml:space="preserve"> PAGEREF _Toc214357727 \h </w:instrText>
        </w:r>
        <w:r>
          <w:rPr>
            <w:noProof/>
            <w:webHidden/>
          </w:rPr>
        </w:r>
        <w:r>
          <w:rPr>
            <w:noProof/>
            <w:webHidden/>
          </w:rPr>
          <w:fldChar w:fldCharType="separate"/>
        </w:r>
        <w:r w:rsidR="000412CE">
          <w:rPr>
            <w:noProof/>
            <w:webHidden/>
          </w:rPr>
          <w:t>34</w:t>
        </w:r>
        <w:r>
          <w:rPr>
            <w:noProof/>
            <w:webHidden/>
          </w:rPr>
          <w:fldChar w:fldCharType="end"/>
        </w:r>
      </w:hyperlink>
    </w:p>
    <w:p w14:paraId="68992E45" w14:textId="4A3B9B3E"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28" w:history="1">
        <w:r w:rsidRPr="006F7CD3">
          <w:rPr>
            <w:rStyle w:val="Hyperlink"/>
            <w:rFonts w:ascii="Times New Roman" w:hAnsi="Times New Roman" w:cs="Times New Roman"/>
            <w:noProof/>
          </w:rPr>
          <w:t xml:space="preserve">Figure 1.19. </w:t>
        </w:r>
        <w:r w:rsidRPr="006F7CD3">
          <w:rPr>
            <w:rStyle w:val="Hyperlink"/>
            <w:rFonts w:cs="Times New Roman"/>
            <w:noProof/>
          </w:rPr>
          <w:t>Schematization of the temperature trend in a j-th node, on the left, and of the surface heat flux trends F</w:t>
        </w:r>
        <w:r w:rsidRPr="006F7CD3">
          <w:rPr>
            <w:rStyle w:val="Hyperlink"/>
            <w:rFonts w:cs="Times New Roman"/>
            <w:noProof/>
            <w:vertAlign w:val="subscript"/>
          </w:rPr>
          <w:t>top</w:t>
        </w:r>
        <w:r w:rsidRPr="006F7CD3">
          <w:rPr>
            <w:rStyle w:val="Hyperlink"/>
            <w:rFonts w:cs="Times New Roman"/>
            <w:noProof/>
          </w:rPr>
          <w:t xml:space="preserve"> and F</w:t>
        </w:r>
        <w:r w:rsidRPr="006F7CD3">
          <w:rPr>
            <w:rStyle w:val="Hyperlink"/>
            <w:rFonts w:cs="Times New Roman"/>
            <w:noProof/>
            <w:vertAlign w:val="subscript"/>
          </w:rPr>
          <w:t>bot</w:t>
        </w:r>
        <w:r w:rsidRPr="006F7CD3">
          <w:rPr>
            <w:rStyle w:val="Hyperlink"/>
            <w:rFonts w:cs="Times New Roman"/>
            <w:noProof/>
          </w:rPr>
          <w:t>, and of the total stored energy ET, on the right, during the thermal transient between an initial steady state and a final one. [49].</w:t>
        </w:r>
        <w:r>
          <w:rPr>
            <w:noProof/>
            <w:webHidden/>
          </w:rPr>
          <w:tab/>
        </w:r>
        <w:r>
          <w:rPr>
            <w:noProof/>
            <w:webHidden/>
          </w:rPr>
          <w:fldChar w:fldCharType="begin"/>
        </w:r>
        <w:r>
          <w:rPr>
            <w:noProof/>
            <w:webHidden/>
          </w:rPr>
          <w:instrText xml:space="preserve"> PAGEREF _Toc214357728 \h </w:instrText>
        </w:r>
        <w:r>
          <w:rPr>
            <w:noProof/>
            <w:webHidden/>
          </w:rPr>
        </w:r>
        <w:r>
          <w:rPr>
            <w:noProof/>
            <w:webHidden/>
          </w:rPr>
          <w:fldChar w:fldCharType="separate"/>
        </w:r>
        <w:r w:rsidR="000412CE">
          <w:rPr>
            <w:noProof/>
            <w:webHidden/>
          </w:rPr>
          <w:t>35</w:t>
        </w:r>
        <w:r>
          <w:rPr>
            <w:noProof/>
            <w:webHidden/>
          </w:rPr>
          <w:fldChar w:fldCharType="end"/>
        </w:r>
      </w:hyperlink>
    </w:p>
    <w:p w14:paraId="5790FC69" w14:textId="2C77146A"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29" w:history="1">
        <w:r w:rsidRPr="006F7CD3">
          <w:rPr>
            <w:rStyle w:val="Hyperlink"/>
            <w:noProof/>
          </w:rPr>
          <w:t>Figure 2.1. Scopus trends for PCM applications in electronic devices: (a) publications rising exponentially since the early 2010s; (b) country share led by China, then India, and the United States.</w:t>
        </w:r>
        <w:r>
          <w:rPr>
            <w:noProof/>
            <w:webHidden/>
          </w:rPr>
          <w:tab/>
        </w:r>
        <w:r>
          <w:rPr>
            <w:noProof/>
            <w:webHidden/>
          </w:rPr>
          <w:fldChar w:fldCharType="begin"/>
        </w:r>
        <w:r>
          <w:rPr>
            <w:noProof/>
            <w:webHidden/>
          </w:rPr>
          <w:instrText xml:space="preserve"> PAGEREF _Toc214357729 \h </w:instrText>
        </w:r>
        <w:r>
          <w:rPr>
            <w:noProof/>
            <w:webHidden/>
          </w:rPr>
        </w:r>
        <w:r>
          <w:rPr>
            <w:noProof/>
            <w:webHidden/>
          </w:rPr>
          <w:fldChar w:fldCharType="separate"/>
        </w:r>
        <w:r w:rsidR="000412CE">
          <w:rPr>
            <w:noProof/>
            <w:webHidden/>
          </w:rPr>
          <w:t>52</w:t>
        </w:r>
        <w:r>
          <w:rPr>
            <w:noProof/>
            <w:webHidden/>
          </w:rPr>
          <w:fldChar w:fldCharType="end"/>
        </w:r>
      </w:hyperlink>
    </w:p>
    <w:p w14:paraId="70301ED5" w14:textId="73E993B7"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30" w:history="1">
        <w:r w:rsidRPr="006F7CD3">
          <w:rPr>
            <w:rStyle w:val="Hyperlink"/>
            <w:noProof/>
            <w:lang w:val="en-US"/>
          </w:rPr>
          <w:t>Figure 2.2. Operating principles and temperature window for Li-ion batteries: (a) LiCoO₂/graphite cell during charge/discharge; (b) performance vs. temperature, with an ideal 15–35 °C range [60].</w:t>
        </w:r>
        <w:r>
          <w:rPr>
            <w:noProof/>
            <w:webHidden/>
          </w:rPr>
          <w:tab/>
        </w:r>
        <w:r>
          <w:rPr>
            <w:noProof/>
            <w:webHidden/>
          </w:rPr>
          <w:fldChar w:fldCharType="begin"/>
        </w:r>
        <w:r>
          <w:rPr>
            <w:noProof/>
            <w:webHidden/>
          </w:rPr>
          <w:instrText xml:space="preserve"> PAGEREF _Toc214357730 \h </w:instrText>
        </w:r>
        <w:r>
          <w:rPr>
            <w:noProof/>
            <w:webHidden/>
          </w:rPr>
        </w:r>
        <w:r>
          <w:rPr>
            <w:noProof/>
            <w:webHidden/>
          </w:rPr>
          <w:fldChar w:fldCharType="separate"/>
        </w:r>
        <w:r w:rsidR="000412CE">
          <w:rPr>
            <w:noProof/>
            <w:webHidden/>
          </w:rPr>
          <w:t>60</w:t>
        </w:r>
        <w:r>
          <w:rPr>
            <w:noProof/>
            <w:webHidden/>
          </w:rPr>
          <w:fldChar w:fldCharType="end"/>
        </w:r>
      </w:hyperlink>
    </w:p>
    <w:p w14:paraId="011BD7A8" w14:textId="15BEE0E2"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31" w:history="1">
        <w:r w:rsidRPr="006F7CD3">
          <w:rPr>
            <w:rStyle w:val="Hyperlink"/>
            <w:noProof/>
          </w:rPr>
          <w:t>Figure 2.3. Future research roadmap for PCM-based battery thermal management: nano-enhanced PCMs, composite PCMs, integration with new cooling technologies, and advanced numerical simulations [71].</w:t>
        </w:r>
        <w:r>
          <w:rPr>
            <w:noProof/>
            <w:webHidden/>
          </w:rPr>
          <w:tab/>
        </w:r>
        <w:r>
          <w:rPr>
            <w:noProof/>
            <w:webHidden/>
          </w:rPr>
          <w:fldChar w:fldCharType="begin"/>
        </w:r>
        <w:r>
          <w:rPr>
            <w:noProof/>
            <w:webHidden/>
          </w:rPr>
          <w:instrText xml:space="preserve"> PAGEREF _Toc214357731 \h </w:instrText>
        </w:r>
        <w:r>
          <w:rPr>
            <w:noProof/>
            <w:webHidden/>
          </w:rPr>
        </w:r>
        <w:r>
          <w:rPr>
            <w:noProof/>
            <w:webHidden/>
          </w:rPr>
          <w:fldChar w:fldCharType="separate"/>
        </w:r>
        <w:r w:rsidR="000412CE">
          <w:rPr>
            <w:noProof/>
            <w:webHidden/>
          </w:rPr>
          <w:t>64</w:t>
        </w:r>
        <w:r>
          <w:rPr>
            <w:noProof/>
            <w:webHidden/>
          </w:rPr>
          <w:fldChar w:fldCharType="end"/>
        </w:r>
      </w:hyperlink>
    </w:p>
    <w:p w14:paraId="242CE854" w14:textId="01E8B6EB"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32" w:history="1">
        <w:r w:rsidRPr="006F7CD3">
          <w:rPr>
            <w:rStyle w:val="Hyperlink"/>
            <w:noProof/>
          </w:rPr>
          <w:t>Figure 2.4. Scopus trends for PCM applications in PVs: (a) publications rising sharply since ~2015; (b) country contributions led by India and China, followed by Iran, UK, Malaysia, and others.</w:t>
        </w:r>
        <w:r>
          <w:rPr>
            <w:noProof/>
            <w:webHidden/>
          </w:rPr>
          <w:tab/>
        </w:r>
        <w:r>
          <w:rPr>
            <w:noProof/>
            <w:webHidden/>
          </w:rPr>
          <w:fldChar w:fldCharType="begin"/>
        </w:r>
        <w:r>
          <w:rPr>
            <w:noProof/>
            <w:webHidden/>
          </w:rPr>
          <w:instrText xml:space="preserve"> PAGEREF _Toc214357732 \h </w:instrText>
        </w:r>
        <w:r>
          <w:rPr>
            <w:noProof/>
            <w:webHidden/>
          </w:rPr>
        </w:r>
        <w:r>
          <w:rPr>
            <w:noProof/>
            <w:webHidden/>
          </w:rPr>
          <w:fldChar w:fldCharType="separate"/>
        </w:r>
        <w:r w:rsidR="000412CE">
          <w:rPr>
            <w:noProof/>
            <w:webHidden/>
          </w:rPr>
          <w:t>67</w:t>
        </w:r>
        <w:r>
          <w:rPr>
            <w:noProof/>
            <w:webHidden/>
          </w:rPr>
          <w:fldChar w:fldCharType="end"/>
        </w:r>
      </w:hyperlink>
    </w:p>
    <w:p w14:paraId="69D99D01" w14:textId="2E9D3312"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33" w:history="1">
        <w:r w:rsidRPr="006F7CD3">
          <w:rPr>
            <w:rStyle w:val="Hyperlink"/>
            <w:rFonts w:ascii="Times New Roman" w:hAnsi="Times New Roman" w:cs="Times New Roman"/>
            <w:noProof/>
          </w:rPr>
          <w:t>Figure 2.5. Al Najjar et al. [82] energy balance model based on an equivalent electrical circuit.</w:t>
        </w:r>
        <w:r>
          <w:rPr>
            <w:noProof/>
            <w:webHidden/>
          </w:rPr>
          <w:tab/>
        </w:r>
        <w:r>
          <w:rPr>
            <w:noProof/>
            <w:webHidden/>
          </w:rPr>
          <w:fldChar w:fldCharType="begin"/>
        </w:r>
        <w:r>
          <w:rPr>
            <w:noProof/>
            <w:webHidden/>
          </w:rPr>
          <w:instrText xml:space="preserve"> PAGEREF _Toc214357733 \h </w:instrText>
        </w:r>
        <w:r>
          <w:rPr>
            <w:noProof/>
            <w:webHidden/>
          </w:rPr>
        </w:r>
        <w:r>
          <w:rPr>
            <w:noProof/>
            <w:webHidden/>
          </w:rPr>
          <w:fldChar w:fldCharType="separate"/>
        </w:r>
        <w:r w:rsidR="000412CE">
          <w:rPr>
            <w:noProof/>
            <w:webHidden/>
          </w:rPr>
          <w:t>75</w:t>
        </w:r>
        <w:r>
          <w:rPr>
            <w:noProof/>
            <w:webHidden/>
          </w:rPr>
          <w:fldChar w:fldCharType="end"/>
        </w:r>
      </w:hyperlink>
    </w:p>
    <w:p w14:paraId="5C69276F" w14:textId="71B497E5"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34" w:history="1">
        <w:r w:rsidRPr="006F7CD3">
          <w:rPr>
            <w:rStyle w:val="Hyperlink"/>
            <w:rFonts w:cs="Times New Roman"/>
            <w:noProof/>
          </w:rPr>
          <w:t>Figure 2.6. Configuration of a typical PV-PCM system and the energy flow  path [81].</w:t>
        </w:r>
        <w:r>
          <w:rPr>
            <w:noProof/>
            <w:webHidden/>
          </w:rPr>
          <w:tab/>
        </w:r>
        <w:r>
          <w:rPr>
            <w:noProof/>
            <w:webHidden/>
          </w:rPr>
          <w:fldChar w:fldCharType="begin"/>
        </w:r>
        <w:r>
          <w:rPr>
            <w:noProof/>
            <w:webHidden/>
          </w:rPr>
          <w:instrText xml:space="preserve"> PAGEREF _Toc214357734 \h </w:instrText>
        </w:r>
        <w:r>
          <w:rPr>
            <w:noProof/>
            <w:webHidden/>
          </w:rPr>
        </w:r>
        <w:r>
          <w:rPr>
            <w:noProof/>
            <w:webHidden/>
          </w:rPr>
          <w:fldChar w:fldCharType="separate"/>
        </w:r>
        <w:r w:rsidR="000412CE">
          <w:rPr>
            <w:noProof/>
            <w:webHidden/>
          </w:rPr>
          <w:t>76</w:t>
        </w:r>
        <w:r>
          <w:rPr>
            <w:noProof/>
            <w:webHidden/>
          </w:rPr>
          <w:fldChar w:fldCharType="end"/>
        </w:r>
      </w:hyperlink>
    </w:p>
    <w:p w14:paraId="491ABD6B" w14:textId="4048221A"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35" w:history="1">
        <w:r w:rsidRPr="006F7CD3">
          <w:rPr>
            <w:rStyle w:val="Hyperlink"/>
            <w:rFonts w:ascii="Times New Roman" w:hAnsi="Times New Roman" w:cs="Times New Roman"/>
            <w:noProof/>
          </w:rPr>
          <w:t>Figure 2.7. Effect of pure PCM on PV: maximum electrical-efficiency gain under (a) summer and (b) winter condition [87].</w:t>
        </w:r>
        <w:r>
          <w:rPr>
            <w:noProof/>
            <w:webHidden/>
          </w:rPr>
          <w:tab/>
        </w:r>
        <w:r>
          <w:rPr>
            <w:noProof/>
            <w:webHidden/>
          </w:rPr>
          <w:fldChar w:fldCharType="begin"/>
        </w:r>
        <w:r>
          <w:rPr>
            <w:noProof/>
            <w:webHidden/>
          </w:rPr>
          <w:instrText xml:space="preserve"> PAGEREF _Toc214357735 \h </w:instrText>
        </w:r>
        <w:r>
          <w:rPr>
            <w:noProof/>
            <w:webHidden/>
          </w:rPr>
        </w:r>
        <w:r>
          <w:rPr>
            <w:noProof/>
            <w:webHidden/>
          </w:rPr>
          <w:fldChar w:fldCharType="separate"/>
        </w:r>
        <w:r w:rsidR="000412CE">
          <w:rPr>
            <w:noProof/>
            <w:webHidden/>
          </w:rPr>
          <w:t>78</w:t>
        </w:r>
        <w:r>
          <w:rPr>
            <w:noProof/>
            <w:webHidden/>
          </w:rPr>
          <w:fldChar w:fldCharType="end"/>
        </w:r>
      </w:hyperlink>
    </w:p>
    <w:p w14:paraId="21E18186" w14:textId="00EE1D9B"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36" w:history="1">
        <w:r w:rsidRPr="006F7CD3">
          <w:rPr>
            <w:rStyle w:val="Hyperlink"/>
            <w:rFonts w:cs="Times New Roman"/>
            <w:noProof/>
          </w:rPr>
          <w:t>Figure 2.8. Maximum reduction in PV-temperature using finned-PCM [89].</w:t>
        </w:r>
        <w:r>
          <w:rPr>
            <w:noProof/>
            <w:webHidden/>
          </w:rPr>
          <w:tab/>
        </w:r>
        <w:r>
          <w:rPr>
            <w:noProof/>
            <w:webHidden/>
          </w:rPr>
          <w:fldChar w:fldCharType="begin"/>
        </w:r>
        <w:r>
          <w:rPr>
            <w:noProof/>
            <w:webHidden/>
          </w:rPr>
          <w:instrText xml:space="preserve"> PAGEREF _Toc214357736 \h </w:instrText>
        </w:r>
        <w:r>
          <w:rPr>
            <w:noProof/>
            <w:webHidden/>
          </w:rPr>
        </w:r>
        <w:r>
          <w:rPr>
            <w:noProof/>
            <w:webHidden/>
          </w:rPr>
          <w:fldChar w:fldCharType="separate"/>
        </w:r>
        <w:r w:rsidR="000412CE">
          <w:rPr>
            <w:noProof/>
            <w:webHidden/>
          </w:rPr>
          <w:t>79</w:t>
        </w:r>
        <w:r>
          <w:rPr>
            <w:noProof/>
            <w:webHidden/>
          </w:rPr>
          <w:fldChar w:fldCharType="end"/>
        </w:r>
      </w:hyperlink>
    </w:p>
    <w:p w14:paraId="6332A860" w14:textId="7525B5CD"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37" w:history="1">
        <w:r w:rsidRPr="006F7CD3">
          <w:rPr>
            <w:rStyle w:val="Hyperlink"/>
            <w:noProof/>
          </w:rPr>
          <w:t>Figure 2.9. Scopus trends for PCMs in buildings: (a) publication trend with a recent peak; (b) country share led by China, then India, and the US.</w:t>
        </w:r>
        <w:r>
          <w:rPr>
            <w:noProof/>
            <w:webHidden/>
          </w:rPr>
          <w:tab/>
        </w:r>
        <w:r>
          <w:rPr>
            <w:noProof/>
            <w:webHidden/>
          </w:rPr>
          <w:fldChar w:fldCharType="begin"/>
        </w:r>
        <w:r>
          <w:rPr>
            <w:noProof/>
            <w:webHidden/>
          </w:rPr>
          <w:instrText xml:space="preserve"> PAGEREF _Toc214357737 \h </w:instrText>
        </w:r>
        <w:r>
          <w:rPr>
            <w:noProof/>
            <w:webHidden/>
          </w:rPr>
        </w:r>
        <w:r>
          <w:rPr>
            <w:noProof/>
            <w:webHidden/>
          </w:rPr>
          <w:fldChar w:fldCharType="separate"/>
        </w:r>
        <w:r w:rsidR="000412CE">
          <w:rPr>
            <w:noProof/>
            <w:webHidden/>
          </w:rPr>
          <w:t>81</w:t>
        </w:r>
        <w:r>
          <w:rPr>
            <w:noProof/>
            <w:webHidden/>
          </w:rPr>
          <w:fldChar w:fldCharType="end"/>
        </w:r>
      </w:hyperlink>
    </w:p>
    <w:p w14:paraId="29725BA5" w14:textId="54B426A9"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38" w:history="1">
        <w:r w:rsidRPr="006F7CD3">
          <w:rPr>
            <w:rStyle w:val="Hyperlink"/>
            <w:rFonts w:ascii="Times New Roman" w:hAnsi="Times New Roman" w:cs="Times New Roman"/>
            <w:noProof/>
          </w:rPr>
          <w:t>Figure 2.10. Journal trends for PCMs in buildings: Energy and Buildings led early; Journal of Energy Storage and Journal of Building Engineering.</w:t>
        </w:r>
        <w:r>
          <w:rPr>
            <w:noProof/>
            <w:webHidden/>
          </w:rPr>
          <w:tab/>
        </w:r>
        <w:r>
          <w:rPr>
            <w:noProof/>
            <w:webHidden/>
          </w:rPr>
          <w:fldChar w:fldCharType="begin"/>
        </w:r>
        <w:r>
          <w:rPr>
            <w:noProof/>
            <w:webHidden/>
          </w:rPr>
          <w:instrText xml:space="preserve"> PAGEREF _Toc214357738 \h </w:instrText>
        </w:r>
        <w:r>
          <w:rPr>
            <w:noProof/>
            <w:webHidden/>
          </w:rPr>
        </w:r>
        <w:r>
          <w:rPr>
            <w:noProof/>
            <w:webHidden/>
          </w:rPr>
          <w:fldChar w:fldCharType="separate"/>
        </w:r>
        <w:r w:rsidR="000412CE">
          <w:rPr>
            <w:noProof/>
            <w:webHidden/>
          </w:rPr>
          <w:t>81</w:t>
        </w:r>
        <w:r>
          <w:rPr>
            <w:noProof/>
            <w:webHidden/>
          </w:rPr>
          <w:fldChar w:fldCharType="end"/>
        </w:r>
      </w:hyperlink>
    </w:p>
    <w:p w14:paraId="23328A95" w14:textId="00978227"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39" w:history="1">
        <w:r w:rsidRPr="006F7CD3">
          <w:rPr>
            <w:rStyle w:val="Hyperlink"/>
            <w:rFonts w:cs="Times New Roman"/>
            <w:noProof/>
          </w:rPr>
          <w:t>Figure 2.11. Main ways in which PCMs can be integrated into building components [106].</w:t>
        </w:r>
        <w:r>
          <w:rPr>
            <w:noProof/>
            <w:webHidden/>
          </w:rPr>
          <w:tab/>
        </w:r>
        <w:r>
          <w:rPr>
            <w:noProof/>
            <w:webHidden/>
          </w:rPr>
          <w:fldChar w:fldCharType="begin"/>
        </w:r>
        <w:r>
          <w:rPr>
            <w:noProof/>
            <w:webHidden/>
          </w:rPr>
          <w:instrText xml:space="preserve"> PAGEREF _Toc214357739 \h </w:instrText>
        </w:r>
        <w:r>
          <w:rPr>
            <w:noProof/>
            <w:webHidden/>
          </w:rPr>
        </w:r>
        <w:r>
          <w:rPr>
            <w:noProof/>
            <w:webHidden/>
          </w:rPr>
          <w:fldChar w:fldCharType="separate"/>
        </w:r>
        <w:r w:rsidR="000412CE">
          <w:rPr>
            <w:noProof/>
            <w:webHidden/>
          </w:rPr>
          <w:t>87</w:t>
        </w:r>
        <w:r>
          <w:rPr>
            <w:noProof/>
            <w:webHidden/>
          </w:rPr>
          <w:fldChar w:fldCharType="end"/>
        </w:r>
      </w:hyperlink>
    </w:p>
    <w:p w14:paraId="64FB2E19" w14:textId="7E5CA02D"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40" w:history="1">
        <w:r w:rsidRPr="006F7CD3">
          <w:rPr>
            <w:rStyle w:val="Hyperlink"/>
            <w:rFonts w:cs="Times New Roman"/>
            <w:noProof/>
          </w:rPr>
          <w:t>Figure 2.12. (a) Diagram of the experimental set-up, (b) Actual experimental set-up, (c) Four envelope configurations [114].</w:t>
        </w:r>
        <w:r>
          <w:rPr>
            <w:noProof/>
            <w:webHidden/>
          </w:rPr>
          <w:tab/>
        </w:r>
        <w:r>
          <w:rPr>
            <w:noProof/>
            <w:webHidden/>
          </w:rPr>
          <w:fldChar w:fldCharType="begin"/>
        </w:r>
        <w:r>
          <w:rPr>
            <w:noProof/>
            <w:webHidden/>
          </w:rPr>
          <w:instrText xml:space="preserve"> PAGEREF _Toc214357740 \h </w:instrText>
        </w:r>
        <w:r>
          <w:rPr>
            <w:noProof/>
            <w:webHidden/>
          </w:rPr>
        </w:r>
        <w:r>
          <w:rPr>
            <w:noProof/>
            <w:webHidden/>
          </w:rPr>
          <w:fldChar w:fldCharType="separate"/>
        </w:r>
        <w:r w:rsidR="000412CE">
          <w:rPr>
            <w:noProof/>
            <w:webHidden/>
          </w:rPr>
          <w:t>91</w:t>
        </w:r>
        <w:r>
          <w:rPr>
            <w:noProof/>
            <w:webHidden/>
          </w:rPr>
          <w:fldChar w:fldCharType="end"/>
        </w:r>
      </w:hyperlink>
    </w:p>
    <w:p w14:paraId="13246939" w14:textId="575EA459"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41" w:history="1">
        <w:r w:rsidRPr="006F7CD3">
          <w:rPr>
            <w:rStyle w:val="Hyperlink"/>
            <w:rFonts w:cs="Times New Roman"/>
            <w:noProof/>
          </w:rPr>
          <w:t>Figure 2.13. (a) PCM-air heat exchanger discharging mode, (b) Schematic of PCM-air heat exchanger [99].</w:t>
        </w:r>
        <w:r>
          <w:rPr>
            <w:noProof/>
            <w:webHidden/>
          </w:rPr>
          <w:tab/>
        </w:r>
        <w:r>
          <w:rPr>
            <w:noProof/>
            <w:webHidden/>
          </w:rPr>
          <w:fldChar w:fldCharType="begin"/>
        </w:r>
        <w:r>
          <w:rPr>
            <w:noProof/>
            <w:webHidden/>
          </w:rPr>
          <w:instrText xml:space="preserve"> PAGEREF _Toc214357741 \h </w:instrText>
        </w:r>
        <w:r>
          <w:rPr>
            <w:noProof/>
            <w:webHidden/>
          </w:rPr>
        </w:r>
        <w:r>
          <w:rPr>
            <w:noProof/>
            <w:webHidden/>
          </w:rPr>
          <w:fldChar w:fldCharType="separate"/>
        </w:r>
        <w:r w:rsidR="000412CE">
          <w:rPr>
            <w:noProof/>
            <w:webHidden/>
          </w:rPr>
          <w:t>93</w:t>
        </w:r>
        <w:r>
          <w:rPr>
            <w:noProof/>
            <w:webHidden/>
          </w:rPr>
          <w:fldChar w:fldCharType="end"/>
        </w:r>
      </w:hyperlink>
    </w:p>
    <w:p w14:paraId="76E57803" w14:textId="2EAE9467"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42" w:history="1">
        <w:r w:rsidRPr="006F7CD3">
          <w:rPr>
            <w:rStyle w:val="Hyperlink"/>
            <w:rFonts w:cs="Times New Roman"/>
            <w:noProof/>
          </w:rPr>
          <w:t>Figure 2.14. PCM-integrated roof schematic showing layer stack and dominant heat-transfer modes under solar irradiation</w:t>
        </w:r>
        <w:r w:rsidRPr="006F7CD3">
          <w:rPr>
            <w:rStyle w:val="Hyperlink"/>
            <w:noProof/>
          </w:rPr>
          <w:t>. [106].</w:t>
        </w:r>
        <w:r>
          <w:rPr>
            <w:noProof/>
            <w:webHidden/>
          </w:rPr>
          <w:tab/>
        </w:r>
        <w:r>
          <w:rPr>
            <w:noProof/>
            <w:webHidden/>
          </w:rPr>
          <w:fldChar w:fldCharType="begin"/>
        </w:r>
        <w:r>
          <w:rPr>
            <w:noProof/>
            <w:webHidden/>
          </w:rPr>
          <w:instrText xml:space="preserve"> PAGEREF _Toc214357742 \h </w:instrText>
        </w:r>
        <w:r>
          <w:rPr>
            <w:noProof/>
            <w:webHidden/>
          </w:rPr>
        </w:r>
        <w:r>
          <w:rPr>
            <w:noProof/>
            <w:webHidden/>
          </w:rPr>
          <w:fldChar w:fldCharType="separate"/>
        </w:r>
        <w:r w:rsidR="000412CE">
          <w:rPr>
            <w:noProof/>
            <w:webHidden/>
          </w:rPr>
          <w:t>94</w:t>
        </w:r>
        <w:r>
          <w:rPr>
            <w:noProof/>
            <w:webHidden/>
          </w:rPr>
          <w:fldChar w:fldCharType="end"/>
        </w:r>
      </w:hyperlink>
    </w:p>
    <w:p w14:paraId="5C39EFCB" w14:textId="1BEE6125"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43" w:history="1">
        <w:r w:rsidRPr="006F7CD3">
          <w:rPr>
            <w:rStyle w:val="Hyperlink"/>
            <w:rFonts w:cs="Times New Roman"/>
            <w:noProof/>
          </w:rPr>
          <w:t>Figure 2.15. (a) PCM shutter cuts indoor (b)</w:t>
        </w:r>
        <w:r w:rsidRPr="006F7CD3">
          <w:rPr>
            <w:rStyle w:val="Hyperlink"/>
            <w:noProof/>
          </w:rPr>
          <w:t xml:space="preserve"> </w:t>
        </w:r>
        <w:r w:rsidRPr="006F7CD3">
          <w:rPr>
            <w:rStyle w:val="Hyperlink"/>
            <w:rFonts w:cs="Times New Roman"/>
            <w:noProof/>
          </w:rPr>
          <w:t>glazed energy-storage windows (c) nano-enhanced paraffin PCM (d) PCM curtain (e) Al₂O₃ nanoparticles (f) double-glazing with PCM [106].</w:t>
        </w:r>
        <w:r>
          <w:rPr>
            <w:noProof/>
            <w:webHidden/>
          </w:rPr>
          <w:tab/>
        </w:r>
        <w:r>
          <w:rPr>
            <w:noProof/>
            <w:webHidden/>
          </w:rPr>
          <w:fldChar w:fldCharType="begin"/>
        </w:r>
        <w:r>
          <w:rPr>
            <w:noProof/>
            <w:webHidden/>
          </w:rPr>
          <w:instrText xml:space="preserve"> PAGEREF _Toc214357743 \h </w:instrText>
        </w:r>
        <w:r>
          <w:rPr>
            <w:noProof/>
            <w:webHidden/>
          </w:rPr>
        </w:r>
        <w:r>
          <w:rPr>
            <w:noProof/>
            <w:webHidden/>
          </w:rPr>
          <w:fldChar w:fldCharType="separate"/>
        </w:r>
        <w:r w:rsidR="000412CE">
          <w:rPr>
            <w:noProof/>
            <w:webHidden/>
          </w:rPr>
          <w:t>95</w:t>
        </w:r>
        <w:r>
          <w:rPr>
            <w:noProof/>
            <w:webHidden/>
          </w:rPr>
          <w:fldChar w:fldCharType="end"/>
        </w:r>
      </w:hyperlink>
    </w:p>
    <w:p w14:paraId="35B11D62" w14:textId="72D120C3"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44" w:history="1">
        <w:r w:rsidRPr="006F7CD3">
          <w:rPr>
            <w:rStyle w:val="Hyperlink"/>
            <w:noProof/>
          </w:rPr>
          <w:t>Figure 2.16. Scopus trends for PCM in cold-chain applications: (a) publications trend with a sharp rise in 2020–2024; (b) country contributions led by China and India.</w:t>
        </w:r>
        <w:r>
          <w:rPr>
            <w:noProof/>
            <w:webHidden/>
          </w:rPr>
          <w:tab/>
        </w:r>
        <w:r>
          <w:rPr>
            <w:noProof/>
            <w:webHidden/>
          </w:rPr>
          <w:fldChar w:fldCharType="begin"/>
        </w:r>
        <w:r>
          <w:rPr>
            <w:noProof/>
            <w:webHidden/>
          </w:rPr>
          <w:instrText xml:space="preserve"> PAGEREF _Toc214357744 \h </w:instrText>
        </w:r>
        <w:r>
          <w:rPr>
            <w:noProof/>
            <w:webHidden/>
          </w:rPr>
        </w:r>
        <w:r>
          <w:rPr>
            <w:noProof/>
            <w:webHidden/>
          </w:rPr>
          <w:fldChar w:fldCharType="separate"/>
        </w:r>
        <w:r w:rsidR="000412CE">
          <w:rPr>
            <w:noProof/>
            <w:webHidden/>
          </w:rPr>
          <w:t>99</w:t>
        </w:r>
        <w:r>
          <w:rPr>
            <w:noProof/>
            <w:webHidden/>
          </w:rPr>
          <w:fldChar w:fldCharType="end"/>
        </w:r>
      </w:hyperlink>
    </w:p>
    <w:p w14:paraId="66C0FBE3" w14:textId="26ADA3C4"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45" w:history="1">
        <w:r w:rsidRPr="006F7CD3">
          <w:rPr>
            <w:rStyle w:val="Hyperlink"/>
            <w:rFonts w:ascii="Times New Roman" w:hAnsi="Times New Roman" w:cs="Times New Roman"/>
            <w:noProof/>
          </w:rPr>
          <w:t>Figure 2.17. Publications by source for PCM in the cold chain: Journal of Energy Storage, Applied Thermal Engineering and Applied Energy, Energy and Buildings.</w:t>
        </w:r>
        <w:r>
          <w:rPr>
            <w:noProof/>
            <w:webHidden/>
          </w:rPr>
          <w:tab/>
        </w:r>
        <w:r>
          <w:rPr>
            <w:noProof/>
            <w:webHidden/>
          </w:rPr>
          <w:fldChar w:fldCharType="begin"/>
        </w:r>
        <w:r>
          <w:rPr>
            <w:noProof/>
            <w:webHidden/>
          </w:rPr>
          <w:instrText xml:space="preserve"> PAGEREF _Toc214357745 \h </w:instrText>
        </w:r>
        <w:r>
          <w:rPr>
            <w:noProof/>
            <w:webHidden/>
          </w:rPr>
        </w:r>
        <w:r>
          <w:rPr>
            <w:noProof/>
            <w:webHidden/>
          </w:rPr>
          <w:fldChar w:fldCharType="separate"/>
        </w:r>
        <w:r w:rsidR="000412CE">
          <w:rPr>
            <w:noProof/>
            <w:webHidden/>
          </w:rPr>
          <w:t>99</w:t>
        </w:r>
        <w:r>
          <w:rPr>
            <w:noProof/>
            <w:webHidden/>
          </w:rPr>
          <w:fldChar w:fldCharType="end"/>
        </w:r>
      </w:hyperlink>
    </w:p>
    <w:p w14:paraId="148C11A7" w14:textId="6673B69C"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46" w:history="1">
        <w:r w:rsidRPr="006F7CD3">
          <w:rPr>
            <w:rStyle w:val="Hyperlink"/>
            <w:rFonts w:cs="Times New Roman"/>
            <w:noProof/>
          </w:rPr>
          <w:t>Figure 2.18. Fresh products cold chain logistics process</w:t>
        </w:r>
        <w:r w:rsidRPr="006F7CD3">
          <w:rPr>
            <w:rStyle w:val="Hyperlink"/>
            <w:noProof/>
          </w:rPr>
          <w:t>. [160].</w:t>
        </w:r>
        <w:r>
          <w:rPr>
            <w:noProof/>
            <w:webHidden/>
          </w:rPr>
          <w:tab/>
        </w:r>
        <w:r>
          <w:rPr>
            <w:noProof/>
            <w:webHidden/>
          </w:rPr>
          <w:fldChar w:fldCharType="begin"/>
        </w:r>
        <w:r>
          <w:rPr>
            <w:noProof/>
            <w:webHidden/>
          </w:rPr>
          <w:instrText xml:space="preserve"> PAGEREF _Toc214357746 \h </w:instrText>
        </w:r>
        <w:r>
          <w:rPr>
            <w:noProof/>
            <w:webHidden/>
          </w:rPr>
        </w:r>
        <w:r>
          <w:rPr>
            <w:noProof/>
            <w:webHidden/>
          </w:rPr>
          <w:fldChar w:fldCharType="separate"/>
        </w:r>
        <w:r w:rsidR="000412CE">
          <w:rPr>
            <w:noProof/>
            <w:webHidden/>
          </w:rPr>
          <w:t>107</w:t>
        </w:r>
        <w:r>
          <w:rPr>
            <w:noProof/>
            <w:webHidden/>
          </w:rPr>
          <w:fldChar w:fldCharType="end"/>
        </w:r>
      </w:hyperlink>
    </w:p>
    <w:p w14:paraId="5C8DF381" w14:textId="05C62A16"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47" w:history="1">
        <w:r w:rsidRPr="006F7CD3">
          <w:rPr>
            <w:rStyle w:val="Hyperlink"/>
            <w:rFonts w:ascii="Times New Roman" w:hAnsi="Times New Roman" w:cs="Times New Roman"/>
            <w:noProof/>
          </w:rPr>
          <w:t>Figure 2.19. Vaccine cold storage equipment (reproduced from Oxford University Press, copyright 2018) [167].</w:t>
        </w:r>
        <w:r>
          <w:rPr>
            <w:noProof/>
            <w:webHidden/>
          </w:rPr>
          <w:tab/>
        </w:r>
        <w:r>
          <w:rPr>
            <w:noProof/>
            <w:webHidden/>
          </w:rPr>
          <w:fldChar w:fldCharType="begin"/>
        </w:r>
        <w:r>
          <w:rPr>
            <w:noProof/>
            <w:webHidden/>
          </w:rPr>
          <w:instrText xml:space="preserve"> PAGEREF _Toc214357747 \h </w:instrText>
        </w:r>
        <w:r>
          <w:rPr>
            <w:noProof/>
            <w:webHidden/>
          </w:rPr>
        </w:r>
        <w:r>
          <w:rPr>
            <w:noProof/>
            <w:webHidden/>
          </w:rPr>
          <w:fldChar w:fldCharType="separate"/>
        </w:r>
        <w:r w:rsidR="000412CE">
          <w:rPr>
            <w:noProof/>
            <w:webHidden/>
          </w:rPr>
          <w:t>111</w:t>
        </w:r>
        <w:r>
          <w:rPr>
            <w:noProof/>
            <w:webHidden/>
          </w:rPr>
          <w:fldChar w:fldCharType="end"/>
        </w:r>
      </w:hyperlink>
    </w:p>
    <w:p w14:paraId="4CC392C6" w14:textId="7A8142B9"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48" w:history="1">
        <w:r w:rsidRPr="006F7CD3">
          <w:rPr>
            <w:rStyle w:val="Hyperlink"/>
            <w:rFonts w:cs="Times New Roman"/>
            <w:noProof/>
          </w:rPr>
          <w:t>Figure 2.20. Scopus trends for PCM in textiles: (a) publication trends and surge from 2015; (b) country publication contributions led by major textile producers.</w:t>
        </w:r>
        <w:r>
          <w:rPr>
            <w:noProof/>
            <w:webHidden/>
          </w:rPr>
          <w:tab/>
        </w:r>
        <w:r>
          <w:rPr>
            <w:noProof/>
            <w:webHidden/>
          </w:rPr>
          <w:fldChar w:fldCharType="begin"/>
        </w:r>
        <w:r>
          <w:rPr>
            <w:noProof/>
            <w:webHidden/>
          </w:rPr>
          <w:instrText xml:space="preserve"> PAGEREF _Toc214357748 \h </w:instrText>
        </w:r>
        <w:r>
          <w:rPr>
            <w:noProof/>
            <w:webHidden/>
          </w:rPr>
        </w:r>
        <w:r>
          <w:rPr>
            <w:noProof/>
            <w:webHidden/>
          </w:rPr>
          <w:fldChar w:fldCharType="separate"/>
        </w:r>
        <w:r w:rsidR="000412CE">
          <w:rPr>
            <w:noProof/>
            <w:webHidden/>
          </w:rPr>
          <w:t>114</w:t>
        </w:r>
        <w:r>
          <w:rPr>
            <w:noProof/>
            <w:webHidden/>
          </w:rPr>
          <w:fldChar w:fldCharType="end"/>
        </w:r>
      </w:hyperlink>
    </w:p>
    <w:p w14:paraId="05E299E3" w14:textId="5D8ADC53"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49" w:history="1">
        <w:r w:rsidRPr="006F7CD3">
          <w:rPr>
            <w:rStyle w:val="Hyperlink"/>
            <w:rFonts w:ascii="Times New Roman" w:hAnsi="Times New Roman" w:cs="Times New Roman"/>
            <w:noProof/>
          </w:rPr>
          <w:t>Figure 2.21. Publications by source for PCMs in textiles: Energy and Buildings; Journal of Energy Storage and Journal of Building Engineering</w:t>
        </w:r>
        <w:r w:rsidRPr="006F7CD3">
          <w:rPr>
            <w:rStyle w:val="Hyperlink"/>
            <w:noProof/>
          </w:rPr>
          <w:t>.</w:t>
        </w:r>
        <w:r>
          <w:rPr>
            <w:noProof/>
            <w:webHidden/>
          </w:rPr>
          <w:tab/>
        </w:r>
        <w:r>
          <w:rPr>
            <w:noProof/>
            <w:webHidden/>
          </w:rPr>
          <w:fldChar w:fldCharType="begin"/>
        </w:r>
        <w:r>
          <w:rPr>
            <w:noProof/>
            <w:webHidden/>
          </w:rPr>
          <w:instrText xml:space="preserve"> PAGEREF _Toc214357749 \h </w:instrText>
        </w:r>
        <w:r>
          <w:rPr>
            <w:noProof/>
            <w:webHidden/>
          </w:rPr>
        </w:r>
        <w:r>
          <w:rPr>
            <w:noProof/>
            <w:webHidden/>
          </w:rPr>
          <w:fldChar w:fldCharType="separate"/>
        </w:r>
        <w:r w:rsidR="000412CE">
          <w:rPr>
            <w:noProof/>
            <w:webHidden/>
          </w:rPr>
          <w:t>115</w:t>
        </w:r>
        <w:r>
          <w:rPr>
            <w:noProof/>
            <w:webHidden/>
          </w:rPr>
          <w:fldChar w:fldCharType="end"/>
        </w:r>
      </w:hyperlink>
    </w:p>
    <w:p w14:paraId="613658C7" w14:textId="51FB1CCB"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50" w:history="1">
        <w:r w:rsidRPr="006F7CD3">
          <w:rPr>
            <w:rStyle w:val="Hyperlink"/>
            <w:rFonts w:ascii="Times New Roman" w:hAnsi="Times New Roman" w:cs="Times New Roman"/>
            <w:noProof/>
          </w:rPr>
          <w:t>Figure 2.22. (a)</w:t>
        </w:r>
        <w:r w:rsidRPr="006F7CD3">
          <w:rPr>
            <w:rStyle w:val="Hyperlink"/>
            <w:rFonts w:cs="Times New Roman"/>
            <w:noProof/>
          </w:rPr>
          <w:t xml:space="preserve"> the PCM-only vest</w:t>
        </w:r>
        <w:r w:rsidRPr="006F7CD3">
          <w:rPr>
            <w:rStyle w:val="Hyperlink"/>
            <w:rFonts w:ascii="Times New Roman" w:hAnsi="Times New Roman" w:cs="Times New Roman"/>
            <w:noProof/>
          </w:rPr>
          <w:t xml:space="preserve"> (b)</w:t>
        </w:r>
        <w:r w:rsidRPr="006F7CD3">
          <w:rPr>
            <w:rStyle w:val="Hyperlink"/>
            <w:rFonts w:cs="Times New Roman"/>
            <w:noProof/>
          </w:rPr>
          <w:t xml:space="preserve"> the hybrid PCM–desiccant vest</w:t>
        </w:r>
        <w:r w:rsidRPr="006F7CD3">
          <w:rPr>
            <w:rStyle w:val="Hyperlink"/>
            <w:rFonts w:ascii="Times New Roman" w:hAnsi="Times New Roman" w:cs="Times New Roman"/>
            <w:noProof/>
          </w:rPr>
          <w:t xml:space="preserve"> (c</w:t>
        </w:r>
        <w:r w:rsidRPr="006F7CD3">
          <w:rPr>
            <w:rStyle w:val="Hyperlink"/>
            <w:noProof/>
          </w:rPr>
          <w:t>)</w:t>
        </w:r>
        <w:r w:rsidRPr="006F7CD3">
          <w:rPr>
            <w:rStyle w:val="Hyperlink"/>
            <w:rFonts w:cs="Times New Roman"/>
            <w:noProof/>
          </w:rPr>
          <w:t xml:space="preserve"> ) the hybrid PCM–Fan vest [174].</w:t>
        </w:r>
        <w:r>
          <w:rPr>
            <w:noProof/>
            <w:webHidden/>
          </w:rPr>
          <w:tab/>
        </w:r>
        <w:r>
          <w:rPr>
            <w:noProof/>
            <w:webHidden/>
          </w:rPr>
          <w:fldChar w:fldCharType="begin"/>
        </w:r>
        <w:r>
          <w:rPr>
            <w:noProof/>
            <w:webHidden/>
          </w:rPr>
          <w:instrText xml:space="preserve"> PAGEREF _Toc214357750 \h </w:instrText>
        </w:r>
        <w:r>
          <w:rPr>
            <w:noProof/>
            <w:webHidden/>
          </w:rPr>
        </w:r>
        <w:r>
          <w:rPr>
            <w:noProof/>
            <w:webHidden/>
          </w:rPr>
          <w:fldChar w:fldCharType="separate"/>
        </w:r>
        <w:r w:rsidR="000412CE">
          <w:rPr>
            <w:noProof/>
            <w:webHidden/>
          </w:rPr>
          <w:t>119</w:t>
        </w:r>
        <w:r>
          <w:rPr>
            <w:noProof/>
            <w:webHidden/>
          </w:rPr>
          <w:fldChar w:fldCharType="end"/>
        </w:r>
      </w:hyperlink>
    </w:p>
    <w:p w14:paraId="7CF8B6C9" w14:textId="0DA62561"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51" w:history="1">
        <w:r w:rsidRPr="006F7CD3">
          <w:rPr>
            <w:rStyle w:val="Hyperlink"/>
            <w:rFonts w:cs="Times New Roman"/>
            <w:noProof/>
          </w:rPr>
          <w:t>Figure 2.23. PCM cooling vest: (a) example PCM packs and (b) front/interior views showing pack placement to maximize heat absorption and wearer comfort [180]</w:t>
        </w:r>
        <w:r w:rsidRPr="006F7CD3">
          <w:rPr>
            <w:rStyle w:val="Hyperlink"/>
            <w:noProof/>
          </w:rPr>
          <w:t>.</w:t>
        </w:r>
        <w:r>
          <w:rPr>
            <w:noProof/>
            <w:webHidden/>
          </w:rPr>
          <w:tab/>
        </w:r>
        <w:r>
          <w:rPr>
            <w:noProof/>
            <w:webHidden/>
          </w:rPr>
          <w:fldChar w:fldCharType="begin"/>
        </w:r>
        <w:r>
          <w:rPr>
            <w:noProof/>
            <w:webHidden/>
          </w:rPr>
          <w:instrText xml:space="preserve"> PAGEREF _Toc214357751 \h </w:instrText>
        </w:r>
        <w:r>
          <w:rPr>
            <w:noProof/>
            <w:webHidden/>
          </w:rPr>
        </w:r>
        <w:r>
          <w:rPr>
            <w:noProof/>
            <w:webHidden/>
          </w:rPr>
          <w:fldChar w:fldCharType="separate"/>
        </w:r>
        <w:r w:rsidR="000412CE">
          <w:rPr>
            <w:noProof/>
            <w:webHidden/>
          </w:rPr>
          <w:t>122</w:t>
        </w:r>
        <w:r>
          <w:rPr>
            <w:noProof/>
            <w:webHidden/>
          </w:rPr>
          <w:fldChar w:fldCharType="end"/>
        </w:r>
      </w:hyperlink>
    </w:p>
    <w:p w14:paraId="6C893DD2" w14:textId="7DE6928D"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52" w:history="1">
        <w:r w:rsidRPr="006F7CD3">
          <w:rPr>
            <w:rStyle w:val="Hyperlink"/>
            <w:rFonts w:cs="Times New Roman"/>
            <w:noProof/>
          </w:rPr>
          <w:t>Figure 2.24. Application of PCMs integrated in clothing [191].</w:t>
        </w:r>
        <w:r>
          <w:rPr>
            <w:noProof/>
            <w:webHidden/>
          </w:rPr>
          <w:tab/>
        </w:r>
        <w:r>
          <w:rPr>
            <w:noProof/>
            <w:webHidden/>
          </w:rPr>
          <w:fldChar w:fldCharType="begin"/>
        </w:r>
        <w:r>
          <w:rPr>
            <w:noProof/>
            <w:webHidden/>
          </w:rPr>
          <w:instrText xml:space="preserve"> PAGEREF _Toc214357752 \h </w:instrText>
        </w:r>
        <w:r>
          <w:rPr>
            <w:noProof/>
            <w:webHidden/>
          </w:rPr>
        </w:r>
        <w:r>
          <w:rPr>
            <w:noProof/>
            <w:webHidden/>
          </w:rPr>
          <w:fldChar w:fldCharType="separate"/>
        </w:r>
        <w:r w:rsidR="000412CE">
          <w:rPr>
            <w:noProof/>
            <w:webHidden/>
          </w:rPr>
          <w:t>123</w:t>
        </w:r>
        <w:r>
          <w:rPr>
            <w:noProof/>
            <w:webHidden/>
          </w:rPr>
          <w:fldChar w:fldCharType="end"/>
        </w:r>
      </w:hyperlink>
    </w:p>
    <w:p w14:paraId="6815846B" w14:textId="06DD4190"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53" w:history="1">
        <w:r w:rsidRPr="006F7CD3">
          <w:rPr>
            <w:rStyle w:val="Hyperlink"/>
            <w:noProof/>
          </w:rPr>
          <w:t>Figure 2.25. Schematic representation of an energy storage  system according to a first embodiment of the present invention.</w:t>
        </w:r>
        <w:r>
          <w:rPr>
            <w:noProof/>
            <w:webHidden/>
          </w:rPr>
          <w:tab/>
        </w:r>
        <w:r>
          <w:rPr>
            <w:noProof/>
            <w:webHidden/>
          </w:rPr>
          <w:fldChar w:fldCharType="begin"/>
        </w:r>
        <w:r>
          <w:rPr>
            <w:noProof/>
            <w:webHidden/>
          </w:rPr>
          <w:instrText xml:space="preserve"> PAGEREF _Toc214357753 \h </w:instrText>
        </w:r>
        <w:r>
          <w:rPr>
            <w:noProof/>
            <w:webHidden/>
          </w:rPr>
        </w:r>
        <w:r>
          <w:rPr>
            <w:noProof/>
            <w:webHidden/>
          </w:rPr>
          <w:fldChar w:fldCharType="separate"/>
        </w:r>
        <w:r w:rsidR="000412CE">
          <w:rPr>
            <w:noProof/>
            <w:webHidden/>
          </w:rPr>
          <w:t>130</w:t>
        </w:r>
        <w:r>
          <w:rPr>
            <w:noProof/>
            <w:webHidden/>
          </w:rPr>
          <w:fldChar w:fldCharType="end"/>
        </w:r>
      </w:hyperlink>
    </w:p>
    <w:p w14:paraId="1C85E2B3" w14:textId="46E121F2"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54" w:history="1">
        <w:r w:rsidRPr="006F7CD3">
          <w:rPr>
            <w:rStyle w:val="Hyperlink"/>
            <w:noProof/>
          </w:rPr>
          <w:t>Figure 2.26. Schematic view of a thermal storage system according to John's patent.</w:t>
        </w:r>
        <w:r>
          <w:rPr>
            <w:noProof/>
            <w:webHidden/>
          </w:rPr>
          <w:tab/>
        </w:r>
        <w:r>
          <w:rPr>
            <w:noProof/>
            <w:webHidden/>
          </w:rPr>
          <w:fldChar w:fldCharType="begin"/>
        </w:r>
        <w:r>
          <w:rPr>
            <w:noProof/>
            <w:webHidden/>
          </w:rPr>
          <w:instrText xml:space="preserve"> PAGEREF _Toc214357754 \h </w:instrText>
        </w:r>
        <w:r>
          <w:rPr>
            <w:noProof/>
            <w:webHidden/>
          </w:rPr>
        </w:r>
        <w:r>
          <w:rPr>
            <w:noProof/>
            <w:webHidden/>
          </w:rPr>
          <w:fldChar w:fldCharType="separate"/>
        </w:r>
        <w:r w:rsidR="000412CE">
          <w:rPr>
            <w:noProof/>
            <w:webHidden/>
          </w:rPr>
          <w:t>130</w:t>
        </w:r>
        <w:r>
          <w:rPr>
            <w:noProof/>
            <w:webHidden/>
          </w:rPr>
          <w:fldChar w:fldCharType="end"/>
        </w:r>
      </w:hyperlink>
    </w:p>
    <w:p w14:paraId="5756C119" w14:textId="4174EF87"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55" w:history="1">
        <w:r w:rsidRPr="006F7CD3">
          <w:rPr>
            <w:rStyle w:val="Hyperlink"/>
            <w:noProof/>
          </w:rPr>
          <w:t>Figure 2.27. Cutaway view of an example dual tank  embodiment of the disclosed technologies.</w:t>
        </w:r>
        <w:r>
          <w:rPr>
            <w:noProof/>
            <w:webHidden/>
          </w:rPr>
          <w:tab/>
        </w:r>
        <w:r>
          <w:rPr>
            <w:noProof/>
            <w:webHidden/>
          </w:rPr>
          <w:fldChar w:fldCharType="begin"/>
        </w:r>
        <w:r>
          <w:rPr>
            <w:noProof/>
            <w:webHidden/>
          </w:rPr>
          <w:instrText xml:space="preserve"> PAGEREF _Toc214357755 \h </w:instrText>
        </w:r>
        <w:r>
          <w:rPr>
            <w:noProof/>
            <w:webHidden/>
          </w:rPr>
        </w:r>
        <w:r>
          <w:rPr>
            <w:noProof/>
            <w:webHidden/>
          </w:rPr>
          <w:fldChar w:fldCharType="separate"/>
        </w:r>
        <w:r w:rsidR="000412CE">
          <w:rPr>
            <w:noProof/>
            <w:webHidden/>
          </w:rPr>
          <w:t>131</w:t>
        </w:r>
        <w:r>
          <w:rPr>
            <w:noProof/>
            <w:webHidden/>
          </w:rPr>
          <w:fldChar w:fldCharType="end"/>
        </w:r>
      </w:hyperlink>
    </w:p>
    <w:p w14:paraId="363AAE47" w14:textId="682029C6"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56" w:history="1">
        <w:r w:rsidRPr="006F7CD3">
          <w:rPr>
            <w:rStyle w:val="Hyperlink"/>
            <w:noProof/>
          </w:rPr>
          <w:t>Figure 2.28. Top view of a composite panel according to a first example embodiment according to Sawafta's patent.</w:t>
        </w:r>
        <w:r>
          <w:rPr>
            <w:noProof/>
            <w:webHidden/>
          </w:rPr>
          <w:tab/>
        </w:r>
        <w:r>
          <w:rPr>
            <w:noProof/>
            <w:webHidden/>
          </w:rPr>
          <w:fldChar w:fldCharType="begin"/>
        </w:r>
        <w:r>
          <w:rPr>
            <w:noProof/>
            <w:webHidden/>
          </w:rPr>
          <w:instrText xml:space="preserve"> PAGEREF _Toc214357756 \h </w:instrText>
        </w:r>
        <w:r>
          <w:rPr>
            <w:noProof/>
            <w:webHidden/>
          </w:rPr>
        </w:r>
        <w:r>
          <w:rPr>
            <w:noProof/>
            <w:webHidden/>
          </w:rPr>
          <w:fldChar w:fldCharType="separate"/>
        </w:r>
        <w:r w:rsidR="000412CE">
          <w:rPr>
            <w:noProof/>
            <w:webHidden/>
          </w:rPr>
          <w:t>131</w:t>
        </w:r>
        <w:r>
          <w:rPr>
            <w:noProof/>
            <w:webHidden/>
          </w:rPr>
          <w:fldChar w:fldCharType="end"/>
        </w:r>
      </w:hyperlink>
    </w:p>
    <w:p w14:paraId="043CBD9A" w14:textId="6274FB7E"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57" w:history="1">
        <w:r w:rsidRPr="006F7CD3">
          <w:rPr>
            <w:rStyle w:val="Hyperlink"/>
            <w:noProof/>
          </w:rPr>
          <w:t>Figure 2.29. PCM portion of a switch  according to one particular embodiment.</w:t>
        </w:r>
        <w:r>
          <w:rPr>
            <w:noProof/>
            <w:webHidden/>
          </w:rPr>
          <w:tab/>
        </w:r>
        <w:r>
          <w:rPr>
            <w:noProof/>
            <w:webHidden/>
          </w:rPr>
          <w:fldChar w:fldCharType="begin"/>
        </w:r>
        <w:r>
          <w:rPr>
            <w:noProof/>
            <w:webHidden/>
          </w:rPr>
          <w:instrText xml:space="preserve"> PAGEREF _Toc214357757 \h </w:instrText>
        </w:r>
        <w:r>
          <w:rPr>
            <w:noProof/>
            <w:webHidden/>
          </w:rPr>
        </w:r>
        <w:r>
          <w:rPr>
            <w:noProof/>
            <w:webHidden/>
          </w:rPr>
          <w:fldChar w:fldCharType="separate"/>
        </w:r>
        <w:r w:rsidR="000412CE">
          <w:rPr>
            <w:noProof/>
            <w:webHidden/>
          </w:rPr>
          <w:t>132</w:t>
        </w:r>
        <w:r>
          <w:rPr>
            <w:noProof/>
            <w:webHidden/>
          </w:rPr>
          <w:fldChar w:fldCharType="end"/>
        </w:r>
      </w:hyperlink>
    </w:p>
    <w:p w14:paraId="29426E53" w14:textId="1D334816"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58" w:history="1">
        <w:r w:rsidRPr="006F7CD3">
          <w:rPr>
            <w:rStyle w:val="Hyperlink"/>
            <w:noProof/>
          </w:rPr>
          <w:t>Figure 2.30. perspective view of a product transport container according to one embodiment described herein wherein the container is illustrated in an open position.</w:t>
        </w:r>
        <w:r>
          <w:rPr>
            <w:noProof/>
            <w:webHidden/>
          </w:rPr>
          <w:tab/>
        </w:r>
        <w:r>
          <w:rPr>
            <w:noProof/>
            <w:webHidden/>
          </w:rPr>
          <w:fldChar w:fldCharType="begin"/>
        </w:r>
        <w:r>
          <w:rPr>
            <w:noProof/>
            <w:webHidden/>
          </w:rPr>
          <w:instrText xml:space="preserve"> PAGEREF _Toc214357758 \h </w:instrText>
        </w:r>
        <w:r>
          <w:rPr>
            <w:noProof/>
            <w:webHidden/>
          </w:rPr>
        </w:r>
        <w:r>
          <w:rPr>
            <w:noProof/>
            <w:webHidden/>
          </w:rPr>
          <w:fldChar w:fldCharType="separate"/>
        </w:r>
        <w:r w:rsidR="000412CE">
          <w:rPr>
            <w:noProof/>
            <w:webHidden/>
          </w:rPr>
          <w:t>132</w:t>
        </w:r>
        <w:r>
          <w:rPr>
            <w:noProof/>
            <w:webHidden/>
          </w:rPr>
          <w:fldChar w:fldCharType="end"/>
        </w:r>
      </w:hyperlink>
    </w:p>
    <w:p w14:paraId="748F3486" w14:textId="543095DD"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59" w:history="1">
        <w:r w:rsidRPr="006F7CD3">
          <w:rPr>
            <w:rStyle w:val="Hyperlink"/>
            <w:noProof/>
          </w:rPr>
          <w:t>Figure 2.31. Three-dimensional (3D)  perspective cross-section of a cylindrical Li-ion battery exploiting a PCM based internal BTM system according to an embodiment of the invention.</w:t>
        </w:r>
        <w:r>
          <w:rPr>
            <w:noProof/>
            <w:webHidden/>
          </w:rPr>
          <w:tab/>
        </w:r>
        <w:r>
          <w:rPr>
            <w:noProof/>
            <w:webHidden/>
          </w:rPr>
          <w:fldChar w:fldCharType="begin"/>
        </w:r>
        <w:r>
          <w:rPr>
            <w:noProof/>
            <w:webHidden/>
          </w:rPr>
          <w:instrText xml:space="preserve"> PAGEREF _Toc214357759 \h </w:instrText>
        </w:r>
        <w:r>
          <w:rPr>
            <w:noProof/>
            <w:webHidden/>
          </w:rPr>
        </w:r>
        <w:r>
          <w:rPr>
            <w:noProof/>
            <w:webHidden/>
          </w:rPr>
          <w:fldChar w:fldCharType="separate"/>
        </w:r>
        <w:r w:rsidR="000412CE">
          <w:rPr>
            <w:noProof/>
            <w:webHidden/>
          </w:rPr>
          <w:t>133</w:t>
        </w:r>
        <w:r>
          <w:rPr>
            <w:noProof/>
            <w:webHidden/>
          </w:rPr>
          <w:fldChar w:fldCharType="end"/>
        </w:r>
      </w:hyperlink>
    </w:p>
    <w:p w14:paraId="34DEF8BC" w14:textId="731C16E1"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60" w:history="1">
        <w:r w:rsidRPr="006F7CD3">
          <w:rPr>
            <w:rStyle w:val="Hyperlink"/>
            <w:noProof/>
          </w:rPr>
          <w:t>Figure 2.32. Perspective exploded diagram of the thermal management device, according to certain embodiments.</w:t>
        </w:r>
        <w:r>
          <w:rPr>
            <w:noProof/>
            <w:webHidden/>
          </w:rPr>
          <w:tab/>
        </w:r>
        <w:r>
          <w:rPr>
            <w:noProof/>
            <w:webHidden/>
          </w:rPr>
          <w:fldChar w:fldCharType="begin"/>
        </w:r>
        <w:r>
          <w:rPr>
            <w:noProof/>
            <w:webHidden/>
          </w:rPr>
          <w:instrText xml:space="preserve"> PAGEREF _Toc214357760 \h </w:instrText>
        </w:r>
        <w:r>
          <w:rPr>
            <w:noProof/>
            <w:webHidden/>
          </w:rPr>
        </w:r>
        <w:r>
          <w:rPr>
            <w:noProof/>
            <w:webHidden/>
          </w:rPr>
          <w:fldChar w:fldCharType="separate"/>
        </w:r>
        <w:r w:rsidR="000412CE">
          <w:rPr>
            <w:noProof/>
            <w:webHidden/>
          </w:rPr>
          <w:t>133</w:t>
        </w:r>
        <w:r>
          <w:rPr>
            <w:noProof/>
            <w:webHidden/>
          </w:rPr>
          <w:fldChar w:fldCharType="end"/>
        </w:r>
      </w:hyperlink>
    </w:p>
    <w:p w14:paraId="68F9081B" w14:textId="6D1B2449"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61" w:history="1">
        <w:r w:rsidRPr="006F7CD3">
          <w:rPr>
            <w:rStyle w:val="Hyperlink"/>
            <w:noProof/>
          </w:rPr>
          <w:t>Figure 2.33. Example of the thermal storage device of vehicle's thermal management system.</w:t>
        </w:r>
        <w:r>
          <w:rPr>
            <w:noProof/>
            <w:webHidden/>
          </w:rPr>
          <w:tab/>
        </w:r>
        <w:r>
          <w:rPr>
            <w:noProof/>
            <w:webHidden/>
          </w:rPr>
          <w:fldChar w:fldCharType="begin"/>
        </w:r>
        <w:r>
          <w:rPr>
            <w:noProof/>
            <w:webHidden/>
          </w:rPr>
          <w:instrText xml:space="preserve"> PAGEREF _Toc214357761 \h </w:instrText>
        </w:r>
        <w:r>
          <w:rPr>
            <w:noProof/>
            <w:webHidden/>
          </w:rPr>
        </w:r>
        <w:r>
          <w:rPr>
            <w:noProof/>
            <w:webHidden/>
          </w:rPr>
          <w:fldChar w:fldCharType="separate"/>
        </w:r>
        <w:r w:rsidR="000412CE">
          <w:rPr>
            <w:noProof/>
            <w:webHidden/>
          </w:rPr>
          <w:t>134</w:t>
        </w:r>
        <w:r>
          <w:rPr>
            <w:noProof/>
            <w:webHidden/>
          </w:rPr>
          <w:fldChar w:fldCharType="end"/>
        </w:r>
      </w:hyperlink>
    </w:p>
    <w:p w14:paraId="34B8DC69" w14:textId="0CA689B0"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62" w:history="1">
        <w:r w:rsidRPr="006F7CD3">
          <w:rPr>
            <w:rStyle w:val="Hyperlink"/>
            <w:noProof/>
          </w:rPr>
          <w:t>Figure 2.34. Diagram of the phase-change energy-storage structure for building insulation and of the shaped phase-change energy-storage insulation board.</w:t>
        </w:r>
        <w:r>
          <w:rPr>
            <w:noProof/>
            <w:webHidden/>
          </w:rPr>
          <w:tab/>
        </w:r>
        <w:r>
          <w:rPr>
            <w:noProof/>
            <w:webHidden/>
          </w:rPr>
          <w:fldChar w:fldCharType="begin"/>
        </w:r>
        <w:r>
          <w:rPr>
            <w:noProof/>
            <w:webHidden/>
          </w:rPr>
          <w:instrText xml:space="preserve"> PAGEREF _Toc214357762 \h </w:instrText>
        </w:r>
        <w:r>
          <w:rPr>
            <w:noProof/>
            <w:webHidden/>
          </w:rPr>
        </w:r>
        <w:r>
          <w:rPr>
            <w:noProof/>
            <w:webHidden/>
          </w:rPr>
          <w:fldChar w:fldCharType="separate"/>
        </w:r>
        <w:r w:rsidR="000412CE">
          <w:rPr>
            <w:noProof/>
            <w:webHidden/>
          </w:rPr>
          <w:t>134</w:t>
        </w:r>
        <w:r>
          <w:rPr>
            <w:noProof/>
            <w:webHidden/>
          </w:rPr>
          <w:fldChar w:fldCharType="end"/>
        </w:r>
      </w:hyperlink>
    </w:p>
    <w:p w14:paraId="32EC7180" w14:textId="61292819"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63" w:history="1">
        <w:r w:rsidRPr="006F7CD3">
          <w:rPr>
            <w:rStyle w:val="Hyperlink"/>
            <w:noProof/>
          </w:rPr>
          <w:t>Figure 2.35. Illustration of an embodiment of a microencapsulated PCM honeycomb wallboard.</w:t>
        </w:r>
        <w:r>
          <w:rPr>
            <w:noProof/>
            <w:webHidden/>
          </w:rPr>
          <w:tab/>
        </w:r>
        <w:r>
          <w:rPr>
            <w:noProof/>
            <w:webHidden/>
          </w:rPr>
          <w:fldChar w:fldCharType="begin"/>
        </w:r>
        <w:r>
          <w:rPr>
            <w:noProof/>
            <w:webHidden/>
          </w:rPr>
          <w:instrText xml:space="preserve"> PAGEREF _Toc214357763 \h </w:instrText>
        </w:r>
        <w:r>
          <w:rPr>
            <w:noProof/>
            <w:webHidden/>
          </w:rPr>
        </w:r>
        <w:r>
          <w:rPr>
            <w:noProof/>
            <w:webHidden/>
          </w:rPr>
          <w:fldChar w:fldCharType="separate"/>
        </w:r>
        <w:r w:rsidR="000412CE">
          <w:rPr>
            <w:noProof/>
            <w:webHidden/>
          </w:rPr>
          <w:t>135</w:t>
        </w:r>
        <w:r>
          <w:rPr>
            <w:noProof/>
            <w:webHidden/>
          </w:rPr>
          <w:fldChar w:fldCharType="end"/>
        </w:r>
      </w:hyperlink>
    </w:p>
    <w:p w14:paraId="33CB0EAC" w14:textId="6ABC8E1C"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64" w:history="1">
        <w:r w:rsidRPr="006F7CD3">
          <w:rPr>
            <w:rStyle w:val="Hyperlink"/>
            <w:noProof/>
          </w:rPr>
          <w:t>Figure 3.1</w:t>
        </w:r>
        <w:r w:rsidR="00C058AA">
          <w:rPr>
            <w:rStyle w:val="Hyperlink"/>
            <w:noProof/>
          </w:rPr>
          <w:t>.</w:t>
        </w:r>
        <w:r w:rsidRPr="006F7CD3">
          <w:rPr>
            <w:rStyle w:val="Hyperlink"/>
            <w:noProof/>
          </w:rPr>
          <w:t xml:space="preserve"> Stefan Problem control volume.</w:t>
        </w:r>
        <w:r>
          <w:rPr>
            <w:noProof/>
            <w:webHidden/>
          </w:rPr>
          <w:tab/>
        </w:r>
        <w:r>
          <w:rPr>
            <w:noProof/>
            <w:webHidden/>
          </w:rPr>
          <w:fldChar w:fldCharType="begin"/>
        </w:r>
        <w:r>
          <w:rPr>
            <w:noProof/>
            <w:webHidden/>
          </w:rPr>
          <w:instrText xml:space="preserve"> PAGEREF _Toc214357764 \h </w:instrText>
        </w:r>
        <w:r>
          <w:rPr>
            <w:noProof/>
            <w:webHidden/>
          </w:rPr>
        </w:r>
        <w:r>
          <w:rPr>
            <w:noProof/>
            <w:webHidden/>
          </w:rPr>
          <w:fldChar w:fldCharType="separate"/>
        </w:r>
        <w:r w:rsidR="000412CE">
          <w:rPr>
            <w:noProof/>
            <w:webHidden/>
          </w:rPr>
          <w:t>138</w:t>
        </w:r>
        <w:r>
          <w:rPr>
            <w:noProof/>
            <w:webHidden/>
          </w:rPr>
          <w:fldChar w:fldCharType="end"/>
        </w:r>
      </w:hyperlink>
    </w:p>
    <w:p w14:paraId="0FFEA7CA" w14:textId="7229793D"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65" w:history="1">
        <w:r w:rsidRPr="006F7CD3">
          <w:rPr>
            <w:rStyle w:val="Hyperlink"/>
            <w:rFonts w:cs="Times New Roman"/>
            <w:noProof/>
          </w:rPr>
          <w:t>Figure 3.2. Evolution of the free boundary,</w:t>
        </w:r>
        <w:r>
          <w:rPr>
            <w:noProof/>
            <w:webHidden/>
          </w:rPr>
          <w:tab/>
        </w:r>
        <w:r>
          <w:rPr>
            <w:noProof/>
            <w:webHidden/>
          </w:rPr>
          <w:fldChar w:fldCharType="begin"/>
        </w:r>
        <w:r>
          <w:rPr>
            <w:noProof/>
            <w:webHidden/>
          </w:rPr>
          <w:instrText xml:space="preserve"> PAGEREF _Toc214357765 \h </w:instrText>
        </w:r>
        <w:r>
          <w:rPr>
            <w:noProof/>
            <w:webHidden/>
          </w:rPr>
        </w:r>
        <w:r>
          <w:rPr>
            <w:noProof/>
            <w:webHidden/>
          </w:rPr>
          <w:fldChar w:fldCharType="separate"/>
        </w:r>
        <w:r w:rsidR="000412CE">
          <w:rPr>
            <w:noProof/>
            <w:webHidden/>
          </w:rPr>
          <w:t>141</w:t>
        </w:r>
        <w:r>
          <w:rPr>
            <w:noProof/>
            <w:webHidden/>
          </w:rPr>
          <w:fldChar w:fldCharType="end"/>
        </w:r>
      </w:hyperlink>
    </w:p>
    <w:p w14:paraId="3777B8EA" w14:textId="406358FD"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66" w:history="1">
        <w:r w:rsidRPr="006F7CD3">
          <w:rPr>
            <w:rStyle w:val="Hyperlink"/>
            <w:noProof/>
          </w:rPr>
          <w:t>Figure 3.3. Space-time behaviour of the problem.</w:t>
        </w:r>
        <w:r>
          <w:rPr>
            <w:noProof/>
            <w:webHidden/>
          </w:rPr>
          <w:tab/>
        </w:r>
        <w:r>
          <w:rPr>
            <w:noProof/>
            <w:webHidden/>
          </w:rPr>
          <w:fldChar w:fldCharType="begin"/>
        </w:r>
        <w:r>
          <w:rPr>
            <w:noProof/>
            <w:webHidden/>
          </w:rPr>
          <w:instrText xml:space="preserve"> PAGEREF _Toc214357766 \h </w:instrText>
        </w:r>
        <w:r>
          <w:rPr>
            <w:noProof/>
            <w:webHidden/>
          </w:rPr>
        </w:r>
        <w:r>
          <w:rPr>
            <w:noProof/>
            <w:webHidden/>
          </w:rPr>
          <w:fldChar w:fldCharType="separate"/>
        </w:r>
        <w:r w:rsidR="000412CE">
          <w:rPr>
            <w:noProof/>
            <w:webHidden/>
          </w:rPr>
          <w:t>142</w:t>
        </w:r>
        <w:r>
          <w:rPr>
            <w:noProof/>
            <w:webHidden/>
          </w:rPr>
          <w:fldChar w:fldCharType="end"/>
        </w:r>
      </w:hyperlink>
    </w:p>
    <w:p w14:paraId="06FDBC42" w14:textId="119EBC48"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67" w:history="1">
        <w:r w:rsidRPr="006F7CD3">
          <w:rPr>
            <w:rStyle w:val="Hyperlink"/>
            <w:rFonts w:cs="Times New Roman"/>
            <w:noProof/>
          </w:rPr>
          <w:t>Figure 3.4. Phase fraction vs. temperature: smoothed step (solid) and linear (dashed) transitions from Phase 1 to Phase</w:t>
        </w:r>
        <w:r w:rsidRPr="006F7CD3">
          <w:rPr>
            <w:rStyle w:val="Hyperlink"/>
            <w:noProof/>
          </w:rPr>
          <w:t xml:space="preserve"> 2.</w:t>
        </w:r>
        <w:r>
          <w:rPr>
            <w:noProof/>
            <w:webHidden/>
          </w:rPr>
          <w:tab/>
        </w:r>
        <w:r>
          <w:rPr>
            <w:noProof/>
            <w:webHidden/>
          </w:rPr>
          <w:fldChar w:fldCharType="begin"/>
        </w:r>
        <w:r>
          <w:rPr>
            <w:noProof/>
            <w:webHidden/>
          </w:rPr>
          <w:instrText xml:space="preserve"> PAGEREF _Toc214357767 \h </w:instrText>
        </w:r>
        <w:r>
          <w:rPr>
            <w:noProof/>
            <w:webHidden/>
          </w:rPr>
        </w:r>
        <w:r>
          <w:rPr>
            <w:noProof/>
            <w:webHidden/>
          </w:rPr>
          <w:fldChar w:fldCharType="separate"/>
        </w:r>
        <w:r w:rsidR="000412CE">
          <w:rPr>
            <w:noProof/>
            <w:webHidden/>
          </w:rPr>
          <w:t>149</w:t>
        </w:r>
        <w:r>
          <w:rPr>
            <w:noProof/>
            <w:webHidden/>
          </w:rPr>
          <w:fldChar w:fldCharType="end"/>
        </w:r>
      </w:hyperlink>
    </w:p>
    <w:p w14:paraId="4F2BDBE2" w14:textId="3A7AF415"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68" w:history="1">
        <w:r w:rsidRPr="006F7CD3">
          <w:rPr>
            <w:rStyle w:val="Hyperlink"/>
            <w:rFonts w:ascii="Times New Roman" w:hAnsi="Times New Roman" w:cs="Times New Roman"/>
            <w:noProof/>
          </w:rPr>
          <w:t>Figure 3.5. Simulation and experimental temperature results of interior surfaces for REFPLASTER and PCMPLASTER5 [216]</w:t>
        </w:r>
        <w:r w:rsidRPr="006F7CD3">
          <w:rPr>
            <w:rStyle w:val="Hyperlink"/>
            <w:noProof/>
          </w:rPr>
          <w:t>.</w:t>
        </w:r>
        <w:r>
          <w:rPr>
            <w:noProof/>
            <w:webHidden/>
          </w:rPr>
          <w:tab/>
        </w:r>
        <w:r>
          <w:rPr>
            <w:noProof/>
            <w:webHidden/>
          </w:rPr>
          <w:fldChar w:fldCharType="begin"/>
        </w:r>
        <w:r>
          <w:rPr>
            <w:noProof/>
            <w:webHidden/>
          </w:rPr>
          <w:instrText xml:space="preserve"> PAGEREF _Toc214357768 \h </w:instrText>
        </w:r>
        <w:r>
          <w:rPr>
            <w:noProof/>
            <w:webHidden/>
          </w:rPr>
        </w:r>
        <w:r>
          <w:rPr>
            <w:noProof/>
            <w:webHidden/>
          </w:rPr>
          <w:fldChar w:fldCharType="separate"/>
        </w:r>
        <w:r w:rsidR="000412CE">
          <w:rPr>
            <w:noProof/>
            <w:webHidden/>
          </w:rPr>
          <w:t>151</w:t>
        </w:r>
        <w:r>
          <w:rPr>
            <w:noProof/>
            <w:webHidden/>
          </w:rPr>
          <w:fldChar w:fldCharType="end"/>
        </w:r>
      </w:hyperlink>
    </w:p>
    <w:p w14:paraId="609F57DF" w14:textId="0D4D9A92"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69" w:history="1">
        <w:r w:rsidRPr="006F7CD3">
          <w:rPr>
            <w:rStyle w:val="Hyperlink"/>
            <w:rFonts w:ascii="Times New Roman" w:hAnsi="Times New Roman" w:cs="Times New Roman"/>
            <w:noProof/>
          </w:rPr>
          <w:t>Figure 3.6. Melting interface position for varying ΔTm after 5,000 s [217].</w:t>
        </w:r>
        <w:r>
          <w:rPr>
            <w:noProof/>
            <w:webHidden/>
          </w:rPr>
          <w:tab/>
        </w:r>
        <w:r>
          <w:rPr>
            <w:noProof/>
            <w:webHidden/>
          </w:rPr>
          <w:fldChar w:fldCharType="begin"/>
        </w:r>
        <w:r>
          <w:rPr>
            <w:noProof/>
            <w:webHidden/>
          </w:rPr>
          <w:instrText xml:space="preserve"> PAGEREF _Toc214357769 \h </w:instrText>
        </w:r>
        <w:r>
          <w:rPr>
            <w:noProof/>
            <w:webHidden/>
          </w:rPr>
        </w:r>
        <w:r>
          <w:rPr>
            <w:noProof/>
            <w:webHidden/>
          </w:rPr>
          <w:fldChar w:fldCharType="separate"/>
        </w:r>
        <w:r w:rsidR="000412CE">
          <w:rPr>
            <w:noProof/>
            <w:webHidden/>
          </w:rPr>
          <w:t>152</w:t>
        </w:r>
        <w:r>
          <w:rPr>
            <w:noProof/>
            <w:webHidden/>
          </w:rPr>
          <w:fldChar w:fldCharType="end"/>
        </w:r>
      </w:hyperlink>
    </w:p>
    <w:p w14:paraId="5BFAFFFE" w14:textId="3AE3AC27"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70" w:history="1">
        <w:r w:rsidRPr="006F7CD3">
          <w:rPr>
            <w:rStyle w:val="Hyperlink"/>
            <w:rFonts w:ascii="Times New Roman" w:hAnsi="Times New Roman" w:cs="Times New Roman"/>
            <w:noProof/>
          </w:rPr>
          <w:t>Figure 3.7. (a) Heating at 21 °C: PCM saves around 1.5% energy/week (b) Wall temperatures: no-PCM cools faster [219].</w:t>
        </w:r>
        <w:r>
          <w:rPr>
            <w:noProof/>
            <w:webHidden/>
          </w:rPr>
          <w:tab/>
        </w:r>
        <w:r>
          <w:rPr>
            <w:noProof/>
            <w:webHidden/>
          </w:rPr>
          <w:fldChar w:fldCharType="begin"/>
        </w:r>
        <w:r>
          <w:rPr>
            <w:noProof/>
            <w:webHidden/>
          </w:rPr>
          <w:instrText xml:space="preserve"> PAGEREF _Toc214357770 \h </w:instrText>
        </w:r>
        <w:r>
          <w:rPr>
            <w:noProof/>
            <w:webHidden/>
          </w:rPr>
        </w:r>
        <w:r>
          <w:rPr>
            <w:noProof/>
            <w:webHidden/>
          </w:rPr>
          <w:fldChar w:fldCharType="separate"/>
        </w:r>
        <w:r w:rsidR="000412CE">
          <w:rPr>
            <w:noProof/>
            <w:webHidden/>
          </w:rPr>
          <w:t>153</w:t>
        </w:r>
        <w:r>
          <w:rPr>
            <w:noProof/>
            <w:webHidden/>
          </w:rPr>
          <w:fldChar w:fldCharType="end"/>
        </w:r>
      </w:hyperlink>
    </w:p>
    <w:p w14:paraId="473BA863" w14:textId="5C91E4F3" w:rsidR="001F2B15" w:rsidRDefault="001F2B15">
      <w:pPr>
        <w:pStyle w:val="TableofFigures"/>
        <w:tabs>
          <w:tab w:val="right" w:leader="dot" w:pos="9060"/>
        </w:tabs>
        <w:rPr>
          <w:rFonts w:asciiTheme="minorHAnsi" w:eastAsiaTheme="minorEastAsia" w:hAnsiTheme="minorHAnsi"/>
          <w:noProof/>
          <w:kern w:val="2"/>
          <w:szCs w:val="24"/>
          <w:lang w:eastAsia="ja-JP"/>
          <w14:ligatures w14:val="standardContextual"/>
        </w:rPr>
      </w:pPr>
      <w:hyperlink w:anchor="_Toc214357771" w:history="1">
        <w:r w:rsidRPr="006F7CD3">
          <w:rPr>
            <w:rStyle w:val="Hyperlink"/>
            <w:rFonts w:ascii="Times New Roman" w:hAnsi="Times New Roman" w:cs="Times New Roman"/>
            <w:noProof/>
          </w:rPr>
          <w:t>Figure 3.8. Comsol results at t=13,700s: (a) temperature field; (b) solidification fronts [220].</w:t>
        </w:r>
        <w:r>
          <w:rPr>
            <w:noProof/>
            <w:webHidden/>
          </w:rPr>
          <w:tab/>
        </w:r>
        <w:r>
          <w:rPr>
            <w:noProof/>
            <w:webHidden/>
          </w:rPr>
          <w:fldChar w:fldCharType="begin"/>
        </w:r>
        <w:r>
          <w:rPr>
            <w:noProof/>
            <w:webHidden/>
          </w:rPr>
          <w:instrText xml:space="preserve"> PAGEREF _Toc214357771 \h </w:instrText>
        </w:r>
        <w:r>
          <w:rPr>
            <w:noProof/>
            <w:webHidden/>
          </w:rPr>
        </w:r>
        <w:r>
          <w:rPr>
            <w:noProof/>
            <w:webHidden/>
          </w:rPr>
          <w:fldChar w:fldCharType="separate"/>
        </w:r>
        <w:r w:rsidR="000412CE">
          <w:rPr>
            <w:noProof/>
            <w:webHidden/>
          </w:rPr>
          <w:t>154</w:t>
        </w:r>
        <w:r>
          <w:rPr>
            <w:noProof/>
            <w:webHidden/>
          </w:rPr>
          <w:fldChar w:fldCharType="end"/>
        </w:r>
      </w:hyperlink>
    </w:p>
    <w:p w14:paraId="495F6462" w14:textId="56B7B422" w:rsidR="00D62FE7" w:rsidRPr="00790E4C" w:rsidRDefault="00EF7AD5" w:rsidP="001A387D">
      <w:pPr>
        <w:rPr>
          <w:sz w:val="22"/>
          <w:lang w:val="en-GB"/>
        </w:rPr>
      </w:pPr>
      <w:r w:rsidRPr="00790E4C">
        <w:rPr>
          <w:sz w:val="22"/>
          <w:lang w:val="en-GB"/>
        </w:rPr>
        <w:fldChar w:fldCharType="end"/>
      </w:r>
    </w:p>
    <w:p w14:paraId="56B30C0B" w14:textId="645C10D1" w:rsidR="001A387D" w:rsidRPr="00790E4C" w:rsidRDefault="001A387D" w:rsidP="001A387D">
      <w:pPr>
        <w:rPr>
          <w:sz w:val="22"/>
          <w:lang w:val="en-GB"/>
        </w:rPr>
      </w:pPr>
    </w:p>
    <w:p w14:paraId="0A3EAD34" w14:textId="77777777" w:rsidR="001A387D" w:rsidRPr="00544E92" w:rsidRDefault="001A387D" w:rsidP="001A387D">
      <w:pPr>
        <w:rPr>
          <w:lang w:val="en-GB"/>
        </w:rPr>
        <w:sectPr w:rsidR="001A387D" w:rsidRPr="00544E92" w:rsidSect="00070452">
          <w:headerReference w:type="even" r:id="rId378"/>
          <w:headerReference w:type="default" r:id="rId379"/>
          <w:footerReference w:type="even" r:id="rId380"/>
          <w:footerReference w:type="default" r:id="rId381"/>
          <w:headerReference w:type="first" r:id="rId382"/>
          <w:footerReference w:type="first" r:id="rId383"/>
          <w:type w:val="oddPage"/>
          <w:pgSz w:w="11906" w:h="16838" w:code="9"/>
          <w:pgMar w:top="1701" w:right="1418" w:bottom="1418" w:left="1418" w:header="851" w:footer="851" w:gutter="0"/>
          <w:cols w:space="708"/>
          <w:titlePg/>
          <w:docGrid w:linePitch="360"/>
        </w:sectPr>
      </w:pPr>
    </w:p>
    <w:p w14:paraId="2AC04449" w14:textId="5B35BBCB" w:rsidR="001A387D" w:rsidRPr="00544E92" w:rsidRDefault="001A387D" w:rsidP="006E03AD">
      <w:pPr>
        <w:pStyle w:val="Heading1"/>
        <w:numPr>
          <w:ilvl w:val="0"/>
          <w:numId w:val="0"/>
        </w:numPr>
        <w:rPr>
          <w:lang w:val="en-GB"/>
        </w:rPr>
      </w:pPr>
      <w:bookmarkStart w:id="233" w:name="_Toc214356327"/>
      <w:r w:rsidRPr="00544E92">
        <w:rPr>
          <w:lang w:val="en-GB"/>
        </w:rPr>
        <w:lastRenderedPageBreak/>
        <w:t xml:space="preserve">List </w:t>
      </w:r>
      <w:r w:rsidR="00F501EC">
        <w:rPr>
          <w:lang w:val="en-GB"/>
        </w:rPr>
        <w:t>o</w:t>
      </w:r>
      <w:r w:rsidRPr="00544E92">
        <w:rPr>
          <w:lang w:val="en-GB"/>
        </w:rPr>
        <w:t xml:space="preserve">f </w:t>
      </w:r>
      <w:r w:rsidR="00842E0D" w:rsidRPr="00544E92">
        <w:rPr>
          <w:lang w:val="en-GB"/>
        </w:rPr>
        <w:t>T</w:t>
      </w:r>
      <w:r w:rsidRPr="00544E92">
        <w:rPr>
          <w:lang w:val="en-GB"/>
        </w:rPr>
        <w:t>ables</w:t>
      </w:r>
      <w:bookmarkEnd w:id="233"/>
    </w:p>
    <w:p w14:paraId="38C8FA76" w14:textId="0C9A90D6" w:rsidR="00C058AA" w:rsidRDefault="00971925">
      <w:pPr>
        <w:pStyle w:val="TableofFigures"/>
        <w:tabs>
          <w:tab w:val="right" w:leader="dot" w:pos="8777"/>
        </w:tabs>
        <w:rPr>
          <w:rFonts w:asciiTheme="minorHAnsi" w:eastAsiaTheme="minorEastAsia" w:hAnsiTheme="minorHAnsi"/>
          <w:noProof/>
          <w:kern w:val="2"/>
          <w:szCs w:val="24"/>
          <w:lang w:eastAsia="it-IT"/>
          <w14:ligatures w14:val="standardContextual"/>
        </w:rPr>
      </w:pPr>
      <w:r w:rsidRPr="00790E4C">
        <w:rPr>
          <w:sz w:val="22"/>
          <w:szCs w:val="20"/>
          <w:lang w:val="en-GB"/>
        </w:rPr>
        <w:fldChar w:fldCharType="begin"/>
      </w:r>
      <w:r w:rsidRPr="00790E4C">
        <w:rPr>
          <w:sz w:val="22"/>
          <w:szCs w:val="20"/>
          <w:lang w:val="en-GB"/>
        </w:rPr>
        <w:instrText xml:space="preserve"> TOC \h \z \c "Table" </w:instrText>
      </w:r>
      <w:r w:rsidRPr="00790E4C">
        <w:rPr>
          <w:sz w:val="22"/>
          <w:szCs w:val="20"/>
          <w:lang w:val="en-GB"/>
        </w:rPr>
        <w:fldChar w:fldCharType="separate"/>
      </w:r>
      <w:hyperlink w:anchor="_Toc214362606" w:history="1">
        <w:r w:rsidR="00C058AA" w:rsidRPr="007A57C4">
          <w:rPr>
            <w:rStyle w:val="Hyperlink"/>
            <w:noProof/>
          </w:rPr>
          <w:t>Table 1.1. Selection criteria for PCMs grouped by thermophysical, kinetic, chemical, and economic properties.</w:t>
        </w:r>
        <w:r w:rsidR="00C058AA">
          <w:rPr>
            <w:noProof/>
            <w:webHidden/>
          </w:rPr>
          <w:tab/>
        </w:r>
        <w:r w:rsidR="00C058AA">
          <w:rPr>
            <w:noProof/>
            <w:webHidden/>
          </w:rPr>
          <w:fldChar w:fldCharType="begin"/>
        </w:r>
        <w:r w:rsidR="00C058AA">
          <w:rPr>
            <w:noProof/>
            <w:webHidden/>
          </w:rPr>
          <w:instrText xml:space="preserve"> PAGEREF _Toc214362606 \h </w:instrText>
        </w:r>
        <w:r w:rsidR="00C058AA">
          <w:rPr>
            <w:noProof/>
            <w:webHidden/>
          </w:rPr>
        </w:r>
        <w:r w:rsidR="00C058AA">
          <w:rPr>
            <w:noProof/>
            <w:webHidden/>
          </w:rPr>
          <w:fldChar w:fldCharType="separate"/>
        </w:r>
        <w:r w:rsidR="000412CE">
          <w:rPr>
            <w:noProof/>
            <w:webHidden/>
          </w:rPr>
          <w:t>5</w:t>
        </w:r>
        <w:r w:rsidR="00C058AA">
          <w:rPr>
            <w:noProof/>
            <w:webHidden/>
          </w:rPr>
          <w:fldChar w:fldCharType="end"/>
        </w:r>
      </w:hyperlink>
    </w:p>
    <w:p w14:paraId="113D57B6" w14:textId="10E029CB"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07" w:history="1">
        <w:r w:rsidRPr="007A57C4">
          <w:rPr>
            <w:rStyle w:val="Hyperlink"/>
            <w:noProof/>
          </w:rPr>
          <w:t>Table 1.2. Advantages and disadvantages of different categories of PCMs.</w:t>
        </w:r>
        <w:r>
          <w:rPr>
            <w:noProof/>
            <w:webHidden/>
          </w:rPr>
          <w:tab/>
        </w:r>
        <w:r>
          <w:rPr>
            <w:noProof/>
            <w:webHidden/>
          </w:rPr>
          <w:fldChar w:fldCharType="begin"/>
        </w:r>
        <w:r>
          <w:rPr>
            <w:noProof/>
            <w:webHidden/>
          </w:rPr>
          <w:instrText xml:space="preserve"> PAGEREF _Toc214362607 \h </w:instrText>
        </w:r>
        <w:r>
          <w:rPr>
            <w:noProof/>
            <w:webHidden/>
          </w:rPr>
        </w:r>
        <w:r>
          <w:rPr>
            <w:noProof/>
            <w:webHidden/>
          </w:rPr>
          <w:fldChar w:fldCharType="separate"/>
        </w:r>
        <w:r w:rsidR="000412CE">
          <w:rPr>
            <w:noProof/>
            <w:webHidden/>
          </w:rPr>
          <w:t>8</w:t>
        </w:r>
        <w:r>
          <w:rPr>
            <w:noProof/>
            <w:webHidden/>
          </w:rPr>
          <w:fldChar w:fldCharType="end"/>
        </w:r>
      </w:hyperlink>
    </w:p>
    <w:p w14:paraId="795AA898" w14:textId="364CB88E"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08" w:history="1">
        <w:r w:rsidRPr="007A57C4">
          <w:rPr>
            <w:rStyle w:val="Hyperlink"/>
            <w:noProof/>
          </w:rPr>
          <w:t>Table 1.3. Key thermophysical properties of common PCMs, grouped into organic, inorganic, and eutectic.</w:t>
        </w:r>
        <w:r>
          <w:rPr>
            <w:noProof/>
            <w:webHidden/>
          </w:rPr>
          <w:tab/>
        </w:r>
        <w:r>
          <w:rPr>
            <w:noProof/>
            <w:webHidden/>
          </w:rPr>
          <w:fldChar w:fldCharType="begin"/>
        </w:r>
        <w:r>
          <w:rPr>
            <w:noProof/>
            <w:webHidden/>
          </w:rPr>
          <w:instrText xml:space="preserve"> PAGEREF _Toc214362608 \h </w:instrText>
        </w:r>
        <w:r>
          <w:rPr>
            <w:noProof/>
            <w:webHidden/>
          </w:rPr>
        </w:r>
        <w:r>
          <w:rPr>
            <w:noProof/>
            <w:webHidden/>
          </w:rPr>
          <w:fldChar w:fldCharType="separate"/>
        </w:r>
        <w:r w:rsidR="000412CE">
          <w:rPr>
            <w:noProof/>
            <w:webHidden/>
          </w:rPr>
          <w:t>10</w:t>
        </w:r>
        <w:r>
          <w:rPr>
            <w:noProof/>
            <w:webHidden/>
          </w:rPr>
          <w:fldChar w:fldCharType="end"/>
        </w:r>
      </w:hyperlink>
    </w:p>
    <w:p w14:paraId="2602DA5D" w14:textId="156DE3F3"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09" w:history="1">
        <w:r w:rsidRPr="007A57C4">
          <w:rPr>
            <w:rStyle w:val="Hyperlink"/>
            <w:noProof/>
          </w:rPr>
          <w:t>Table 1.4. Representative thermophysical properties of organic solid–solid PCMs: phase transition and melting temperatures, latent heat, specific heat, and density.</w:t>
        </w:r>
        <w:r>
          <w:rPr>
            <w:noProof/>
            <w:webHidden/>
          </w:rPr>
          <w:tab/>
        </w:r>
        <w:r>
          <w:rPr>
            <w:noProof/>
            <w:webHidden/>
          </w:rPr>
          <w:fldChar w:fldCharType="begin"/>
        </w:r>
        <w:r>
          <w:rPr>
            <w:noProof/>
            <w:webHidden/>
          </w:rPr>
          <w:instrText xml:space="preserve"> PAGEREF _Toc214362609 \h </w:instrText>
        </w:r>
        <w:r>
          <w:rPr>
            <w:noProof/>
            <w:webHidden/>
          </w:rPr>
        </w:r>
        <w:r>
          <w:rPr>
            <w:noProof/>
            <w:webHidden/>
          </w:rPr>
          <w:fldChar w:fldCharType="separate"/>
        </w:r>
        <w:r w:rsidR="000412CE">
          <w:rPr>
            <w:noProof/>
            <w:webHidden/>
          </w:rPr>
          <w:t>11</w:t>
        </w:r>
        <w:r>
          <w:rPr>
            <w:noProof/>
            <w:webHidden/>
          </w:rPr>
          <w:fldChar w:fldCharType="end"/>
        </w:r>
      </w:hyperlink>
    </w:p>
    <w:p w14:paraId="567FE119" w14:textId="18A0511B"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10" w:history="1">
        <w:r w:rsidRPr="007A57C4">
          <w:rPr>
            <w:rStyle w:val="Hyperlink"/>
            <w:noProof/>
          </w:rPr>
          <w:t>Table 1.5. Thermophysical properties of polymeric solid–solid PCMs: phase transition temperature, latent heat of transition, and melting temperature.</w:t>
        </w:r>
        <w:r>
          <w:rPr>
            <w:noProof/>
            <w:webHidden/>
          </w:rPr>
          <w:tab/>
        </w:r>
        <w:r>
          <w:rPr>
            <w:noProof/>
            <w:webHidden/>
          </w:rPr>
          <w:fldChar w:fldCharType="begin"/>
        </w:r>
        <w:r>
          <w:rPr>
            <w:noProof/>
            <w:webHidden/>
          </w:rPr>
          <w:instrText xml:space="preserve"> PAGEREF _Toc214362610 \h </w:instrText>
        </w:r>
        <w:r>
          <w:rPr>
            <w:noProof/>
            <w:webHidden/>
          </w:rPr>
        </w:r>
        <w:r>
          <w:rPr>
            <w:noProof/>
            <w:webHidden/>
          </w:rPr>
          <w:fldChar w:fldCharType="separate"/>
        </w:r>
        <w:r w:rsidR="000412CE">
          <w:rPr>
            <w:noProof/>
            <w:webHidden/>
          </w:rPr>
          <w:t>13</w:t>
        </w:r>
        <w:r>
          <w:rPr>
            <w:noProof/>
            <w:webHidden/>
          </w:rPr>
          <w:fldChar w:fldCharType="end"/>
        </w:r>
      </w:hyperlink>
    </w:p>
    <w:p w14:paraId="02EB6895" w14:textId="0DF45588"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11" w:history="1">
        <w:r w:rsidRPr="007A57C4">
          <w:rPr>
            <w:rStyle w:val="Hyperlink"/>
            <w:noProof/>
          </w:rPr>
          <w:t>Table 1.6. Thermophysical properties of organometallic solid–solid PCMs: phase transition temperature, latent heat of transition, and melting temperature.</w:t>
        </w:r>
        <w:r>
          <w:rPr>
            <w:noProof/>
            <w:webHidden/>
          </w:rPr>
          <w:tab/>
        </w:r>
        <w:r>
          <w:rPr>
            <w:noProof/>
            <w:webHidden/>
          </w:rPr>
          <w:fldChar w:fldCharType="begin"/>
        </w:r>
        <w:r>
          <w:rPr>
            <w:noProof/>
            <w:webHidden/>
          </w:rPr>
          <w:instrText xml:space="preserve"> PAGEREF _Toc214362611 \h </w:instrText>
        </w:r>
        <w:r>
          <w:rPr>
            <w:noProof/>
            <w:webHidden/>
          </w:rPr>
        </w:r>
        <w:r>
          <w:rPr>
            <w:noProof/>
            <w:webHidden/>
          </w:rPr>
          <w:fldChar w:fldCharType="separate"/>
        </w:r>
        <w:r w:rsidR="000412CE">
          <w:rPr>
            <w:noProof/>
            <w:webHidden/>
          </w:rPr>
          <w:t>14</w:t>
        </w:r>
        <w:r>
          <w:rPr>
            <w:noProof/>
            <w:webHidden/>
          </w:rPr>
          <w:fldChar w:fldCharType="end"/>
        </w:r>
      </w:hyperlink>
    </w:p>
    <w:p w14:paraId="1C17D035" w14:textId="208F1E9D"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12" w:history="1">
        <w:r w:rsidRPr="007A57C4">
          <w:rPr>
            <w:rStyle w:val="Hyperlink"/>
            <w:noProof/>
          </w:rPr>
          <w:t>Table 1.7. Common flame retardants for PCMs.</w:t>
        </w:r>
        <w:r>
          <w:rPr>
            <w:noProof/>
            <w:webHidden/>
          </w:rPr>
          <w:tab/>
        </w:r>
        <w:r>
          <w:rPr>
            <w:noProof/>
            <w:webHidden/>
          </w:rPr>
          <w:fldChar w:fldCharType="begin"/>
        </w:r>
        <w:r>
          <w:rPr>
            <w:noProof/>
            <w:webHidden/>
          </w:rPr>
          <w:instrText xml:space="preserve"> PAGEREF _Toc214362612 \h </w:instrText>
        </w:r>
        <w:r>
          <w:rPr>
            <w:noProof/>
            <w:webHidden/>
          </w:rPr>
        </w:r>
        <w:r>
          <w:rPr>
            <w:noProof/>
            <w:webHidden/>
          </w:rPr>
          <w:fldChar w:fldCharType="separate"/>
        </w:r>
        <w:r w:rsidR="000412CE">
          <w:rPr>
            <w:noProof/>
            <w:webHidden/>
          </w:rPr>
          <w:t>20</w:t>
        </w:r>
        <w:r>
          <w:rPr>
            <w:noProof/>
            <w:webHidden/>
          </w:rPr>
          <w:fldChar w:fldCharType="end"/>
        </w:r>
      </w:hyperlink>
    </w:p>
    <w:p w14:paraId="589B3DF2" w14:textId="7632F330"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13" w:history="1">
        <w:r w:rsidRPr="007A57C4">
          <w:rPr>
            <w:rStyle w:val="Hyperlink"/>
            <w:noProof/>
          </w:rPr>
          <w:t>Table 1.8. Suitable container materials for important PCMs.</w:t>
        </w:r>
        <w:r>
          <w:rPr>
            <w:noProof/>
            <w:webHidden/>
          </w:rPr>
          <w:tab/>
        </w:r>
        <w:r>
          <w:rPr>
            <w:noProof/>
            <w:webHidden/>
          </w:rPr>
          <w:fldChar w:fldCharType="begin"/>
        </w:r>
        <w:r>
          <w:rPr>
            <w:noProof/>
            <w:webHidden/>
          </w:rPr>
          <w:instrText xml:space="preserve"> PAGEREF _Toc214362613 \h </w:instrText>
        </w:r>
        <w:r>
          <w:rPr>
            <w:noProof/>
            <w:webHidden/>
          </w:rPr>
        </w:r>
        <w:r>
          <w:rPr>
            <w:noProof/>
            <w:webHidden/>
          </w:rPr>
          <w:fldChar w:fldCharType="separate"/>
        </w:r>
        <w:r w:rsidR="000412CE">
          <w:rPr>
            <w:noProof/>
            <w:webHidden/>
          </w:rPr>
          <w:t>20</w:t>
        </w:r>
        <w:r>
          <w:rPr>
            <w:noProof/>
            <w:webHidden/>
          </w:rPr>
          <w:fldChar w:fldCharType="end"/>
        </w:r>
      </w:hyperlink>
    </w:p>
    <w:p w14:paraId="56A462B3" w14:textId="2568E886"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14" w:history="1">
        <w:r w:rsidRPr="007A57C4">
          <w:rPr>
            <w:rStyle w:val="Hyperlink"/>
            <w:noProof/>
          </w:rPr>
          <w:t>Table 1.9. Advantages and disadvantages of various encapsulation techniques.</w:t>
        </w:r>
        <w:r>
          <w:rPr>
            <w:noProof/>
            <w:webHidden/>
          </w:rPr>
          <w:tab/>
        </w:r>
        <w:r>
          <w:rPr>
            <w:noProof/>
            <w:webHidden/>
          </w:rPr>
          <w:fldChar w:fldCharType="begin"/>
        </w:r>
        <w:r>
          <w:rPr>
            <w:noProof/>
            <w:webHidden/>
          </w:rPr>
          <w:instrText xml:space="preserve"> PAGEREF _Toc214362614 \h </w:instrText>
        </w:r>
        <w:r>
          <w:rPr>
            <w:noProof/>
            <w:webHidden/>
          </w:rPr>
        </w:r>
        <w:r>
          <w:rPr>
            <w:noProof/>
            <w:webHidden/>
          </w:rPr>
          <w:fldChar w:fldCharType="separate"/>
        </w:r>
        <w:r w:rsidR="000412CE">
          <w:rPr>
            <w:noProof/>
            <w:webHidden/>
          </w:rPr>
          <w:t>22</w:t>
        </w:r>
        <w:r>
          <w:rPr>
            <w:noProof/>
            <w:webHidden/>
          </w:rPr>
          <w:fldChar w:fldCharType="end"/>
        </w:r>
      </w:hyperlink>
    </w:p>
    <w:p w14:paraId="7B6B5B8B" w14:textId="3E997CF8"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15" w:history="1">
        <w:r w:rsidRPr="007A57C4">
          <w:rPr>
            <w:rStyle w:val="Hyperlink"/>
            <w:noProof/>
          </w:rPr>
          <w:t>Table 1.10. Factors influencing the phase-change behavior of PCMs, grouped by container, PCM, cooling, and other.</w:t>
        </w:r>
        <w:r>
          <w:rPr>
            <w:noProof/>
            <w:webHidden/>
          </w:rPr>
          <w:tab/>
        </w:r>
        <w:r>
          <w:rPr>
            <w:noProof/>
            <w:webHidden/>
          </w:rPr>
          <w:fldChar w:fldCharType="begin"/>
        </w:r>
        <w:r>
          <w:rPr>
            <w:noProof/>
            <w:webHidden/>
          </w:rPr>
          <w:instrText xml:space="preserve"> PAGEREF _Toc214362615 \h </w:instrText>
        </w:r>
        <w:r>
          <w:rPr>
            <w:noProof/>
            <w:webHidden/>
          </w:rPr>
        </w:r>
        <w:r>
          <w:rPr>
            <w:noProof/>
            <w:webHidden/>
          </w:rPr>
          <w:fldChar w:fldCharType="separate"/>
        </w:r>
        <w:r w:rsidR="000412CE">
          <w:rPr>
            <w:noProof/>
            <w:webHidden/>
          </w:rPr>
          <w:t>24</w:t>
        </w:r>
        <w:r>
          <w:rPr>
            <w:noProof/>
            <w:webHidden/>
          </w:rPr>
          <w:fldChar w:fldCharType="end"/>
        </w:r>
      </w:hyperlink>
    </w:p>
    <w:p w14:paraId="60A3E0A0" w14:textId="6599A173"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16" w:history="1">
        <w:r w:rsidRPr="007A57C4">
          <w:rPr>
            <w:rStyle w:val="Hyperlink"/>
            <w:noProof/>
          </w:rPr>
          <w:t>Table 1.11. Comparison of DSC and T-history methods for PCM characterization: test specification, temperature range, instrumentation, measured outputs and key advantages/limitations.</w:t>
        </w:r>
        <w:r>
          <w:rPr>
            <w:noProof/>
            <w:webHidden/>
          </w:rPr>
          <w:tab/>
        </w:r>
        <w:r>
          <w:rPr>
            <w:noProof/>
            <w:webHidden/>
          </w:rPr>
          <w:fldChar w:fldCharType="begin"/>
        </w:r>
        <w:r>
          <w:rPr>
            <w:noProof/>
            <w:webHidden/>
          </w:rPr>
          <w:instrText xml:space="preserve"> PAGEREF _Toc214362616 \h </w:instrText>
        </w:r>
        <w:r>
          <w:rPr>
            <w:noProof/>
            <w:webHidden/>
          </w:rPr>
        </w:r>
        <w:r>
          <w:rPr>
            <w:noProof/>
            <w:webHidden/>
          </w:rPr>
          <w:fldChar w:fldCharType="separate"/>
        </w:r>
        <w:r w:rsidR="000412CE">
          <w:rPr>
            <w:noProof/>
            <w:webHidden/>
          </w:rPr>
          <w:t>32</w:t>
        </w:r>
        <w:r>
          <w:rPr>
            <w:noProof/>
            <w:webHidden/>
          </w:rPr>
          <w:fldChar w:fldCharType="end"/>
        </w:r>
      </w:hyperlink>
    </w:p>
    <w:p w14:paraId="09ED4128" w14:textId="3E9DD2B3"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17" w:history="1">
        <w:r w:rsidRPr="007A57C4">
          <w:rPr>
            <w:rStyle w:val="Hyperlink"/>
            <w:noProof/>
          </w:rPr>
          <w:t xml:space="preserve">Table 1.12. </w:t>
        </w:r>
        <w:r w:rsidRPr="007A57C4">
          <w:rPr>
            <w:rStyle w:val="Hyperlink"/>
            <w:rFonts w:ascii="Times New Roman" w:hAnsi="Times New Roman" w:cs="Times New Roman"/>
            <w:noProof/>
          </w:rPr>
          <w:t>Overview of major PCM manufacturers and their commercial products/applications, distinguishing pure PCMs from PCM-based solutions</w:t>
        </w:r>
        <w:r w:rsidRPr="007A57C4">
          <w:rPr>
            <w:rStyle w:val="Hyperlink"/>
            <w:noProof/>
          </w:rPr>
          <w:t>.</w:t>
        </w:r>
        <w:r>
          <w:rPr>
            <w:noProof/>
            <w:webHidden/>
          </w:rPr>
          <w:tab/>
        </w:r>
        <w:r>
          <w:rPr>
            <w:noProof/>
            <w:webHidden/>
          </w:rPr>
          <w:fldChar w:fldCharType="begin"/>
        </w:r>
        <w:r>
          <w:rPr>
            <w:noProof/>
            <w:webHidden/>
          </w:rPr>
          <w:instrText xml:space="preserve"> PAGEREF _Toc214362617 \h </w:instrText>
        </w:r>
        <w:r>
          <w:rPr>
            <w:noProof/>
            <w:webHidden/>
          </w:rPr>
        </w:r>
        <w:r>
          <w:rPr>
            <w:noProof/>
            <w:webHidden/>
          </w:rPr>
          <w:fldChar w:fldCharType="separate"/>
        </w:r>
        <w:r w:rsidR="000412CE">
          <w:rPr>
            <w:noProof/>
            <w:webHidden/>
          </w:rPr>
          <w:t>37</w:t>
        </w:r>
        <w:r>
          <w:rPr>
            <w:noProof/>
            <w:webHidden/>
          </w:rPr>
          <w:fldChar w:fldCharType="end"/>
        </w:r>
      </w:hyperlink>
    </w:p>
    <w:p w14:paraId="6DE945A3" w14:textId="34A6BBC4"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18" w:history="1">
        <w:r w:rsidRPr="007A57C4">
          <w:rPr>
            <w:rStyle w:val="Hyperlink"/>
            <w:noProof/>
          </w:rPr>
          <w:t>Table 1.13. Honeywell PCM thermal-interface materials (pads and pastes): reported thermal conductivity, thermal impedance, and density.</w:t>
        </w:r>
        <w:r>
          <w:rPr>
            <w:noProof/>
            <w:webHidden/>
          </w:rPr>
          <w:tab/>
        </w:r>
        <w:r>
          <w:rPr>
            <w:noProof/>
            <w:webHidden/>
          </w:rPr>
          <w:fldChar w:fldCharType="begin"/>
        </w:r>
        <w:r>
          <w:rPr>
            <w:noProof/>
            <w:webHidden/>
          </w:rPr>
          <w:instrText xml:space="preserve"> PAGEREF _Toc214362618 \h </w:instrText>
        </w:r>
        <w:r>
          <w:rPr>
            <w:noProof/>
            <w:webHidden/>
          </w:rPr>
        </w:r>
        <w:r>
          <w:rPr>
            <w:noProof/>
            <w:webHidden/>
          </w:rPr>
          <w:fldChar w:fldCharType="separate"/>
        </w:r>
        <w:r w:rsidR="000412CE">
          <w:rPr>
            <w:noProof/>
            <w:webHidden/>
          </w:rPr>
          <w:t>38</w:t>
        </w:r>
        <w:r>
          <w:rPr>
            <w:noProof/>
            <w:webHidden/>
          </w:rPr>
          <w:fldChar w:fldCharType="end"/>
        </w:r>
      </w:hyperlink>
    </w:p>
    <w:p w14:paraId="29218191" w14:textId="3065F018"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19" w:history="1">
        <w:r w:rsidRPr="007A57C4">
          <w:rPr>
            <w:rStyle w:val="Hyperlink"/>
            <w:noProof/>
          </w:rPr>
          <w:t>Table 1.14. CrodaTherm PCM Wax product line: melting and crystallization temperatures, heat capacities (melting/crystallization), flash point, and density, with range summaries.</w:t>
        </w:r>
        <w:r>
          <w:rPr>
            <w:noProof/>
            <w:webHidden/>
          </w:rPr>
          <w:tab/>
        </w:r>
        <w:r>
          <w:rPr>
            <w:noProof/>
            <w:webHidden/>
          </w:rPr>
          <w:fldChar w:fldCharType="begin"/>
        </w:r>
        <w:r>
          <w:rPr>
            <w:noProof/>
            <w:webHidden/>
          </w:rPr>
          <w:instrText xml:space="preserve"> PAGEREF _Toc214362619 \h </w:instrText>
        </w:r>
        <w:r>
          <w:rPr>
            <w:noProof/>
            <w:webHidden/>
          </w:rPr>
        </w:r>
        <w:r>
          <w:rPr>
            <w:noProof/>
            <w:webHidden/>
          </w:rPr>
          <w:fldChar w:fldCharType="separate"/>
        </w:r>
        <w:r w:rsidR="000412CE">
          <w:rPr>
            <w:noProof/>
            <w:webHidden/>
          </w:rPr>
          <w:t>39</w:t>
        </w:r>
        <w:r>
          <w:rPr>
            <w:noProof/>
            <w:webHidden/>
          </w:rPr>
          <w:fldChar w:fldCharType="end"/>
        </w:r>
      </w:hyperlink>
    </w:p>
    <w:p w14:paraId="05745B31" w14:textId="3124B1F0"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20" w:history="1">
        <w:r w:rsidRPr="007A57C4">
          <w:rPr>
            <w:rStyle w:val="Hyperlink"/>
            <w:noProof/>
          </w:rPr>
          <w:t>Table 1.15. CrodaTherm™ microencapsulated PCMs: product form (powder/dispersion), shell type, particle size (d90), melting and crystallization temperatures, and latent heat of melting.</w:t>
        </w:r>
        <w:r>
          <w:rPr>
            <w:noProof/>
            <w:webHidden/>
          </w:rPr>
          <w:tab/>
        </w:r>
        <w:r>
          <w:rPr>
            <w:noProof/>
            <w:webHidden/>
          </w:rPr>
          <w:fldChar w:fldCharType="begin"/>
        </w:r>
        <w:r>
          <w:rPr>
            <w:noProof/>
            <w:webHidden/>
          </w:rPr>
          <w:instrText xml:space="preserve"> PAGEREF _Toc214362620 \h </w:instrText>
        </w:r>
        <w:r>
          <w:rPr>
            <w:noProof/>
            <w:webHidden/>
          </w:rPr>
        </w:r>
        <w:r>
          <w:rPr>
            <w:noProof/>
            <w:webHidden/>
          </w:rPr>
          <w:fldChar w:fldCharType="separate"/>
        </w:r>
        <w:r w:rsidR="000412CE">
          <w:rPr>
            <w:noProof/>
            <w:webHidden/>
          </w:rPr>
          <w:t>40</w:t>
        </w:r>
        <w:r>
          <w:rPr>
            <w:noProof/>
            <w:webHidden/>
          </w:rPr>
          <w:fldChar w:fldCharType="end"/>
        </w:r>
      </w:hyperlink>
    </w:p>
    <w:p w14:paraId="5BDB0D2A" w14:textId="719A3A45"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21" w:history="1">
        <w:r w:rsidRPr="007A57C4">
          <w:rPr>
            <w:rStyle w:val="Hyperlink"/>
            <w:rFonts w:ascii="Times New Roman" w:hAnsi="Times New Roman" w:cs="Times New Roman"/>
            <w:noProof/>
          </w:rPr>
          <w:t>Table 1.16. Overview of representative PCM products: pure PCMs with melting-temperature ranges and heat-storage capacity; bound PX powders; and encapsulated solutions with brief application notes</w:t>
        </w:r>
        <w:r w:rsidRPr="007A57C4">
          <w:rPr>
            <w:rStyle w:val="Hyperlink"/>
            <w:noProof/>
          </w:rPr>
          <w:t>.</w:t>
        </w:r>
        <w:r>
          <w:rPr>
            <w:noProof/>
            <w:webHidden/>
          </w:rPr>
          <w:tab/>
        </w:r>
        <w:r>
          <w:rPr>
            <w:noProof/>
            <w:webHidden/>
          </w:rPr>
          <w:fldChar w:fldCharType="begin"/>
        </w:r>
        <w:r>
          <w:rPr>
            <w:noProof/>
            <w:webHidden/>
          </w:rPr>
          <w:instrText xml:space="preserve"> PAGEREF _Toc214362621 \h </w:instrText>
        </w:r>
        <w:r>
          <w:rPr>
            <w:noProof/>
            <w:webHidden/>
          </w:rPr>
        </w:r>
        <w:r>
          <w:rPr>
            <w:noProof/>
            <w:webHidden/>
          </w:rPr>
          <w:fldChar w:fldCharType="separate"/>
        </w:r>
        <w:r w:rsidR="000412CE">
          <w:rPr>
            <w:noProof/>
            <w:webHidden/>
          </w:rPr>
          <w:t>42</w:t>
        </w:r>
        <w:r>
          <w:rPr>
            <w:noProof/>
            <w:webHidden/>
          </w:rPr>
          <w:fldChar w:fldCharType="end"/>
        </w:r>
      </w:hyperlink>
    </w:p>
    <w:p w14:paraId="7D94DE18" w14:textId="3DC4550E"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22" w:history="1">
        <w:r w:rsidRPr="007A57C4">
          <w:rPr>
            <w:rStyle w:val="Hyperlink"/>
            <w:noProof/>
          </w:rPr>
          <w:t>Table 1.17. Key properties of BioPCM® Q20/Q23/Q25 (plant-based): melting point, density, latent heat, specific heat, thermal conductivity, and heat-storage capacity; typical range.</w:t>
        </w:r>
        <w:r>
          <w:rPr>
            <w:noProof/>
            <w:webHidden/>
          </w:rPr>
          <w:tab/>
        </w:r>
        <w:r>
          <w:rPr>
            <w:noProof/>
            <w:webHidden/>
          </w:rPr>
          <w:fldChar w:fldCharType="begin"/>
        </w:r>
        <w:r>
          <w:rPr>
            <w:noProof/>
            <w:webHidden/>
          </w:rPr>
          <w:instrText xml:space="preserve"> PAGEREF _Toc214362622 \h </w:instrText>
        </w:r>
        <w:r>
          <w:rPr>
            <w:noProof/>
            <w:webHidden/>
          </w:rPr>
        </w:r>
        <w:r>
          <w:rPr>
            <w:noProof/>
            <w:webHidden/>
          </w:rPr>
          <w:fldChar w:fldCharType="separate"/>
        </w:r>
        <w:r w:rsidR="000412CE">
          <w:rPr>
            <w:noProof/>
            <w:webHidden/>
          </w:rPr>
          <w:t>44</w:t>
        </w:r>
        <w:r>
          <w:rPr>
            <w:noProof/>
            <w:webHidden/>
          </w:rPr>
          <w:fldChar w:fldCharType="end"/>
        </w:r>
      </w:hyperlink>
    </w:p>
    <w:p w14:paraId="531936C1" w14:textId="0583107D"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23" w:history="1">
        <w:r w:rsidRPr="007A57C4">
          <w:rPr>
            <w:rStyle w:val="Hyperlink"/>
            <w:noProof/>
          </w:rPr>
          <w:t>Table 1.18. PCM® commercial solutions: ENRG Blanket and Apollo™ Panel.</w:t>
        </w:r>
        <w:r>
          <w:rPr>
            <w:noProof/>
            <w:webHidden/>
          </w:rPr>
          <w:tab/>
        </w:r>
        <w:r>
          <w:rPr>
            <w:noProof/>
            <w:webHidden/>
          </w:rPr>
          <w:fldChar w:fldCharType="begin"/>
        </w:r>
        <w:r>
          <w:rPr>
            <w:noProof/>
            <w:webHidden/>
          </w:rPr>
          <w:instrText xml:space="preserve"> PAGEREF _Toc214362623 \h </w:instrText>
        </w:r>
        <w:r>
          <w:rPr>
            <w:noProof/>
            <w:webHidden/>
          </w:rPr>
        </w:r>
        <w:r>
          <w:rPr>
            <w:noProof/>
            <w:webHidden/>
          </w:rPr>
          <w:fldChar w:fldCharType="separate"/>
        </w:r>
        <w:r w:rsidR="000412CE">
          <w:rPr>
            <w:noProof/>
            <w:webHidden/>
          </w:rPr>
          <w:t>44</w:t>
        </w:r>
        <w:r>
          <w:rPr>
            <w:noProof/>
            <w:webHidden/>
          </w:rPr>
          <w:fldChar w:fldCharType="end"/>
        </w:r>
      </w:hyperlink>
    </w:p>
    <w:p w14:paraId="095663A8" w14:textId="25664A7E"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24" w:history="1">
        <w:r w:rsidRPr="007A57C4">
          <w:rPr>
            <w:rStyle w:val="Hyperlink"/>
            <w:noProof/>
          </w:rPr>
          <w:t>Table 1.19. PCM Products Ltd: properties of PCM types (S, A, E, X, H) and examples of encapsulated products.</w:t>
        </w:r>
        <w:r>
          <w:rPr>
            <w:noProof/>
            <w:webHidden/>
          </w:rPr>
          <w:tab/>
        </w:r>
        <w:r>
          <w:rPr>
            <w:noProof/>
            <w:webHidden/>
          </w:rPr>
          <w:fldChar w:fldCharType="begin"/>
        </w:r>
        <w:r>
          <w:rPr>
            <w:noProof/>
            <w:webHidden/>
          </w:rPr>
          <w:instrText xml:space="preserve"> PAGEREF _Toc214362624 \h </w:instrText>
        </w:r>
        <w:r>
          <w:rPr>
            <w:noProof/>
            <w:webHidden/>
          </w:rPr>
        </w:r>
        <w:r>
          <w:rPr>
            <w:noProof/>
            <w:webHidden/>
          </w:rPr>
          <w:fldChar w:fldCharType="separate"/>
        </w:r>
        <w:r w:rsidR="000412CE">
          <w:rPr>
            <w:noProof/>
            <w:webHidden/>
          </w:rPr>
          <w:t>46</w:t>
        </w:r>
        <w:r>
          <w:rPr>
            <w:noProof/>
            <w:webHidden/>
          </w:rPr>
          <w:fldChar w:fldCharType="end"/>
        </w:r>
      </w:hyperlink>
    </w:p>
    <w:p w14:paraId="5239D9D4" w14:textId="42DE0787"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25" w:history="1">
        <w:r w:rsidRPr="007A57C4">
          <w:rPr>
            <w:rStyle w:val="Hyperlink"/>
            <w:noProof/>
          </w:rPr>
          <w:t>Table 1.20. Axiotherm products: ATS and ATP: phase transition ranges and heat-storage capacity.</w:t>
        </w:r>
        <w:r>
          <w:rPr>
            <w:noProof/>
            <w:webHidden/>
          </w:rPr>
          <w:tab/>
        </w:r>
        <w:r>
          <w:rPr>
            <w:noProof/>
            <w:webHidden/>
          </w:rPr>
          <w:fldChar w:fldCharType="begin"/>
        </w:r>
        <w:r>
          <w:rPr>
            <w:noProof/>
            <w:webHidden/>
          </w:rPr>
          <w:instrText xml:space="preserve"> PAGEREF _Toc214362625 \h </w:instrText>
        </w:r>
        <w:r>
          <w:rPr>
            <w:noProof/>
            <w:webHidden/>
          </w:rPr>
        </w:r>
        <w:r>
          <w:rPr>
            <w:noProof/>
            <w:webHidden/>
          </w:rPr>
          <w:fldChar w:fldCharType="separate"/>
        </w:r>
        <w:r w:rsidR="000412CE">
          <w:rPr>
            <w:noProof/>
            <w:webHidden/>
          </w:rPr>
          <w:t>47</w:t>
        </w:r>
        <w:r>
          <w:rPr>
            <w:noProof/>
            <w:webHidden/>
          </w:rPr>
          <w:fldChar w:fldCharType="end"/>
        </w:r>
      </w:hyperlink>
    </w:p>
    <w:p w14:paraId="106683E4" w14:textId="02A3DE8C"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26" w:history="1">
        <w:r w:rsidRPr="007A57C4">
          <w:rPr>
            <w:rStyle w:val="Hyperlink"/>
            <w:rFonts w:ascii="Times New Roman" w:hAnsi="Times New Roman" w:cs="Times New Roman"/>
            <w:noProof/>
          </w:rPr>
          <w:t>Table 1.2</w:t>
        </w:r>
        <w:r>
          <w:rPr>
            <w:rStyle w:val="Hyperlink"/>
            <w:rFonts w:ascii="Times New Roman" w:hAnsi="Times New Roman" w:cs="Times New Roman"/>
            <w:noProof/>
          </w:rPr>
          <w:t>1</w:t>
        </w:r>
        <w:r w:rsidRPr="007A57C4">
          <w:rPr>
            <w:rStyle w:val="Hyperlink"/>
            <w:rFonts w:ascii="Times New Roman" w:hAnsi="Times New Roman" w:cs="Times New Roman"/>
            <w:noProof/>
          </w:rPr>
          <w:t>. Axiotherm products: BlackIce, HeatSel, and HeatStaxx Air: brief descriptions and typical TES applications.</w:t>
        </w:r>
        <w:r>
          <w:rPr>
            <w:noProof/>
            <w:webHidden/>
          </w:rPr>
          <w:tab/>
        </w:r>
        <w:r>
          <w:rPr>
            <w:noProof/>
            <w:webHidden/>
          </w:rPr>
          <w:fldChar w:fldCharType="begin"/>
        </w:r>
        <w:r>
          <w:rPr>
            <w:noProof/>
            <w:webHidden/>
          </w:rPr>
          <w:instrText xml:space="preserve"> PAGEREF _Toc214362626 \h </w:instrText>
        </w:r>
        <w:r>
          <w:rPr>
            <w:noProof/>
            <w:webHidden/>
          </w:rPr>
        </w:r>
        <w:r>
          <w:rPr>
            <w:noProof/>
            <w:webHidden/>
          </w:rPr>
          <w:fldChar w:fldCharType="separate"/>
        </w:r>
        <w:r w:rsidR="000412CE">
          <w:rPr>
            <w:noProof/>
            <w:webHidden/>
          </w:rPr>
          <w:t>48</w:t>
        </w:r>
        <w:r>
          <w:rPr>
            <w:noProof/>
            <w:webHidden/>
          </w:rPr>
          <w:fldChar w:fldCharType="end"/>
        </w:r>
      </w:hyperlink>
    </w:p>
    <w:p w14:paraId="47DE8E8E" w14:textId="245D6891"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27" w:history="1">
        <w:r w:rsidRPr="007A57C4">
          <w:rPr>
            <w:rStyle w:val="Hyperlink"/>
            <w:noProof/>
          </w:rPr>
          <w:t>Table 1.22. PureTemp bio-based PCMs: melting point, solid/liquid density, latent heat, thermal conductivity, and heat-storage capacity.</w:t>
        </w:r>
        <w:r>
          <w:rPr>
            <w:noProof/>
            <w:webHidden/>
          </w:rPr>
          <w:tab/>
        </w:r>
        <w:r>
          <w:rPr>
            <w:noProof/>
            <w:webHidden/>
          </w:rPr>
          <w:fldChar w:fldCharType="begin"/>
        </w:r>
        <w:r>
          <w:rPr>
            <w:noProof/>
            <w:webHidden/>
          </w:rPr>
          <w:instrText xml:space="preserve"> PAGEREF _Toc214362627 \h </w:instrText>
        </w:r>
        <w:r>
          <w:rPr>
            <w:noProof/>
            <w:webHidden/>
          </w:rPr>
        </w:r>
        <w:r>
          <w:rPr>
            <w:noProof/>
            <w:webHidden/>
          </w:rPr>
          <w:fldChar w:fldCharType="separate"/>
        </w:r>
        <w:r w:rsidR="000412CE">
          <w:rPr>
            <w:noProof/>
            <w:webHidden/>
          </w:rPr>
          <w:t>49</w:t>
        </w:r>
        <w:r>
          <w:rPr>
            <w:noProof/>
            <w:webHidden/>
          </w:rPr>
          <w:fldChar w:fldCharType="end"/>
        </w:r>
      </w:hyperlink>
    </w:p>
    <w:p w14:paraId="400FB76D" w14:textId="3165A10B"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28" w:history="1">
        <w:r w:rsidRPr="007A57C4">
          <w:rPr>
            <w:rStyle w:val="Hyperlink"/>
            <w:noProof/>
          </w:rPr>
          <w:t>Table 1.23. BlockVesl and MatVesl: brief product overview.</w:t>
        </w:r>
        <w:r>
          <w:rPr>
            <w:noProof/>
            <w:webHidden/>
          </w:rPr>
          <w:tab/>
        </w:r>
        <w:r>
          <w:rPr>
            <w:noProof/>
            <w:webHidden/>
          </w:rPr>
          <w:fldChar w:fldCharType="begin"/>
        </w:r>
        <w:r>
          <w:rPr>
            <w:noProof/>
            <w:webHidden/>
          </w:rPr>
          <w:instrText xml:space="preserve"> PAGEREF _Toc214362628 \h </w:instrText>
        </w:r>
        <w:r>
          <w:rPr>
            <w:noProof/>
            <w:webHidden/>
          </w:rPr>
        </w:r>
        <w:r>
          <w:rPr>
            <w:noProof/>
            <w:webHidden/>
          </w:rPr>
          <w:fldChar w:fldCharType="separate"/>
        </w:r>
        <w:r w:rsidR="000412CE">
          <w:rPr>
            <w:noProof/>
            <w:webHidden/>
          </w:rPr>
          <w:t>50</w:t>
        </w:r>
        <w:r>
          <w:rPr>
            <w:noProof/>
            <w:webHidden/>
          </w:rPr>
          <w:fldChar w:fldCharType="end"/>
        </w:r>
      </w:hyperlink>
    </w:p>
    <w:p w14:paraId="35FCA245" w14:textId="0494BF32"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29" w:history="1">
        <w:r w:rsidRPr="007A57C4">
          <w:rPr>
            <w:rStyle w:val="Hyperlink"/>
            <w:noProof/>
          </w:rPr>
          <w:t>Table 2.1. Selected studies on PCM-based thermal management for electronic devices: bibliographic details (title, authors, source, year, citations) and key findings from abstracts.</w:t>
        </w:r>
        <w:r>
          <w:rPr>
            <w:noProof/>
            <w:webHidden/>
          </w:rPr>
          <w:tab/>
        </w:r>
        <w:r>
          <w:rPr>
            <w:noProof/>
            <w:webHidden/>
          </w:rPr>
          <w:fldChar w:fldCharType="begin"/>
        </w:r>
        <w:r>
          <w:rPr>
            <w:noProof/>
            <w:webHidden/>
          </w:rPr>
          <w:instrText xml:space="preserve"> PAGEREF _Toc214362629 \h </w:instrText>
        </w:r>
        <w:r>
          <w:rPr>
            <w:noProof/>
            <w:webHidden/>
          </w:rPr>
        </w:r>
        <w:r>
          <w:rPr>
            <w:noProof/>
            <w:webHidden/>
          </w:rPr>
          <w:fldChar w:fldCharType="separate"/>
        </w:r>
        <w:r w:rsidR="000412CE">
          <w:rPr>
            <w:noProof/>
            <w:webHidden/>
          </w:rPr>
          <w:t>56</w:t>
        </w:r>
        <w:r>
          <w:rPr>
            <w:noProof/>
            <w:webHidden/>
          </w:rPr>
          <w:fldChar w:fldCharType="end"/>
        </w:r>
      </w:hyperlink>
    </w:p>
    <w:p w14:paraId="37EA0A75" w14:textId="5C18230A"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30" w:history="1">
        <w:r w:rsidRPr="007A57C4">
          <w:rPr>
            <w:rStyle w:val="Hyperlink"/>
            <w:rFonts w:cs="Times New Roman"/>
            <w:noProof/>
          </w:rPr>
          <w:t>Table 2.2. Influential review papers on PCM applications for electronic devices and batteries: bibliographic details (title, authors, source, year, citations) and key insights from abstracts</w:t>
        </w:r>
        <w:r w:rsidRPr="007A57C4">
          <w:rPr>
            <w:rStyle w:val="Hyperlink"/>
            <w:noProof/>
          </w:rPr>
          <w:t>.</w:t>
        </w:r>
        <w:r>
          <w:rPr>
            <w:noProof/>
            <w:webHidden/>
          </w:rPr>
          <w:tab/>
        </w:r>
        <w:r>
          <w:rPr>
            <w:noProof/>
            <w:webHidden/>
          </w:rPr>
          <w:fldChar w:fldCharType="begin"/>
        </w:r>
        <w:r>
          <w:rPr>
            <w:noProof/>
            <w:webHidden/>
          </w:rPr>
          <w:instrText xml:space="preserve"> PAGEREF _Toc214362630 \h </w:instrText>
        </w:r>
        <w:r>
          <w:rPr>
            <w:noProof/>
            <w:webHidden/>
          </w:rPr>
        </w:r>
        <w:r>
          <w:rPr>
            <w:noProof/>
            <w:webHidden/>
          </w:rPr>
          <w:fldChar w:fldCharType="separate"/>
        </w:r>
        <w:r w:rsidR="000412CE">
          <w:rPr>
            <w:noProof/>
            <w:webHidden/>
          </w:rPr>
          <w:t>58</w:t>
        </w:r>
        <w:r>
          <w:rPr>
            <w:noProof/>
            <w:webHidden/>
          </w:rPr>
          <w:fldChar w:fldCharType="end"/>
        </w:r>
      </w:hyperlink>
    </w:p>
    <w:p w14:paraId="289FF8BB" w14:textId="531E4C89"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31" w:history="1">
        <w:r w:rsidRPr="007A57C4">
          <w:rPr>
            <w:rStyle w:val="Hyperlink"/>
            <w:noProof/>
          </w:rPr>
          <w:t>Table 2.3. Cooling methods for Li-ion battery packs: air, liquid, thermoelectric, heat pipe, and PCM. Key advantages, disadvantages, and commercialization.</w:t>
        </w:r>
        <w:r>
          <w:rPr>
            <w:noProof/>
            <w:webHidden/>
          </w:rPr>
          <w:tab/>
        </w:r>
        <w:r>
          <w:rPr>
            <w:noProof/>
            <w:webHidden/>
          </w:rPr>
          <w:fldChar w:fldCharType="begin"/>
        </w:r>
        <w:r>
          <w:rPr>
            <w:noProof/>
            <w:webHidden/>
          </w:rPr>
          <w:instrText xml:space="preserve"> PAGEREF _Toc214362631 \h </w:instrText>
        </w:r>
        <w:r>
          <w:rPr>
            <w:noProof/>
            <w:webHidden/>
          </w:rPr>
        </w:r>
        <w:r>
          <w:rPr>
            <w:noProof/>
            <w:webHidden/>
          </w:rPr>
          <w:fldChar w:fldCharType="separate"/>
        </w:r>
        <w:r w:rsidR="000412CE">
          <w:rPr>
            <w:noProof/>
            <w:webHidden/>
          </w:rPr>
          <w:t>62</w:t>
        </w:r>
        <w:r>
          <w:rPr>
            <w:noProof/>
            <w:webHidden/>
          </w:rPr>
          <w:fldChar w:fldCharType="end"/>
        </w:r>
      </w:hyperlink>
    </w:p>
    <w:p w14:paraId="1C15E9B0" w14:textId="40DD8C58"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32" w:history="1">
        <w:r w:rsidRPr="007A57C4">
          <w:rPr>
            <w:rStyle w:val="Hyperlink"/>
            <w:noProof/>
          </w:rPr>
          <w:t>Table 2.4. Selected studies on PCM for PV thermal management: bibliographic details and key outcomes.</w:t>
        </w:r>
        <w:r>
          <w:rPr>
            <w:noProof/>
            <w:webHidden/>
          </w:rPr>
          <w:tab/>
        </w:r>
        <w:r>
          <w:rPr>
            <w:noProof/>
            <w:webHidden/>
          </w:rPr>
          <w:fldChar w:fldCharType="begin"/>
        </w:r>
        <w:r>
          <w:rPr>
            <w:noProof/>
            <w:webHidden/>
          </w:rPr>
          <w:instrText xml:space="preserve"> PAGEREF _Toc214362632 \h </w:instrText>
        </w:r>
        <w:r>
          <w:rPr>
            <w:noProof/>
            <w:webHidden/>
          </w:rPr>
        </w:r>
        <w:r>
          <w:rPr>
            <w:noProof/>
            <w:webHidden/>
          </w:rPr>
          <w:fldChar w:fldCharType="separate"/>
        </w:r>
        <w:r w:rsidR="000412CE">
          <w:rPr>
            <w:noProof/>
            <w:webHidden/>
          </w:rPr>
          <w:t>72</w:t>
        </w:r>
        <w:r>
          <w:rPr>
            <w:noProof/>
            <w:webHidden/>
          </w:rPr>
          <w:fldChar w:fldCharType="end"/>
        </w:r>
      </w:hyperlink>
    </w:p>
    <w:p w14:paraId="0FB2D0EB" w14:textId="408E672B"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33" w:history="1">
        <w:r w:rsidRPr="007A57C4">
          <w:rPr>
            <w:rStyle w:val="Hyperlink"/>
            <w:rFonts w:ascii="Times New Roman" w:hAnsi="Times New Roman" w:cs="Times New Roman"/>
            <w:noProof/>
          </w:rPr>
          <w:t>Table 2.5. Influential reviews on PCM integration in photovoltaics: key bibliographic details and synthesized insights on concepts.</w:t>
        </w:r>
        <w:r>
          <w:rPr>
            <w:noProof/>
            <w:webHidden/>
          </w:rPr>
          <w:tab/>
        </w:r>
        <w:r>
          <w:rPr>
            <w:noProof/>
            <w:webHidden/>
          </w:rPr>
          <w:fldChar w:fldCharType="begin"/>
        </w:r>
        <w:r>
          <w:rPr>
            <w:noProof/>
            <w:webHidden/>
          </w:rPr>
          <w:instrText xml:space="preserve"> PAGEREF _Toc214362633 \h </w:instrText>
        </w:r>
        <w:r>
          <w:rPr>
            <w:noProof/>
            <w:webHidden/>
          </w:rPr>
        </w:r>
        <w:r>
          <w:rPr>
            <w:noProof/>
            <w:webHidden/>
          </w:rPr>
          <w:fldChar w:fldCharType="separate"/>
        </w:r>
        <w:r w:rsidR="000412CE">
          <w:rPr>
            <w:noProof/>
            <w:webHidden/>
          </w:rPr>
          <w:t>73</w:t>
        </w:r>
        <w:r>
          <w:rPr>
            <w:noProof/>
            <w:webHidden/>
          </w:rPr>
          <w:fldChar w:fldCharType="end"/>
        </w:r>
      </w:hyperlink>
    </w:p>
    <w:p w14:paraId="5A0581E4" w14:textId="79059F92"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34" w:history="1">
        <w:r w:rsidRPr="007A57C4">
          <w:rPr>
            <w:rStyle w:val="Hyperlink"/>
            <w:noProof/>
          </w:rPr>
          <w:t>Table 2.6. Selected studies on PCMs in buildings: bibliographic details (title, authors, source, year, citations) and distilled findings from abstracts.</w:t>
        </w:r>
        <w:r>
          <w:rPr>
            <w:noProof/>
            <w:webHidden/>
          </w:rPr>
          <w:tab/>
        </w:r>
        <w:r>
          <w:rPr>
            <w:noProof/>
            <w:webHidden/>
          </w:rPr>
          <w:fldChar w:fldCharType="begin"/>
        </w:r>
        <w:r>
          <w:rPr>
            <w:noProof/>
            <w:webHidden/>
          </w:rPr>
          <w:instrText xml:space="preserve"> PAGEREF _Toc214362634 \h </w:instrText>
        </w:r>
        <w:r>
          <w:rPr>
            <w:noProof/>
            <w:webHidden/>
          </w:rPr>
        </w:r>
        <w:r>
          <w:rPr>
            <w:noProof/>
            <w:webHidden/>
          </w:rPr>
          <w:fldChar w:fldCharType="separate"/>
        </w:r>
        <w:r w:rsidR="000412CE">
          <w:rPr>
            <w:noProof/>
            <w:webHidden/>
          </w:rPr>
          <w:t>85</w:t>
        </w:r>
        <w:r>
          <w:rPr>
            <w:noProof/>
            <w:webHidden/>
          </w:rPr>
          <w:fldChar w:fldCharType="end"/>
        </w:r>
      </w:hyperlink>
    </w:p>
    <w:p w14:paraId="2054DC59" w14:textId="70147A5B"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35" w:history="1">
        <w:r w:rsidRPr="007A57C4">
          <w:rPr>
            <w:rStyle w:val="Hyperlink"/>
            <w:rFonts w:cs="Times New Roman"/>
            <w:noProof/>
          </w:rPr>
          <w:t>Table 2.7. Influential reviews on PCMs in buildings: key bibliographic details (title, authors, source, year, citations) and synthesized insights.</w:t>
        </w:r>
        <w:r>
          <w:rPr>
            <w:noProof/>
            <w:webHidden/>
          </w:rPr>
          <w:tab/>
        </w:r>
        <w:r>
          <w:rPr>
            <w:noProof/>
            <w:webHidden/>
          </w:rPr>
          <w:fldChar w:fldCharType="begin"/>
        </w:r>
        <w:r>
          <w:rPr>
            <w:noProof/>
            <w:webHidden/>
          </w:rPr>
          <w:instrText xml:space="preserve"> PAGEREF _Toc214362635 \h </w:instrText>
        </w:r>
        <w:r>
          <w:rPr>
            <w:noProof/>
            <w:webHidden/>
          </w:rPr>
        </w:r>
        <w:r>
          <w:rPr>
            <w:noProof/>
            <w:webHidden/>
          </w:rPr>
          <w:fldChar w:fldCharType="separate"/>
        </w:r>
        <w:r w:rsidR="000412CE">
          <w:rPr>
            <w:noProof/>
            <w:webHidden/>
          </w:rPr>
          <w:t>86</w:t>
        </w:r>
        <w:r>
          <w:rPr>
            <w:noProof/>
            <w:webHidden/>
          </w:rPr>
          <w:fldChar w:fldCharType="end"/>
        </w:r>
      </w:hyperlink>
    </w:p>
    <w:p w14:paraId="729617F9" w14:textId="0983DAE4"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36" w:history="1">
        <w:r w:rsidRPr="007A57C4">
          <w:rPr>
            <w:rStyle w:val="Hyperlink"/>
            <w:rFonts w:cs="Times New Roman"/>
            <w:noProof/>
          </w:rPr>
          <w:t>Table 2.8. PCM-enhanced bricks: PCM type/configuration with reported gains: temperature drop around 5–13 °C, heat-flux reduction around 50–74%, energy savings around 15–40%.</w:t>
        </w:r>
        <w:r>
          <w:rPr>
            <w:noProof/>
            <w:webHidden/>
          </w:rPr>
          <w:tab/>
        </w:r>
        <w:r>
          <w:rPr>
            <w:noProof/>
            <w:webHidden/>
          </w:rPr>
          <w:fldChar w:fldCharType="begin"/>
        </w:r>
        <w:r>
          <w:rPr>
            <w:noProof/>
            <w:webHidden/>
          </w:rPr>
          <w:instrText xml:space="preserve"> PAGEREF _Toc214362636 \h </w:instrText>
        </w:r>
        <w:r>
          <w:rPr>
            <w:noProof/>
            <w:webHidden/>
          </w:rPr>
        </w:r>
        <w:r>
          <w:rPr>
            <w:noProof/>
            <w:webHidden/>
          </w:rPr>
          <w:fldChar w:fldCharType="separate"/>
        </w:r>
        <w:r w:rsidR="000412CE">
          <w:rPr>
            <w:noProof/>
            <w:webHidden/>
          </w:rPr>
          <w:t>89</w:t>
        </w:r>
        <w:r>
          <w:rPr>
            <w:noProof/>
            <w:webHidden/>
          </w:rPr>
          <w:fldChar w:fldCharType="end"/>
        </w:r>
      </w:hyperlink>
    </w:p>
    <w:p w14:paraId="03229CE7" w14:textId="6568FF11"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37" w:history="1">
        <w:r w:rsidRPr="007A57C4">
          <w:rPr>
            <w:rStyle w:val="Hyperlink"/>
            <w:noProof/>
          </w:rPr>
          <w:t>Table 2.9. Selected studies on PCM use in the cold chain: bibliographic details and key findings distilled from the abstracts.</w:t>
        </w:r>
        <w:r>
          <w:rPr>
            <w:noProof/>
            <w:webHidden/>
          </w:rPr>
          <w:tab/>
        </w:r>
        <w:r>
          <w:rPr>
            <w:noProof/>
            <w:webHidden/>
          </w:rPr>
          <w:fldChar w:fldCharType="begin"/>
        </w:r>
        <w:r>
          <w:rPr>
            <w:noProof/>
            <w:webHidden/>
          </w:rPr>
          <w:instrText xml:space="preserve"> PAGEREF _Toc214362637 \h </w:instrText>
        </w:r>
        <w:r>
          <w:rPr>
            <w:noProof/>
            <w:webHidden/>
          </w:rPr>
        </w:r>
        <w:r>
          <w:rPr>
            <w:noProof/>
            <w:webHidden/>
          </w:rPr>
          <w:fldChar w:fldCharType="separate"/>
        </w:r>
        <w:r w:rsidR="000412CE">
          <w:rPr>
            <w:noProof/>
            <w:webHidden/>
          </w:rPr>
          <w:t>102</w:t>
        </w:r>
        <w:r>
          <w:rPr>
            <w:noProof/>
            <w:webHidden/>
          </w:rPr>
          <w:fldChar w:fldCharType="end"/>
        </w:r>
      </w:hyperlink>
    </w:p>
    <w:p w14:paraId="61E9FDB1" w14:textId="224DD8A5"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38" w:history="1">
        <w:r w:rsidRPr="007A57C4">
          <w:rPr>
            <w:rStyle w:val="Hyperlink"/>
            <w:rFonts w:cs="Times New Roman"/>
            <w:noProof/>
          </w:rPr>
          <w:t>Table 2.10. Influential reviews on PCM for the cold chain: key bibliographic details and synthesized insights on technologies, integration challenges, and performance gains.</w:t>
        </w:r>
        <w:r>
          <w:rPr>
            <w:noProof/>
            <w:webHidden/>
          </w:rPr>
          <w:tab/>
        </w:r>
        <w:r>
          <w:rPr>
            <w:noProof/>
            <w:webHidden/>
          </w:rPr>
          <w:fldChar w:fldCharType="begin"/>
        </w:r>
        <w:r>
          <w:rPr>
            <w:noProof/>
            <w:webHidden/>
          </w:rPr>
          <w:instrText xml:space="preserve"> PAGEREF _Toc214362638 \h </w:instrText>
        </w:r>
        <w:r>
          <w:rPr>
            <w:noProof/>
            <w:webHidden/>
          </w:rPr>
        </w:r>
        <w:r>
          <w:rPr>
            <w:noProof/>
            <w:webHidden/>
          </w:rPr>
          <w:fldChar w:fldCharType="separate"/>
        </w:r>
        <w:r w:rsidR="000412CE">
          <w:rPr>
            <w:noProof/>
            <w:webHidden/>
          </w:rPr>
          <w:t>105</w:t>
        </w:r>
        <w:r>
          <w:rPr>
            <w:noProof/>
            <w:webHidden/>
          </w:rPr>
          <w:fldChar w:fldCharType="end"/>
        </w:r>
      </w:hyperlink>
    </w:p>
    <w:p w14:paraId="68B65CD9" w14:textId="1AACEFAB"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39" w:history="1">
        <w:r w:rsidRPr="007A57C4">
          <w:rPr>
            <w:rStyle w:val="Hyperlink"/>
            <w:rFonts w:cs="Times New Roman"/>
            <w:noProof/>
          </w:rPr>
          <w:t>Table 2.11. Cold-chain categories with target ranges and typical items: Cool, Pharma, Chill, Frozen, Deep freeze.</w:t>
        </w:r>
        <w:r>
          <w:rPr>
            <w:noProof/>
            <w:webHidden/>
          </w:rPr>
          <w:tab/>
        </w:r>
        <w:r>
          <w:rPr>
            <w:noProof/>
            <w:webHidden/>
          </w:rPr>
          <w:fldChar w:fldCharType="begin"/>
        </w:r>
        <w:r>
          <w:rPr>
            <w:noProof/>
            <w:webHidden/>
          </w:rPr>
          <w:instrText xml:space="preserve"> PAGEREF _Toc214362639 \h </w:instrText>
        </w:r>
        <w:r>
          <w:rPr>
            <w:noProof/>
            <w:webHidden/>
          </w:rPr>
        </w:r>
        <w:r>
          <w:rPr>
            <w:noProof/>
            <w:webHidden/>
          </w:rPr>
          <w:fldChar w:fldCharType="separate"/>
        </w:r>
        <w:r w:rsidR="000412CE">
          <w:rPr>
            <w:noProof/>
            <w:webHidden/>
          </w:rPr>
          <w:t>106</w:t>
        </w:r>
        <w:r>
          <w:rPr>
            <w:noProof/>
            <w:webHidden/>
          </w:rPr>
          <w:fldChar w:fldCharType="end"/>
        </w:r>
      </w:hyperlink>
    </w:p>
    <w:p w14:paraId="3714D0BE" w14:textId="190F5C93"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40" w:history="1">
        <w:r w:rsidRPr="007A57C4">
          <w:rPr>
            <w:rStyle w:val="Hyperlink"/>
            <w:rFonts w:cs="Times New Roman"/>
            <w:noProof/>
          </w:rPr>
          <w:t>Table 2.12. Commercial PCM cold boxes.</w:t>
        </w:r>
        <w:r>
          <w:rPr>
            <w:noProof/>
            <w:webHidden/>
          </w:rPr>
          <w:tab/>
        </w:r>
        <w:r>
          <w:rPr>
            <w:noProof/>
            <w:webHidden/>
          </w:rPr>
          <w:fldChar w:fldCharType="begin"/>
        </w:r>
        <w:r>
          <w:rPr>
            <w:noProof/>
            <w:webHidden/>
          </w:rPr>
          <w:instrText xml:space="preserve"> PAGEREF _Toc214362640 \h </w:instrText>
        </w:r>
        <w:r>
          <w:rPr>
            <w:noProof/>
            <w:webHidden/>
          </w:rPr>
        </w:r>
        <w:r>
          <w:rPr>
            <w:noProof/>
            <w:webHidden/>
          </w:rPr>
          <w:fldChar w:fldCharType="separate"/>
        </w:r>
        <w:r w:rsidR="000412CE">
          <w:rPr>
            <w:noProof/>
            <w:webHidden/>
          </w:rPr>
          <w:t>109</w:t>
        </w:r>
        <w:r>
          <w:rPr>
            <w:noProof/>
            <w:webHidden/>
          </w:rPr>
          <w:fldChar w:fldCharType="end"/>
        </w:r>
      </w:hyperlink>
    </w:p>
    <w:p w14:paraId="3498CFAF" w14:textId="4726CE9E"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41" w:history="1">
        <w:r w:rsidRPr="007A57C4">
          <w:rPr>
            <w:rStyle w:val="Hyperlink"/>
            <w:rFonts w:cs="Times New Roman"/>
            <w:noProof/>
          </w:rPr>
          <w:t>Table 2.13. Phase-change properties of commercial cold-chain PCMs from Croda, Rubitherm, Axiotherm, and RGEES.</w:t>
        </w:r>
        <w:r>
          <w:rPr>
            <w:noProof/>
            <w:webHidden/>
          </w:rPr>
          <w:tab/>
        </w:r>
        <w:r>
          <w:rPr>
            <w:noProof/>
            <w:webHidden/>
          </w:rPr>
          <w:fldChar w:fldCharType="begin"/>
        </w:r>
        <w:r>
          <w:rPr>
            <w:noProof/>
            <w:webHidden/>
          </w:rPr>
          <w:instrText xml:space="preserve"> PAGEREF _Toc214362641 \h </w:instrText>
        </w:r>
        <w:r>
          <w:rPr>
            <w:noProof/>
            <w:webHidden/>
          </w:rPr>
        </w:r>
        <w:r>
          <w:rPr>
            <w:noProof/>
            <w:webHidden/>
          </w:rPr>
          <w:fldChar w:fldCharType="separate"/>
        </w:r>
        <w:r w:rsidR="000412CE">
          <w:rPr>
            <w:noProof/>
            <w:webHidden/>
          </w:rPr>
          <w:t>111</w:t>
        </w:r>
        <w:r>
          <w:rPr>
            <w:noProof/>
            <w:webHidden/>
          </w:rPr>
          <w:fldChar w:fldCharType="end"/>
        </w:r>
      </w:hyperlink>
    </w:p>
    <w:p w14:paraId="65642B10" w14:textId="1726D387"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42" w:history="1">
        <w:r w:rsidRPr="007A57C4">
          <w:rPr>
            <w:rStyle w:val="Hyperlink"/>
            <w:rFonts w:cs="Times New Roman"/>
            <w:noProof/>
          </w:rPr>
          <w:t>Table 2.14. Key studies on PCMs in textiles and cooling garments: bibliographic details and concise findings.</w:t>
        </w:r>
        <w:r>
          <w:rPr>
            <w:noProof/>
            <w:webHidden/>
          </w:rPr>
          <w:tab/>
        </w:r>
        <w:r>
          <w:rPr>
            <w:noProof/>
            <w:webHidden/>
          </w:rPr>
          <w:fldChar w:fldCharType="begin"/>
        </w:r>
        <w:r>
          <w:rPr>
            <w:noProof/>
            <w:webHidden/>
          </w:rPr>
          <w:instrText xml:space="preserve"> PAGEREF _Toc214362642 \h </w:instrText>
        </w:r>
        <w:r>
          <w:rPr>
            <w:noProof/>
            <w:webHidden/>
          </w:rPr>
        </w:r>
        <w:r>
          <w:rPr>
            <w:noProof/>
            <w:webHidden/>
          </w:rPr>
          <w:fldChar w:fldCharType="separate"/>
        </w:r>
        <w:r w:rsidR="000412CE">
          <w:rPr>
            <w:noProof/>
            <w:webHidden/>
          </w:rPr>
          <w:t>117</w:t>
        </w:r>
        <w:r>
          <w:rPr>
            <w:noProof/>
            <w:webHidden/>
          </w:rPr>
          <w:fldChar w:fldCharType="end"/>
        </w:r>
      </w:hyperlink>
    </w:p>
    <w:p w14:paraId="4ED4F162" w14:textId="1EB0955A"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43" w:history="1">
        <w:r w:rsidRPr="007A57C4">
          <w:rPr>
            <w:rStyle w:val="Hyperlink"/>
            <w:rFonts w:cs="Times New Roman"/>
            <w:noProof/>
          </w:rPr>
          <w:t>Table 2.15. Influential reviews on PCMs for textiles and wearables: key bibliographic details and synthesized insights.</w:t>
        </w:r>
        <w:r>
          <w:rPr>
            <w:noProof/>
            <w:webHidden/>
          </w:rPr>
          <w:tab/>
        </w:r>
        <w:r>
          <w:rPr>
            <w:noProof/>
            <w:webHidden/>
          </w:rPr>
          <w:fldChar w:fldCharType="begin"/>
        </w:r>
        <w:r>
          <w:rPr>
            <w:noProof/>
            <w:webHidden/>
          </w:rPr>
          <w:instrText xml:space="preserve"> PAGEREF _Toc214362643 \h </w:instrText>
        </w:r>
        <w:r>
          <w:rPr>
            <w:noProof/>
            <w:webHidden/>
          </w:rPr>
        </w:r>
        <w:r>
          <w:rPr>
            <w:noProof/>
            <w:webHidden/>
          </w:rPr>
          <w:fldChar w:fldCharType="separate"/>
        </w:r>
        <w:r w:rsidR="000412CE">
          <w:rPr>
            <w:noProof/>
            <w:webHidden/>
          </w:rPr>
          <w:t>118</w:t>
        </w:r>
        <w:r>
          <w:rPr>
            <w:noProof/>
            <w:webHidden/>
          </w:rPr>
          <w:fldChar w:fldCharType="end"/>
        </w:r>
      </w:hyperlink>
    </w:p>
    <w:p w14:paraId="5A3D1E02" w14:textId="7A344172"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44" w:history="1">
        <w:r w:rsidRPr="007A57C4">
          <w:rPr>
            <w:rStyle w:val="Hyperlink"/>
            <w:rFonts w:cs="Times New Roman"/>
            <w:noProof/>
          </w:rPr>
          <w:t>Table 2.16. Textile PCM types with thermal properties, environmental impact, durability/cost, and reasons for preference in garments.</w:t>
        </w:r>
        <w:r>
          <w:rPr>
            <w:noProof/>
            <w:webHidden/>
          </w:rPr>
          <w:tab/>
        </w:r>
        <w:r>
          <w:rPr>
            <w:noProof/>
            <w:webHidden/>
          </w:rPr>
          <w:fldChar w:fldCharType="begin"/>
        </w:r>
        <w:r>
          <w:rPr>
            <w:noProof/>
            <w:webHidden/>
          </w:rPr>
          <w:instrText xml:space="preserve"> PAGEREF _Toc214362644 \h </w:instrText>
        </w:r>
        <w:r>
          <w:rPr>
            <w:noProof/>
            <w:webHidden/>
          </w:rPr>
        </w:r>
        <w:r>
          <w:rPr>
            <w:noProof/>
            <w:webHidden/>
          </w:rPr>
          <w:fldChar w:fldCharType="separate"/>
        </w:r>
        <w:r w:rsidR="000412CE">
          <w:rPr>
            <w:noProof/>
            <w:webHidden/>
          </w:rPr>
          <w:t>122</w:t>
        </w:r>
        <w:r>
          <w:rPr>
            <w:noProof/>
            <w:webHidden/>
          </w:rPr>
          <w:fldChar w:fldCharType="end"/>
        </w:r>
      </w:hyperlink>
    </w:p>
    <w:p w14:paraId="75B511A8" w14:textId="6E9C5287"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45" w:history="1">
        <w:r w:rsidRPr="007A57C4">
          <w:rPr>
            <w:rStyle w:val="Hyperlink"/>
            <w:rFonts w:cs="Times New Roman"/>
            <w:noProof/>
          </w:rPr>
          <w:t>Table 2.17. Application area of integrated clothing, products, and developers of PCMs.</w:t>
        </w:r>
        <w:r>
          <w:rPr>
            <w:noProof/>
            <w:webHidden/>
          </w:rPr>
          <w:tab/>
        </w:r>
        <w:r>
          <w:rPr>
            <w:noProof/>
            <w:webHidden/>
          </w:rPr>
          <w:fldChar w:fldCharType="begin"/>
        </w:r>
        <w:r>
          <w:rPr>
            <w:noProof/>
            <w:webHidden/>
          </w:rPr>
          <w:instrText xml:space="preserve"> PAGEREF _Toc214362645 \h </w:instrText>
        </w:r>
        <w:r>
          <w:rPr>
            <w:noProof/>
            <w:webHidden/>
          </w:rPr>
        </w:r>
        <w:r>
          <w:rPr>
            <w:noProof/>
            <w:webHidden/>
          </w:rPr>
          <w:fldChar w:fldCharType="separate"/>
        </w:r>
        <w:r w:rsidR="000412CE">
          <w:rPr>
            <w:noProof/>
            <w:webHidden/>
          </w:rPr>
          <w:t>124</w:t>
        </w:r>
        <w:r>
          <w:rPr>
            <w:noProof/>
            <w:webHidden/>
          </w:rPr>
          <w:fldChar w:fldCharType="end"/>
        </w:r>
      </w:hyperlink>
    </w:p>
    <w:p w14:paraId="3E735F8E" w14:textId="519351D7"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46" w:history="1">
        <w:r w:rsidRPr="007A57C4">
          <w:rPr>
            <w:rStyle w:val="Hyperlink"/>
            <w:noProof/>
          </w:rPr>
          <w:t>Table 2.18. Selection of recent patents on PCM for energy applications.</w:t>
        </w:r>
        <w:r>
          <w:rPr>
            <w:noProof/>
            <w:webHidden/>
          </w:rPr>
          <w:tab/>
        </w:r>
        <w:r>
          <w:rPr>
            <w:noProof/>
            <w:webHidden/>
          </w:rPr>
          <w:fldChar w:fldCharType="begin"/>
        </w:r>
        <w:r>
          <w:rPr>
            <w:noProof/>
            <w:webHidden/>
          </w:rPr>
          <w:instrText xml:space="preserve"> PAGEREF _Toc214362646 \h </w:instrText>
        </w:r>
        <w:r>
          <w:rPr>
            <w:noProof/>
            <w:webHidden/>
          </w:rPr>
        </w:r>
        <w:r>
          <w:rPr>
            <w:noProof/>
            <w:webHidden/>
          </w:rPr>
          <w:fldChar w:fldCharType="separate"/>
        </w:r>
        <w:r w:rsidR="000412CE">
          <w:rPr>
            <w:noProof/>
            <w:webHidden/>
          </w:rPr>
          <w:t>135</w:t>
        </w:r>
        <w:r>
          <w:rPr>
            <w:noProof/>
            <w:webHidden/>
          </w:rPr>
          <w:fldChar w:fldCharType="end"/>
        </w:r>
      </w:hyperlink>
    </w:p>
    <w:p w14:paraId="6B25986F" w14:textId="6BC1423C"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47" w:history="1">
        <w:r w:rsidRPr="007A57C4">
          <w:rPr>
            <w:rStyle w:val="Hyperlink"/>
            <w:noProof/>
          </w:rPr>
          <w:t>Table 3.1. Boundary conditions.</w:t>
        </w:r>
        <w:r>
          <w:rPr>
            <w:noProof/>
            <w:webHidden/>
          </w:rPr>
          <w:tab/>
        </w:r>
        <w:r>
          <w:rPr>
            <w:noProof/>
            <w:webHidden/>
          </w:rPr>
          <w:fldChar w:fldCharType="begin"/>
        </w:r>
        <w:r>
          <w:rPr>
            <w:noProof/>
            <w:webHidden/>
          </w:rPr>
          <w:instrText xml:space="preserve"> PAGEREF _Toc214362647 \h </w:instrText>
        </w:r>
        <w:r>
          <w:rPr>
            <w:noProof/>
            <w:webHidden/>
          </w:rPr>
        </w:r>
        <w:r>
          <w:rPr>
            <w:noProof/>
            <w:webHidden/>
          </w:rPr>
          <w:fldChar w:fldCharType="separate"/>
        </w:r>
        <w:r w:rsidR="000412CE">
          <w:rPr>
            <w:noProof/>
            <w:webHidden/>
          </w:rPr>
          <w:t>139</w:t>
        </w:r>
        <w:r>
          <w:rPr>
            <w:noProof/>
            <w:webHidden/>
          </w:rPr>
          <w:fldChar w:fldCharType="end"/>
        </w:r>
      </w:hyperlink>
    </w:p>
    <w:p w14:paraId="1C55CFF7" w14:textId="3BD32E25" w:rsidR="00C058AA" w:rsidRDefault="00C058AA">
      <w:pPr>
        <w:pStyle w:val="TableofFigures"/>
        <w:tabs>
          <w:tab w:val="right" w:leader="dot" w:pos="8777"/>
        </w:tabs>
        <w:rPr>
          <w:rFonts w:asciiTheme="minorHAnsi" w:eastAsiaTheme="minorEastAsia" w:hAnsiTheme="minorHAnsi"/>
          <w:noProof/>
          <w:kern w:val="2"/>
          <w:szCs w:val="24"/>
          <w:lang w:eastAsia="it-IT"/>
          <w14:ligatures w14:val="standardContextual"/>
        </w:rPr>
      </w:pPr>
      <w:hyperlink w:anchor="_Toc214362648" w:history="1">
        <w:r w:rsidRPr="007A57C4">
          <w:rPr>
            <w:rStyle w:val="Hyperlink"/>
            <w:noProof/>
          </w:rPr>
          <w:t>Table 3.2. Mathematical formulation of Neumann's problem.</w:t>
        </w:r>
        <w:r>
          <w:rPr>
            <w:noProof/>
            <w:webHidden/>
          </w:rPr>
          <w:tab/>
        </w:r>
        <w:r>
          <w:rPr>
            <w:noProof/>
            <w:webHidden/>
          </w:rPr>
          <w:fldChar w:fldCharType="begin"/>
        </w:r>
        <w:r>
          <w:rPr>
            <w:noProof/>
            <w:webHidden/>
          </w:rPr>
          <w:instrText xml:space="preserve"> PAGEREF _Toc214362648 \h </w:instrText>
        </w:r>
        <w:r>
          <w:rPr>
            <w:noProof/>
            <w:webHidden/>
          </w:rPr>
        </w:r>
        <w:r>
          <w:rPr>
            <w:noProof/>
            <w:webHidden/>
          </w:rPr>
          <w:fldChar w:fldCharType="separate"/>
        </w:r>
        <w:r w:rsidR="000412CE">
          <w:rPr>
            <w:noProof/>
            <w:webHidden/>
          </w:rPr>
          <w:t>142</w:t>
        </w:r>
        <w:r>
          <w:rPr>
            <w:noProof/>
            <w:webHidden/>
          </w:rPr>
          <w:fldChar w:fldCharType="end"/>
        </w:r>
      </w:hyperlink>
    </w:p>
    <w:p w14:paraId="0350909D" w14:textId="2317F11A" w:rsidR="001A387D" w:rsidRPr="00790E4C" w:rsidRDefault="00971925" w:rsidP="00F501EC">
      <w:pPr>
        <w:rPr>
          <w:sz w:val="22"/>
          <w:szCs w:val="20"/>
          <w:lang w:val="en-GB"/>
        </w:rPr>
      </w:pPr>
      <w:r w:rsidRPr="00790E4C">
        <w:rPr>
          <w:sz w:val="22"/>
          <w:szCs w:val="20"/>
          <w:lang w:val="en-GB"/>
        </w:rPr>
        <w:fldChar w:fldCharType="end"/>
      </w:r>
    </w:p>
    <w:sectPr w:rsidR="001A387D" w:rsidRPr="00790E4C" w:rsidSect="0039250D">
      <w:headerReference w:type="first" r:id="rId384"/>
      <w:footerReference w:type="first" r:id="rId385"/>
      <w:pgSz w:w="11906" w:h="16838" w:code="9"/>
      <w:pgMar w:top="2268" w:right="1418" w:bottom="1418" w:left="1701" w:header="851" w:footer="85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BD9AEF" w14:textId="77777777" w:rsidR="00865A36" w:rsidRDefault="00865A36" w:rsidP="00831326">
      <w:pPr>
        <w:spacing w:before="0" w:after="0"/>
      </w:pPr>
      <w:r>
        <w:separator/>
      </w:r>
    </w:p>
  </w:endnote>
  <w:endnote w:type="continuationSeparator" w:id="0">
    <w:p w14:paraId="67F27A34" w14:textId="77777777" w:rsidR="00865A36" w:rsidRDefault="00865A36" w:rsidP="00831326">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Gotham-Medium">
    <w:altName w:val="Calibri"/>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Yu Mincho">
    <w:altName w:val="游明朝"/>
    <w:charset w:val="80"/>
    <w:family w:val="roman"/>
    <w:pitch w:val="variable"/>
    <w:sig w:usb0="800002E7" w:usb1="2AC7FCFF" w:usb2="00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63A87A" w14:textId="599032F0" w:rsidR="008D76B5" w:rsidRDefault="008D76B5">
    <w:pPr>
      <w:pStyle w:val="Footer"/>
    </w:pPr>
    <w:r>
      <w:rPr>
        <w:noProof/>
      </w:rPr>
      <w:drawing>
        <wp:anchor distT="0" distB="0" distL="114300" distR="114300" simplePos="0" relativeHeight="251658240" behindDoc="0" locked="1" layoutInCell="1" allowOverlap="1" wp14:anchorId="0BFF07FE" wp14:editId="084A8489">
          <wp:simplePos x="0" y="0"/>
          <wp:positionH relativeFrom="column">
            <wp:posOffset>-2232025</wp:posOffset>
          </wp:positionH>
          <wp:positionV relativeFrom="page">
            <wp:posOffset>7092950</wp:posOffset>
          </wp:positionV>
          <wp:extent cx="5040000" cy="5007600"/>
          <wp:effectExtent l="0" t="0" r="0" b="3175"/>
          <wp:wrapNone/>
          <wp:docPr id="7" name="Picture 7" descr="A picture containing device, fan, dar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device, fan, dark&#10;&#10;Description automatically generated"/>
                  <pic:cNvPicPr>
                    <a:picLocks noChangeAspect="1" noChangeArrowheads="1"/>
                  </pic:cNvPicPr>
                </pic:nvPicPr>
                <pic:blipFill rotWithShape="1">
                  <a:blip r:embed="rId1">
                    <a:extLst>
                      <a:ext uri="{28A0092B-C50C-407E-A947-70E740481C1C}">
                        <a14:useLocalDpi xmlns:a14="http://schemas.microsoft.com/office/drawing/2010/main" val="0"/>
                      </a:ext>
                    </a:extLst>
                  </a:blip>
                  <a:srcRect t="14881" b="14791"/>
                  <a:stretch/>
                </pic:blipFill>
                <pic:spPr bwMode="auto">
                  <a:xfrm>
                    <a:off x="0" y="0"/>
                    <a:ext cx="5040000" cy="5007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BE5288" w14:textId="77777777" w:rsidR="00E24B2E" w:rsidRDefault="00E24B2E">
    <w:pPr>
      <w:pStyle w:val="Foote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CF9558" w14:textId="77777777" w:rsidR="004579E0" w:rsidRDefault="004579E0" w:rsidP="004579E0">
    <w:pPr>
      <w:pStyle w:val="Footer"/>
      <w:jc w:val="cen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D92E4" w14:textId="77777777" w:rsidR="00E24B2E" w:rsidRDefault="00E24B2E">
    <w:pPr>
      <w:pStyle w:val="Foote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0D0DFA" w14:textId="77777777" w:rsidR="00E24B2E" w:rsidRDefault="00E24B2E" w:rsidP="00CF7E04">
    <w:pPr>
      <w:pStyle w:val="Footer"/>
      <w:jc w:val="cente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E69684" w14:textId="77777777" w:rsidR="006A78D0" w:rsidRDefault="006A78D0" w:rsidP="004579E0">
    <w:pPr>
      <w:pStyle w:val="Footer"/>
      <w:jc w:val="cente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81AC73" w14:textId="77777777" w:rsidR="00842E0D" w:rsidRDefault="00842E0D">
    <w:pPr>
      <w:pStyle w:val="Footer"/>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E994F5" w14:textId="77777777" w:rsidR="00842E0D" w:rsidRDefault="00842E0D">
    <w:pPr>
      <w:pStyle w:val="Foote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6C47B" w14:textId="77777777" w:rsidR="00842E0D" w:rsidRDefault="00842E0D" w:rsidP="004579E0">
    <w:pPr>
      <w:pStyle w:val="Footer"/>
      <w:jc w:val="center"/>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843D8F" w14:textId="77777777" w:rsidR="00842E0D" w:rsidRDefault="00842E0D">
    <w:pPr>
      <w:pStyle w:val="Footer"/>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7DD33A" w14:textId="77777777" w:rsidR="00842E0D" w:rsidRDefault="00842E0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3F38F7" w14:textId="72FA70E0" w:rsidR="007B0DBF" w:rsidRDefault="007B0DBF">
    <w:pPr>
      <w:pStyle w:val="Footer"/>
    </w:pP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561D7F" w14:textId="77777777" w:rsidR="00842E0D" w:rsidRDefault="00842E0D" w:rsidP="004579E0">
    <w:pPr>
      <w:pStyle w:val="Footer"/>
      <w:jc w:val="center"/>
    </w:pP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E230CD" w14:textId="430A219B" w:rsidR="00A21E98" w:rsidRDefault="00A21E98" w:rsidP="004579E0">
    <w:pPr>
      <w:pStyle w:val="Footer"/>
      <w:jc w:val="center"/>
    </w:pPr>
    <w:r>
      <w:rPr>
        <w:noProof/>
      </w:rPr>
      <w:drawing>
        <wp:anchor distT="0" distB="0" distL="114300" distR="114300" simplePos="0" relativeHeight="251660288" behindDoc="0" locked="1" layoutInCell="1" allowOverlap="1" wp14:anchorId="76B80502" wp14:editId="22742429">
          <wp:simplePos x="0" y="0"/>
          <wp:positionH relativeFrom="column">
            <wp:posOffset>2628265</wp:posOffset>
          </wp:positionH>
          <wp:positionV relativeFrom="page">
            <wp:posOffset>7092950</wp:posOffset>
          </wp:positionV>
          <wp:extent cx="5040000" cy="5007600"/>
          <wp:effectExtent l="0" t="0" r="0" b="3175"/>
          <wp:wrapNone/>
          <wp:docPr id="5" name="Picture 5" descr="A picture containing device, fan, dar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device, fan, dark&#10;&#10;Description automatically generated"/>
                  <pic:cNvPicPr>
                    <a:picLocks noChangeAspect="1" noChangeArrowheads="1"/>
                  </pic:cNvPicPr>
                </pic:nvPicPr>
                <pic:blipFill rotWithShape="1">
                  <a:blip r:embed="rId1">
                    <a:extLst>
                      <a:ext uri="{28A0092B-C50C-407E-A947-70E740481C1C}">
                        <a14:useLocalDpi xmlns:a14="http://schemas.microsoft.com/office/drawing/2010/main" val="0"/>
                      </a:ext>
                    </a:extLst>
                  </a:blip>
                  <a:srcRect t="14881" b="14791"/>
                  <a:stretch/>
                </pic:blipFill>
                <pic:spPr bwMode="auto">
                  <a:xfrm>
                    <a:off x="0" y="0"/>
                    <a:ext cx="5040000" cy="5007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BF83D8" w14:textId="77777777" w:rsidR="00AB6F3E" w:rsidRDefault="00AB6F3E">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50DA14" w14:textId="77777777" w:rsidR="00A42E62" w:rsidRDefault="00A42E62">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2FA028" w14:textId="797C5B21" w:rsidR="002E61C1" w:rsidRDefault="00A2253A" w:rsidP="004579E0">
    <w:pPr>
      <w:pStyle w:val="Footer"/>
      <w:jc w:val="center"/>
    </w:pPr>
    <w:r>
      <w:rPr>
        <w:noProof/>
      </w:rPr>
      <w:drawing>
        <wp:anchor distT="0" distB="0" distL="114300" distR="114300" simplePos="0" relativeHeight="251661312" behindDoc="0" locked="1" layoutInCell="1" allowOverlap="1" wp14:anchorId="32C105B0" wp14:editId="5CA83E6E">
          <wp:simplePos x="0" y="0"/>
          <wp:positionH relativeFrom="column">
            <wp:posOffset>-2232025</wp:posOffset>
          </wp:positionH>
          <wp:positionV relativeFrom="page">
            <wp:posOffset>7092950</wp:posOffset>
          </wp:positionV>
          <wp:extent cx="5040000" cy="5007600"/>
          <wp:effectExtent l="0" t="0" r="0" b="3175"/>
          <wp:wrapNone/>
          <wp:docPr id="1033433075" name="Picture 1033433075" descr="A picture containing device, fan, dar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device, fan, dark&#10;&#10;Description automatically generated"/>
                  <pic:cNvPicPr>
                    <a:picLocks noChangeAspect="1" noChangeArrowheads="1"/>
                  </pic:cNvPicPr>
                </pic:nvPicPr>
                <pic:blipFill rotWithShape="1">
                  <a:blip r:embed="rId1">
                    <a:extLst>
                      <a:ext uri="{28A0092B-C50C-407E-A947-70E740481C1C}">
                        <a14:useLocalDpi xmlns:a14="http://schemas.microsoft.com/office/drawing/2010/main" val="0"/>
                      </a:ext>
                    </a:extLst>
                  </a:blip>
                  <a:srcRect t="14881" b="14791"/>
                  <a:stretch/>
                </pic:blipFill>
                <pic:spPr bwMode="auto">
                  <a:xfrm>
                    <a:off x="0" y="0"/>
                    <a:ext cx="5040000" cy="5007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62032C" w14:textId="77777777" w:rsidR="00B62C30" w:rsidRDefault="00B62C30">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0F1BDF" w14:textId="77777777" w:rsidR="00B62C30" w:rsidRDefault="00B62C30">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295CD6" w14:textId="77777777" w:rsidR="004579E0" w:rsidRDefault="004579E0" w:rsidP="004579E0">
    <w:pPr>
      <w:pStyle w:val="Footer"/>
      <w:jc w:val="cen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F545EC" w14:textId="77777777" w:rsidR="006A78D0" w:rsidRDefault="006A78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E53F5D" w14:textId="77777777" w:rsidR="00865A36" w:rsidRDefault="00865A36" w:rsidP="00831326">
      <w:pPr>
        <w:spacing w:before="0" w:after="0"/>
      </w:pPr>
      <w:r>
        <w:separator/>
      </w:r>
    </w:p>
  </w:footnote>
  <w:footnote w:type="continuationSeparator" w:id="0">
    <w:p w14:paraId="5C3E0C99" w14:textId="77777777" w:rsidR="00865A36" w:rsidRDefault="00865A36" w:rsidP="00831326">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88"/>
      <w:gridCol w:w="4389"/>
    </w:tblGrid>
    <w:tr w:rsidR="00AB617A" w14:paraId="4DA4FF3B" w14:textId="77777777" w:rsidTr="00CE57E0">
      <w:tc>
        <w:tcPr>
          <w:tcW w:w="4388" w:type="dxa"/>
          <w:vAlign w:val="bottom"/>
        </w:tcPr>
        <w:sdt>
          <w:sdtPr>
            <w:id w:val="413675004"/>
            <w:docPartObj>
              <w:docPartGallery w:val="Page Numbers (Top of Page)"/>
              <w:docPartUnique/>
            </w:docPartObj>
          </w:sdtPr>
          <w:sdtContent>
            <w:p w14:paraId="3F12EEC4" w14:textId="14029BFD" w:rsidR="00AB617A" w:rsidRDefault="00842E0D" w:rsidP="00AB617A">
              <w:pPr>
                <w:pStyle w:val="Header"/>
                <w:spacing w:before="0"/>
                <w:jc w:val="left"/>
              </w:pPr>
              <w:r w:rsidRPr="00056F88">
                <w:rPr>
                  <w:b/>
                  <w:bCs/>
                  <w:color w:val="728FA5"/>
                </w:rPr>
                <w:t>|</w:t>
              </w:r>
              <w:r w:rsidRPr="00842E0D">
                <w:rPr>
                  <w:color w:val="728FA5"/>
                </w:rPr>
                <w:t xml:space="preserve"> </w:t>
              </w:r>
              <w:fldSimple w:instr="STYLEREF  &quot;Heading 1&quot;  \* MERGEFORMAT">
                <w:r w:rsidR="000412CE" w:rsidRPr="000412CE">
                  <w:rPr>
                    <w:b/>
                    <w:bCs/>
                    <w:noProof/>
                  </w:rPr>
                  <w:t>Abstract</w:t>
                </w:r>
              </w:fldSimple>
            </w:p>
          </w:sdtContent>
        </w:sdt>
      </w:tc>
      <w:tc>
        <w:tcPr>
          <w:tcW w:w="4389" w:type="dxa"/>
          <w:vAlign w:val="center"/>
        </w:tcPr>
        <w:p w14:paraId="545EA321" w14:textId="77777777" w:rsidR="00AB617A" w:rsidRDefault="00AB617A" w:rsidP="00AB617A">
          <w:pPr>
            <w:pStyle w:val="Header"/>
            <w:spacing w:before="0"/>
            <w:jc w:val="right"/>
          </w:pPr>
          <w:r>
            <w:fldChar w:fldCharType="begin"/>
          </w:r>
          <w:r>
            <w:instrText>PAGE   \* MERGEFORMAT</w:instrText>
          </w:r>
          <w:r>
            <w:fldChar w:fldCharType="separate"/>
          </w:r>
          <w:r>
            <w:t>3</w:t>
          </w:r>
          <w:r>
            <w:fldChar w:fldCharType="end"/>
          </w:r>
        </w:p>
      </w:tc>
    </w:tr>
  </w:tbl>
  <w:p w14:paraId="461089DF" w14:textId="77777777" w:rsidR="00AB617A" w:rsidRPr="00AB617A" w:rsidRDefault="00AB617A" w:rsidP="00AB617A">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307E81" w14:paraId="2DF89C5F" w14:textId="77777777" w:rsidTr="00D62FE7">
      <w:tc>
        <w:tcPr>
          <w:tcW w:w="4535" w:type="dxa"/>
          <w:vAlign w:val="bottom"/>
        </w:tcPr>
        <w:sdt>
          <w:sdtPr>
            <w:id w:val="375358767"/>
            <w:docPartObj>
              <w:docPartGallery w:val="Page Numbers (Top of Page)"/>
              <w:docPartUnique/>
            </w:docPartObj>
          </w:sdtPr>
          <w:sdtContent>
            <w:p w14:paraId="6456B759" w14:textId="67F1FB71" w:rsidR="00307E81" w:rsidRDefault="00842E0D" w:rsidP="00AB617A">
              <w:pPr>
                <w:pStyle w:val="Header"/>
                <w:spacing w:before="0"/>
                <w:jc w:val="left"/>
              </w:pPr>
              <w:r w:rsidRPr="00056F88">
                <w:rPr>
                  <w:b/>
                  <w:bCs/>
                  <w:color w:val="728FA5"/>
                </w:rPr>
                <w:t>|</w:t>
              </w:r>
              <w:r w:rsidRPr="00842E0D">
                <w:rPr>
                  <w:color w:val="728FA5"/>
                </w:rPr>
                <w:t xml:space="preserve"> </w:t>
              </w:r>
              <w:fldSimple w:instr=" STYLEREF  &quot;Heading 1&quot;  \* MERGEFORMAT ">
                <w:r w:rsidR="000412CE" w:rsidRPr="000412CE">
                  <w:rPr>
                    <w:b/>
                    <w:bCs/>
                    <w:noProof/>
                  </w:rPr>
                  <w:t>Introduction</w:t>
                </w:r>
              </w:fldSimple>
            </w:p>
          </w:sdtContent>
        </w:sdt>
      </w:tc>
      <w:tc>
        <w:tcPr>
          <w:tcW w:w="4535" w:type="dxa"/>
          <w:vAlign w:val="center"/>
        </w:tcPr>
        <w:p w14:paraId="6DC4B249" w14:textId="77777777" w:rsidR="00307E81" w:rsidRDefault="00307E81" w:rsidP="00AB617A">
          <w:pPr>
            <w:pStyle w:val="Header"/>
            <w:spacing w:before="0"/>
            <w:jc w:val="right"/>
          </w:pPr>
          <w:r>
            <w:fldChar w:fldCharType="begin"/>
          </w:r>
          <w:r>
            <w:instrText>PAGE   \* MERGEFORMAT</w:instrText>
          </w:r>
          <w:r>
            <w:fldChar w:fldCharType="separate"/>
          </w:r>
          <w:r>
            <w:t>3</w:t>
          </w:r>
          <w:r>
            <w:fldChar w:fldCharType="end"/>
          </w:r>
        </w:p>
      </w:tc>
    </w:tr>
  </w:tbl>
  <w:p w14:paraId="7E246C76" w14:textId="77777777" w:rsidR="00E24B2E" w:rsidRPr="00307E81" w:rsidRDefault="00E24B2E" w:rsidP="00307E81">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DD0BDB" w14:paraId="308E9A9E" w14:textId="77777777" w:rsidTr="00D62FE7">
      <w:tc>
        <w:tcPr>
          <w:tcW w:w="4535" w:type="dxa"/>
          <w:vAlign w:val="bottom"/>
        </w:tcPr>
        <w:p w14:paraId="03761367" w14:textId="77777777" w:rsidR="00DD0BDB" w:rsidRDefault="00DD0BDB" w:rsidP="00AB617A">
          <w:pPr>
            <w:pStyle w:val="Header"/>
            <w:spacing w:before="0"/>
            <w:jc w:val="right"/>
          </w:pPr>
        </w:p>
      </w:tc>
      <w:tc>
        <w:tcPr>
          <w:tcW w:w="4535" w:type="dxa"/>
          <w:vAlign w:val="center"/>
        </w:tcPr>
        <w:sdt>
          <w:sdtPr>
            <w:id w:val="-183596454"/>
            <w:docPartObj>
              <w:docPartGallery w:val="Page Numbers (Top of Page)"/>
              <w:docPartUnique/>
            </w:docPartObj>
          </w:sdtPr>
          <w:sdtContent>
            <w:p w14:paraId="63D2FF07" w14:textId="77777777" w:rsidR="00DD0BDB" w:rsidRDefault="00DD0BDB" w:rsidP="00AB617A">
              <w:pPr>
                <w:pStyle w:val="Header"/>
                <w:spacing w:before="0"/>
                <w:jc w:val="right"/>
              </w:pPr>
              <w:r>
                <w:fldChar w:fldCharType="begin"/>
              </w:r>
              <w:r>
                <w:instrText>PAGE   \* MERGEFORMAT</w:instrText>
              </w:r>
              <w:r>
                <w:fldChar w:fldCharType="separate"/>
              </w:r>
              <w:r>
                <w:t>3</w:t>
              </w:r>
              <w:r>
                <w:fldChar w:fldCharType="end"/>
              </w:r>
            </w:p>
          </w:sdtContent>
        </w:sdt>
      </w:tc>
    </w:tr>
  </w:tbl>
  <w:p w14:paraId="69CE6887" w14:textId="77777777" w:rsidR="00DD0BDB" w:rsidRDefault="00DD0BDB" w:rsidP="00DD0BDB">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E24B2E" w:rsidRPr="00147045" w14:paraId="02621654" w14:textId="77777777" w:rsidTr="00D62FE7">
      <w:tc>
        <w:tcPr>
          <w:tcW w:w="4535" w:type="dxa"/>
          <w:vAlign w:val="bottom"/>
        </w:tcPr>
        <w:sdt>
          <w:sdtPr>
            <w:id w:val="-1374921885"/>
            <w:docPartObj>
              <w:docPartGallery w:val="Page Numbers (Top of Page)"/>
              <w:docPartUnique/>
            </w:docPartObj>
          </w:sdtPr>
          <w:sdtContent>
            <w:p w14:paraId="293B0CBE" w14:textId="77777777" w:rsidR="00E24B2E" w:rsidRDefault="00E24B2E" w:rsidP="00AB617A">
              <w:pPr>
                <w:pStyle w:val="Header"/>
                <w:spacing w:before="0"/>
                <w:jc w:val="left"/>
              </w:pPr>
              <w:r>
                <w:fldChar w:fldCharType="begin"/>
              </w:r>
              <w:r>
                <w:instrText>PAGE   \* MERGEFORMAT</w:instrText>
              </w:r>
              <w:r>
                <w:fldChar w:fldCharType="separate"/>
              </w:r>
              <w:r>
                <w:t>2</w:t>
              </w:r>
              <w:r>
                <w:fldChar w:fldCharType="end"/>
              </w:r>
            </w:p>
          </w:sdtContent>
        </w:sdt>
      </w:tc>
      <w:tc>
        <w:tcPr>
          <w:tcW w:w="4535" w:type="dxa"/>
          <w:vAlign w:val="center"/>
        </w:tcPr>
        <w:p w14:paraId="596492D7" w14:textId="321DDD94" w:rsidR="00E24B2E" w:rsidRPr="00DF5EA2" w:rsidRDefault="007F2AFF" w:rsidP="00AB617A">
          <w:pPr>
            <w:pStyle w:val="Header"/>
            <w:spacing w:before="0"/>
            <w:jc w:val="right"/>
            <w:rPr>
              <w:lang w:val="en-US"/>
            </w:rPr>
          </w:pPr>
          <w:r w:rsidRPr="00056F88">
            <w:rPr>
              <w:b/>
              <w:bCs/>
              <w:color w:val="728FA5"/>
            </w:rPr>
            <w:fldChar w:fldCharType="begin"/>
          </w:r>
          <w:r w:rsidRPr="00DF5EA2">
            <w:rPr>
              <w:b/>
              <w:bCs/>
              <w:color w:val="728FA5"/>
              <w:lang w:val="en-US"/>
            </w:rPr>
            <w:instrText xml:space="preserve"> STYLEREF  "Heading 1" \n  \* MERGEFORMAT </w:instrText>
          </w:r>
          <w:r w:rsidRPr="00056F88">
            <w:rPr>
              <w:b/>
              <w:bCs/>
              <w:color w:val="728FA5"/>
            </w:rPr>
            <w:fldChar w:fldCharType="separate"/>
          </w:r>
          <w:r w:rsidR="000412CE" w:rsidRPr="000412CE">
            <w:rPr>
              <w:noProof/>
              <w:color w:val="728FA5"/>
            </w:rPr>
            <w:t>3</w:t>
          </w:r>
          <w:r w:rsidRPr="00056F88">
            <w:rPr>
              <w:b/>
              <w:bCs/>
              <w:color w:val="728FA5"/>
            </w:rPr>
            <w:fldChar w:fldCharType="end"/>
          </w:r>
          <w:r w:rsidR="00842E0D" w:rsidRPr="00DF5EA2">
            <w:rPr>
              <w:b/>
              <w:bCs/>
              <w:color w:val="728FA5"/>
              <w:lang w:val="en-US"/>
            </w:rPr>
            <w:t>|</w:t>
          </w:r>
          <w:r w:rsidR="00842E0D" w:rsidRPr="00DF5EA2">
            <w:rPr>
              <w:color w:val="728FA5"/>
              <w:lang w:val="en-US"/>
            </w:rPr>
            <w:t xml:space="preserve"> </w:t>
          </w:r>
          <w:r w:rsidR="00875B59">
            <w:fldChar w:fldCharType="begin"/>
          </w:r>
          <w:r w:rsidR="00875B59" w:rsidRPr="00DF5EA2">
            <w:rPr>
              <w:lang w:val="en-US"/>
            </w:rPr>
            <w:instrText xml:space="preserve"> STYLEREF  "Heading 1"  \* MERGEFORMAT </w:instrText>
          </w:r>
          <w:r w:rsidR="00875B59">
            <w:fldChar w:fldCharType="separate"/>
          </w:r>
          <w:r w:rsidR="000412CE" w:rsidRPr="000412CE">
            <w:rPr>
              <w:b/>
              <w:bCs/>
              <w:noProof/>
            </w:rPr>
            <w:t>PCM Models</w:t>
          </w:r>
          <w:r w:rsidR="00875B59">
            <w:rPr>
              <w:noProof/>
            </w:rPr>
            <w:fldChar w:fldCharType="end"/>
          </w:r>
        </w:p>
      </w:tc>
    </w:tr>
  </w:tbl>
  <w:p w14:paraId="7E263465" w14:textId="77777777" w:rsidR="00E24B2E" w:rsidRPr="00DF5EA2" w:rsidRDefault="00E24B2E">
    <w:pPr>
      <w:pStyle w:val="Header"/>
      <w:rPr>
        <w:lang w:val="en-US"/>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E24B2E" w14:paraId="78F20972" w14:textId="77777777" w:rsidTr="00D62FE7">
      <w:tc>
        <w:tcPr>
          <w:tcW w:w="4535" w:type="dxa"/>
          <w:vAlign w:val="bottom"/>
        </w:tcPr>
        <w:sdt>
          <w:sdtPr>
            <w:id w:val="-1441073162"/>
            <w:docPartObj>
              <w:docPartGallery w:val="Page Numbers (Top of Page)"/>
              <w:docPartUnique/>
            </w:docPartObj>
          </w:sdtPr>
          <w:sdtContent>
            <w:p w14:paraId="051825A6" w14:textId="0EAB341D" w:rsidR="00E24B2E" w:rsidRPr="00C03B53" w:rsidRDefault="007F2AFF" w:rsidP="00AB617A">
              <w:pPr>
                <w:pStyle w:val="Header"/>
                <w:spacing w:before="0"/>
                <w:jc w:val="left"/>
                <w:rPr>
                  <w:lang w:val="en-US"/>
                </w:rPr>
              </w:pPr>
              <w:r w:rsidRPr="00056F88">
                <w:rPr>
                  <w:b/>
                  <w:bCs/>
                  <w:color w:val="728FA5"/>
                </w:rPr>
                <w:fldChar w:fldCharType="begin"/>
              </w:r>
              <w:r w:rsidRPr="00C03B53">
                <w:rPr>
                  <w:b/>
                  <w:bCs/>
                  <w:color w:val="728FA5"/>
                  <w:lang w:val="en-US"/>
                </w:rPr>
                <w:instrText xml:space="preserve"> STYLEREF  "Heading 1" \n  \* MERGEFORMAT </w:instrText>
              </w:r>
              <w:r w:rsidRPr="00056F88">
                <w:rPr>
                  <w:b/>
                  <w:bCs/>
                  <w:color w:val="728FA5"/>
                </w:rPr>
                <w:fldChar w:fldCharType="separate"/>
              </w:r>
              <w:r w:rsidR="000412CE" w:rsidRPr="000412CE">
                <w:rPr>
                  <w:noProof/>
                  <w:color w:val="728FA5"/>
                </w:rPr>
                <w:t>3</w:t>
              </w:r>
              <w:r w:rsidRPr="00056F88">
                <w:rPr>
                  <w:b/>
                  <w:bCs/>
                  <w:color w:val="728FA5"/>
                </w:rPr>
                <w:fldChar w:fldCharType="end"/>
              </w:r>
              <w:r w:rsidR="00842E0D" w:rsidRPr="00C03B53">
                <w:rPr>
                  <w:b/>
                  <w:bCs/>
                  <w:color w:val="728FA5"/>
                  <w:lang w:val="en-US"/>
                </w:rPr>
                <w:t>|</w:t>
              </w:r>
              <w:r w:rsidR="00842E0D" w:rsidRPr="00C03B53">
                <w:rPr>
                  <w:color w:val="728FA5"/>
                  <w:lang w:val="en-US"/>
                </w:rPr>
                <w:t xml:space="preserve"> </w:t>
              </w:r>
              <w:r w:rsidR="00855396">
                <w:fldChar w:fldCharType="begin"/>
              </w:r>
              <w:r w:rsidR="00855396" w:rsidRPr="00C03B53">
                <w:rPr>
                  <w:lang w:val="en-US"/>
                </w:rPr>
                <w:instrText xml:space="preserve"> STYLEREF  "Heading 1"  \* MERGEFORMAT </w:instrText>
              </w:r>
              <w:r w:rsidR="00855396">
                <w:fldChar w:fldCharType="separate"/>
              </w:r>
              <w:r w:rsidR="000412CE" w:rsidRPr="000412CE">
                <w:rPr>
                  <w:b/>
                  <w:bCs/>
                  <w:noProof/>
                </w:rPr>
                <w:t>PCM Models</w:t>
              </w:r>
              <w:r w:rsidR="00855396">
                <w:rPr>
                  <w:b/>
                  <w:bCs/>
                  <w:noProof/>
                </w:rPr>
                <w:fldChar w:fldCharType="end"/>
              </w:r>
            </w:p>
          </w:sdtContent>
        </w:sdt>
      </w:tc>
      <w:tc>
        <w:tcPr>
          <w:tcW w:w="4535" w:type="dxa"/>
          <w:vAlign w:val="center"/>
        </w:tcPr>
        <w:p w14:paraId="0A68FE57" w14:textId="77777777" w:rsidR="00E24B2E" w:rsidRDefault="00E24B2E" w:rsidP="00AB617A">
          <w:pPr>
            <w:pStyle w:val="Header"/>
            <w:spacing w:before="0"/>
            <w:jc w:val="right"/>
          </w:pPr>
          <w:r>
            <w:fldChar w:fldCharType="begin"/>
          </w:r>
          <w:r>
            <w:instrText>PAGE   \* MERGEFORMAT</w:instrText>
          </w:r>
          <w:r>
            <w:fldChar w:fldCharType="separate"/>
          </w:r>
          <w:r>
            <w:t>3</w:t>
          </w:r>
          <w:r>
            <w:fldChar w:fldCharType="end"/>
          </w:r>
        </w:p>
      </w:tc>
    </w:tr>
  </w:tbl>
  <w:p w14:paraId="7AF9F103" w14:textId="77777777" w:rsidR="00E24B2E" w:rsidRDefault="00E24B2E">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6A78D0" w14:paraId="6AFE1CA4" w14:textId="77777777" w:rsidTr="00D62FE7">
      <w:tc>
        <w:tcPr>
          <w:tcW w:w="4535" w:type="dxa"/>
          <w:vAlign w:val="bottom"/>
        </w:tcPr>
        <w:p w14:paraId="00BF4125" w14:textId="77777777" w:rsidR="006A78D0" w:rsidRDefault="006A78D0" w:rsidP="00AB617A">
          <w:pPr>
            <w:pStyle w:val="Header"/>
            <w:spacing w:before="0"/>
            <w:jc w:val="right"/>
          </w:pPr>
        </w:p>
      </w:tc>
      <w:tc>
        <w:tcPr>
          <w:tcW w:w="4535" w:type="dxa"/>
          <w:vAlign w:val="center"/>
        </w:tcPr>
        <w:sdt>
          <w:sdtPr>
            <w:id w:val="1082025002"/>
            <w:docPartObj>
              <w:docPartGallery w:val="Page Numbers (Top of Page)"/>
              <w:docPartUnique/>
            </w:docPartObj>
          </w:sdtPr>
          <w:sdtContent>
            <w:p w14:paraId="4432C6B6" w14:textId="77777777" w:rsidR="006A78D0" w:rsidRDefault="006A78D0" w:rsidP="00AB617A">
              <w:pPr>
                <w:pStyle w:val="Header"/>
                <w:spacing w:before="0"/>
                <w:jc w:val="right"/>
              </w:pPr>
              <w:r>
                <w:fldChar w:fldCharType="begin"/>
              </w:r>
              <w:r>
                <w:instrText>PAGE   \* MERGEFORMAT</w:instrText>
              </w:r>
              <w:r>
                <w:fldChar w:fldCharType="separate"/>
              </w:r>
              <w:r>
                <w:t>3</w:t>
              </w:r>
              <w:r>
                <w:fldChar w:fldCharType="end"/>
              </w:r>
            </w:p>
          </w:sdtContent>
        </w:sdt>
      </w:tc>
    </w:tr>
  </w:tbl>
  <w:p w14:paraId="319DB3CB" w14:textId="77777777" w:rsidR="006A78D0" w:rsidRDefault="006A78D0" w:rsidP="00DD0BDB">
    <w:pPr>
      <w:pStyle w:val="Heade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842E0D" w14:paraId="099A6710" w14:textId="77777777" w:rsidTr="00D62FE7">
      <w:tc>
        <w:tcPr>
          <w:tcW w:w="4535" w:type="dxa"/>
          <w:vAlign w:val="bottom"/>
        </w:tcPr>
        <w:sdt>
          <w:sdtPr>
            <w:id w:val="1097369834"/>
            <w:docPartObj>
              <w:docPartGallery w:val="Page Numbers (Top of Page)"/>
              <w:docPartUnique/>
            </w:docPartObj>
          </w:sdtPr>
          <w:sdtContent>
            <w:p w14:paraId="66893BAB" w14:textId="77777777" w:rsidR="00842E0D" w:rsidRDefault="00842E0D" w:rsidP="00AB617A">
              <w:pPr>
                <w:pStyle w:val="Header"/>
                <w:spacing w:before="0"/>
                <w:jc w:val="left"/>
              </w:pPr>
              <w:r>
                <w:fldChar w:fldCharType="begin"/>
              </w:r>
              <w:r>
                <w:instrText>PAGE   \* MERGEFORMAT</w:instrText>
              </w:r>
              <w:r>
                <w:fldChar w:fldCharType="separate"/>
              </w:r>
              <w:r>
                <w:t>2</w:t>
              </w:r>
              <w:r>
                <w:fldChar w:fldCharType="end"/>
              </w:r>
            </w:p>
          </w:sdtContent>
        </w:sdt>
      </w:tc>
      <w:tc>
        <w:tcPr>
          <w:tcW w:w="4535" w:type="dxa"/>
          <w:vAlign w:val="center"/>
        </w:tcPr>
        <w:p w14:paraId="39C304C2" w14:textId="798CFC68" w:rsidR="00842E0D" w:rsidRDefault="006E03AD" w:rsidP="00AB617A">
          <w:pPr>
            <w:pStyle w:val="Header"/>
            <w:spacing w:before="0"/>
            <w:jc w:val="right"/>
          </w:pPr>
          <w:r w:rsidRPr="00056F88">
            <w:rPr>
              <w:b/>
              <w:bCs/>
              <w:color w:val="728FA5"/>
            </w:rPr>
            <w:fldChar w:fldCharType="begin"/>
          </w:r>
          <w:r w:rsidRPr="00056F88">
            <w:rPr>
              <w:b/>
              <w:bCs/>
              <w:color w:val="728FA5"/>
            </w:rPr>
            <w:instrText xml:space="preserve"> STYLEREF  "Heading 1" \n  \* MERGEFORMAT </w:instrText>
          </w:r>
          <w:r w:rsidRPr="00056F88">
            <w:rPr>
              <w:b/>
              <w:bCs/>
              <w:color w:val="728FA5"/>
            </w:rPr>
            <w:fldChar w:fldCharType="separate"/>
          </w:r>
          <w:r w:rsidR="000412CE" w:rsidRPr="000412CE">
            <w:rPr>
              <w:noProof/>
              <w:color w:val="728FA5"/>
            </w:rPr>
            <w:t>0</w:t>
          </w:r>
          <w:r w:rsidRPr="00056F88">
            <w:rPr>
              <w:b/>
              <w:bCs/>
              <w:color w:val="728FA5"/>
            </w:rPr>
            <w:fldChar w:fldCharType="end"/>
          </w:r>
          <w:r w:rsidR="00842E0D" w:rsidRPr="00056F88">
            <w:rPr>
              <w:b/>
              <w:bCs/>
              <w:color w:val="728FA5"/>
            </w:rPr>
            <w:t>|</w:t>
          </w:r>
          <w:r w:rsidR="00842E0D" w:rsidRPr="00842E0D">
            <w:rPr>
              <w:color w:val="728FA5"/>
            </w:rPr>
            <w:t xml:space="preserve"> </w:t>
          </w:r>
          <w:fldSimple w:instr=" STYLEREF  &quot;Heading 1&quot;  \* MERGEFORMAT ">
            <w:r w:rsidR="000412CE" w:rsidRPr="000412CE">
              <w:rPr>
                <w:b/>
                <w:bCs/>
                <w:noProof/>
              </w:rPr>
              <w:t>Bibliography</w:t>
            </w:r>
          </w:fldSimple>
        </w:p>
      </w:tc>
    </w:tr>
  </w:tbl>
  <w:p w14:paraId="03708976" w14:textId="77777777" w:rsidR="00842E0D" w:rsidRDefault="00842E0D">
    <w:pPr>
      <w:pStyle w:val="Heade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842E0D" w14:paraId="43FD8565" w14:textId="77777777" w:rsidTr="00D62FE7">
      <w:tc>
        <w:tcPr>
          <w:tcW w:w="4535" w:type="dxa"/>
          <w:vAlign w:val="bottom"/>
        </w:tcPr>
        <w:sdt>
          <w:sdtPr>
            <w:id w:val="-1425332205"/>
            <w:docPartObj>
              <w:docPartGallery w:val="Page Numbers (Top of Page)"/>
              <w:docPartUnique/>
            </w:docPartObj>
          </w:sdtPr>
          <w:sdtContent>
            <w:p w14:paraId="532476D1" w14:textId="6852957E" w:rsidR="00842E0D" w:rsidRDefault="006E03AD" w:rsidP="00AB617A">
              <w:pPr>
                <w:pStyle w:val="Header"/>
                <w:spacing w:before="0"/>
                <w:jc w:val="left"/>
              </w:pPr>
              <w:r w:rsidRPr="00056F88">
                <w:rPr>
                  <w:b/>
                  <w:bCs/>
                  <w:color w:val="728FA5"/>
                </w:rPr>
                <w:fldChar w:fldCharType="begin"/>
              </w:r>
              <w:r w:rsidRPr="00056F88">
                <w:rPr>
                  <w:b/>
                  <w:bCs/>
                  <w:color w:val="728FA5"/>
                </w:rPr>
                <w:instrText xml:space="preserve"> STYLEREF  "Heading 1" \n  \* MERGEFORMAT </w:instrText>
              </w:r>
              <w:r w:rsidRPr="00056F88">
                <w:rPr>
                  <w:b/>
                  <w:bCs/>
                  <w:color w:val="728FA5"/>
                </w:rPr>
                <w:fldChar w:fldCharType="separate"/>
              </w:r>
              <w:r w:rsidR="000412CE" w:rsidRPr="000412CE">
                <w:rPr>
                  <w:noProof/>
                  <w:color w:val="728FA5"/>
                </w:rPr>
                <w:t>0</w:t>
              </w:r>
              <w:r w:rsidRPr="00056F88">
                <w:rPr>
                  <w:b/>
                  <w:bCs/>
                  <w:color w:val="728FA5"/>
                </w:rPr>
                <w:fldChar w:fldCharType="end"/>
              </w:r>
              <w:r w:rsidR="00842E0D" w:rsidRPr="00056F88">
                <w:rPr>
                  <w:b/>
                  <w:bCs/>
                  <w:color w:val="728FA5"/>
                </w:rPr>
                <w:t>|</w:t>
              </w:r>
              <w:r w:rsidR="00842E0D" w:rsidRPr="00842E0D">
                <w:rPr>
                  <w:color w:val="728FA5"/>
                </w:rPr>
                <w:t xml:space="preserve"> </w:t>
              </w:r>
              <w:fldSimple w:instr=" STYLEREF  &quot;Heading 1&quot;  \* MERGEFORMAT ">
                <w:r w:rsidR="000412CE" w:rsidRPr="000412CE">
                  <w:rPr>
                    <w:b/>
                    <w:bCs/>
                    <w:noProof/>
                  </w:rPr>
                  <w:t>Bibliography</w:t>
                </w:r>
              </w:fldSimple>
            </w:p>
          </w:sdtContent>
        </w:sdt>
      </w:tc>
      <w:tc>
        <w:tcPr>
          <w:tcW w:w="4535" w:type="dxa"/>
          <w:vAlign w:val="center"/>
        </w:tcPr>
        <w:p w14:paraId="38EF00C6" w14:textId="77777777" w:rsidR="00842E0D" w:rsidRDefault="00842E0D" w:rsidP="00AB617A">
          <w:pPr>
            <w:pStyle w:val="Header"/>
            <w:spacing w:before="0"/>
            <w:jc w:val="right"/>
          </w:pPr>
          <w:r>
            <w:fldChar w:fldCharType="begin"/>
          </w:r>
          <w:r>
            <w:instrText>PAGE   \* MERGEFORMAT</w:instrText>
          </w:r>
          <w:r>
            <w:fldChar w:fldCharType="separate"/>
          </w:r>
          <w:r>
            <w:t>3</w:t>
          </w:r>
          <w:r>
            <w:fldChar w:fldCharType="end"/>
          </w:r>
        </w:p>
      </w:tc>
    </w:tr>
  </w:tbl>
  <w:p w14:paraId="6FF348E2" w14:textId="77777777" w:rsidR="00842E0D" w:rsidRDefault="00842E0D">
    <w:pPr>
      <w:pStyle w:val="Heade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842E0D" w14:paraId="77EDF0BD" w14:textId="77777777" w:rsidTr="00D62FE7">
      <w:tc>
        <w:tcPr>
          <w:tcW w:w="4535" w:type="dxa"/>
          <w:vAlign w:val="bottom"/>
        </w:tcPr>
        <w:p w14:paraId="3D71E16D" w14:textId="77777777" w:rsidR="00842E0D" w:rsidRDefault="00842E0D" w:rsidP="00AB617A">
          <w:pPr>
            <w:pStyle w:val="Header"/>
            <w:spacing w:before="0"/>
            <w:jc w:val="right"/>
          </w:pPr>
        </w:p>
      </w:tc>
      <w:tc>
        <w:tcPr>
          <w:tcW w:w="4535" w:type="dxa"/>
          <w:vAlign w:val="center"/>
        </w:tcPr>
        <w:sdt>
          <w:sdtPr>
            <w:id w:val="321242371"/>
            <w:docPartObj>
              <w:docPartGallery w:val="Page Numbers (Top of Page)"/>
              <w:docPartUnique/>
            </w:docPartObj>
          </w:sdtPr>
          <w:sdtContent>
            <w:p w14:paraId="54E1DD26" w14:textId="77777777" w:rsidR="00842E0D" w:rsidRDefault="00842E0D" w:rsidP="00AB617A">
              <w:pPr>
                <w:pStyle w:val="Header"/>
                <w:spacing w:before="0"/>
                <w:jc w:val="right"/>
              </w:pPr>
              <w:r>
                <w:fldChar w:fldCharType="begin"/>
              </w:r>
              <w:r>
                <w:instrText>PAGE   \* MERGEFORMAT</w:instrText>
              </w:r>
              <w:r>
                <w:fldChar w:fldCharType="separate"/>
              </w:r>
              <w:r>
                <w:t>3</w:t>
              </w:r>
              <w:r>
                <w:fldChar w:fldCharType="end"/>
              </w:r>
            </w:p>
          </w:sdtContent>
        </w:sdt>
      </w:tc>
    </w:tr>
  </w:tbl>
  <w:p w14:paraId="7E397F1D" w14:textId="77777777" w:rsidR="00842E0D" w:rsidRDefault="00842E0D" w:rsidP="00DD0BDB">
    <w:pPr>
      <w:pStyle w:val="Heade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842E0D" w14:paraId="711FDD34" w14:textId="77777777" w:rsidTr="00D62FE7">
      <w:tc>
        <w:tcPr>
          <w:tcW w:w="4535" w:type="dxa"/>
          <w:vAlign w:val="bottom"/>
        </w:tcPr>
        <w:sdt>
          <w:sdtPr>
            <w:id w:val="-127479006"/>
            <w:docPartObj>
              <w:docPartGallery w:val="Page Numbers (Top of Page)"/>
              <w:docPartUnique/>
            </w:docPartObj>
          </w:sdtPr>
          <w:sdtContent>
            <w:p w14:paraId="1B662D5D" w14:textId="77777777" w:rsidR="00842E0D" w:rsidRDefault="00842E0D" w:rsidP="00AB617A">
              <w:pPr>
                <w:pStyle w:val="Header"/>
                <w:spacing w:before="0"/>
                <w:jc w:val="left"/>
              </w:pPr>
              <w:r>
                <w:fldChar w:fldCharType="begin"/>
              </w:r>
              <w:r>
                <w:instrText>PAGE   \* MERGEFORMAT</w:instrText>
              </w:r>
              <w:r>
                <w:fldChar w:fldCharType="separate"/>
              </w:r>
              <w:r>
                <w:t>2</w:t>
              </w:r>
              <w:r>
                <w:fldChar w:fldCharType="end"/>
              </w:r>
            </w:p>
          </w:sdtContent>
        </w:sdt>
      </w:tc>
      <w:tc>
        <w:tcPr>
          <w:tcW w:w="4535" w:type="dxa"/>
          <w:vAlign w:val="center"/>
        </w:tcPr>
        <w:p w14:paraId="39E71510" w14:textId="54C06180" w:rsidR="00842E0D" w:rsidRDefault="00842E0D" w:rsidP="00AB617A">
          <w:pPr>
            <w:pStyle w:val="Header"/>
            <w:spacing w:before="0"/>
            <w:jc w:val="right"/>
          </w:pPr>
          <w:r w:rsidRPr="00056F88">
            <w:rPr>
              <w:b/>
              <w:bCs/>
              <w:color w:val="728FA5"/>
            </w:rPr>
            <w:t>|</w:t>
          </w:r>
          <w:r w:rsidRPr="00842E0D">
            <w:rPr>
              <w:color w:val="728FA5"/>
            </w:rPr>
            <w:t xml:space="preserve"> </w:t>
          </w:r>
          <w:fldSimple w:instr=" STYLEREF  &quot;Heading 1&quot;  \* MERGEFORMAT ">
            <w:r w:rsidR="000412CE" w:rsidRPr="000412CE">
              <w:rPr>
                <w:b/>
                <w:bCs/>
                <w:noProof/>
              </w:rPr>
              <w:t>List of Tables</w:t>
            </w:r>
          </w:fldSimple>
        </w:p>
      </w:tc>
    </w:tr>
  </w:tbl>
  <w:p w14:paraId="6E75FE49" w14:textId="77777777" w:rsidR="00842E0D" w:rsidRDefault="00842E0D">
    <w:pPr>
      <w:pStyle w:val="Heade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842E0D" w14:paraId="38C52978" w14:textId="77777777" w:rsidTr="00D62FE7">
      <w:tc>
        <w:tcPr>
          <w:tcW w:w="4535" w:type="dxa"/>
          <w:vAlign w:val="bottom"/>
        </w:tcPr>
        <w:sdt>
          <w:sdtPr>
            <w:id w:val="-2120128530"/>
            <w:docPartObj>
              <w:docPartGallery w:val="Page Numbers (Top of Page)"/>
              <w:docPartUnique/>
            </w:docPartObj>
          </w:sdtPr>
          <w:sdtContent>
            <w:p w14:paraId="3A6A4104" w14:textId="27DDF48E" w:rsidR="00842E0D" w:rsidRDefault="00842E0D" w:rsidP="00AB617A">
              <w:pPr>
                <w:pStyle w:val="Header"/>
                <w:spacing w:before="0"/>
                <w:jc w:val="left"/>
              </w:pPr>
              <w:r w:rsidRPr="00056F88">
                <w:rPr>
                  <w:b/>
                  <w:bCs/>
                  <w:color w:val="728FA5"/>
                </w:rPr>
                <w:t>|</w:t>
              </w:r>
              <w:r w:rsidRPr="00842E0D">
                <w:rPr>
                  <w:color w:val="728FA5"/>
                </w:rPr>
                <w:t xml:space="preserve"> </w:t>
              </w:r>
              <w:fldSimple w:instr=" STYLEREF  &quot;Heading 1&quot;  \* MERGEFORMAT ">
                <w:r w:rsidR="000412CE" w:rsidRPr="000412CE">
                  <w:rPr>
                    <w:b/>
                    <w:bCs/>
                    <w:noProof/>
                  </w:rPr>
                  <w:t>List of Tables</w:t>
                </w:r>
              </w:fldSimple>
            </w:p>
          </w:sdtContent>
        </w:sdt>
      </w:tc>
      <w:tc>
        <w:tcPr>
          <w:tcW w:w="4535" w:type="dxa"/>
          <w:vAlign w:val="center"/>
        </w:tcPr>
        <w:p w14:paraId="194CF7A5" w14:textId="77777777" w:rsidR="00842E0D" w:rsidRDefault="00842E0D" w:rsidP="00AB617A">
          <w:pPr>
            <w:pStyle w:val="Header"/>
            <w:spacing w:before="0"/>
            <w:jc w:val="right"/>
          </w:pPr>
          <w:r>
            <w:fldChar w:fldCharType="begin"/>
          </w:r>
          <w:r>
            <w:instrText>PAGE   \* MERGEFORMAT</w:instrText>
          </w:r>
          <w:r>
            <w:fldChar w:fldCharType="separate"/>
          </w:r>
          <w:r>
            <w:t>3</w:t>
          </w:r>
          <w:r>
            <w:fldChar w:fldCharType="end"/>
          </w:r>
        </w:p>
      </w:tc>
    </w:tr>
  </w:tbl>
  <w:p w14:paraId="7ED4A0BB" w14:textId="77777777" w:rsidR="00842E0D" w:rsidRDefault="00842E0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68FBDC" w14:textId="33CC3707" w:rsidR="008D76B5" w:rsidRDefault="0020696B">
    <w:pPr>
      <w:pStyle w:val="Header"/>
    </w:pPr>
    <w:r>
      <w:rPr>
        <w:noProof/>
      </w:rPr>
      <w:drawing>
        <wp:anchor distT="0" distB="0" distL="114300" distR="114300" simplePos="0" relativeHeight="251662336" behindDoc="0" locked="1" layoutInCell="1" allowOverlap="1" wp14:anchorId="3C67D339" wp14:editId="1A6C4F39">
          <wp:simplePos x="0" y="0"/>
          <wp:positionH relativeFrom="column">
            <wp:posOffset>-26670</wp:posOffset>
          </wp:positionH>
          <wp:positionV relativeFrom="page">
            <wp:posOffset>1573530</wp:posOffset>
          </wp:positionV>
          <wp:extent cx="3240000" cy="1206000"/>
          <wp:effectExtent l="0" t="0" r="0" b="0"/>
          <wp:wrapNone/>
          <wp:docPr id="3" name="Picture 3"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Graphical user interface, text&#10;&#10;Description automatically generated"/>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7340" t="14782" r="10208" b="18699"/>
                  <a:stretch/>
                </pic:blipFill>
                <pic:spPr bwMode="auto">
                  <a:xfrm>
                    <a:off x="0" y="0"/>
                    <a:ext cx="3240000" cy="1206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D76B5">
      <w:rPr>
        <w:noProof/>
      </w:rPr>
      <w:drawing>
        <wp:anchor distT="0" distB="0" distL="114300" distR="114300" simplePos="0" relativeHeight="251659264" behindDoc="0" locked="1" layoutInCell="1" allowOverlap="1" wp14:anchorId="1DF7D6C3" wp14:editId="04B205EE">
          <wp:simplePos x="0" y="0"/>
          <wp:positionH relativeFrom="column">
            <wp:posOffset>2592070</wp:posOffset>
          </wp:positionH>
          <wp:positionV relativeFrom="page">
            <wp:posOffset>-1368425</wp:posOffset>
          </wp:positionV>
          <wp:extent cx="5040000" cy="5007600"/>
          <wp:effectExtent l="0" t="0" r="0" b="3175"/>
          <wp:wrapNone/>
          <wp:docPr id="8" name="Picture 8" descr="A picture containing device, fan, dar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device, fan, dark&#10;&#10;Description automatically generated"/>
                  <pic:cNvPicPr>
                    <a:picLocks noChangeAspect="1" noChangeArrowheads="1"/>
                  </pic:cNvPicPr>
                </pic:nvPicPr>
                <pic:blipFill rotWithShape="1">
                  <a:blip r:embed="rId2">
                    <a:extLst>
                      <a:ext uri="{28A0092B-C50C-407E-A947-70E740481C1C}">
                        <a14:useLocalDpi xmlns:a14="http://schemas.microsoft.com/office/drawing/2010/main" val="0"/>
                      </a:ext>
                    </a:extLst>
                  </a:blip>
                  <a:srcRect t="14881" b="14791"/>
                  <a:stretch/>
                </pic:blipFill>
                <pic:spPr bwMode="auto">
                  <a:xfrm>
                    <a:off x="0" y="0"/>
                    <a:ext cx="5040000" cy="5007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842E0D" w14:paraId="0BA236C3" w14:textId="77777777" w:rsidTr="00D62FE7">
      <w:tc>
        <w:tcPr>
          <w:tcW w:w="4535" w:type="dxa"/>
          <w:vAlign w:val="bottom"/>
        </w:tcPr>
        <w:p w14:paraId="0062ACEA" w14:textId="77777777" w:rsidR="00842E0D" w:rsidRDefault="00842E0D" w:rsidP="00AB617A">
          <w:pPr>
            <w:pStyle w:val="Header"/>
            <w:spacing w:before="0"/>
            <w:jc w:val="right"/>
          </w:pPr>
        </w:p>
      </w:tc>
      <w:tc>
        <w:tcPr>
          <w:tcW w:w="4535" w:type="dxa"/>
          <w:vAlign w:val="center"/>
        </w:tcPr>
        <w:sdt>
          <w:sdtPr>
            <w:id w:val="-1386563732"/>
            <w:docPartObj>
              <w:docPartGallery w:val="Page Numbers (Top of Page)"/>
              <w:docPartUnique/>
            </w:docPartObj>
          </w:sdtPr>
          <w:sdtContent>
            <w:p w14:paraId="64903731" w14:textId="77777777" w:rsidR="00842E0D" w:rsidRDefault="00842E0D" w:rsidP="00AB617A">
              <w:pPr>
                <w:pStyle w:val="Header"/>
                <w:spacing w:before="0"/>
                <w:jc w:val="right"/>
              </w:pPr>
              <w:r>
                <w:fldChar w:fldCharType="begin"/>
              </w:r>
              <w:r>
                <w:instrText>PAGE   \* MERGEFORMAT</w:instrText>
              </w:r>
              <w:r>
                <w:fldChar w:fldCharType="separate"/>
              </w:r>
              <w:r>
                <w:t>3</w:t>
              </w:r>
              <w:r>
                <w:fldChar w:fldCharType="end"/>
              </w:r>
            </w:p>
          </w:sdtContent>
        </w:sdt>
      </w:tc>
    </w:tr>
  </w:tbl>
  <w:p w14:paraId="691B7E2D" w14:textId="77777777" w:rsidR="00842E0D" w:rsidRDefault="00842E0D" w:rsidP="00DD0BDB">
    <w:pPr>
      <w:pStyle w:val="Header"/>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2C5B85" w14:textId="77777777" w:rsidR="00A21E98" w:rsidRDefault="00A21E98" w:rsidP="00DD0BD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1574D8" w14:paraId="584B1964" w14:textId="77777777" w:rsidTr="00F2086E">
      <w:tc>
        <w:tcPr>
          <w:tcW w:w="4535" w:type="dxa"/>
          <w:vAlign w:val="bottom"/>
        </w:tcPr>
        <w:sdt>
          <w:sdtPr>
            <w:id w:val="1576171228"/>
            <w:docPartObj>
              <w:docPartGallery w:val="Page Numbers (Top of Page)"/>
              <w:docPartUnique/>
            </w:docPartObj>
          </w:sdtPr>
          <w:sdtContent>
            <w:p w14:paraId="1BEA6C2A" w14:textId="77777777" w:rsidR="001574D8" w:rsidRDefault="001574D8" w:rsidP="00AB617A">
              <w:pPr>
                <w:pStyle w:val="Header"/>
                <w:spacing w:before="0"/>
                <w:jc w:val="left"/>
              </w:pPr>
              <w:r>
                <w:fldChar w:fldCharType="begin"/>
              </w:r>
              <w:r>
                <w:instrText>PAGE   \* MERGEFORMAT</w:instrText>
              </w:r>
              <w:r>
                <w:fldChar w:fldCharType="separate"/>
              </w:r>
              <w:r>
                <w:t>2</w:t>
              </w:r>
              <w:r>
                <w:fldChar w:fldCharType="end"/>
              </w:r>
            </w:p>
          </w:sdtContent>
        </w:sdt>
      </w:tc>
      <w:tc>
        <w:tcPr>
          <w:tcW w:w="4535" w:type="dxa"/>
          <w:vAlign w:val="center"/>
        </w:tcPr>
        <w:p w14:paraId="0B445A5B" w14:textId="2306E17F" w:rsidR="001574D8" w:rsidRDefault="001574D8" w:rsidP="00AB617A">
          <w:pPr>
            <w:pStyle w:val="Header"/>
            <w:spacing w:before="0"/>
            <w:jc w:val="right"/>
          </w:pPr>
          <w:r w:rsidRPr="00056F88">
            <w:rPr>
              <w:b/>
              <w:bCs/>
              <w:color w:val="728FA5"/>
            </w:rPr>
            <w:t>|</w:t>
          </w:r>
          <w:r w:rsidR="00842E0D" w:rsidRPr="00842E0D">
            <w:rPr>
              <w:color w:val="728FA5"/>
            </w:rPr>
            <w:t xml:space="preserve"> </w:t>
          </w:r>
          <w:fldSimple w:instr="STYLEREF  &quot;Heading 1&quot;  \* MERGEFORMAT">
            <w:r w:rsidR="000412CE" w:rsidRPr="000412CE">
              <w:rPr>
                <w:b/>
                <w:bCs/>
                <w:noProof/>
              </w:rPr>
              <w:t>Abstract</w:t>
            </w:r>
          </w:fldSimple>
        </w:p>
      </w:tc>
    </w:tr>
  </w:tbl>
  <w:p w14:paraId="541A0458" w14:textId="77777777" w:rsidR="001574D8" w:rsidRDefault="001574D8" w:rsidP="00AB617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90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A42E62" w14:paraId="2346F8A4" w14:textId="77777777" w:rsidTr="00F2086E">
      <w:trPr>
        <w:trHeight w:val="253"/>
      </w:trPr>
      <w:tc>
        <w:tcPr>
          <w:tcW w:w="4535" w:type="dxa"/>
          <w:vAlign w:val="bottom"/>
        </w:tcPr>
        <w:p w14:paraId="06D66619" w14:textId="77777777" w:rsidR="00A42E62" w:rsidRDefault="00A42E62" w:rsidP="00894CF0">
          <w:pPr>
            <w:pStyle w:val="Header"/>
            <w:spacing w:before="0"/>
            <w:jc w:val="right"/>
          </w:pPr>
        </w:p>
      </w:tc>
      <w:tc>
        <w:tcPr>
          <w:tcW w:w="4535" w:type="dxa"/>
          <w:vAlign w:val="center"/>
        </w:tcPr>
        <w:sdt>
          <w:sdtPr>
            <w:id w:val="-1104493672"/>
            <w:docPartObj>
              <w:docPartGallery w:val="Page Numbers (Top of Page)"/>
              <w:docPartUnique/>
            </w:docPartObj>
          </w:sdtPr>
          <w:sdtContent>
            <w:p w14:paraId="6A17849A" w14:textId="77777777" w:rsidR="00A42E62" w:rsidRDefault="00A42E62" w:rsidP="00894CF0">
              <w:pPr>
                <w:pStyle w:val="Header"/>
                <w:spacing w:before="0"/>
                <w:jc w:val="right"/>
              </w:pPr>
              <w:r>
                <w:fldChar w:fldCharType="begin"/>
              </w:r>
              <w:r>
                <w:instrText>PAGE   \* MERGEFORMAT</w:instrText>
              </w:r>
              <w:r>
                <w:fldChar w:fldCharType="separate"/>
              </w:r>
              <w:r>
                <w:t>3</w:t>
              </w:r>
              <w:r>
                <w:fldChar w:fldCharType="end"/>
              </w:r>
            </w:p>
          </w:sdtContent>
        </w:sdt>
      </w:tc>
    </w:tr>
  </w:tbl>
  <w:p w14:paraId="74BD663E" w14:textId="77777777" w:rsidR="00A42E62" w:rsidRDefault="00A42E62" w:rsidP="0096765C">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E07E22" w14:textId="77777777" w:rsidR="002E61C1" w:rsidRDefault="002E61C1">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90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B62C30" w14:paraId="7E17DB52" w14:textId="77777777" w:rsidTr="00F2086E">
      <w:tc>
        <w:tcPr>
          <w:tcW w:w="4535" w:type="dxa"/>
          <w:vAlign w:val="bottom"/>
        </w:tcPr>
        <w:sdt>
          <w:sdtPr>
            <w:id w:val="-381404707"/>
            <w:docPartObj>
              <w:docPartGallery w:val="Page Numbers (Top of Page)"/>
              <w:docPartUnique/>
            </w:docPartObj>
          </w:sdtPr>
          <w:sdtContent>
            <w:p w14:paraId="15258480" w14:textId="77777777" w:rsidR="00B62C30" w:rsidRDefault="00B62C30" w:rsidP="00AB617A">
              <w:pPr>
                <w:pStyle w:val="Header"/>
                <w:spacing w:before="0"/>
                <w:jc w:val="left"/>
              </w:pPr>
              <w:r>
                <w:fldChar w:fldCharType="begin"/>
              </w:r>
              <w:r>
                <w:instrText>PAGE   \* MERGEFORMAT</w:instrText>
              </w:r>
              <w:r>
                <w:fldChar w:fldCharType="separate"/>
              </w:r>
              <w:r>
                <w:t>2</w:t>
              </w:r>
              <w:r>
                <w:fldChar w:fldCharType="end"/>
              </w:r>
            </w:p>
          </w:sdtContent>
        </w:sdt>
      </w:tc>
      <w:tc>
        <w:tcPr>
          <w:tcW w:w="4535" w:type="dxa"/>
          <w:vAlign w:val="center"/>
        </w:tcPr>
        <w:p w14:paraId="5B58F0B9" w14:textId="2060E028" w:rsidR="00B62C30" w:rsidRDefault="00B62C30" w:rsidP="00AB617A">
          <w:pPr>
            <w:pStyle w:val="Header"/>
            <w:spacing w:before="0"/>
            <w:jc w:val="right"/>
          </w:pPr>
          <w:r w:rsidRPr="00056F88">
            <w:rPr>
              <w:b/>
              <w:bCs/>
              <w:color w:val="728FA5"/>
            </w:rPr>
            <w:t>|</w:t>
          </w:r>
          <w:r w:rsidRPr="00842E0D">
            <w:rPr>
              <w:color w:val="728FA5"/>
            </w:rPr>
            <w:t xml:space="preserve"> </w:t>
          </w:r>
          <w:fldSimple w:instr=" STYLEREF  &quot;Heading 1&quot;  \* MERGEFORMAT ">
            <w:r w:rsidR="000412CE" w:rsidRPr="000412CE">
              <w:rPr>
                <w:b/>
                <w:bCs/>
                <w:noProof/>
              </w:rPr>
              <w:t>Contents</w:t>
            </w:r>
          </w:fldSimple>
        </w:p>
      </w:tc>
    </w:tr>
  </w:tbl>
  <w:p w14:paraId="7445CB20" w14:textId="77777777" w:rsidR="00B62C30" w:rsidRDefault="00B62C30" w:rsidP="00D62FE7">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44"/>
      <w:gridCol w:w="4075"/>
    </w:tblGrid>
    <w:tr w:rsidR="00B62C30" w14:paraId="2CE9DF5C" w14:textId="77777777" w:rsidTr="00CE57E0">
      <w:tc>
        <w:tcPr>
          <w:tcW w:w="4388" w:type="dxa"/>
          <w:vAlign w:val="bottom"/>
        </w:tcPr>
        <w:sdt>
          <w:sdtPr>
            <w:id w:val="2126578590"/>
            <w:docPartObj>
              <w:docPartGallery w:val="Page Numbers (Top of Page)"/>
              <w:docPartUnique/>
            </w:docPartObj>
          </w:sdtPr>
          <w:sdtContent>
            <w:p w14:paraId="02BD6FF7" w14:textId="4A12589F" w:rsidR="00B62C30" w:rsidRDefault="00B62C30" w:rsidP="00AB617A">
              <w:pPr>
                <w:pStyle w:val="Header"/>
                <w:spacing w:before="0"/>
                <w:jc w:val="left"/>
              </w:pPr>
              <w:r w:rsidRPr="00056F88">
                <w:rPr>
                  <w:b/>
                  <w:bCs/>
                  <w:color w:val="728FA5"/>
                </w:rPr>
                <w:t>|</w:t>
              </w:r>
              <w:r w:rsidRPr="00842E0D">
                <w:rPr>
                  <w:color w:val="728FA5"/>
                </w:rPr>
                <w:t xml:space="preserve"> </w:t>
              </w:r>
              <w:fldSimple w:instr=" STYLEREF  &quot;Heading 1&quot;  \* MERGEFORMAT ">
                <w:r w:rsidR="000412CE" w:rsidRPr="000412CE">
                  <w:rPr>
                    <w:b/>
                    <w:bCs/>
                    <w:noProof/>
                  </w:rPr>
                  <w:t>Contents</w:t>
                </w:r>
              </w:fldSimple>
            </w:p>
          </w:sdtContent>
        </w:sdt>
      </w:tc>
      <w:tc>
        <w:tcPr>
          <w:tcW w:w="4389" w:type="dxa"/>
          <w:vAlign w:val="center"/>
        </w:tcPr>
        <w:p w14:paraId="387CF5AE" w14:textId="77777777" w:rsidR="00B62C30" w:rsidRDefault="00B62C30" w:rsidP="00AB617A">
          <w:pPr>
            <w:pStyle w:val="Header"/>
            <w:spacing w:before="0"/>
            <w:jc w:val="right"/>
          </w:pPr>
          <w:r>
            <w:fldChar w:fldCharType="begin"/>
          </w:r>
          <w:r>
            <w:instrText>PAGE   \* MERGEFORMAT</w:instrText>
          </w:r>
          <w:r>
            <w:fldChar w:fldCharType="separate"/>
          </w:r>
          <w:r>
            <w:t>3</w:t>
          </w:r>
          <w:r>
            <w:fldChar w:fldCharType="end"/>
          </w:r>
        </w:p>
      </w:tc>
    </w:tr>
  </w:tbl>
  <w:p w14:paraId="232AA5BD" w14:textId="77777777" w:rsidR="00B62C30" w:rsidRPr="00AB617A" w:rsidRDefault="00B62C30" w:rsidP="00AB617A">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9070"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DD0BDB" w14:paraId="0740D7FE" w14:textId="77777777" w:rsidTr="00F2086E">
      <w:tc>
        <w:tcPr>
          <w:tcW w:w="4535" w:type="dxa"/>
          <w:vAlign w:val="bottom"/>
        </w:tcPr>
        <w:p w14:paraId="7EA78D0F" w14:textId="77777777" w:rsidR="00DD0BDB" w:rsidRDefault="00DD0BDB" w:rsidP="00894CF0">
          <w:pPr>
            <w:pStyle w:val="Header"/>
            <w:spacing w:before="0"/>
            <w:jc w:val="right"/>
          </w:pPr>
        </w:p>
      </w:tc>
      <w:tc>
        <w:tcPr>
          <w:tcW w:w="4535" w:type="dxa"/>
          <w:vAlign w:val="center"/>
        </w:tcPr>
        <w:sdt>
          <w:sdtPr>
            <w:id w:val="-2078432976"/>
            <w:docPartObj>
              <w:docPartGallery w:val="Page Numbers (Top of Page)"/>
              <w:docPartUnique/>
            </w:docPartObj>
          </w:sdtPr>
          <w:sdtContent>
            <w:p w14:paraId="7CDB61B8" w14:textId="77777777" w:rsidR="00DD0BDB" w:rsidRDefault="00DD0BDB" w:rsidP="00894CF0">
              <w:pPr>
                <w:pStyle w:val="Header"/>
                <w:spacing w:before="0"/>
                <w:jc w:val="right"/>
              </w:pPr>
              <w:r>
                <w:fldChar w:fldCharType="begin"/>
              </w:r>
              <w:r>
                <w:instrText>PAGE   \* MERGEFORMAT</w:instrText>
              </w:r>
              <w:r>
                <w:fldChar w:fldCharType="separate"/>
              </w:r>
              <w:r>
                <w:t>3</w:t>
              </w:r>
              <w:r>
                <w:fldChar w:fldCharType="end"/>
              </w:r>
            </w:p>
          </w:sdtContent>
        </w:sdt>
      </w:tc>
    </w:tr>
  </w:tbl>
  <w:p w14:paraId="54A4221D" w14:textId="77777777" w:rsidR="00356473" w:rsidRDefault="00356473" w:rsidP="00DD0BDB">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307E81" w14:paraId="7998E9C0" w14:textId="77777777" w:rsidTr="00D62FE7">
      <w:tc>
        <w:tcPr>
          <w:tcW w:w="4535" w:type="dxa"/>
          <w:vAlign w:val="bottom"/>
        </w:tcPr>
        <w:sdt>
          <w:sdtPr>
            <w:id w:val="396164686"/>
            <w:docPartObj>
              <w:docPartGallery w:val="Page Numbers (Top of Page)"/>
              <w:docPartUnique/>
            </w:docPartObj>
          </w:sdtPr>
          <w:sdtContent>
            <w:p w14:paraId="321E3C78" w14:textId="77777777" w:rsidR="00307E81" w:rsidRDefault="00307E81" w:rsidP="00AB617A">
              <w:pPr>
                <w:pStyle w:val="Header"/>
                <w:spacing w:before="0"/>
                <w:jc w:val="left"/>
              </w:pPr>
              <w:r>
                <w:fldChar w:fldCharType="begin"/>
              </w:r>
              <w:r>
                <w:instrText>PAGE   \* MERGEFORMAT</w:instrText>
              </w:r>
              <w:r>
                <w:fldChar w:fldCharType="separate"/>
              </w:r>
              <w:r>
                <w:t>2</w:t>
              </w:r>
              <w:r>
                <w:fldChar w:fldCharType="end"/>
              </w:r>
            </w:p>
          </w:sdtContent>
        </w:sdt>
      </w:tc>
      <w:tc>
        <w:tcPr>
          <w:tcW w:w="4535" w:type="dxa"/>
          <w:vAlign w:val="center"/>
        </w:tcPr>
        <w:p w14:paraId="4D02A5A1" w14:textId="43D75E60" w:rsidR="00307E81" w:rsidRDefault="00842E0D" w:rsidP="00AB617A">
          <w:pPr>
            <w:pStyle w:val="Header"/>
            <w:spacing w:before="0"/>
            <w:jc w:val="right"/>
          </w:pPr>
          <w:r w:rsidRPr="00056F88">
            <w:rPr>
              <w:b/>
              <w:bCs/>
              <w:color w:val="728FA5"/>
            </w:rPr>
            <w:t>|</w:t>
          </w:r>
          <w:r w:rsidRPr="00842E0D">
            <w:rPr>
              <w:color w:val="728FA5"/>
            </w:rPr>
            <w:t xml:space="preserve"> </w:t>
          </w:r>
          <w:fldSimple w:instr=" STYLEREF  &quot;Heading 1&quot;  \* MERGEFORMAT ">
            <w:r w:rsidR="000412CE" w:rsidRPr="000412CE">
              <w:rPr>
                <w:b/>
                <w:bCs/>
                <w:noProof/>
              </w:rPr>
              <w:t>Introduction</w:t>
            </w:r>
          </w:fldSimple>
        </w:p>
      </w:tc>
    </w:tr>
  </w:tbl>
  <w:p w14:paraId="7C6258A7" w14:textId="77777777" w:rsidR="006A78D0" w:rsidRPr="00307E81" w:rsidRDefault="006A78D0" w:rsidP="00307E8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D7E3B"/>
    <w:multiLevelType w:val="multilevel"/>
    <w:tmpl w:val="E6B8A3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715503"/>
    <w:multiLevelType w:val="hybridMultilevel"/>
    <w:tmpl w:val="8546587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59304F3"/>
    <w:multiLevelType w:val="hybridMultilevel"/>
    <w:tmpl w:val="4F04B984"/>
    <w:lvl w:ilvl="0" w:tplc="33500EE2">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7EA4595"/>
    <w:multiLevelType w:val="multilevel"/>
    <w:tmpl w:val="49B05B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DF11B24"/>
    <w:multiLevelType w:val="multilevel"/>
    <w:tmpl w:val="C69AA3DA"/>
    <w:lvl w:ilvl="0">
      <w:start w:val="1"/>
      <w:numFmt w:val="decimal"/>
      <w:pStyle w:val="Heading1"/>
      <w:lvlText w:val="%1"/>
      <w:lvlJc w:val="left"/>
      <w:pPr>
        <w:ind w:left="851" w:hanging="851"/>
      </w:pPr>
      <w:rPr>
        <w:rFonts w:ascii="Palatino Linotype" w:hAnsi="Palatino Linotype" w:hint="default"/>
        <w:color w:val="728FA5"/>
        <w:sz w:val="72"/>
      </w:rPr>
    </w:lvl>
    <w:lvl w:ilvl="1">
      <w:start w:val="1"/>
      <w:numFmt w:val="decimal"/>
      <w:pStyle w:val="Heading2"/>
      <w:lvlText w:val="%1.%2."/>
      <w:lvlJc w:val="left"/>
      <w:pPr>
        <w:ind w:left="851" w:hanging="851"/>
      </w:pPr>
      <w:rPr>
        <w:rFonts w:hint="default"/>
        <w:b w:val="0"/>
        <w:bCs/>
      </w:rPr>
    </w:lvl>
    <w:lvl w:ilvl="2">
      <w:start w:val="1"/>
      <w:numFmt w:val="decimal"/>
      <w:pStyle w:val="Heading3"/>
      <w:lvlText w:val="%1.%2.%3."/>
      <w:lvlJc w:val="left"/>
      <w:pPr>
        <w:ind w:left="851" w:hanging="851"/>
      </w:pPr>
      <w:rPr>
        <w:rFonts w:hint="default"/>
      </w:rPr>
    </w:lvl>
    <w:lvl w:ilvl="3">
      <w:start w:val="1"/>
      <w:numFmt w:val="decimal"/>
      <w:pStyle w:val="Heading4"/>
      <w:lvlText w:val="%1.%2.%3.%4."/>
      <w:lvlJc w:val="left"/>
      <w:pPr>
        <w:ind w:left="851" w:hanging="851"/>
      </w:pPr>
      <w:rPr>
        <w:rFonts w:hint="default"/>
      </w:rPr>
    </w:lvl>
    <w:lvl w:ilvl="4">
      <w:start w:val="1"/>
      <w:numFmt w:val="decimal"/>
      <w:lvlText w:val="%1.%2.%3.%4.%5."/>
      <w:lvlJc w:val="left"/>
      <w:pPr>
        <w:ind w:left="567" w:hanging="567"/>
      </w:pPr>
      <w:rPr>
        <w:rFonts w:hint="default"/>
      </w:rPr>
    </w:lvl>
    <w:lvl w:ilvl="5">
      <w:start w:val="1"/>
      <w:numFmt w:val="decimal"/>
      <w:lvlText w:val="%1.%2.%3.%4.%5.%6."/>
      <w:lvlJc w:val="left"/>
      <w:pPr>
        <w:ind w:left="567" w:hanging="567"/>
      </w:pPr>
      <w:rPr>
        <w:rFonts w:hint="default"/>
      </w:rPr>
    </w:lvl>
    <w:lvl w:ilvl="6">
      <w:start w:val="1"/>
      <w:numFmt w:val="decimal"/>
      <w:lvlText w:val="%1.%2.%3.%4.%5.%6.%7."/>
      <w:lvlJc w:val="left"/>
      <w:pPr>
        <w:ind w:left="567" w:hanging="567"/>
      </w:pPr>
      <w:rPr>
        <w:rFonts w:hint="default"/>
      </w:rPr>
    </w:lvl>
    <w:lvl w:ilvl="7">
      <w:start w:val="1"/>
      <w:numFmt w:val="decimal"/>
      <w:lvlText w:val="%1.%2.%3.%4.%5.%6.%7.%8."/>
      <w:lvlJc w:val="left"/>
      <w:pPr>
        <w:ind w:left="567" w:hanging="567"/>
      </w:pPr>
      <w:rPr>
        <w:rFonts w:hint="default"/>
      </w:rPr>
    </w:lvl>
    <w:lvl w:ilvl="8">
      <w:start w:val="1"/>
      <w:numFmt w:val="decimal"/>
      <w:lvlText w:val="%1.%2.%3.%4.%5.%6.%7.%8.%9."/>
      <w:lvlJc w:val="left"/>
      <w:pPr>
        <w:ind w:left="567" w:hanging="567"/>
      </w:pPr>
      <w:rPr>
        <w:rFonts w:hint="default"/>
      </w:rPr>
    </w:lvl>
  </w:abstractNum>
  <w:abstractNum w:abstractNumId="5" w15:restartNumberingAfterBreak="0">
    <w:nsid w:val="0EDA7C75"/>
    <w:multiLevelType w:val="hybridMultilevel"/>
    <w:tmpl w:val="A6465B54"/>
    <w:lvl w:ilvl="0" w:tplc="1F80F38A">
      <w:start w:val="15"/>
      <w:numFmt w:val="bullet"/>
      <w:lvlText w:val="%1.."/>
      <w:lvlJc w:val="left"/>
      <w:pPr>
        <w:ind w:left="1080" w:hanging="720"/>
      </w:pPr>
      <w:rPr>
        <w:rFonts w:ascii="Symbol" w:eastAsiaTheme="minorHAnsi"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194170B"/>
    <w:multiLevelType w:val="multilevel"/>
    <w:tmpl w:val="2124D9CA"/>
    <w:lvl w:ilvl="0">
      <w:start w:val="1"/>
      <w:numFmt w:val="decimal"/>
      <w:lvlText w:val="%1"/>
      <w:lvlJc w:val="left"/>
      <w:pPr>
        <w:ind w:left="1134" w:hanging="1134"/>
      </w:pPr>
      <w:rPr>
        <w:rFonts w:ascii="Palatino Linotype" w:hAnsi="Palatino Linotype" w:hint="default"/>
        <w:color w:val="728FA5"/>
        <w:sz w:val="72"/>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decimal"/>
      <w:pStyle w:val="Heading5"/>
      <w:lvlText w:val="%1.%2.%3.%4.%5."/>
      <w:lvlJc w:val="left"/>
      <w:pPr>
        <w:ind w:left="567" w:hanging="567"/>
      </w:pPr>
      <w:rPr>
        <w:rFonts w:hint="default"/>
      </w:rPr>
    </w:lvl>
    <w:lvl w:ilvl="5">
      <w:start w:val="1"/>
      <w:numFmt w:val="decimal"/>
      <w:lvlText w:val="%1.%2.%3.%4.%5.%6."/>
      <w:lvlJc w:val="left"/>
      <w:pPr>
        <w:ind w:left="567" w:hanging="567"/>
      </w:pPr>
      <w:rPr>
        <w:rFonts w:hint="default"/>
      </w:rPr>
    </w:lvl>
    <w:lvl w:ilvl="6">
      <w:start w:val="1"/>
      <w:numFmt w:val="decimal"/>
      <w:lvlText w:val="%1.%2.%3.%4.%5.%6.%7."/>
      <w:lvlJc w:val="left"/>
      <w:pPr>
        <w:ind w:left="567" w:hanging="567"/>
      </w:pPr>
      <w:rPr>
        <w:rFonts w:hint="default"/>
      </w:rPr>
    </w:lvl>
    <w:lvl w:ilvl="7">
      <w:start w:val="1"/>
      <w:numFmt w:val="decimal"/>
      <w:lvlText w:val="%1.%2.%3.%4.%5.%6.%7.%8."/>
      <w:lvlJc w:val="left"/>
      <w:pPr>
        <w:ind w:left="567" w:hanging="567"/>
      </w:pPr>
      <w:rPr>
        <w:rFonts w:hint="default"/>
      </w:rPr>
    </w:lvl>
    <w:lvl w:ilvl="8">
      <w:start w:val="1"/>
      <w:numFmt w:val="decimal"/>
      <w:lvlText w:val="%1.%2.%3.%4.%5.%6.%7.%8.%9."/>
      <w:lvlJc w:val="left"/>
      <w:pPr>
        <w:ind w:left="567" w:hanging="567"/>
      </w:pPr>
      <w:rPr>
        <w:rFonts w:hint="default"/>
      </w:rPr>
    </w:lvl>
  </w:abstractNum>
  <w:abstractNum w:abstractNumId="7" w15:restartNumberingAfterBreak="0">
    <w:nsid w:val="13C35C98"/>
    <w:multiLevelType w:val="hybridMultilevel"/>
    <w:tmpl w:val="35623706"/>
    <w:lvl w:ilvl="0" w:tplc="59B838F4">
      <w:start w:val="1"/>
      <w:numFmt w:val="upp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1A2D7450"/>
    <w:multiLevelType w:val="hybridMultilevel"/>
    <w:tmpl w:val="472CD278"/>
    <w:lvl w:ilvl="0" w:tplc="4370822A">
      <w:start w:val="1"/>
      <w:numFmt w:val="decimal"/>
      <w:lvlText w:val="[%1]"/>
      <w:lvlJc w:val="left"/>
      <w:pPr>
        <w:ind w:left="720" w:hanging="360"/>
      </w:pPr>
      <w:rPr>
        <w:rFonts w:hint="default"/>
      </w:rPr>
    </w:lvl>
    <w:lvl w:ilvl="1" w:tplc="A3E4EAA0">
      <w:start w:val="1"/>
      <w:numFmt w:val="upperLetter"/>
      <w:lvlText w:val="%2."/>
      <w:lvlJc w:val="left"/>
      <w:pPr>
        <w:ind w:left="1440" w:hanging="360"/>
      </w:pPr>
      <w:rPr>
        <w:rFonts w:hint="default"/>
      </w:rPr>
    </w:lvl>
    <w:lvl w:ilvl="2" w:tplc="D6E82B7C">
      <w:start w:val="15"/>
      <w:numFmt w:val="bullet"/>
      <w:lvlText w:val="%3."/>
      <w:lvlJc w:val="left"/>
      <w:pPr>
        <w:ind w:left="2340" w:hanging="360"/>
      </w:pPr>
      <w:rPr>
        <w:rFonts w:ascii="Symbol" w:eastAsiaTheme="minorHAnsi" w:hAnsi="Symbol" w:cs="Times New Roman" w:hint="default"/>
      </w:r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1B8E3F98"/>
    <w:multiLevelType w:val="hybridMultilevel"/>
    <w:tmpl w:val="6AD03056"/>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1D0463E0"/>
    <w:multiLevelType w:val="hybridMultilevel"/>
    <w:tmpl w:val="DBF613F8"/>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1E3C105E"/>
    <w:multiLevelType w:val="multilevel"/>
    <w:tmpl w:val="1F405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1370080"/>
    <w:multiLevelType w:val="hybridMultilevel"/>
    <w:tmpl w:val="AD260024"/>
    <w:lvl w:ilvl="0" w:tplc="14101602">
      <w:start w:val="1"/>
      <w:numFmt w:val="upp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2D432D08"/>
    <w:multiLevelType w:val="multilevel"/>
    <w:tmpl w:val="9D9E3D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3E8070B"/>
    <w:multiLevelType w:val="hybridMultilevel"/>
    <w:tmpl w:val="581E12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39D85AA6"/>
    <w:multiLevelType w:val="multilevel"/>
    <w:tmpl w:val="5BD2F496"/>
    <w:styleLink w:val="Style1"/>
    <w:lvl w:ilvl="0">
      <w:start w:val="1"/>
      <w:numFmt w:val="upperLetter"/>
      <w:lvlText w:val="%1"/>
      <w:lvlJc w:val="left"/>
      <w:pPr>
        <w:ind w:left="851" w:hanging="851"/>
      </w:pPr>
      <w:rPr>
        <w:rFonts w:ascii="Palatino Linotype" w:hAnsi="Palatino Linotype" w:hint="default"/>
        <w:color w:val="728FA5"/>
        <w:sz w:val="72"/>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567" w:hanging="567"/>
      </w:pPr>
      <w:rPr>
        <w:rFonts w:hint="default"/>
      </w:rPr>
    </w:lvl>
    <w:lvl w:ilvl="5">
      <w:start w:val="1"/>
      <w:numFmt w:val="decimal"/>
      <w:lvlText w:val="%1.%2.%3.%4.%5.%6."/>
      <w:lvlJc w:val="left"/>
      <w:pPr>
        <w:ind w:left="567" w:hanging="567"/>
      </w:pPr>
      <w:rPr>
        <w:rFonts w:hint="default"/>
      </w:rPr>
    </w:lvl>
    <w:lvl w:ilvl="6">
      <w:start w:val="1"/>
      <w:numFmt w:val="decimal"/>
      <w:lvlText w:val="%1.%2.%3.%4.%5.%6.%7."/>
      <w:lvlJc w:val="left"/>
      <w:pPr>
        <w:ind w:left="567" w:hanging="567"/>
      </w:pPr>
      <w:rPr>
        <w:rFonts w:hint="default"/>
      </w:rPr>
    </w:lvl>
    <w:lvl w:ilvl="7">
      <w:start w:val="1"/>
      <w:numFmt w:val="decimal"/>
      <w:lvlText w:val="%1.%2.%3.%4.%5.%6.%7.%8."/>
      <w:lvlJc w:val="left"/>
      <w:pPr>
        <w:ind w:left="567" w:hanging="567"/>
      </w:pPr>
      <w:rPr>
        <w:rFonts w:hint="default"/>
      </w:rPr>
    </w:lvl>
    <w:lvl w:ilvl="8">
      <w:start w:val="1"/>
      <w:numFmt w:val="decimal"/>
      <w:lvlText w:val="%1.%2.%3.%4.%5.%6.%7.%8.%9."/>
      <w:lvlJc w:val="left"/>
      <w:pPr>
        <w:ind w:left="567" w:hanging="567"/>
      </w:pPr>
      <w:rPr>
        <w:rFonts w:hint="default"/>
      </w:rPr>
    </w:lvl>
  </w:abstractNum>
  <w:abstractNum w:abstractNumId="16" w15:restartNumberingAfterBreak="0">
    <w:nsid w:val="3D2506E4"/>
    <w:multiLevelType w:val="hybridMultilevel"/>
    <w:tmpl w:val="A6081422"/>
    <w:lvl w:ilvl="0" w:tplc="5FFE255C">
      <w:start w:val="1"/>
      <w:numFmt w:val="upperRoman"/>
      <w:lvlText w:val="%1."/>
      <w:lvlJc w:val="left"/>
      <w:pPr>
        <w:ind w:left="1080" w:hanging="720"/>
      </w:pPr>
      <w:rPr>
        <w:rFonts w:hint="default"/>
      </w:rPr>
    </w:lvl>
    <w:lvl w:ilvl="1" w:tplc="B726D014">
      <w:start w:val="1"/>
      <w:numFmt w:val="upperLetter"/>
      <w:lvlText w:val="%2."/>
      <w:lvlJc w:val="left"/>
      <w:pPr>
        <w:ind w:left="1440" w:hanging="360"/>
      </w:pPr>
      <w:rPr>
        <w:rFont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448C6697"/>
    <w:multiLevelType w:val="multilevel"/>
    <w:tmpl w:val="FCEC7F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58C3CCC"/>
    <w:multiLevelType w:val="hybridMultilevel"/>
    <w:tmpl w:val="61F6AB4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486935D3"/>
    <w:multiLevelType w:val="hybridMultilevel"/>
    <w:tmpl w:val="1216137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4C412D00"/>
    <w:multiLevelType w:val="hybridMultilevel"/>
    <w:tmpl w:val="4A8EB394"/>
    <w:lvl w:ilvl="0" w:tplc="8A6860A4">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5259566A"/>
    <w:multiLevelType w:val="hybridMultilevel"/>
    <w:tmpl w:val="D056032C"/>
    <w:lvl w:ilvl="0" w:tplc="C5FE2102">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5F9B0153"/>
    <w:multiLevelType w:val="hybridMultilevel"/>
    <w:tmpl w:val="31FE6D26"/>
    <w:lvl w:ilvl="0" w:tplc="7E4815FC">
      <w:start w:val="1"/>
      <w:numFmt w:val="decimal"/>
      <w:lvlText w:val="[%1]"/>
      <w:lvlJc w:val="left"/>
      <w:pPr>
        <w:ind w:left="360" w:hanging="360"/>
      </w:pPr>
      <w:rPr>
        <w:rFonts w:hint="default"/>
      </w:rPr>
    </w:lvl>
    <w:lvl w:ilvl="1" w:tplc="E0AA6E78">
      <w:start w:val="1"/>
      <w:numFmt w:val="upperLetter"/>
      <w:lvlText w:val="%2."/>
      <w:lvlJc w:val="left"/>
      <w:pPr>
        <w:ind w:left="1080" w:hanging="360"/>
      </w:pPr>
      <w:rPr>
        <w:rFonts w:hint="default"/>
      </w:rPr>
    </w:lvl>
    <w:lvl w:ilvl="2" w:tplc="DB9A3BA8">
      <w:start w:val="15"/>
      <w:numFmt w:val="bullet"/>
      <w:lvlText w:val="%3."/>
      <w:lvlJc w:val="left"/>
      <w:pPr>
        <w:ind w:left="1980" w:hanging="360"/>
      </w:pPr>
      <w:rPr>
        <w:rFonts w:ascii="Symbol" w:eastAsiaTheme="minorHAnsi" w:hAnsi="Symbol" w:cs="Times New Roman" w:hint="default"/>
      </w:r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3" w15:restartNumberingAfterBreak="0">
    <w:nsid w:val="5FE05257"/>
    <w:multiLevelType w:val="hybridMultilevel"/>
    <w:tmpl w:val="FC90A510"/>
    <w:lvl w:ilvl="0" w:tplc="718C6D48">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62FD431B"/>
    <w:multiLevelType w:val="hybridMultilevel"/>
    <w:tmpl w:val="1D745F68"/>
    <w:lvl w:ilvl="0" w:tplc="931ABC44">
      <w:start w:val="1"/>
      <w:numFmt w:val="upp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6DE64DC2"/>
    <w:multiLevelType w:val="hybridMultilevel"/>
    <w:tmpl w:val="A680048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74967C1A"/>
    <w:multiLevelType w:val="multilevel"/>
    <w:tmpl w:val="9FC27228"/>
    <w:styleLink w:val="Style2"/>
    <w:lvl w:ilvl="0">
      <w:start w:val="2"/>
      <w:numFmt w:val="upperLetter"/>
      <w:lvlText w:val="%1"/>
      <w:lvlJc w:val="left"/>
      <w:pPr>
        <w:ind w:left="851" w:hanging="851"/>
      </w:pPr>
      <w:rPr>
        <w:rFonts w:ascii="Palatino Linotype" w:hAnsi="Palatino Linotype" w:hint="default"/>
        <w:color w:val="728FA5"/>
        <w:sz w:val="72"/>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567" w:hanging="567"/>
      </w:pPr>
      <w:rPr>
        <w:rFonts w:hint="default"/>
      </w:rPr>
    </w:lvl>
    <w:lvl w:ilvl="5">
      <w:start w:val="1"/>
      <w:numFmt w:val="decimal"/>
      <w:lvlText w:val="%1.%2.%3.%4.%5.%6."/>
      <w:lvlJc w:val="left"/>
      <w:pPr>
        <w:ind w:left="567" w:hanging="567"/>
      </w:pPr>
      <w:rPr>
        <w:rFonts w:hint="default"/>
      </w:rPr>
    </w:lvl>
    <w:lvl w:ilvl="6">
      <w:start w:val="1"/>
      <w:numFmt w:val="decimal"/>
      <w:lvlText w:val="%1.%2.%3.%4.%5.%6.%7."/>
      <w:lvlJc w:val="left"/>
      <w:pPr>
        <w:ind w:left="567" w:hanging="567"/>
      </w:pPr>
      <w:rPr>
        <w:rFonts w:hint="default"/>
      </w:rPr>
    </w:lvl>
    <w:lvl w:ilvl="7">
      <w:start w:val="1"/>
      <w:numFmt w:val="decimal"/>
      <w:lvlText w:val="%1.%2.%3.%4.%5.%6.%7.%8."/>
      <w:lvlJc w:val="left"/>
      <w:pPr>
        <w:ind w:left="567" w:hanging="567"/>
      </w:pPr>
      <w:rPr>
        <w:rFonts w:hint="default"/>
      </w:rPr>
    </w:lvl>
    <w:lvl w:ilvl="8">
      <w:start w:val="1"/>
      <w:numFmt w:val="decimal"/>
      <w:lvlText w:val="%1.%2.%3.%4.%5.%6.%7.%8.%9."/>
      <w:lvlJc w:val="left"/>
      <w:pPr>
        <w:ind w:left="567" w:hanging="567"/>
      </w:pPr>
      <w:rPr>
        <w:rFonts w:hint="default"/>
      </w:rPr>
    </w:lvl>
  </w:abstractNum>
  <w:abstractNum w:abstractNumId="27" w15:restartNumberingAfterBreak="0">
    <w:nsid w:val="75B45A18"/>
    <w:multiLevelType w:val="hybridMultilevel"/>
    <w:tmpl w:val="E850E41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15:restartNumberingAfterBreak="0">
    <w:nsid w:val="7983646D"/>
    <w:multiLevelType w:val="hybridMultilevel"/>
    <w:tmpl w:val="1F0EAB6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15:restartNumberingAfterBreak="0">
    <w:nsid w:val="7F7C0BA0"/>
    <w:multiLevelType w:val="multilevel"/>
    <w:tmpl w:val="92B6C33C"/>
    <w:lvl w:ilvl="0">
      <w:start w:val="1"/>
      <w:numFmt w:val="decimal"/>
      <w:lvlText w:val="%1)"/>
      <w:lvlJc w:val="left"/>
      <w:pPr>
        <w:tabs>
          <w:tab w:val="num" w:pos="720"/>
        </w:tabs>
        <w:ind w:left="720" w:hanging="360"/>
      </w:pPr>
      <w:rPr>
        <w:rFonts w:ascii="Times New Roman" w:eastAsiaTheme="minorHAnsi"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44649925">
    <w:abstractNumId w:val="4"/>
  </w:num>
  <w:num w:numId="2" w16cid:durableId="699472423">
    <w:abstractNumId w:val="15"/>
  </w:num>
  <w:num w:numId="3" w16cid:durableId="2040616406">
    <w:abstractNumId w:val="6"/>
  </w:num>
  <w:num w:numId="4" w16cid:durableId="1860653514">
    <w:abstractNumId w:val="26"/>
  </w:num>
  <w:num w:numId="5" w16cid:durableId="844519844">
    <w:abstractNumId w:val="9"/>
  </w:num>
  <w:num w:numId="6" w16cid:durableId="1188524194">
    <w:abstractNumId w:val="23"/>
  </w:num>
  <w:num w:numId="7" w16cid:durableId="1598362132">
    <w:abstractNumId w:val="1"/>
  </w:num>
  <w:num w:numId="8" w16cid:durableId="665399326">
    <w:abstractNumId w:val="2"/>
  </w:num>
  <w:num w:numId="9" w16cid:durableId="1196574059">
    <w:abstractNumId w:val="29"/>
  </w:num>
  <w:num w:numId="10" w16cid:durableId="283510800">
    <w:abstractNumId w:val="19"/>
  </w:num>
  <w:num w:numId="11" w16cid:durableId="467012574">
    <w:abstractNumId w:val="13"/>
  </w:num>
  <w:num w:numId="12" w16cid:durableId="56317818">
    <w:abstractNumId w:val="3"/>
  </w:num>
  <w:num w:numId="13" w16cid:durableId="346176696">
    <w:abstractNumId w:val="14"/>
  </w:num>
  <w:num w:numId="14" w16cid:durableId="226498986">
    <w:abstractNumId w:val="11"/>
  </w:num>
  <w:num w:numId="15" w16cid:durableId="1844346787">
    <w:abstractNumId w:val="22"/>
  </w:num>
  <w:num w:numId="16" w16cid:durableId="147286979">
    <w:abstractNumId w:val="0"/>
  </w:num>
  <w:num w:numId="17" w16cid:durableId="1056586014">
    <w:abstractNumId w:val="27"/>
  </w:num>
  <w:num w:numId="18" w16cid:durableId="818497069">
    <w:abstractNumId w:val="21"/>
  </w:num>
  <w:num w:numId="19" w16cid:durableId="405761612">
    <w:abstractNumId w:val="17"/>
  </w:num>
  <w:num w:numId="20" w16cid:durableId="1969773728">
    <w:abstractNumId w:val="18"/>
  </w:num>
  <w:num w:numId="21" w16cid:durableId="461994542">
    <w:abstractNumId w:val="28"/>
  </w:num>
  <w:num w:numId="22" w16cid:durableId="1853061756">
    <w:abstractNumId w:val="20"/>
  </w:num>
  <w:num w:numId="23" w16cid:durableId="2066828610">
    <w:abstractNumId w:val="8"/>
  </w:num>
  <w:num w:numId="24" w16cid:durableId="181942860">
    <w:abstractNumId w:val="7"/>
  </w:num>
  <w:num w:numId="25" w16cid:durableId="227963769">
    <w:abstractNumId w:val="16"/>
  </w:num>
  <w:num w:numId="26" w16cid:durableId="415977874">
    <w:abstractNumId w:val="5"/>
  </w:num>
  <w:num w:numId="27" w16cid:durableId="399181860">
    <w:abstractNumId w:val="10"/>
  </w:num>
  <w:num w:numId="28" w16cid:durableId="173806574">
    <w:abstractNumId w:val="24"/>
  </w:num>
  <w:num w:numId="29" w16cid:durableId="956832689">
    <w:abstractNumId w:val="12"/>
  </w:num>
  <w:num w:numId="30" w16cid:durableId="1170632289">
    <w:abstractNumId w:val="2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xMDcyMTMwNDcxMzEyMzBR0lEKTi0uzszPAykwrQUAB1se/ywAAAA="/>
  </w:docVars>
  <w:rsids>
    <w:rsidRoot w:val="00690924"/>
    <w:rsid w:val="000121CD"/>
    <w:rsid w:val="00013D30"/>
    <w:rsid w:val="000412CE"/>
    <w:rsid w:val="00044417"/>
    <w:rsid w:val="00055241"/>
    <w:rsid w:val="00056F88"/>
    <w:rsid w:val="00057989"/>
    <w:rsid w:val="00070452"/>
    <w:rsid w:val="000716BA"/>
    <w:rsid w:val="0007777A"/>
    <w:rsid w:val="000823DE"/>
    <w:rsid w:val="00082EA8"/>
    <w:rsid w:val="0009522A"/>
    <w:rsid w:val="000A1D26"/>
    <w:rsid w:val="000B0B68"/>
    <w:rsid w:val="000B0E37"/>
    <w:rsid w:val="000B4D61"/>
    <w:rsid w:val="000B7F28"/>
    <w:rsid w:val="000D3B02"/>
    <w:rsid w:val="000D40BC"/>
    <w:rsid w:val="000D6B1C"/>
    <w:rsid w:val="000E027B"/>
    <w:rsid w:val="000F32C4"/>
    <w:rsid w:val="000F48CB"/>
    <w:rsid w:val="000F6463"/>
    <w:rsid w:val="00100966"/>
    <w:rsid w:val="00104678"/>
    <w:rsid w:val="001115FE"/>
    <w:rsid w:val="0011254C"/>
    <w:rsid w:val="001153FB"/>
    <w:rsid w:val="001176DC"/>
    <w:rsid w:val="00123405"/>
    <w:rsid w:val="00124E46"/>
    <w:rsid w:val="00133A05"/>
    <w:rsid w:val="00133D7B"/>
    <w:rsid w:val="00136E77"/>
    <w:rsid w:val="00142C55"/>
    <w:rsid w:val="00147045"/>
    <w:rsid w:val="00147283"/>
    <w:rsid w:val="001574D8"/>
    <w:rsid w:val="00163444"/>
    <w:rsid w:val="00170089"/>
    <w:rsid w:val="001703AD"/>
    <w:rsid w:val="00174006"/>
    <w:rsid w:val="00176A77"/>
    <w:rsid w:val="00176DCF"/>
    <w:rsid w:val="0018042B"/>
    <w:rsid w:val="00181A8D"/>
    <w:rsid w:val="001A387D"/>
    <w:rsid w:val="001B044C"/>
    <w:rsid w:val="001B2AF3"/>
    <w:rsid w:val="001C0E3C"/>
    <w:rsid w:val="001C18D7"/>
    <w:rsid w:val="001C1BFE"/>
    <w:rsid w:val="001C4CBD"/>
    <w:rsid w:val="001C51D5"/>
    <w:rsid w:val="001C6FAB"/>
    <w:rsid w:val="001D0C2A"/>
    <w:rsid w:val="001D5862"/>
    <w:rsid w:val="001D7EBF"/>
    <w:rsid w:val="001E1387"/>
    <w:rsid w:val="001E7F8B"/>
    <w:rsid w:val="001F2672"/>
    <w:rsid w:val="001F2B15"/>
    <w:rsid w:val="0020696B"/>
    <w:rsid w:val="0021716B"/>
    <w:rsid w:val="0022349F"/>
    <w:rsid w:val="00224739"/>
    <w:rsid w:val="00230835"/>
    <w:rsid w:val="00241CF0"/>
    <w:rsid w:val="00242CDA"/>
    <w:rsid w:val="00245341"/>
    <w:rsid w:val="00250300"/>
    <w:rsid w:val="00264288"/>
    <w:rsid w:val="0026490D"/>
    <w:rsid w:val="0027222B"/>
    <w:rsid w:val="002749C9"/>
    <w:rsid w:val="00274FB4"/>
    <w:rsid w:val="0027500C"/>
    <w:rsid w:val="00284F60"/>
    <w:rsid w:val="00285798"/>
    <w:rsid w:val="00292D1F"/>
    <w:rsid w:val="002950CB"/>
    <w:rsid w:val="00296690"/>
    <w:rsid w:val="002A0304"/>
    <w:rsid w:val="002A10A8"/>
    <w:rsid w:val="002A1CEA"/>
    <w:rsid w:val="002A63B1"/>
    <w:rsid w:val="002B574F"/>
    <w:rsid w:val="002C2AD4"/>
    <w:rsid w:val="002C3961"/>
    <w:rsid w:val="002C4F43"/>
    <w:rsid w:val="002C6014"/>
    <w:rsid w:val="002E05C9"/>
    <w:rsid w:val="002E61C1"/>
    <w:rsid w:val="002F0E95"/>
    <w:rsid w:val="0030157A"/>
    <w:rsid w:val="003028DD"/>
    <w:rsid w:val="00306DFC"/>
    <w:rsid w:val="00307E81"/>
    <w:rsid w:val="00322495"/>
    <w:rsid w:val="00322C97"/>
    <w:rsid w:val="00323F09"/>
    <w:rsid w:val="003302A7"/>
    <w:rsid w:val="003338AA"/>
    <w:rsid w:val="00335175"/>
    <w:rsid w:val="00337406"/>
    <w:rsid w:val="0034408A"/>
    <w:rsid w:val="003479A6"/>
    <w:rsid w:val="00351D07"/>
    <w:rsid w:val="00356473"/>
    <w:rsid w:val="00364FD9"/>
    <w:rsid w:val="00372087"/>
    <w:rsid w:val="00372B37"/>
    <w:rsid w:val="0037407A"/>
    <w:rsid w:val="0037580C"/>
    <w:rsid w:val="00375FBE"/>
    <w:rsid w:val="00376CDB"/>
    <w:rsid w:val="003844CA"/>
    <w:rsid w:val="003844E8"/>
    <w:rsid w:val="0039250D"/>
    <w:rsid w:val="003960CF"/>
    <w:rsid w:val="003A65E5"/>
    <w:rsid w:val="003A7EB7"/>
    <w:rsid w:val="003C1375"/>
    <w:rsid w:val="003C2267"/>
    <w:rsid w:val="003C4802"/>
    <w:rsid w:val="003C5469"/>
    <w:rsid w:val="003D0C54"/>
    <w:rsid w:val="003D5AC9"/>
    <w:rsid w:val="003E7668"/>
    <w:rsid w:val="003F2435"/>
    <w:rsid w:val="003F7E06"/>
    <w:rsid w:val="004117A8"/>
    <w:rsid w:val="004170C2"/>
    <w:rsid w:val="00422DA6"/>
    <w:rsid w:val="00422EEB"/>
    <w:rsid w:val="00433ABD"/>
    <w:rsid w:val="00443608"/>
    <w:rsid w:val="00445913"/>
    <w:rsid w:val="004544D2"/>
    <w:rsid w:val="00454C0A"/>
    <w:rsid w:val="004579E0"/>
    <w:rsid w:val="0046676C"/>
    <w:rsid w:val="00471004"/>
    <w:rsid w:val="00475E8C"/>
    <w:rsid w:val="004775D1"/>
    <w:rsid w:val="004826DE"/>
    <w:rsid w:val="00487EA7"/>
    <w:rsid w:val="00493AC3"/>
    <w:rsid w:val="004A4A3D"/>
    <w:rsid w:val="004B352D"/>
    <w:rsid w:val="004B383B"/>
    <w:rsid w:val="004C156A"/>
    <w:rsid w:val="004C4305"/>
    <w:rsid w:val="004C4E06"/>
    <w:rsid w:val="004C68DE"/>
    <w:rsid w:val="004C7C8A"/>
    <w:rsid w:val="004C7CDC"/>
    <w:rsid w:val="004D6860"/>
    <w:rsid w:val="004E6FCC"/>
    <w:rsid w:val="004F01F5"/>
    <w:rsid w:val="004F1DC0"/>
    <w:rsid w:val="004F3787"/>
    <w:rsid w:val="004F59E2"/>
    <w:rsid w:val="004F7012"/>
    <w:rsid w:val="0050472A"/>
    <w:rsid w:val="00505958"/>
    <w:rsid w:val="0051628A"/>
    <w:rsid w:val="005259A3"/>
    <w:rsid w:val="00525C35"/>
    <w:rsid w:val="00534063"/>
    <w:rsid w:val="00543B54"/>
    <w:rsid w:val="00544367"/>
    <w:rsid w:val="00544E92"/>
    <w:rsid w:val="00546ED0"/>
    <w:rsid w:val="00572D94"/>
    <w:rsid w:val="00574B43"/>
    <w:rsid w:val="00576E05"/>
    <w:rsid w:val="00577FA0"/>
    <w:rsid w:val="00584060"/>
    <w:rsid w:val="00585B2A"/>
    <w:rsid w:val="00590624"/>
    <w:rsid w:val="00591F15"/>
    <w:rsid w:val="005935E7"/>
    <w:rsid w:val="005961F1"/>
    <w:rsid w:val="0059724C"/>
    <w:rsid w:val="005A274D"/>
    <w:rsid w:val="005A414B"/>
    <w:rsid w:val="005B0B2C"/>
    <w:rsid w:val="005B16C6"/>
    <w:rsid w:val="005B3C62"/>
    <w:rsid w:val="005B5001"/>
    <w:rsid w:val="005B6B53"/>
    <w:rsid w:val="005C1C60"/>
    <w:rsid w:val="005C2456"/>
    <w:rsid w:val="005C3319"/>
    <w:rsid w:val="005C5AC3"/>
    <w:rsid w:val="005D38A3"/>
    <w:rsid w:val="005D753B"/>
    <w:rsid w:val="005E297E"/>
    <w:rsid w:val="005E60AB"/>
    <w:rsid w:val="0060138A"/>
    <w:rsid w:val="0060157B"/>
    <w:rsid w:val="00603A27"/>
    <w:rsid w:val="00610495"/>
    <w:rsid w:val="00611DE8"/>
    <w:rsid w:val="00612FCF"/>
    <w:rsid w:val="00614100"/>
    <w:rsid w:val="0061745D"/>
    <w:rsid w:val="00624FB9"/>
    <w:rsid w:val="00625AD6"/>
    <w:rsid w:val="00631984"/>
    <w:rsid w:val="00635BA9"/>
    <w:rsid w:val="006411D3"/>
    <w:rsid w:val="006416A3"/>
    <w:rsid w:val="00650B51"/>
    <w:rsid w:val="00673DB1"/>
    <w:rsid w:val="0067768F"/>
    <w:rsid w:val="00681CD5"/>
    <w:rsid w:val="00683EAD"/>
    <w:rsid w:val="006873D3"/>
    <w:rsid w:val="00690924"/>
    <w:rsid w:val="00690CD1"/>
    <w:rsid w:val="006970EC"/>
    <w:rsid w:val="006A78D0"/>
    <w:rsid w:val="006D1740"/>
    <w:rsid w:val="006D4C1A"/>
    <w:rsid w:val="006E03AD"/>
    <w:rsid w:val="006E2BF9"/>
    <w:rsid w:val="006F6A59"/>
    <w:rsid w:val="006F73E7"/>
    <w:rsid w:val="00702398"/>
    <w:rsid w:val="00703A54"/>
    <w:rsid w:val="00706C15"/>
    <w:rsid w:val="00707827"/>
    <w:rsid w:val="00711AC4"/>
    <w:rsid w:val="00713B0D"/>
    <w:rsid w:val="00725480"/>
    <w:rsid w:val="007304AB"/>
    <w:rsid w:val="00732E1F"/>
    <w:rsid w:val="007344BC"/>
    <w:rsid w:val="00736714"/>
    <w:rsid w:val="00736B36"/>
    <w:rsid w:val="00740A6D"/>
    <w:rsid w:val="00740C5B"/>
    <w:rsid w:val="00746321"/>
    <w:rsid w:val="007518A3"/>
    <w:rsid w:val="00754647"/>
    <w:rsid w:val="007670FA"/>
    <w:rsid w:val="00771D46"/>
    <w:rsid w:val="00773311"/>
    <w:rsid w:val="00784D2D"/>
    <w:rsid w:val="00790E4C"/>
    <w:rsid w:val="007933FB"/>
    <w:rsid w:val="0079392D"/>
    <w:rsid w:val="007A1221"/>
    <w:rsid w:val="007B03DB"/>
    <w:rsid w:val="007B0603"/>
    <w:rsid w:val="007B0DBF"/>
    <w:rsid w:val="007B276C"/>
    <w:rsid w:val="007B63C9"/>
    <w:rsid w:val="007B67A8"/>
    <w:rsid w:val="007C3668"/>
    <w:rsid w:val="007C3BC9"/>
    <w:rsid w:val="007C4490"/>
    <w:rsid w:val="007E2643"/>
    <w:rsid w:val="007E3184"/>
    <w:rsid w:val="007F2AFF"/>
    <w:rsid w:val="007F692E"/>
    <w:rsid w:val="008002BC"/>
    <w:rsid w:val="0080324C"/>
    <w:rsid w:val="00804197"/>
    <w:rsid w:val="0080638F"/>
    <w:rsid w:val="00813561"/>
    <w:rsid w:val="008250FC"/>
    <w:rsid w:val="00831326"/>
    <w:rsid w:val="00832DC3"/>
    <w:rsid w:val="00833385"/>
    <w:rsid w:val="00833865"/>
    <w:rsid w:val="0083499C"/>
    <w:rsid w:val="0083585F"/>
    <w:rsid w:val="00842E0D"/>
    <w:rsid w:val="008469CE"/>
    <w:rsid w:val="00852EEC"/>
    <w:rsid w:val="00853C0F"/>
    <w:rsid w:val="00855396"/>
    <w:rsid w:val="0086018C"/>
    <w:rsid w:val="008604C0"/>
    <w:rsid w:val="0086396D"/>
    <w:rsid w:val="00865A36"/>
    <w:rsid w:val="00873D9D"/>
    <w:rsid w:val="00875B59"/>
    <w:rsid w:val="008763CB"/>
    <w:rsid w:val="00883632"/>
    <w:rsid w:val="00894CF0"/>
    <w:rsid w:val="008960A4"/>
    <w:rsid w:val="008969B0"/>
    <w:rsid w:val="008A159E"/>
    <w:rsid w:val="008A35C9"/>
    <w:rsid w:val="008A53C7"/>
    <w:rsid w:val="008A71F2"/>
    <w:rsid w:val="008B198F"/>
    <w:rsid w:val="008B629F"/>
    <w:rsid w:val="008C2228"/>
    <w:rsid w:val="008D2A51"/>
    <w:rsid w:val="008D76B5"/>
    <w:rsid w:val="008E094E"/>
    <w:rsid w:val="008E54B1"/>
    <w:rsid w:val="008F3712"/>
    <w:rsid w:val="00905CD1"/>
    <w:rsid w:val="00905F27"/>
    <w:rsid w:val="00905F34"/>
    <w:rsid w:val="00911D9A"/>
    <w:rsid w:val="009141DD"/>
    <w:rsid w:val="009209BA"/>
    <w:rsid w:val="009224BA"/>
    <w:rsid w:val="00923617"/>
    <w:rsid w:val="00924318"/>
    <w:rsid w:val="009320DC"/>
    <w:rsid w:val="009350BA"/>
    <w:rsid w:val="00954228"/>
    <w:rsid w:val="0096196C"/>
    <w:rsid w:val="00962926"/>
    <w:rsid w:val="00966AE0"/>
    <w:rsid w:val="0096765C"/>
    <w:rsid w:val="00971925"/>
    <w:rsid w:val="00981299"/>
    <w:rsid w:val="0098357C"/>
    <w:rsid w:val="00983BBF"/>
    <w:rsid w:val="00986877"/>
    <w:rsid w:val="009916BF"/>
    <w:rsid w:val="0099669C"/>
    <w:rsid w:val="00996E1A"/>
    <w:rsid w:val="009A33F5"/>
    <w:rsid w:val="009A5AC8"/>
    <w:rsid w:val="009B148D"/>
    <w:rsid w:val="009D3012"/>
    <w:rsid w:val="009E03B3"/>
    <w:rsid w:val="009E391D"/>
    <w:rsid w:val="009F01CA"/>
    <w:rsid w:val="009F2C8D"/>
    <w:rsid w:val="00A00E1B"/>
    <w:rsid w:val="00A165BA"/>
    <w:rsid w:val="00A21E98"/>
    <w:rsid w:val="00A2253A"/>
    <w:rsid w:val="00A27ED0"/>
    <w:rsid w:val="00A37DC6"/>
    <w:rsid w:val="00A427C5"/>
    <w:rsid w:val="00A42E62"/>
    <w:rsid w:val="00A50897"/>
    <w:rsid w:val="00A513A7"/>
    <w:rsid w:val="00A645B6"/>
    <w:rsid w:val="00A64644"/>
    <w:rsid w:val="00A75D3C"/>
    <w:rsid w:val="00A81B0A"/>
    <w:rsid w:val="00A8428C"/>
    <w:rsid w:val="00A8444D"/>
    <w:rsid w:val="00A85824"/>
    <w:rsid w:val="00A86A3C"/>
    <w:rsid w:val="00A90E2C"/>
    <w:rsid w:val="00A91405"/>
    <w:rsid w:val="00A915A4"/>
    <w:rsid w:val="00A94902"/>
    <w:rsid w:val="00A96E71"/>
    <w:rsid w:val="00AA3443"/>
    <w:rsid w:val="00AA72A0"/>
    <w:rsid w:val="00AB0432"/>
    <w:rsid w:val="00AB1EB6"/>
    <w:rsid w:val="00AB35B8"/>
    <w:rsid w:val="00AB617A"/>
    <w:rsid w:val="00AB6F3E"/>
    <w:rsid w:val="00AD21F1"/>
    <w:rsid w:val="00AE0255"/>
    <w:rsid w:val="00AE1F6C"/>
    <w:rsid w:val="00AE3601"/>
    <w:rsid w:val="00AE6063"/>
    <w:rsid w:val="00AE6362"/>
    <w:rsid w:val="00AF35FC"/>
    <w:rsid w:val="00AF5033"/>
    <w:rsid w:val="00AF6EF9"/>
    <w:rsid w:val="00B03D1D"/>
    <w:rsid w:val="00B2746C"/>
    <w:rsid w:val="00B305F0"/>
    <w:rsid w:val="00B40622"/>
    <w:rsid w:val="00B42395"/>
    <w:rsid w:val="00B43E4B"/>
    <w:rsid w:val="00B4749A"/>
    <w:rsid w:val="00B501CA"/>
    <w:rsid w:val="00B62C30"/>
    <w:rsid w:val="00B660C7"/>
    <w:rsid w:val="00B67AF9"/>
    <w:rsid w:val="00B67FCB"/>
    <w:rsid w:val="00B7621E"/>
    <w:rsid w:val="00B8412E"/>
    <w:rsid w:val="00B857FD"/>
    <w:rsid w:val="00BA0228"/>
    <w:rsid w:val="00BA1DD8"/>
    <w:rsid w:val="00BA2F98"/>
    <w:rsid w:val="00BA6D44"/>
    <w:rsid w:val="00BB43F2"/>
    <w:rsid w:val="00BB4AB7"/>
    <w:rsid w:val="00BB73D0"/>
    <w:rsid w:val="00BC7AE1"/>
    <w:rsid w:val="00BD05FE"/>
    <w:rsid w:val="00BD2ECC"/>
    <w:rsid w:val="00BD319C"/>
    <w:rsid w:val="00BD46BA"/>
    <w:rsid w:val="00BD6ED5"/>
    <w:rsid w:val="00BE0646"/>
    <w:rsid w:val="00BE2287"/>
    <w:rsid w:val="00BE32A7"/>
    <w:rsid w:val="00BE5C99"/>
    <w:rsid w:val="00BF1AA9"/>
    <w:rsid w:val="00BF2714"/>
    <w:rsid w:val="00C03B53"/>
    <w:rsid w:val="00C05862"/>
    <w:rsid w:val="00C058AA"/>
    <w:rsid w:val="00C063C6"/>
    <w:rsid w:val="00C06C7D"/>
    <w:rsid w:val="00C07D17"/>
    <w:rsid w:val="00C07F22"/>
    <w:rsid w:val="00C15B72"/>
    <w:rsid w:val="00C232D5"/>
    <w:rsid w:val="00C329E0"/>
    <w:rsid w:val="00C33814"/>
    <w:rsid w:val="00C4079A"/>
    <w:rsid w:val="00C42899"/>
    <w:rsid w:val="00C438ED"/>
    <w:rsid w:val="00C5506D"/>
    <w:rsid w:val="00C56B21"/>
    <w:rsid w:val="00C61B39"/>
    <w:rsid w:val="00C62ED0"/>
    <w:rsid w:val="00C67223"/>
    <w:rsid w:val="00C72DAA"/>
    <w:rsid w:val="00C92469"/>
    <w:rsid w:val="00C9472C"/>
    <w:rsid w:val="00CA07CB"/>
    <w:rsid w:val="00CA44F7"/>
    <w:rsid w:val="00CA5B24"/>
    <w:rsid w:val="00CA6C21"/>
    <w:rsid w:val="00CA7CF1"/>
    <w:rsid w:val="00CB1A77"/>
    <w:rsid w:val="00CB4E15"/>
    <w:rsid w:val="00CD05B5"/>
    <w:rsid w:val="00CD45EC"/>
    <w:rsid w:val="00CE159E"/>
    <w:rsid w:val="00CE57E0"/>
    <w:rsid w:val="00CE7A4E"/>
    <w:rsid w:val="00CF79F3"/>
    <w:rsid w:val="00CF7E04"/>
    <w:rsid w:val="00D00030"/>
    <w:rsid w:val="00D00E8E"/>
    <w:rsid w:val="00D02578"/>
    <w:rsid w:val="00D02B65"/>
    <w:rsid w:val="00D04880"/>
    <w:rsid w:val="00D07DFC"/>
    <w:rsid w:val="00D10538"/>
    <w:rsid w:val="00D128F3"/>
    <w:rsid w:val="00D20048"/>
    <w:rsid w:val="00D20277"/>
    <w:rsid w:val="00D23978"/>
    <w:rsid w:val="00D31626"/>
    <w:rsid w:val="00D3565B"/>
    <w:rsid w:val="00D375AD"/>
    <w:rsid w:val="00D43222"/>
    <w:rsid w:val="00D43E41"/>
    <w:rsid w:val="00D607FB"/>
    <w:rsid w:val="00D619A3"/>
    <w:rsid w:val="00D62FE7"/>
    <w:rsid w:val="00D66D71"/>
    <w:rsid w:val="00D6751B"/>
    <w:rsid w:val="00D72048"/>
    <w:rsid w:val="00D9600F"/>
    <w:rsid w:val="00D97C1C"/>
    <w:rsid w:val="00DA32CD"/>
    <w:rsid w:val="00DB4A22"/>
    <w:rsid w:val="00DC6716"/>
    <w:rsid w:val="00DD0BDB"/>
    <w:rsid w:val="00DD6326"/>
    <w:rsid w:val="00DE026D"/>
    <w:rsid w:val="00DE6DEE"/>
    <w:rsid w:val="00DE6F47"/>
    <w:rsid w:val="00DF5EA2"/>
    <w:rsid w:val="00E012AA"/>
    <w:rsid w:val="00E01587"/>
    <w:rsid w:val="00E02518"/>
    <w:rsid w:val="00E15492"/>
    <w:rsid w:val="00E17ADF"/>
    <w:rsid w:val="00E21C63"/>
    <w:rsid w:val="00E24B2E"/>
    <w:rsid w:val="00E317B3"/>
    <w:rsid w:val="00E32401"/>
    <w:rsid w:val="00E337F8"/>
    <w:rsid w:val="00E34BFC"/>
    <w:rsid w:val="00E43DD8"/>
    <w:rsid w:val="00E517E4"/>
    <w:rsid w:val="00E56C60"/>
    <w:rsid w:val="00E57F41"/>
    <w:rsid w:val="00E65DD8"/>
    <w:rsid w:val="00E7332A"/>
    <w:rsid w:val="00E769A2"/>
    <w:rsid w:val="00E77EE8"/>
    <w:rsid w:val="00E84325"/>
    <w:rsid w:val="00E86BEB"/>
    <w:rsid w:val="00E979AF"/>
    <w:rsid w:val="00EA3A32"/>
    <w:rsid w:val="00EB5D02"/>
    <w:rsid w:val="00EB6E56"/>
    <w:rsid w:val="00EE4C86"/>
    <w:rsid w:val="00EE5050"/>
    <w:rsid w:val="00EE7EF4"/>
    <w:rsid w:val="00EF7AD5"/>
    <w:rsid w:val="00F14355"/>
    <w:rsid w:val="00F2086E"/>
    <w:rsid w:val="00F257BA"/>
    <w:rsid w:val="00F264DA"/>
    <w:rsid w:val="00F3557F"/>
    <w:rsid w:val="00F35BFA"/>
    <w:rsid w:val="00F43E9A"/>
    <w:rsid w:val="00F447F8"/>
    <w:rsid w:val="00F501EC"/>
    <w:rsid w:val="00F71860"/>
    <w:rsid w:val="00F77BE5"/>
    <w:rsid w:val="00F824A5"/>
    <w:rsid w:val="00F84A70"/>
    <w:rsid w:val="00F9121B"/>
    <w:rsid w:val="00F96A03"/>
    <w:rsid w:val="00FA37ED"/>
    <w:rsid w:val="00FA671C"/>
    <w:rsid w:val="00FB0750"/>
    <w:rsid w:val="00FB0838"/>
    <w:rsid w:val="00FB16BE"/>
    <w:rsid w:val="00FC7436"/>
    <w:rsid w:val="00FE0BFC"/>
    <w:rsid w:val="00FF2B90"/>
    <w:rsid w:val="00FF7643"/>
    <w:rsid w:val="00FF7A3D"/>
    <w:rsid w:val="1DCE42CA"/>
    <w:rsid w:val="73414481"/>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9E342A7"/>
  <w15:chartTrackingRefBased/>
  <w15:docId w15:val="{5B2A595B-DDF4-4CF0-9C67-DBDD3DB0F4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27C5"/>
    <w:pPr>
      <w:spacing w:before="120" w:after="120" w:line="240" w:lineRule="auto"/>
      <w:jc w:val="both"/>
    </w:pPr>
    <w:rPr>
      <w:rFonts w:ascii="Palatino Linotype" w:hAnsi="Palatino Linotype"/>
      <w:sz w:val="24"/>
    </w:rPr>
  </w:style>
  <w:style w:type="paragraph" w:styleId="Heading1">
    <w:name w:val="heading 1"/>
    <w:basedOn w:val="Normal"/>
    <w:next w:val="Normal"/>
    <w:link w:val="Heading1Char"/>
    <w:uiPriority w:val="9"/>
    <w:qFormat/>
    <w:rsid w:val="001D7EBF"/>
    <w:pPr>
      <w:keepNext/>
      <w:keepLines/>
      <w:numPr>
        <w:numId w:val="1"/>
      </w:numPr>
      <w:spacing w:before="1200" w:after="480"/>
      <w:jc w:val="left"/>
      <w:outlineLvl w:val="0"/>
    </w:pPr>
    <w:rPr>
      <w:rFonts w:eastAsiaTheme="majorEastAsia" w:cstheme="majorBidi"/>
      <w:color w:val="728FA5"/>
      <w:sz w:val="48"/>
      <w:szCs w:val="32"/>
    </w:rPr>
  </w:style>
  <w:style w:type="paragraph" w:styleId="Heading2">
    <w:name w:val="heading 2"/>
    <w:basedOn w:val="Normal"/>
    <w:next w:val="Normal"/>
    <w:link w:val="Heading2Char"/>
    <w:uiPriority w:val="9"/>
    <w:unhideWhenUsed/>
    <w:qFormat/>
    <w:rsid w:val="001C0E3C"/>
    <w:pPr>
      <w:keepNext/>
      <w:keepLines/>
      <w:numPr>
        <w:ilvl w:val="1"/>
        <w:numId w:val="1"/>
      </w:numPr>
      <w:spacing w:before="360"/>
      <w:outlineLvl w:val="1"/>
    </w:pPr>
    <w:rPr>
      <w:rFonts w:eastAsiaTheme="majorEastAsia" w:cstheme="majorBidi"/>
      <w:color w:val="728FA5"/>
      <w:sz w:val="36"/>
      <w:szCs w:val="26"/>
    </w:rPr>
  </w:style>
  <w:style w:type="paragraph" w:styleId="Heading3">
    <w:name w:val="heading 3"/>
    <w:basedOn w:val="Normal"/>
    <w:next w:val="Normal"/>
    <w:link w:val="Heading3Char"/>
    <w:uiPriority w:val="9"/>
    <w:unhideWhenUsed/>
    <w:qFormat/>
    <w:rsid w:val="00BF1AA9"/>
    <w:pPr>
      <w:keepNext/>
      <w:keepLines/>
      <w:numPr>
        <w:ilvl w:val="2"/>
        <w:numId w:val="1"/>
      </w:numPr>
      <w:spacing w:before="240"/>
      <w:outlineLvl w:val="2"/>
    </w:pPr>
    <w:rPr>
      <w:rFonts w:eastAsiaTheme="majorEastAsia" w:cstheme="majorBidi"/>
      <w:color w:val="728FA5"/>
      <w:sz w:val="28"/>
      <w:szCs w:val="24"/>
    </w:rPr>
  </w:style>
  <w:style w:type="paragraph" w:styleId="Heading4">
    <w:name w:val="heading 4"/>
    <w:basedOn w:val="Normal"/>
    <w:next w:val="Normal"/>
    <w:link w:val="Heading4Char"/>
    <w:uiPriority w:val="9"/>
    <w:unhideWhenUsed/>
    <w:qFormat/>
    <w:rsid w:val="000D6B1C"/>
    <w:pPr>
      <w:keepNext/>
      <w:keepLines/>
      <w:numPr>
        <w:ilvl w:val="3"/>
        <w:numId w:val="1"/>
      </w:numPr>
      <w:spacing w:before="240"/>
      <w:outlineLvl w:val="3"/>
    </w:pPr>
    <w:rPr>
      <w:rFonts w:eastAsiaTheme="majorEastAsia" w:cstheme="majorBidi"/>
      <w:iCs/>
      <w:color w:val="728FA5"/>
    </w:rPr>
  </w:style>
  <w:style w:type="paragraph" w:styleId="Heading5">
    <w:name w:val="heading 5"/>
    <w:basedOn w:val="Normal"/>
    <w:next w:val="Normal"/>
    <w:link w:val="Heading5Char"/>
    <w:uiPriority w:val="9"/>
    <w:unhideWhenUsed/>
    <w:qFormat/>
    <w:rsid w:val="00B8412E"/>
    <w:pPr>
      <w:keepNext/>
      <w:keepLines/>
      <w:numPr>
        <w:ilvl w:val="4"/>
        <w:numId w:val="3"/>
      </w:numPr>
      <w:spacing w:before="40" w:after="0"/>
      <w:outlineLvl w:val="4"/>
    </w:pPr>
    <w:rPr>
      <w:rFonts w:eastAsiaTheme="majorEastAsia" w:cstheme="majorBidi"/>
      <w:color w:val="728FA5"/>
    </w:rPr>
  </w:style>
  <w:style w:type="paragraph" w:styleId="Heading6">
    <w:name w:val="heading 6"/>
    <w:basedOn w:val="Normal"/>
    <w:next w:val="Normal"/>
    <w:link w:val="Heading6Char"/>
    <w:uiPriority w:val="9"/>
    <w:unhideWhenUsed/>
    <w:qFormat/>
    <w:rsid w:val="00BF1AA9"/>
    <w:pPr>
      <w:keepNext/>
      <w:keepLines/>
      <w:spacing w:before="240"/>
      <w:outlineLvl w:val="5"/>
    </w:pPr>
    <w:rPr>
      <w:rFonts w:eastAsiaTheme="majorEastAsia" w:cstheme="majorBidi"/>
      <w:color w:val="728FA5"/>
    </w:rPr>
  </w:style>
  <w:style w:type="paragraph" w:styleId="Heading7">
    <w:name w:val="heading 7"/>
    <w:basedOn w:val="Normal"/>
    <w:next w:val="Normal"/>
    <w:link w:val="Heading7Char"/>
    <w:uiPriority w:val="9"/>
    <w:semiHidden/>
    <w:unhideWhenUsed/>
    <w:qFormat/>
    <w:rsid w:val="00673DB1"/>
    <w:pPr>
      <w:keepNext/>
      <w:keepLines/>
      <w:spacing w:before="40" w:after="0"/>
      <w:outlineLvl w:val="6"/>
    </w:pPr>
    <w:rPr>
      <w:rFonts w:eastAsiaTheme="majorEastAsia" w:cstheme="majorBidi"/>
      <w:i/>
      <w:iCs/>
      <w:color w:val="728FA5"/>
      <w:sz w:val="20"/>
    </w:rPr>
  </w:style>
  <w:style w:type="paragraph" w:styleId="Heading8">
    <w:name w:val="heading 8"/>
    <w:basedOn w:val="Normal"/>
    <w:next w:val="Normal"/>
    <w:link w:val="Heading8Char"/>
    <w:uiPriority w:val="9"/>
    <w:semiHidden/>
    <w:unhideWhenUsed/>
    <w:qFormat/>
    <w:rsid w:val="007E2643"/>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7E2643"/>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31326"/>
    <w:pPr>
      <w:tabs>
        <w:tab w:val="center" w:pos="4819"/>
        <w:tab w:val="right" w:pos="9638"/>
      </w:tabs>
      <w:spacing w:after="0"/>
    </w:pPr>
  </w:style>
  <w:style w:type="character" w:customStyle="1" w:styleId="HeaderChar">
    <w:name w:val="Header Char"/>
    <w:basedOn w:val="DefaultParagraphFont"/>
    <w:link w:val="Header"/>
    <w:uiPriority w:val="99"/>
    <w:rsid w:val="00831326"/>
  </w:style>
  <w:style w:type="paragraph" w:styleId="Footer">
    <w:name w:val="footer"/>
    <w:basedOn w:val="Normal"/>
    <w:link w:val="FooterChar"/>
    <w:uiPriority w:val="99"/>
    <w:unhideWhenUsed/>
    <w:rsid w:val="00831326"/>
    <w:pPr>
      <w:tabs>
        <w:tab w:val="center" w:pos="4819"/>
        <w:tab w:val="right" w:pos="9638"/>
      </w:tabs>
      <w:spacing w:after="0"/>
    </w:pPr>
  </w:style>
  <w:style w:type="character" w:customStyle="1" w:styleId="FooterChar">
    <w:name w:val="Footer Char"/>
    <w:basedOn w:val="DefaultParagraphFont"/>
    <w:link w:val="Footer"/>
    <w:uiPriority w:val="99"/>
    <w:rsid w:val="00831326"/>
  </w:style>
  <w:style w:type="character" w:customStyle="1" w:styleId="Heading1Char">
    <w:name w:val="Heading 1 Char"/>
    <w:basedOn w:val="DefaultParagraphFont"/>
    <w:link w:val="Heading1"/>
    <w:uiPriority w:val="9"/>
    <w:rsid w:val="001D7EBF"/>
    <w:rPr>
      <w:rFonts w:ascii="Palatino Linotype" w:eastAsiaTheme="majorEastAsia" w:hAnsi="Palatino Linotype" w:cstheme="majorBidi"/>
      <w:color w:val="728FA5"/>
      <w:sz w:val="48"/>
      <w:szCs w:val="32"/>
    </w:rPr>
  </w:style>
  <w:style w:type="character" w:customStyle="1" w:styleId="Heading2Char">
    <w:name w:val="Heading 2 Char"/>
    <w:basedOn w:val="DefaultParagraphFont"/>
    <w:link w:val="Heading2"/>
    <w:uiPriority w:val="9"/>
    <w:rsid w:val="001C0E3C"/>
    <w:rPr>
      <w:rFonts w:ascii="Palatino Linotype" w:eastAsiaTheme="majorEastAsia" w:hAnsi="Palatino Linotype" w:cstheme="majorBidi"/>
      <w:color w:val="728FA5"/>
      <w:sz w:val="36"/>
      <w:szCs w:val="26"/>
    </w:rPr>
  </w:style>
  <w:style w:type="character" w:customStyle="1" w:styleId="Heading3Char">
    <w:name w:val="Heading 3 Char"/>
    <w:basedOn w:val="DefaultParagraphFont"/>
    <w:link w:val="Heading3"/>
    <w:uiPriority w:val="9"/>
    <w:rsid w:val="00BF1AA9"/>
    <w:rPr>
      <w:rFonts w:ascii="Palatino Linotype" w:eastAsiaTheme="majorEastAsia" w:hAnsi="Palatino Linotype" w:cstheme="majorBidi"/>
      <w:color w:val="728FA5"/>
      <w:sz w:val="28"/>
      <w:szCs w:val="24"/>
    </w:rPr>
  </w:style>
  <w:style w:type="table" w:styleId="TableGrid">
    <w:name w:val="Table Grid"/>
    <w:basedOn w:val="TableNormal"/>
    <w:rsid w:val="009676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356473"/>
    <w:pPr>
      <w:spacing w:before="240" w:after="0" w:line="259" w:lineRule="auto"/>
      <w:outlineLvl w:val="9"/>
    </w:pPr>
    <w:rPr>
      <w:rFonts w:asciiTheme="majorHAnsi" w:hAnsiTheme="majorHAnsi"/>
      <w:color w:val="2F5496" w:themeColor="accent1" w:themeShade="BF"/>
      <w:sz w:val="32"/>
      <w:lang w:val="en-US"/>
    </w:rPr>
  </w:style>
  <w:style w:type="paragraph" w:styleId="TOC1">
    <w:name w:val="toc 1"/>
    <w:basedOn w:val="Normal"/>
    <w:next w:val="Normal"/>
    <w:autoRedefine/>
    <w:uiPriority w:val="39"/>
    <w:unhideWhenUsed/>
    <w:rsid w:val="00133A05"/>
    <w:pPr>
      <w:spacing w:before="100" w:after="0"/>
      <w:ind w:hanging="567"/>
    </w:pPr>
    <w:rPr>
      <w:b/>
    </w:rPr>
  </w:style>
  <w:style w:type="character" w:styleId="Hyperlink">
    <w:name w:val="Hyperlink"/>
    <w:basedOn w:val="DefaultParagraphFont"/>
    <w:uiPriority w:val="99"/>
    <w:unhideWhenUsed/>
    <w:rsid w:val="00356473"/>
    <w:rPr>
      <w:color w:val="0563C1" w:themeColor="hyperlink"/>
      <w:u w:val="single"/>
    </w:rPr>
  </w:style>
  <w:style w:type="paragraph" w:styleId="TOC2">
    <w:name w:val="toc 2"/>
    <w:basedOn w:val="Normal"/>
    <w:next w:val="Normal"/>
    <w:autoRedefine/>
    <w:uiPriority w:val="39"/>
    <w:unhideWhenUsed/>
    <w:rsid w:val="006D4C1A"/>
    <w:pPr>
      <w:tabs>
        <w:tab w:val="right" w:leader="dot" w:pos="8219"/>
      </w:tabs>
      <w:spacing w:before="60" w:after="0"/>
      <w:ind w:left="-284"/>
    </w:pPr>
  </w:style>
  <w:style w:type="character" w:customStyle="1" w:styleId="Heading4Char">
    <w:name w:val="Heading 4 Char"/>
    <w:basedOn w:val="DefaultParagraphFont"/>
    <w:link w:val="Heading4"/>
    <w:uiPriority w:val="9"/>
    <w:rsid w:val="000D6B1C"/>
    <w:rPr>
      <w:rFonts w:ascii="Palatino Linotype" w:eastAsiaTheme="majorEastAsia" w:hAnsi="Palatino Linotype" w:cstheme="majorBidi"/>
      <w:iCs/>
      <w:color w:val="728FA5"/>
      <w:sz w:val="24"/>
    </w:rPr>
  </w:style>
  <w:style w:type="paragraph" w:styleId="TOC3">
    <w:name w:val="toc 3"/>
    <w:basedOn w:val="Normal"/>
    <w:next w:val="Normal"/>
    <w:autoRedefine/>
    <w:uiPriority w:val="39"/>
    <w:unhideWhenUsed/>
    <w:rsid w:val="00133A05"/>
    <w:pPr>
      <w:spacing w:before="30" w:after="0"/>
    </w:pPr>
  </w:style>
  <w:style w:type="character" w:customStyle="1" w:styleId="Heading5Char">
    <w:name w:val="Heading 5 Char"/>
    <w:basedOn w:val="DefaultParagraphFont"/>
    <w:link w:val="Heading5"/>
    <w:uiPriority w:val="9"/>
    <w:rsid w:val="00B8412E"/>
    <w:rPr>
      <w:rFonts w:ascii="Palatino Linotype" w:eastAsiaTheme="majorEastAsia" w:hAnsi="Palatino Linotype" w:cstheme="majorBidi"/>
      <w:color w:val="728FA5"/>
      <w:sz w:val="24"/>
    </w:rPr>
  </w:style>
  <w:style w:type="character" w:customStyle="1" w:styleId="Heading6Char">
    <w:name w:val="Heading 6 Char"/>
    <w:basedOn w:val="DefaultParagraphFont"/>
    <w:link w:val="Heading6"/>
    <w:uiPriority w:val="9"/>
    <w:rsid w:val="00BF1AA9"/>
    <w:rPr>
      <w:rFonts w:ascii="Palatino Linotype" w:eastAsiaTheme="majorEastAsia" w:hAnsi="Palatino Linotype" w:cstheme="majorBidi"/>
      <w:color w:val="728FA5"/>
      <w:sz w:val="24"/>
    </w:rPr>
  </w:style>
  <w:style w:type="character" w:customStyle="1" w:styleId="Heading7Char">
    <w:name w:val="Heading 7 Char"/>
    <w:basedOn w:val="DefaultParagraphFont"/>
    <w:link w:val="Heading7"/>
    <w:uiPriority w:val="9"/>
    <w:semiHidden/>
    <w:rsid w:val="00673DB1"/>
    <w:rPr>
      <w:rFonts w:ascii="Palatino Linotype" w:eastAsiaTheme="majorEastAsia" w:hAnsi="Palatino Linotype" w:cstheme="majorBidi"/>
      <w:i/>
      <w:iCs/>
      <w:color w:val="728FA5"/>
      <w:sz w:val="20"/>
    </w:rPr>
  </w:style>
  <w:style w:type="character" w:customStyle="1" w:styleId="Heading8Char">
    <w:name w:val="Heading 8 Char"/>
    <w:basedOn w:val="DefaultParagraphFont"/>
    <w:link w:val="Heading8"/>
    <w:uiPriority w:val="9"/>
    <w:semiHidden/>
    <w:rsid w:val="007E2643"/>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7E2643"/>
    <w:rPr>
      <w:rFonts w:asciiTheme="majorHAnsi" w:eastAsiaTheme="majorEastAsia" w:hAnsiTheme="majorHAnsi" w:cstheme="majorBidi"/>
      <w:i/>
      <w:iCs/>
      <w:color w:val="272727" w:themeColor="text1" w:themeTint="D8"/>
      <w:sz w:val="21"/>
      <w:szCs w:val="21"/>
    </w:rPr>
  </w:style>
  <w:style w:type="numbering" w:customStyle="1" w:styleId="Style1">
    <w:name w:val="Style1"/>
    <w:uiPriority w:val="99"/>
    <w:rsid w:val="002C6014"/>
    <w:pPr>
      <w:numPr>
        <w:numId w:val="2"/>
      </w:numPr>
    </w:pPr>
  </w:style>
  <w:style w:type="numbering" w:customStyle="1" w:styleId="Style2">
    <w:name w:val="Style2"/>
    <w:uiPriority w:val="99"/>
    <w:rsid w:val="002C6014"/>
    <w:pPr>
      <w:numPr>
        <w:numId w:val="4"/>
      </w:numPr>
    </w:pPr>
  </w:style>
  <w:style w:type="paragraph" w:customStyle="1" w:styleId="Body">
    <w:name w:val="Body"/>
    <w:basedOn w:val="Normal"/>
    <w:link w:val="BodyCarattere"/>
    <w:rsid w:val="00971925"/>
    <w:pPr>
      <w:spacing w:before="0" w:line="360" w:lineRule="auto"/>
      <w:jc w:val="left"/>
    </w:pPr>
    <w:rPr>
      <w:rFonts w:asciiTheme="majorHAnsi" w:hAnsiTheme="majorHAnsi" w:cs="Gotham-Medium"/>
      <w:szCs w:val="38"/>
      <w:lang w:val="en-US"/>
    </w:rPr>
  </w:style>
  <w:style w:type="character" w:customStyle="1" w:styleId="BodyCarattere">
    <w:name w:val="Body Carattere"/>
    <w:basedOn w:val="DefaultParagraphFont"/>
    <w:link w:val="Body"/>
    <w:rsid w:val="00971925"/>
    <w:rPr>
      <w:rFonts w:asciiTheme="majorHAnsi" w:hAnsiTheme="majorHAnsi" w:cs="Gotham-Medium"/>
      <w:sz w:val="24"/>
      <w:szCs w:val="38"/>
      <w:lang w:val="en-US"/>
    </w:rPr>
  </w:style>
  <w:style w:type="paragraph" w:styleId="Caption">
    <w:name w:val="caption"/>
    <w:basedOn w:val="Normal"/>
    <w:next w:val="Normal"/>
    <w:uiPriority w:val="35"/>
    <w:unhideWhenUsed/>
    <w:qFormat/>
    <w:rsid w:val="004E6FCC"/>
    <w:pPr>
      <w:jc w:val="center"/>
    </w:pPr>
    <w:rPr>
      <w:iCs/>
      <w:sz w:val="22"/>
      <w:szCs w:val="18"/>
      <w:lang w:val="en-US"/>
    </w:rPr>
  </w:style>
  <w:style w:type="paragraph" w:styleId="ListParagraph">
    <w:name w:val="List Paragraph"/>
    <w:basedOn w:val="Normal"/>
    <w:uiPriority w:val="34"/>
    <w:qFormat/>
    <w:rsid w:val="00971925"/>
    <w:pPr>
      <w:ind w:left="720"/>
      <w:contextualSpacing/>
    </w:pPr>
  </w:style>
  <w:style w:type="paragraph" w:styleId="TableofFigures">
    <w:name w:val="table of figures"/>
    <w:basedOn w:val="Normal"/>
    <w:next w:val="Normal"/>
    <w:uiPriority w:val="99"/>
    <w:unhideWhenUsed/>
    <w:rsid w:val="00971925"/>
    <w:pPr>
      <w:spacing w:after="0"/>
    </w:pPr>
  </w:style>
  <w:style w:type="character" w:styleId="UnresolvedMention">
    <w:name w:val="Unresolved Mention"/>
    <w:basedOn w:val="DefaultParagraphFont"/>
    <w:uiPriority w:val="99"/>
    <w:semiHidden/>
    <w:unhideWhenUsed/>
    <w:rsid w:val="00133D7B"/>
    <w:rPr>
      <w:color w:val="605E5C"/>
      <w:shd w:val="clear" w:color="auto" w:fill="E1DFDD"/>
    </w:rPr>
  </w:style>
  <w:style w:type="paragraph" w:styleId="Title">
    <w:name w:val="Title"/>
    <w:basedOn w:val="Normal"/>
    <w:next w:val="Normal"/>
    <w:link w:val="TitleChar"/>
    <w:uiPriority w:val="99"/>
    <w:qFormat/>
    <w:rsid w:val="00C4079A"/>
    <w:pPr>
      <w:spacing w:beforeLines="200" w:before="200" w:afterLines="250" w:after="250" w:line="288" w:lineRule="auto"/>
      <w:ind w:right="964"/>
      <w:contextualSpacing/>
    </w:pPr>
    <w:rPr>
      <w:rFonts w:ascii="Univers" w:eastAsiaTheme="majorEastAsia" w:hAnsi="Univers" w:cstheme="majorBidi"/>
      <w:color w:val="728FA5"/>
      <w:spacing w:val="-10"/>
      <w:kern w:val="28"/>
      <w:sz w:val="56"/>
      <w:szCs w:val="56"/>
    </w:rPr>
  </w:style>
  <w:style w:type="character" w:customStyle="1" w:styleId="TitleChar">
    <w:name w:val="Title Char"/>
    <w:basedOn w:val="DefaultParagraphFont"/>
    <w:link w:val="Title"/>
    <w:uiPriority w:val="99"/>
    <w:rsid w:val="00C4079A"/>
    <w:rPr>
      <w:rFonts w:ascii="Univers" w:eastAsiaTheme="majorEastAsia" w:hAnsi="Univers" w:cstheme="majorBidi"/>
      <w:color w:val="728FA5"/>
      <w:spacing w:val="-10"/>
      <w:kern w:val="28"/>
      <w:sz w:val="56"/>
      <w:szCs w:val="56"/>
    </w:rPr>
  </w:style>
  <w:style w:type="paragraph" w:styleId="Subtitle">
    <w:name w:val="Subtitle"/>
    <w:basedOn w:val="Normal"/>
    <w:next w:val="Normal"/>
    <w:link w:val="SubtitleChar"/>
    <w:uiPriority w:val="11"/>
    <w:qFormat/>
    <w:rsid w:val="0021716B"/>
    <w:pPr>
      <w:numPr>
        <w:ilvl w:val="1"/>
      </w:numPr>
    </w:pPr>
    <w:rPr>
      <w:rFonts w:ascii="Univers" w:eastAsiaTheme="minorEastAsia" w:hAnsi="Univers"/>
      <w:color w:val="728FA5"/>
      <w:spacing w:val="15"/>
      <w:sz w:val="28"/>
    </w:rPr>
  </w:style>
  <w:style w:type="character" w:customStyle="1" w:styleId="SubtitleChar">
    <w:name w:val="Subtitle Char"/>
    <w:basedOn w:val="DefaultParagraphFont"/>
    <w:link w:val="Subtitle"/>
    <w:uiPriority w:val="11"/>
    <w:rsid w:val="0021716B"/>
    <w:rPr>
      <w:rFonts w:ascii="Univers" w:eastAsiaTheme="minorEastAsia" w:hAnsi="Univers"/>
      <w:color w:val="728FA5"/>
      <w:spacing w:val="15"/>
      <w:sz w:val="28"/>
    </w:rPr>
  </w:style>
  <w:style w:type="paragraph" w:customStyle="1" w:styleId="Text">
    <w:name w:val="Text"/>
    <w:basedOn w:val="Normal"/>
    <w:link w:val="TextChar"/>
    <w:qFormat/>
    <w:rsid w:val="00A427C5"/>
    <w:rPr>
      <w:lang w:val="en-US"/>
    </w:rPr>
  </w:style>
  <w:style w:type="character" w:customStyle="1" w:styleId="TextChar">
    <w:name w:val="Text Char"/>
    <w:basedOn w:val="DefaultParagraphFont"/>
    <w:link w:val="Text"/>
    <w:rsid w:val="00A427C5"/>
    <w:rPr>
      <w:rFonts w:ascii="Palatino Linotype" w:hAnsi="Palatino Linotype"/>
      <w:sz w:val="24"/>
      <w:lang w:val="en-US"/>
    </w:rPr>
  </w:style>
  <w:style w:type="paragraph" w:styleId="Bibliography">
    <w:name w:val="Bibliography"/>
    <w:basedOn w:val="Normal"/>
    <w:next w:val="Normal"/>
    <w:uiPriority w:val="37"/>
    <w:unhideWhenUsed/>
    <w:rsid w:val="002C4F43"/>
  </w:style>
  <w:style w:type="table" w:styleId="MediumList2-Accent1">
    <w:name w:val="Medium List 2 Accent 1"/>
    <w:basedOn w:val="TableNormal"/>
    <w:uiPriority w:val="66"/>
    <w:rsid w:val="00443608"/>
    <w:pPr>
      <w:spacing w:after="0" w:line="240" w:lineRule="auto"/>
    </w:pPr>
    <w:rPr>
      <w:rFonts w:asciiTheme="majorHAnsi" w:eastAsiaTheme="majorEastAsia" w:hAnsiTheme="majorHAnsi" w:cstheme="majorBidi"/>
      <w:color w:val="000000" w:themeColor="text1"/>
      <w:lang w:eastAsia="it-IT"/>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rPr>
        <w:sz w:val="24"/>
        <w:szCs w:val="24"/>
      </w:rPr>
      <w:tblPr/>
      <w:tcPr>
        <w:tcBorders>
          <w:top w:val="nil"/>
          <w:left w:val="nil"/>
          <w:bottom w:val="single" w:sz="24" w:space="0" w:color="4472C4" w:themeColor="accent1"/>
          <w:right w:val="nil"/>
          <w:insideH w:val="nil"/>
          <w:insideV w:val="nil"/>
        </w:tcBorders>
        <w:shd w:val="clear" w:color="auto" w:fill="FFFFFF" w:themeFill="background1"/>
      </w:tcPr>
    </w:tblStylePr>
    <w:tblStylePr w:type="lastRow">
      <w:tblPr/>
      <w:tcPr>
        <w:tcBorders>
          <w:top w:val="single" w:sz="8" w:space="0" w:color="4472C4"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1"/>
          <w:insideH w:val="nil"/>
          <w:insideV w:val="nil"/>
        </w:tcBorders>
        <w:shd w:val="clear" w:color="auto" w:fill="FFFFFF" w:themeFill="background1"/>
      </w:tcPr>
    </w:tblStylePr>
    <w:tblStylePr w:type="lastCol">
      <w:tblPr/>
      <w:tcPr>
        <w:tcBorders>
          <w:top w:val="nil"/>
          <w:left w:val="single" w:sz="8" w:space="0" w:color="4472C4"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top w:val="nil"/>
          <w:bottom w:val="nil"/>
          <w:insideH w:val="nil"/>
          <w:insideV w:val="nil"/>
        </w:tcBorders>
        <w:shd w:val="clear" w:color="auto" w:fill="D0DBF0"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ghtShading">
    <w:name w:val="Light Shading"/>
    <w:basedOn w:val="TableNormal"/>
    <w:uiPriority w:val="60"/>
    <w:rsid w:val="00813561"/>
    <w:pPr>
      <w:spacing w:after="0" w:line="240" w:lineRule="auto"/>
    </w:pPr>
    <w:rPr>
      <w:rFonts w:eastAsiaTheme="minorEastAsia"/>
      <w:color w:val="000000" w:themeColor="text1" w:themeShade="BF"/>
      <w:lang w:val="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stTable1Light">
    <w:name w:val="List Table 1 Light"/>
    <w:basedOn w:val="TableNormal"/>
    <w:uiPriority w:val="46"/>
    <w:rsid w:val="00C9472C"/>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Quote">
    <w:name w:val="Quote"/>
    <w:basedOn w:val="Normal"/>
    <w:next w:val="Normal"/>
    <w:link w:val="QuoteChar"/>
    <w:uiPriority w:val="29"/>
    <w:qFormat/>
    <w:rsid w:val="000F6463"/>
    <w:pPr>
      <w:spacing w:before="160" w:after="160" w:line="259" w:lineRule="auto"/>
      <w:jc w:val="center"/>
    </w:pPr>
    <w:rPr>
      <w:rFonts w:asciiTheme="minorHAnsi" w:hAnsiTheme="minorHAnsi"/>
      <w:i/>
      <w:iCs/>
      <w:color w:val="404040" w:themeColor="text1" w:themeTint="BF"/>
      <w:kern w:val="2"/>
      <w:sz w:val="22"/>
      <w14:ligatures w14:val="standardContextual"/>
    </w:rPr>
  </w:style>
  <w:style w:type="character" w:customStyle="1" w:styleId="QuoteChar">
    <w:name w:val="Quote Char"/>
    <w:basedOn w:val="DefaultParagraphFont"/>
    <w:link w:val="Quote"/>
    <w:uiPriority w:val="29"/>
    <w:rsid w:val="000F6463"/>
    <w:rPr>
      <w:i/>
      <w:iCs/>
      <w:color w:val="404040" w:themeColor="text1" w:themeTint="BF"/>
      <w:kern w:val="2"/>
      <w14:ligatures w14:val="standardContextual"/>
    </w:rPr>
  </w:style>
  <w:style w:type="character" w:styleId="IntenseEmphasis">
    <w:name w:val="Intense Emphasis"/>
    <w:basedOn w:val="DefaultParagraphFont"/>
    <w:uiPriority w:val="21"/>
    <w:qFormat/>
    <w:rsid w:val="000F6463"/>
    <w:rPr>
      <w:i/>
      <w:iCs/>
      <w:color w:val="2F5496" w:themeColor="accent1" w:themeShade="BF"/>
    </w:rPr>
  </w:style>
  <w:style w:type="paragraph" w:styleId="IntenseQuote">
    <w:name w:val="Intense Quote"/>
    <w:basedOn w:val="Normal"/>
    <w:next w:val="Normal"/>
    <w:link w:val="IntenseQuoteChar"/>
    <w:uiPriority w:val="30"/>
    <w:qFormat/>
    <w:rsid w:val="000F6463"/>
    <w:pPr>
      <w:pBdr>
        <w:top w:val="single" w:sz="4" w:space="10" w:color="2F5496" w:themeColor="accent1" w:themeShade="BF"/>
        <w:bottom w:val="single" w:sz="4" w:space="10" w:color="2F5496" w:themeColor="accent1" w:themeShade="BF"/>
      </w:pBdr>
      <w:spacing w:before="360" w:after="360" w:line="259" w:lineRule="auto"/>
      <w:ind w:left="864" w:right="864"/>
      <w:jc w:val="center"/>
    </w:pPr>
    <w:rPr>
      <w:rFonts w:asciiTheme="minorHAnsi" w:hAnsiTheme="minorHAnsi"/>
      <w:i/>
      <w:iCs/>
      <w:color w:val="2F5496" w:themeColor="accent1" w:themeShade="BF"/>
      <w:kern w:val="2"/>
      <w:sz w:val="22"/>
      <w14:ligatures w14:val="standardContextual"/>
    </w:rPr>
  </w:style>
  <w:style w:type="character" w:customStyle="1" w:styleId="IntenseQuoteChar">
    <w:name w:val="Intense Quote Char"/>
    <w:basedOn w:val="DefaultParagraphFont"/>
    <w:link w:val="IntenseQuote"/>
    <w:uiPriority w:val="30"/>
    <w:rsid w:val="000F6463"/>
    <w:rPr>
      <w:i/>
      <w:iCs/>
      <w:color w:val="2F5496" w:themeColor="accent1" w:themeShade="BF"/>
      <w:kern w:val="2"/>
      <w14:ligatures w14:val="standardContextual"/>
    </w:rPr>
  </w:style>
  <w:style w:type="character" w:styleId="IntenseReference">
    <w:name w:val="Intense Reference"/>
    <w:basedOn w:val="DefaultParagraphFont"/>
    <w:uiPriority w:val="32"/>
    <w:qFormat/>
    <w:rsid w:val="000F6463"/>
    <w:rPr>
      <w:b/>
      <w:bCs/>
      <w:smallCaps/>
      <w:color w:val="2F5496" w:themeColor="accent1" w:themeShade="BF"/>
      <w:spacing w:val="5"/>
    </w:rPr>
  </w:style>
  <w:style w:type="paragraph" w:styleId="EndnoteText">
    <w:name w:val="endnote text"/>
    <w:basedOn w:val="Normal"/>
    <w:link w:val="EndnoteTextChar"/>
    <w:uiPriority w:val="99"/>
    <w:semiHidden/>
    <w:unhideWhenUsed/>
    <w:rsid w:val="000F6463"/>
    <w:pPr>
      <w:spacing w:before="0" w:after="0"/>
      <w:jc w:val="left"/>
    </w:pPr>
    <w:rPr>
      <w:rFonts w:asciiTheme="minorHAnsi" w:hAnsiTheme="minorHAnsi"/>
      <w:kern w:val="2"/>
      <w:sz w:val="20"/>
      <w:szCs w:val="20"/>
      <w14:ligatures w14:val="standardContextual"/>
    </w:rPr>
  </w:style>
  <w:style w:type="character" w:customStyle="1" w:styleId="EndnoteTextChar">
    <w:name w:val="Endnote Text Char"/>
    <w:basedOn w:val="DefaultParagraphFont"/>
    <w:link w:val="EndnoteText"/>
    <w:uiPriority w:val="99"/>
    <w:semiHidden/>
    <w:rsid w:val="000F6463"/>
    <w:rPr>
      <w:kern w:val="2"/>
      <w:sz w:val="20"/>
      <w:szCs w:val="20"/>
      <w14:ligatures w14:val="standardContextual"/>
    </w:rPr>
  </w:style>
  <w:style w:type="character" w:styleId="EndnoteReference">
    <w:name w:val="endnote reference"/>
    <w:basedOn w:val="DefaultParagraphFont"/>
    <w:uiPriority w:val="99"/>
    <w:semiHidden/>
    <w:unhideWhenUsed/>
    <w:rsid w:val="000F6463"/>
    <w:rPr>
      <w:vertAlign w:val="superscript"/>
    </w:rPr>
  </w:style>
  <w:style w:type="table" w:styleId="LightList">
    <w:name w:val="Light List"/>
    <w:basedOn w:val="TableNormal"/>
    <w:uiPriority w:val="61"/>
    <w:rsid w:val="000F6463"/>
    <w:pPr>
      <w:spacing w:after="0" w:line="240" w:lineRule="auto"/>
    </w:pPr>
    <w:rPr>
      <w:rFonts w:eastAsiaTheme="minorEastAsia"/>
      <w:lang w:eastAsia="it-IT"/>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styleId="PlaceholderText">
    <w:name w:val="Placeholder Text"/>
    <w:basedOn w:val="DefaultParagraphFont"/>
    <w:uiPriority w:val="99"/>
    <w:semiHidden/>
    <w:rsid w:val="000F6463"/>
    <w:rPr>
      <w:color w:val="666666"/>
    </w:rPr>
  </w:style>
  <w:style w:type="paragraph" w:styleId="NormalWeb">
    <w:name w:val="Normal (Web)"/>
    <w:basedOn w:val="Normal"/>
    <w:uiPriority w:val="99"/>
    <w:unhideWhenUsed/>
    <w:rsid w:val="000F6463"/>
    <w:pPr>
      <w:spacing w:before="0" w:after="160" w:line="259" w:lineRule="auto"/>
      <w:jc w:val="left"/>
    </w:pPr>
    <w:rPr>
      <w:rFonts w:ascii="Times New Roman" w:hAnsi="Times New Roman" w:cs="Times New Roman"/>
      <w:kern w:val="2"/>
      <w:szCs w:val="24"/>
      <w14:ligatures w14:val="standardContextual"/>
    </w:rPr>
  </w:style>
  <w:style w:type="table" w:customStyle="1" w:styleId="Tabellasemplice51">
    <w:name w:val="Tabella semplice 51"/>
    <w:basedOn w:val="TableNormal"/>
    <w:uiPriority w:val="45"/>
    <w:rsid w:val="000F6463"/>
    <w:pPr>
      <w:spacing w:after="0" w:line="240" w:lineRule="auto"/>
      <w:jc w:val="both"/>
    </w:pPr>
    <w:rPr>
      <w:rFonts w:eastAsiaTheme="minorEastAsia"/>
      <w:lang w:eastAsia="it-IT"/>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Grigliatabella1">
    <w:name w:val="Griglia tabella1"/>
    <w:basedOn w:val="TableNormal"/>
    <w:next w:val="TableGrid"/>
    <w:rsid w:val="000F6463"/>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0F6463"/>
    <w:pPr>
      <w:spacing w:after="0" w:line="240" w:lineRule="auto"/>
    </w:pPr>
    <w:rPr>
      <w:kern w:val="2"/>
      <w14:ligatures w14:val="standardContextual"/>
    </w:rPr>
  </w:style>
  <w:style w:type="character" w:styleId="FollowedHyperlink">
    <w:name w:val="FollowedHyperlink"/>
    <w:basedOn w:val="DefaultParagraphFont"/>
    <w:uiPriority w:val="99"/>
    <w:semiHidden/>
    <w:unhideWhenUsed/>
    <w:rsid w:val="000F6463"/>
    <w:rPr>
      <w:color w:val="954F72" w:themeColor="followedHyperlink"/>
      <w:u w:val="single"/>
    </w:rPr>
  </w:style>
  <w:style w:type="character" w:styleId="Emphasis">
    <w:name w:val="Emphasis"/>
    <w:basedOn w:val="DefaultParagraphFont"/>
    <w:uiPriority w:val="20"/>
    <w:qFormat/>
    <w:rsid w:val="000F6463"/>
    <w:rPr>
      <w:i/>
      <w:iCs/>
    </w:rPr>
  </w:style>
  <w:style w:type="paragraph" w:customStyle="1" w:styleId="msonormal0">
    <w:name w:val="msonormal"/>
    <w:basedOn w:val="Normal"/>
    <w:rsid w:val="000F6463"/>
    <w:pPr>
      <w:spacing w:before="100" w:beforeAutospacing="1" w:after="100" w:afterAutospacing="1"/>
      <w:jc w:val="left"/>
    </w:pPr>
    <w:rPr>
      <w:rFonts w:ascii="Times New Roman" w:eastAsia="Times New Roman" w:hAnsi="Times New Roman" w:cs="Times New Roman"/>
      <w:szCs w:val="24"/>
      <w:lang w:eastAsia="ja-JP"/>
    </w:rPr>
  </w:style>
  <w:style w:type="character" w:customStyle="1" w:styleId="ms-05">
    <w:name w:val="ms-0.5"/>
    <w:basedOn w:val="DefaultParagraphFont"/>
    <w:rsid w:val="000F6463"/>
  </w:style>
  <w:style w:type="character" w:customStyle="1" w:styleId="ms-1">
    <w:name w:val="ms-1"/>
    <w:basedOn w:val="DefaultParagraphFont"/>
    <w:rsid w:val="005E297E"/>
  </w:style>
  <w:style w:type="character" w:customStyle="1" w:styleId="max-w-15ch">
    <w:name w:val="max-w-[15ch]"/>
    <w:basedOn w:val="DefaultParagraphFont"/>
    <w:rsid w:val="005E297E"/>
  </w:style>
  <w:style w:type="character" w:styleId="Strong">
    <w:name w:val="Strong"/>
    <w:basedOn w:val="DefaultParagraphFont"/>
    <w:uiPriority w:val="22"/>
    <w:qFormat/>
    <w:rsid w:val="005E297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4762">
      <w:bodyDiv w:val="1"/>
      <w:marLeft w:val="0"/>
      <w:marRight w:val="0"/>
      <w:marTop w:val="0"/>
      <w:marBottom w:val="0"/>
      <w:divBdr>
        <w:top w:val="none" w:sz="0" w:space="0" w:color="auto"/>
        <w:left w:val="none" w:sz="0" w:space="0" w:color="auto"/>
        <w:bottom w:val="none" w:sz="0" w:space="0" w:color="auto"/>
        <w:right w:val="none" w:sz="0" w:space="0" w:color="auto"/>
      </w:divBdr>
    </w:div>
    <w:div w:id="1320928">
      <w:bodyDiv w:val="1"/>
      <w:marLeft w:val="0"/>
      <w:marRight w:val="0"/>
      <w:marTop w:val="0"/>
      <w:marBottom w:val="0"/>
      <w:divBdr>
        <w:top w:val="none" w:sz="0" w:space="0" w:color="auto"/>
        <w:left w:val="none" w:sz="0" w:space="0" w:color="auto"/>
        <w:bottom w:val="none" w:sz="0" w:space="0" w:color="auto"/>
        <w:right w:val="none" w:sz="0" w:space="0" w:color="auto"/>
      </w:divBdr>
    </w:div>
    <w:div w:id="1517463">
      <w:bodyDiv w:val="1"/>
      <w:marLeft w:val="0"/>
      <w:marRight w:val="0"/>
      <w:marTop w:val="0"/>
      <w:marBottom w:val="0"/>
      <w:divBdr>
        <w:top w:val="none" w:sz="0" w:space="0" w:color="auto"/>
        <w:left w:val="none" w:sz="0" w:space="0" w:color="auto"/>
        <w:bottom w:val="none" w:sz="0" w:space="0" w:color="auto"/>
        <w:right w:val="none" w:sz="0" w:space="0" w:color="auto"/>
      </w:divBdr>
    </w:div>
    <w:div w:id="1905281">
      <w:bodyDiv w:val="1"/>
      <w:marLeft w:val="0"/>
      <w:marRight w:val="0"/>
      <w:marTop w:val="0"/>
      <w:marBottom w:val="0"/>
      <w:divBdr>
        <w:top w:val="none" w:sz="0" w:space="0" w:color="auto"/>
        <w:left w:val="none" w:sz="0" w:space="0" w:color="auto"/>
        <w:bottom w:val="none" w:sz="0" w:space="0" w:color="auto"/>
        <w:right w:val="none" w:sz="0" w:space="0" w:color="auto"/>
      </w:divBdr>
    </w:div>
    <w:div w:id="3677426">
      <w:bodyDiv w:val="1"/>
      <w:marLeft w:val="0"/>
      <w:marRight w:val="0"/>
      <w:marTop w:val="0"/>
      <w:marBottom w:val="0"/>
      <w:divBdr>
        <w:top w:val="none" w:sz="0" w:space="0" w:color="auto"/>
        <w:left w:val="none" w:sz="0" w:space="0" w:color="auto"/>
        <w:bottom w:val="none" w:sz="0" w:space="0" w:color="auto"/>
        <w:right w:val="none" w:sz="0" w:space="0" w:color="auto"/>
      </w:divBdr>
    </w:div>
    <w:div w:id="6833723">
      <w:bodyDiv w:val="1"/>
      <w:marLeft w:val="0"/>
      <w:marRight w:val="0"/>
      <w:marTop w:val="0"/>
      <w:marBottom w:val="0"/>
      <w:divBdr>
        <w:top w:val="none" w:sz="0" w:space="0" w:color="auto"/>
        <w:left w:val="none" w:sz="0" w:space="0" w:color="auto"/>
        <w:bottom w:val="none" w:sz="0" w:space="0" w:color="auto"/>
        <w:right w:val="none" w:sz="0" w:space="0" w:color="auto"/>
      </w:divBdr>
    </w:div>
    <w:div w:id="9110994">
      <w:bodyDiv w:val="1"/>
      <w:marLeft w:val="0"/>
      <w:marRight w:val="0"/>
      <w:marTop w:val="0"/>
      <w:marBottom w:val="0"/>
      <w:divBdr>
        <w:top w:val="none" w:sz="0" w:space="0" w:color="auto"/>
        <w:left w:val="none" w:sz="0" w:space="0" w:color="auto"/>
        <w:bottom w:val="none" w:sz="0" w:space="0" w:color="auto"/>
        <w:right w:val="none" w:sz="0" w:space="0" w:color="auto"/>
      </w:divBdr>
    </w:div>
    <w:div w:id="9114455">
      <w:bodyDiv w:val="1"/>
      <w:marLeft w:val="0"/>
      <w:marRight w:val="0"/>
      <w:marTop w:val="0"/>
      <w:marBottom w:val="0"/>
      <w:divBdr>
        <w:top w:val="none" w:sz="0" w:space="0" w:color="auto"/>
        <w:left w:val="none" w:sz="0" w:space="0" w:color="auto"/>
        <w:bottom w:val="none" w:sz="0" w:space="0" w:color="auto"/>
        <w:right w:val="none" w:sz="0" w:space="0" w:color="auto"/>
      </w:divBdr>
    </w:div>
    <w:div w:id="9576350">
      <w:bodyDiv w:val="1"/>
      <w:marLeft w:val="0"/>
      <w:marRight w:val="0"/>
      <w:marTop w:val="0"/>
      <w:marBottom w:val="0"/>
      <w:divBdr>
        <w:top w:val="none" w:sz="0" w:space="0" w:color="auto"/>
        <w:left w:val="none" w:sz="0" w:space="0" w:color="auto"/>
        <w:bottom w:val="none" w:sz="0" w:space="0" w:color="auto"/>
        <w:right w:val="none" w:sz="0" w:space="0" w:color="auto"/>
      </w:divBdr>
    </w:div>
    <w:div w:id="10692428">
      <w:bodyDiv w:val="1"/>
      <w:marLeft w:val="0"/>
      <w:marRight w:val="0"/>
      <w:marTop w:val="0"/>
      <w:marBottom w:val="0"/>
      <w:divBdr>
        <w:top w:val="none" w:sz="0" w:space="0" w:color="auto"/>
        <w:left w:val="none" w:sz="0" w:space="0" w:color="auto"/>
        <w:bottom w:val="none" w:sz="0" w:space="0" w:color="auto"/>
        <w:right w:val="none" w:sz="0" w:space="0" w:color="auto"/>
      </w:divBdr>
    </w:div>
    <w:div w:id="12540959">
      <w:bodyDiv w:val="1"/>
      <w:marLeft w:val="0"/>
      <w:marRight w:val="0"/>
      <w:marTop w:val="0"/>
      <w:marBottom w:val="0"/>
      <w:divBdr>
        <w:top w:val="none" w:sz="0" w:space="0" w:color="auto"/>
        <w:left w:val="none" w:sz="0" w:space="0" w:color="auto"/>
        <w:bottom w:val="none" w:sz="0" w:space="0" w:color="auto"/>
        <w:right w:val="none" w:sz="0" w:space="0" w:color="auto"/>
      </w:divBdr>
    </w:div>
    <w:div w:id="13270521">
      <w:bodyDiv w:val="1"/>
      <w:marLeft w:val="0"/>
      <w:marRight w:val="0"/>
      <w:marTop w:val="0"/>
      <w:marBottom w:val="0"/>
      <w:divBdr>
        <w:top w:val="none" w:sz="0" w:space="0" w:color="auto"/>
        <w:left w:val="none" w:sz="0" w:space="0" w:color="auto"/>
        <w:bottom w:val="none" w:sz="0" w:space="0" w:color="auto"/>
        <w:right w:val="none" w:sz="0" w:space="0" w:color="auto"/>
      </w:divBdr>
    </w:div>
    <w:div w:id="13582650">
      <w:bodyDiv w:val="1"/>
      <w:marLeft w:val="0"/>
      <w:marRight w:val="0"/>
      <w:marTop w:val="0"/>
      <w:marBottom w:val="0"/>
      <w:divBdr>
        <w:top w:val="none" w:sz="0" w:space="0" w:color="auto"/>
        <w:left w:val="none" w:sz="0" w:space="0" w:color="auto"/>
        <w:bottom w:val="none" w:sz="0" w:space="0" w:color="auto"/>
        <w:right w:val="none" w:sz="0" w:space="0" w:color="auto"/>
      </w:divBdr>
    </w:div>
    <w:div w:id="14580090">
      <w:bodyDiv w:val="1"/>
      <w:marLeft w:val="0"/>
      <w:marRight w:val="0"/>
      <w:marTop w:val="0"/>
      <w:marBottom w:val="0"/>
      <w:divBdr>
        <w:top w:val="none" w:sz="0" w:space="0" w:color="auto"/>
        <w:left w:val="none" w:sz="0" w:space="0" w:color="auto"/>
        <w:bottom w:val="none" w:sz="0" w:space="0" w:color="auto"/>
        <w:right w:val="none" w:sz="0" w:space="0" w:color="auto"/>
      </w:divBdr>
    </w:div>
    <w:div w:id="16853428">
      <w:bodyDiv w:val="1"/>
      <w:marLeft w:val="0"/>
      <w:marRight w:val="0"/>
      <w:marTop w:val="0"/>
      <w:marBottom w:val="0"/>
      <w:divBdr>
        <w:top w:val="none" w:sz="0" w:space="0" w:color="auto"/>
        <w:left w:val="none" w:sz="0" w:space="0" w:color="auto"/>
        <w:bottom w:val="none" w:sz="0" w:space="0" w:color="auto"/>
        <w:right w:val="none" w:sz="0" w:space="0" w:color="auto"/>
      </w:divBdr>
    </w:div>
    <w:div w:id="17857225">
      <w:bodyDiv w:val="1"/>
      <w:marLeft w:val="0"/>
      <w:marRight w:val="0"/>
      <w:marTop w:val="0"/>
      <w:marBottom w:val="0"/>
      <w:divBdr>
        <w:top w:val="none" w:sz="0" w:space="0" w:color="auto"/>
        <w:left w:val="none" w:sz="0" w:space="0" w:color="auto"/>
        <w:bottom w:val="none" w:sz="0" w:space="0" w:color="auto"/>
        <w:right w:val="none" w:sz="0" w:space="0" w:color="auto"/>
      </w:divBdr>
    </w:div>
    <w:div w:id="18169125">
      <w:bodyDiv w:val="1"/>
      <w:marLeft w:val="0"/>
      <w:marRight w:val="0"/>
      <w:marTop w:val="0"/>
      <w:marBottom w:val="0"/>
      <w:divBdr>
        <w:top w:val="none" w:sz="0" w:space="0" w:color="auto"/>
        <w:left w:val="none" w:sz="0" w:space="0" w:color="auto"/>
        <w:bottom w:val="none" w:sz="0" w:space="0" w:color="auto"/>
        <w:right w:val="none" w:sz="0" w:space="0" w:color="auto"/>
      </w:divBdr>
    </w:div>
    <w:div w:id="19622537">
      <w:bodyDiv w:val="1"/>
      <w:marLeft w:val="0"/>
      <w:marRight w:val="0"/>
      <w:marTop w:val="0"/>
      <w:marBottom w:val="0"/>
      <w:divBdr>
        <w:top w:val="none" w:sz="0" w:space="0" w:color="auto"/>
        <w:left w:val="none" w:sz="0" w:space="0" w:color="auto"/>
        <w:bottom w:val="none" w:sz="0" w:space="0" w:color="auto"/>
        <w:right w:val="none" w:sz="0" w:space="0" w:color="auto"/>
      </w:divBdr>
    </w:div>
    <w:div w:id="19626966">
      <w:bodyDiv w:val="1"/>
      <w:marLeft w:val="0"/>
      <w:marRight w:val="0"/>
      <w:marTop w:val="0"/>
      <w:marBottom w:val="0"/>
      <w:divBdr>
        <w:top w:val="none" w:sz="0" w:space="0" w:color="auto"/>
        <w:left w:val="none" w:sz="0" w:space="0" w:color="auto"/>
        <w:bottom w:val="none" w:sz="0" w:space="0" w:color="auto"/>
        <w:right w:val="none" w:sz="0" w:space="0" w:color="auto"/>
      </w:divBdr>
    </w:div>
    <w:div w:id="22675493">
      <w:bodyDiv w:val="1"/>
      <w:marLeft w:val="0"/>
      <w:marRight w:val="0"/>
      <w:marTop w:val="0"/>
      <w:marBottom w:val="0"/>
      <w:divBdr>
        <w:top w:val="none" w:sz="0" w:space="0" w:color="auto"/>
        <w:left w:val="none" w:sz="0" w:space="0" w:color="auto"/>
        <w:bottom w:val="none" w:sz="0" w:space="0" w:color="auto"/>
        <w:right w:val="none" w:sz="0" w:space="0" w:color="auto"/>
      </w:divBdr>
    </w:div>
    <w:div w:id="22707369">
      <w:bodyDiv w:val="1"/>
      <w:marLeft w:val="0"/>
      <w:marRight w:val="0"/>
      <w:marTop w:val="0"/>
      <w:marBottom w:val="0"/>
      <w:divBdr>
        <w:top w:val="none" w:sz="0" w:space="0" w:color="auto"/>
        <w:left w:val="none" w:sz="0" w:space="0" w:color="auto"/>
        <w:bottom w:val="none" w:sz="0" w:space="0" w:color="auto"/>
        <w:right w:val="none" w:sz="0" w:space="0" w:color="auto"/>
      </w:divBdr>
    </w:div>
    <w:div w:id="23750516">
      <w:bodyDiv w:val="1"/>
      <w:marLeft w:val="0"/>
      <w:marRight w:val="0"/>
      <w:marTop w:val="0"/>
      <w:marBottom w:val="0"/>
      <w:divBdr>
        <w:top w:val="none" w:sz="0" w:space="0" w:color="auto"/>
        <w:left w:val="none" w:sz="0" w:space="0" w:color="auto"/>
        <w:bottom w:val="none" w:sz="0" w:space="0" w:color="auto"/>
        <w:right w:val="none" w:sz="0" w:space="0" w:color="auto"/>
      </w:divBdr>
    </w:div>
    <w:div w:id="24210992">
      <w:bodyDiv w:val="1"/>
      <w:marLeft w:val="0"/>
      <w:marRight w:val="0"/>
      <w:marTop w:val="0"/>
      <w:marBottom w:val="0"/>
      <w:divBdr>
        <w:top w:val="none" w:sz="0" w:space="0" w:color="auto"/>
        <w:left w:val="none" w:sz="0" w:space="0" w:color="auto"/>
        <w:bottom w:val="none" w:sz="0" w:space="0" w:color="auto"/>
        <w:right w:val="none" w:sz="0" w:space="0" w:color="auto"/>
      </w:divBdr>
    </w:div>
    <w:div w:id="24257552">
      <w:bodyDiv w:val="1"/>
      <w:marLeft w:val="0"/>
      <w:marRight w:val="0"/>
      <w:marTop w:val="0"/>
      <w:marBottom w:val="0"/>
      <w:divBdr>
        <w:top w:val="none" w:sz="0" w:space="0" w:color="auto"/>
        <w:left w:val="none" w:sz="0" w:space="0" w:color="auto"/>
        <w:bottom w:val="none" w:sz="0" w:space="0" w:color="auto"/>
        <w:right w:val="none" w:sz="0" w:space="0" w:color="auto"/>
      </w:divBdr>
    </w:div>
    <w:div w:id="25564198">
      <w:bodyDiv w:val="1"/>
      <w:marLeft w:val="0"/>
      <w:marRight w:val="0"/>
      <w:marTop w:val="0"/>
      <w:marBottom w:val="0"/>
      <w:divBdr>
        <w:top w:val="none" w:sz="0" w:space="0" w:color="auto"/>
        <w:left w:val="none" w:sz="0" w:space="0" w:color="auto"/>
        <w:bottom w:val="none" w:sz="0" w:space="0" w:color="auto"/>
        <w:right w:val="none" w:sz="0" w:space="0" w:color="auto"/>
      </w:divBdr>
    </w:div>
    <w:div w:id="26179896">
      <w:bodyDiv w:val="1"/>
      <w:marLeft w:val="0"/>
      <w:marRight w:val="0"/>
      <w:marTop w:val="0"/>
      <w:marBottom w:val="0"/>
      <w:divBdr>
        <w:top w:val="none" w:sz="0" w:space="0" w:color="auto"/>
        <w:left w:val="none" w:sz="0" w:space="0" w:color="auto"/>
        <w:bottom w:val="none" w:sz="0" w:space="0" w:color="auto"/>
        <w:right w:val="none" w:sz="0" w:space="0" w:color="auto"/>
      </w:divBdr>
    </w:div>
    <w:div w:id="26564803">
      <w:bodyDiv w:val="1"/>
      <w:marLeft w:val="0"/>
      <w:marRight w:val="0"/>
      <w:marTop w:val="0"/>
      <w:marBottom w:val="0"/>
      <w:divBdr>
        <w:top w:val="none" w:sz="0" w:space="0" w:color="auto"/>
        <w:left w:val="none" w:sz="0" w:space="0" w:color="auto"/>
        <w:bottom w:val="none" w:sz="0" w:space="0" w:color="auto"/>
        <w:right w:val="none" w:sz="0" w:space="0" w:color="auto"/>
      </w:divBdr>
    </w:div>
    <w:div w:id="28645702">
      <w:bodyDiv w:val="1"/>
      <w:marLeft w:val="0"/>
      <w:marRight w:val="0"/>
      <w:marTop w:val="0"/>
      <w:marBottom w:val="0"/>
      <w:divBdr>
        <w:top w:val="none" w:sz="0" w:space="0" w:color="auto"/>
        <w:left w:val="none" w:sz="0" w:space="0" w:color="auto"/>
        <w:bottom w:val="none" w:sz="0" w:space="0" w:color="auto"/>
        <w:right w:val="none" w:sz="0" w:space="0" w:color="auto"/>
      </w:divBdr>
    </w:div>
    <w:div w:id="31468245">
      <w:bodyDiv w:val="1"/>
      <w:marLeft w:val="0"/>
      <w:marRight w:val="0"/>
      <w:marTop w:val="0"/>
      <w:marBottom w:val="0"/>
      <w:divBdr>
        <w:top w:val="none" w:sz="0" w:space="0" w:color="auto"/>
        <w:left w:val="none" w:sz="0" w:space="0" w:color="auto"/>
        <w:bottom w:val="none" w:sz="0" w:space="0" w:color="auto"/>
        <w:right w:val="none" w:sz="0" w:space="0" w:color="auto"/>
      </w:divBdr>
    </w:div>
    <w:div w:id="32191180">
      <w:bodyDiv w:val="1"/>
      <w:marLeft w:val="0"/>
      <w:marRight w:val="0"/>
      <w:marTop w:val="0"/>
      <w:marBottom w:val="0"/>
      <w:divBdr>
        <w:top w:val="none" w:sz="0" w:space="0" w:color="auto"/>
        <w:left w:val="none" w:sz="0" w:space="0" w:color="auto"/>
        <w:bottom w:val="none" w:sz="0" w:space="0" w:color="auto"/>
        <w:right w:val="none" w:sz="0" w:space="0" w:color="auto"/>
      </w:divBdr>
    </w:div>
    <w:div w:id="33773031">
      <w:bodyDiv w:val="1"/>
      <w:marLeft w:val="0"/>
      <w:marRight w:val="0"/>
      <w:marTop w:val="0"/>
      <w:marBottom w:val="0"/>
      <w:divBdr>
        <w:top w:val="none" w:sz="0" w:space="0" w:color="auto"/>
        <w:left w:val="none" w:sz="0" w:space="0" w:color="auto"/>
        <w:bottom w:val="none" w:sz="0" w:space="0" w:color="auto"/>
        <w:right w:val="none" w:sz="0" w:space="0" w:color="auto"/>
      </w:divBdr>
    </w:div>
    <w:div w:id="34476779">
      <w:bodyDiv w:val="1"/>
      <w:marLeft w:val="0"/>
      <w:marRight w:val="0"/>
      <w:marTop w:val="0"/>
      <w:marBottom w:val="0"/>
      <w:divBdr>
        <w:top w:val="none" w:sz="0" w:space="0" w:color="auto"/>
        <w:left w:val="none" w:sz="0" w:space="0" w:color="auto"/>
        <w:bottom w:val="none" w:sz="0" w:space="0" w:color="auto"/>
        <w:right w:val="none" w:sz="0" w:space="0" w:color="auto"/>
      </w:divBdr>
    </w:div>
    <w:div w:id="35543265">
      <w:bodyDiv w:val="1"/>
      <w:marLeft w:val="0"/>
      <w:marRight w:val="0"/>
      <w:marTop w:val="0"/>
      <w:marBottom w:val="0"/>
      <w:divBdr>
        <w:top w:val="none" w:sz="0" w:space="0" w:color="auto"/>
        <w:left w:val="none" w:sz="0" w:space="0" w:color="auto"/>
        <w:bottom w:val="none" w:sz="0" w:space="0" w:color="auto"/>
        <w:right w:val="none" w:sz="0" w:space="0" w:color="auto"/>
      </w:divBdr>
    </w:div>
    <w:div w:id="36778243">
      <w:bodyDiv w:val="1"/>
      <w:marLeft w:val="0"/>
      <w:marRight w:val="0"/>
      <w:marTop w:val="0"/>
      <w:marBottom w:val="0"/>
      <w:divBdr>
        <w:top w:val="none" w:sz="0" w:space="0" w:color="auto"/>
        <w:left w:val="none" w:sz="0" w:space="0" w:color="auto"/>
        <w:bottom w:val="none" w:sz="0" w:space="0" w:color="auto"/>
        <w:right w:val="none" w:sz="0" w:space="0" w:color="auto"/>
      </w:divBdr>
    </w:div>
    <w:div w:id="37702976">
      <w:bodyDiv w:val="1"/>
      <w:marLeft w:val="0"/>
      <w:marRight w:val="0"/>
      <w:marTop w:val="0"/>
      <w:marBottom w:val="0"/>
      <w:divBdr>
        <w:top w:val="none" w:sz="0" w:space="0" w:color="auto"/>
        <w:left w:val="none" w:sz="0" w:space="0" w:color="auto"/>
        <w:bottom w:val="none" w:sz="0" w:space="0" w:color="auto"/>
        <w:right w:val="none" w:sz="0" w:space="0" w:color="auto"/>
      </w:divBdr>
    </w:div>
    <w:div w:id="37777120">
      <w:bodyDiv w:val="1"/>
      <w:marLeft w:val="0"/>
      <w:marRight w:val="0"/>
      <w:marTop w:val="0"/>
      <w:marBottom w:val="0"/>
      <w:divBdr>
        <w:top w:val="none" w:sz="0" w:space="0" w:color="auto"/>
        <w:left w:val="none" w:sz="0" w:space="0" w:color="auto"/>
        <w:bottom w:val="none" w:sz="0" w:space="0" w:color="auto"/>
        <w:right w:val="none" w:sz="0" w:space="0" w:color="auto"/>
      </w:divBdr>
    </w:div>
    <w:div w:id="44640581">
      <w:bodyDiv w:val="1"/>
      <w:marLeft w:val="0"/>
      <w:marRight w:val="0"/>
      <w:marTop w:val="0"/>
      <w:marBottom w:val="0"/>
      <w:divBdr>
        <w:top w:val="none" w:sz="0" w:space="0" w:color="auto"/>
        <w:left w:val="none" w:sz="0" w:space="0" w:color="auto"/>
        <w:bottom w:val="none" w:sz="0" w:space="0" w:color="auto"/>
        <w:right w:val="none" w:sz="0" w:space="0" w:color="auto"/>
      </w:divBdr>
    </w:div>
    <w:div w:id="44918767">
      <w:bodyDiv w:val="1"/>
      <w:marLeft w:val="0"/>
      <w:marRight w:val="0"/>
      <w:marTop w:val="0"/>
      <w:marBottom w:val="0"/>
      <w:divBdr>
        <w:top w:val="none" w:sz="0" w:space="0" w:color="auto"/>
        <w:left w:val="none" w:sz="0" w:space="0" w:color="auto"/>
        <w:bottom w:val="none" w:sz="0" w:space="0" w:color="auto"/>
        <w:right w:val="none" w:sz="0" w:space="0" w:color="auto"/>
      </w:divBdr>
    </w:div>
    <w:div w:id="44985826">
      <w:bodyDiv w:val="1"/>
      <w:marLeft w:val="0"/>
      <w:marRight w:val="0"/>
      <w:marTop w:val="0"/>
      <w:marBottom w:val="0"/>
      <w:divBdr>
        <w:top w:val="none" w:sz="0" w:space="0" w:color="auto"/>
        <w:left w:val="none" w:sz="0" w:space="0" w:color="auto"/>
        <w:bottom w:val="none" w:sz="0" w:space="0" w:color="auto"/>
        <w:right w:val="none" w:sz="0" w:space="0" w:color="auto"/>
      </w:divBdr>
    </w:div>
    <w:div w:id="46027059">
      <w:bodyDiv w:val="1"/>
      <w:marLeft w:val="0"/>
      <w:marRight w:val="0"/>
      <w:marTop w:val="0"/>
      <w:marBottom w:val="0"/>
      <w:divBdr>
        <w:top w:val="none" w:sz="0" w:space="0" w:color="auto"/>
        <w:left w:val="none" w:sz="0" w:space="0" w:color="auto"/>
        <w:bottom w:val="none" w:sz="0" w:space="0" w:color="auto"/>
        <w:right w:val="none" w:sz="0" w:space="0" w:color="auto"/>
      </w:divBdr>
    </w:div>
    <w:div w:id="47457084">
      <w:bodyDiv w:val="1"/>
      <w:marLeft w:val="0"/>
      <w:marRight w:val="0"/>
      <w:marTop w:val="0"/>
      <w:marBottom w:val="0"/>
      <w:divBdr>
        <w:top w:val="none" w:sz="0" w:space="0" w:color="auto"/>
        <w:left w:val="none" w:sz="0" w:space="0" w:color="auto"/>
        <w:bottom w:val="none" w:sz="0" w:space="0" w:color="auto"/>
        <w:right w:val="none" w:sz="0" w:space="0" w:color="auto"/>
      </w:divBdr>
    </w:div>
    <w:div w:id="49428808">
      <w:bodyDiv w:val="1"/>
      <w:marLeft w:val="0"/>
      <w:marRight w:val="0"/>
      <w:marTop w:val="0"/>
      <w:marBottom w:val="0"/>
      <w:divBdr>
        <w:top w:val="none" w:sz="0" w:space="0" w:color="auto"/>
        <w:left w:val="none" w:sz="0" w:space="0" w:color="auto"/>
        <w:bottom w:val="none" w:sz="0" w:space="0" w:color="auto"/>
        <w:right w:val="none" w:sz="0" w:space="0" w:color="auto"/>
      </w:divBdr>
    </w:div>
    <w:div w:id="49620625">
      <w:bodyDiv w:val="1"/>
      <w:marLeft w:val="0"/>
      <w:marRight w:val="0"/>
      <w:marTop w:val="0"/>
      <w:marBottom w:val="0"/>
      <w:divBdr>
        <w:top w:val="none" w:sz="0" w:space="0" w:color="auto"/>
        <w:left w:val="none" w:sz="0" w:space="0" w:color="auto"/>
        <w:bottom w:val="none" w:sz="0" w:space="0" w:color="auto"/>
        <w:right w:val="none" w:sz="0" w:space="0" w:color="auto"/>
      </w:divBdr>
    </w:div>
    <w:div w:id="49689763">
      <w:bodyDiv w:val="1"/>
      <w:marLeft w:val="0"/>
      <w:marRight w:val="0"/>
      <w:marTop w:val="0"/>
      <w:marBottom w:val="0"/>
      <w:divBdr>
        <w:top w:val="none" w:sz="0" w:space="0" w:color="auto"/>
        <w:left w:val="none" w:sz="0" w:space="0" w:color="auto"/>
        <w:bottom w:val="none" w:sz="0" w:space="0" w:color="auto"/>
        <w:right w:val="none" w:sz="0" w:space="0" w:color="auto"/>
      </w:divBdr>
    </w:div>
    <w:div w:id="49690769">
      <w:bodyDiv w:val="1"/>
      <w:marLeft w:val="0"/>
      <w:marRight w:val="0"/>
      <w:marTop w:val="0"/>
      <w:marBottom w:val="0"/>
      <w:divBdr>
        <w:top w:val="none" w:sz="0" w:space="0" w:color="auto"/>
        <w:left w:val="none" w:sz="0" w:space="0" w:color="auto"/>
        <w:bottom w:val="none" w:sz="0" w:space="0" w:color="auto"/>
        <w:right w:val="none" w:sz="0" w:space="0" w:color="auto"/>
      </w:divBdr>
    </w:div>
    <w:div w:id="50080826">
      <w:bodyDiv w:val="1"/>
      <w:marLeft w:val="0"/>
      <w:marRight w:val="0"/>
      <w:marTop w:val="0"/>
      <w:marBottom w:val="0"/>
      <w:divBdr>
        <w:top w:val="none" w:sz="0" w:space="0" w:color="auto"/>
        <w:left w:val="none" w:sz="0" w:space="0" w:color="auto"/>
        <w:bottom w:val="none" w:sz="0" w:space="0" w:color="auto"/>
        <w:right w:val="none" w:sz="0" w:space="0" w:color="auto"/>
      </w:divBdr>
    </w:div>
    <w:div w:id="50731874">
      <w:bodyDiv w:val="1"/>
      <w:marLeft w:val="0"/>
      <w:marRight w:val="0"/>
      <w:marTop w:val="0"/>
      <w:marBottom w:val="0"/>
      <w:divBdr>
        <w:top w:val="none" w:sz="0" w:space="0" w:color="auto"/>
        <w:left w:val="none" w:sz="0" w:space="0" w:color="auto"/>
        <w:bottom w:val="none" w:sz="0" w:space="0" w:color="auto"/>
        <w:right w:val="none" w:sz="0" w:space="0" w:color="auto"/>
      </w:divBdr>
    </w:div>
    <w:div w:id="51582702">
      <w:bodyDiv w:val="1"/>
      <w:marLeft w:val="0"/>
      <w:marRight w:val="0"/>
      <w:marTop w:val="0"/>
      <w:marBottom w:val="0"/>
      <w:divBdr>
        <w:top w:val="none" w:sz="0" w:space="0" w:color="auto"/>
        <w:left w:val="none" w:sz="0" w:space="0" w:color="auto"/>
        <w:bottom w:val="none" w:sz="0" w:space="0" w:color="auto"/>
        <w:right w:val="none" w:sz="0" w:space="0" w:color="auto"/>
      </w:divBdr>
    </w:div>
    <w:div w:id="51779662">
      <w:bodyDiv w:val="1"/>
      <w:marLeft w:val="0"/>
      <w:marRight w:val="0"/>
      <w:marTop w:val="0"/>
      <w:marBottom w:val="0"/>
      <w:divBdr>
        <w:top w:val="none" w:sz="0" w:space="0" w:color="auto"/>
        <w:left w:val="none" w:sz="0" w:space="0" w:color="auto"/>
        <w:bottom w:val="none" w:sz="0" w:space="0" w:color="auto"/>
        <w:right w:val="none" w:sz="0" w:space="0" w:color="auto"/>
      </w:divBdr>
    </w:div>
    <w:div w:id="51930772">
      <w:bodyDiv w:val="1"/>
      <w:marLeft w:val="0"/>
      <w:marRight w:val="0"/>
      <w:marTop w:val="0"/>
      <w:marBottom w:val="0"/>
      <w:divBdr>
        <w:top w:val="none" w:sz="0" w:space="0" w:color="auto"/>
        <w:left w:val="none" w:sz="0" w:space="0" w:color="auto"/>
        <w:bottom w:val="none" w:sz="0" w:space="0" w:color="auto"/>
        <w:right w:val="none" w:sz="0" w:space="0" w:color="auto"/>
      </w:divBdr>
    </w:div>
    <w:div w:id="52851504">
      <w:bodyDiv w:val="1"/>
      <w:marLeft w:val="0"/>
      <w:marRight w:val="0"/>
      <w:marTop w:val="0"/>
      <w:marBottom w:val="0"/>
      <w:divBdr>
        <w:top w:val="none" w:sz="0" w:space="0" w:color="auto"/>
        <w:left w:val="none" w:sz="0" w:space="0" w:color="auto"/>
        <w:bottom w:val="none" w:sz="0" w:space="0" w:color="auto"/>
        <w:right w:val="none" w:sz="0" w:space="0" w:color="auto"/>
      </w:divBdr>
    </w:div>
    <w:div w:id="53088236">
      <w:bodyDiv w:val="1"/>
      <w:marLeft w:val="0"/>
      <w:marRight w:val="0"/>
      <w:marTop w:val="0"/>
      <w:marBottom w:val="0"/>
      <w:divBdr>
        <w:top w:val="none" w:sz="0" w:space="0" w:color="auto"/>
        <w:left w:val="none" w:sz="0" w:space="0" w:color="auto"/>
        <w:bottom w:val="none" w:sz="0" w:space="0" w:color="auto"/>
        <w:right w:val="none" w:sz="0" w:space="0" w:color="auto"/>
      </w:divBdr>
    </w:div>
    <w:div w:id="54550726">
      <w:bodyDiv w:val="1"/>
      <w:marLeft w:val="0"/>
      <w:marRight w:val="0"/>
      <w:marTop w:val="0"/>
      <w:marBottom w:val="0"/>
      <w:divBdr>
        <w:top w:val="none" w:sz="0" w:space="0" w:color="auto"/>
        <w:left w:val="none" w:sz="0" w:space="0" w:color="auto"/>
        <w:bottom w:val="none" w:sz="0" w:space="0" w:color="auto"/>
        <w:right w:val="none" w:sz="0" w:space="0" w:color="auto"/>
      </w:divBdr>
    </w:div>
    <w:div w:id="54861333">
      <w:bodyDiv w:val="1"/>
      <w:marLeft w:val="0"/>
      <w:marRight w:val="0"/>
      <w:marTop w:val="0"/>
      <w:marBottom w:val="0"/>
      <w:divBdr>
        <w:top w:val="none" w:sz="0" w:space="0" w:color="auto"/>
        <w:left w:val="none" w:sz="0" w:space="0" w:color="auto"/>
        <w:bottom w:val="none" w:sz="0" w:space="0" w:color="auto"/>
        <w:right w:val="none" w:sz="0" w:space="0" w:color="auto"/>
      </w:divBdr>
    </w:div>
    <w:div w:id="55204456">
      <w:bodyDiv w:val="1"/>
      <w:marLeft w:val="0"/>
      <w:marRight w:val="0"/>
      <w:marTop w:val="0"/>
      <w:marBottom w:val="0"/>
      <w:divBdr>
        <w:top w:val="none" w:sz="0" w:space="0" w:color="auto"/>
        <w:left w:val="none" w:sz="0" w:space="0" w:color="auto"/>
        <w:bottom w:val="none" w:sz="0" w:space="0" w:color="auto"/>
        <w:right w:val="none" w:sz="0" w:space="0" w:color="auto"/>
      </w:divBdr>
    </w:div>
    <w:div w:id="57480199">
      <w:bodyDiv w:val="1"/>
      <w:marLeft w:val="0"/>
      <w:marRight w:val="0"/>
      <w:marTop w:val="0"/>
      <w:marBottom w:val="0"/>
      <w:divBdr>
        <w:top w:val="none" w:sz="0" w:space="0" w:color="auto"/>
        <w:left w:val="none" w:sz="0" w:space="0" w:color="auto"/>
        <w:bottom w:val="none" w:sz="0" w:space="0" w:color="auto"/>
        <w:right w:val="none" w:sz="0" w:space="0" w:color="auto"/>
      </w:divBdr>
    </w:div>
    <w:div w:id="57632256">
      <w:bodyDiv w:val="1"/>
      <w:marLeft w:val="0"/>
      <w:marRight w:val="0"/>
      <w:marTop w:val="0"/>
      <w:marBottom w:val="0"/>
      <w:divBdr>
        <w:top w:val="none" w:sz="0" w:space="0" w:color="auto"/>
        <w:left w:val="none" w:sz="0" w:space="0" w:color="auto"/>
        <w:bottom w:val="none" w:sz="0" w:space="0" w:color="auto"/>
        <w:right w:val="none" w:sz="0" w:space="0" w:color="auto"/>
      </w:divBdr>
    </w:div>
    <w:div w:id="58478239">
      <w:bodyDiv w:val="1"/>
      <w:marLeft w:val="0"/>
      <w:marRight w:val="0"/>
      <w:marTop w:val="0"/>
      <w:marBottom w:val="0"/>
      <w:divBdr>
        <w:top w:val="none" w:sz="0" w:space="0" w:color="auto"/>
        <w:left w:val="none" w:sz="0" w:space="0" w:color="auto"/>
        <w:bottom w:val="none" w:sz="0" w:space="0" w:color="auto"/>
        <w:right w:val="none" w:sz="0" w:space="0" w:color="auto"/>
      </w:divBdr>
    </w:div>
    <w:div w:id="59796140">
      <w:bodyDiv w:val="1"/>
      <w:marLeft w:val="0"/>
      <w:marRight w:val="0"/>
      <w:marTop w:val="0"/>
      <w:marBottom w:val="0"/>
      <w:divBdr>
        <w:top w:val="none" w:sz="0" w:space="0" w:color="auto"/>
        <w:left w:val="none" w:sz="0" w:space="0" w:color="auto"/>
        <w:bottom w:val="none" w:sz="0" w:space="0" w:color="auto"/>
        <w:right w:val="none" w:sz="0" w:space="0" w:color="auto"/>
      </w:divBdr>
    </w:div>
    <w:div w:id="60174320">
      <w:bodyDiv w:val="1"/>
      <w:marLeft w:val="0"/>
      <w:marRight w:val="0"/>
      <w:marTop w:val="0"/>
      <w:marBottom w:val="0"/>
      <w:divBdr>
        <w:top w:val="none" w:sz="0" w:space="0" w:color="auto"/>
        <w:left w:val="none" w:sz="0" w:space="0" w:color="auto"/>
        <w:bottom w:val="none" w:sz="0" w:space="0" w:color="auto"/>
        <w:right w:val="none" w:sz="0" w:space="0" w:color="auto"/>
      </w:divBdr>
    </w:div>
    <w:div w:id="63068491">
      <w:bodyDiv w:val="1"/>
      <w:marLeft w:val="0"/>
      <w:marRight w:val="0"/>
      <w:marTop w:val="0"/>
      <w:marBottom w:val="0"/>
      <w:divBdr>
        <w:top w:val="none" w:sz="0" w:space="0" w:color="auto"/>
        <w:left w:val="none" w:sz="0" w:space="0" w:color="auto"/>
        <w:bottom w:val="none" w:sz="0" w:space="0" w:color="auto"/>
        <w:right w:val="none" w:sz="0" w:space="0" w:color="auto"/>
      </w:divBdr>
    </w:div>
    <w:div w:id="63920198">
      <w:bodyDiv w:val="1"/>
      <w:marLeft w:val="0"/>
      <w:marRight w:val="0"/>
      <w:marTop w:val="0"/>
      <w:marBottom w:val="0"/>
      <w:divBdr>
        <w:top w:val="none" w:sz="0" w:space="0" w:color="auto"/>
        <w:left w:val="none" w:sz="0" w:space="0" w:color="auto"/>
        <w:bottom w:val="none" w:sz="0" w:space="0" w:color="auto"/>
        <w:right w:val="none" w:sz="0" w:space="0" w:color="auto"/>
      </w:divBdr>
    </w:div>
    <w:div w:id="64226461">
      <w:bodyDiv w:val="1"/>
      <w:marLeft w:val="0"/>
      <w:marRight w:val="0"/>
      <w:marTop w:val="0"/>
      <w:marBottom w:val="0"/>
      <w:divBdr>
        <w:top w:val="none" w:sz="0" w:space="0" w:color="auto"/>
        <w:left w:val="none" w:sz="0" w:space="0" w:color="auto"/>
        <w:bottom w:val="none" w:sz="0" w:space="0" w:color="auto"/>
        <w:right w:val="none" w:sz="0" w:space="0" w:color="auto"/>
      </w:divBdr>
    </w:div>
    <w:div w:id="64229360">
      <w:bodyDiv w:val="1"/>
      <w:marLeft w:val="0"/>
      <w:marRight w:val="0"/>
      <w:marTop w:val="0"/>
      <w:marBottom w:val="0"/>
      <w:divBdr>
        <w:top w:val="none" w:sz="0" w:space="0" w:color="auto"/>
        <w:left w:val="none" w:sz="0" w:space="0" w:color="auto"/>
        <w:bottom w:val="none" w:sz="0" w:space="0" w:color="auto"/>
        <w:right w:val="none" w:sz="0" w:space="0" w:color="auto"/>
      </w:divBdr>
    </w:div>
    <w:div w:id="64375402">
      <w:bodyDiv w:val="1"/>
      <w:marLeft w:val="0"/>
      <w:marRight w:val="0"/>
      <w:marTop w:val="0"/>
      <w:marBottom w:val="0"/>
      <w:divBdr>
        <w:top w:val="none" w:sz="0" w:space="0" w:color="auto"/>
        <w:left w:val="none" w:sz="0" w:space="0" w:color="auto"/>
        <w:bottom w:val="none" w:sz="0" w:space="0" w:color="auto"/>
        <w:right w:val="none" w:sz="0" w:space="0" w:color="auto"/>
      </w:divBdr>
    </w:div>
    <w:div w:id="66072958">
      <w:bodyDiv w:val="1"/>
      <w:marLeft w:val="0"/>
      <w:marRight w:val="0"/>
      <w:marTop w:val="0"/>
      <w:marBottom w:val="0"/>
      <w:divBdr>
        <w:top w:val="none" w:sz="0" w:space="0" w:color="auto"/>
        <w:left w:val="none" w:sz="0" w:space="0" w:color="auto"/>
        <w:bottom w:val="none" w:sz="0" w:space="0" w:color="auto"/>
        <w:right w:val="none" w:sz="0" w:space="0" w:color="auto"/>
      </w:divBdr>
    </w:div>
    <w:div w:id="66390424">
      <w:bodyDiv w:val="1"/>
      <w:marLeft w:val="0"/>
      <w:marRight w:val="0"/>
      <w:marTop w:val="0"/>
      <w:marBottom w:val="0"/>
      <w:divBdr>
        <w:top w:val="none" w:sz="0" w:space="0" w:color="auto"/>
        <w:left w:val="none" w:sz="0" w:space="0" w:color="auto"/>
        <w:bottom w:val="none" w:sz="0" w:space="0" w:color="auto"/>
        <w:right w:val="none" w:sz="0" w:space="0" w:color="auto"/>
      </w:divBdr>
    </w:div>
    <w:div w:id="69281531">
      <w:bodyDiv w:val="1"/>
      <w:marLeft w:val="0"/>
      <w:marRight w:val="0"/>
      <w:marTop w:val="0"/>
      <w:marBottom w:val="0"/>
      <w:divBdr>
        <w:top w:val="none" w:sz="0" w:space="0" w:color="auto"/>
        <w:left w:val="none" w:sz="0" w:space="0" w:color="auto"/>
        <w:bottom w:val="none" w:sz="0" w:space="0" w:color="auto"/>
        <w:right w:val="none" w:sz="0" w:space="0" w:color="auto"/>
      </w:divBdr>
    </w:div>
    <w:div w:id="69547707">
      <w:bodyDiv w:val="1"/>
      <w:marLeft w:val="0"/>
      <w:marRight w:val="0"/>
      <w:marTop w:val="0"/>
      <w:marBottom w:val="0"/>
      <w:divBdr>
        <w:top w:val="none" w:sz="0" w:space="0" w:color="auto"/>
        <w:left w:val="none" w:sz="0" w:space="0" w:color="auto"/>
        <w:bottom w:val="none" w:sz="0" w:space="0" w:color="auto"/>
        <w:right w:val="none" w:sz="0" w:space="0" w:color="auto"/>
      </w:divBdr>
    </w:div>
    <w:div w:id="69620763">
      <w:bodyDiv w:val="1"/>
      <w:marLeft w:val="0"/>
      <w:marRight w:val="0"/>
      <w:marTop w:val="0"/>
      <w:marBottom w:val="0"/>
      <w:divBdr>
        <w:top w:val="none" w:sz="0" w:space="0" w:color="auto"/>
        <w:left w:val="none" w:sz="0" w:space="0" w:color="auto"/>
        <w:bottom w:val="none" w:sz="0" w:space="0" w:color="auto"/>
        <w:right w:val="none" w:sz="0" w:space="0" w:color="auto"/>
      </w:divBdr>
    </w:div>
    <w:div w:id="70010622">
      <w:bodyDiv w:val="1"/>
      <w:marLeft w:val="0"/>
      <w:marRight w:val="0"/>
      <w:marTop w:val="0"/>
      <w:marBottom w:val="0"/>
      <w:divBdr>
        <w:top w:val="none" w:sz="0" w:space="0" w:color="auto"/>
        <w:left w:val="none" w:sz="0" w:space="0" w:color="auto"/>
        <w:bottom w:val="none" w:sz="0" w:space="0" w:color="auto"/>
        <w:right w:val="none" w:sz="0" w:space="0" w:color="auto"/>
      </w:divBdr>
    </w:div>
    <w:div w:id="72165697">
      <w:bodyDiv w:val="1"/>
      <w:marLeft w:val="0"/>
      <w:marRight w:val="0"/>
      <w:marTop w:val="0"/>
      <w:marBottom w:val="0"/>
      <w:divBdr>
        <w:top w:val="none" w:sz="0" w:space="0" w:color="auto"/>
        <w:left w:val="none" w:sz="0" w:space="0" w:color="auto"/>
        <w:bottom w:val="none" w:sz="0" w:space="0" w:color="auto"/>
        <w:right w:val="none" w:sz="0" w:space="0" w:color="auto"/>
      </w:divBdr>
    </w:div>
    <w:div w:id="75175526">
      <w:bodyDiv w:val="1"/>
      <w:marLeft w:val="0"/>
      <w:marRight w:val="0"/>
      <w:marTop w:val="0"/>
      <w:marBottom w:val="0"/>
      <w:divBdr>
        <w:top w:val="none" w:sz="0" w:space="0" w:color="auto"/>
        <w:left w:val="none" w:sz="0" w:space="0" w:color="auto"/>
        <w:bottom w:val="none" w:sz="0" w:space="0" w:color="auto"/>
        <w:right w:val="none" w:sz="0" w:space="0" w:color="auto"/>
      </w:divBdr>
    </w:div>
    <w:div w:id="76480936">
      <w:bodyDiv w:val="1"/>
      <w:marLeft w:val="0"/>
      <w:marRight w:val="0"/>
      <w:marTop w:val="0"/>
      <w:marBottom w:val="0"/>
      <w:divBdr>
        <w:top w:val="none" w:sz="0" w:space="0" w:color="auto"/>
        <w:left w:val="none" w:sz="0" w:space="0" w:color="auto"/>
        <w:bottom w:val="none" w:sz="0" w:space="0" w:color="auto"/>
        <w:right w:val="none" w:sz="0" w:space="0" w:color="auto"/>
      </w:divBdr>
    </w:div>
    <w:div w:id="76943986">
      <w:bodyDiv w:val="1"/>
      <w:marLeft w:val="0"/>
      <w:marRight w:val="0"/>
      <w:marTop w:val="0"/>
      <w:marBottom w:val="0"/>
      <w:divBdr>
        <w:top w:val="none" w:sz="0" w:space="0" w:color="auto"/>
        <w:left w:val="none" w:sz="0" w:space="0" w:color="auto"/>
        <w:bottom w:val="none" w:sz="0" w:space="0" w:color="auto"/>
        <w:right w:val="none" w:sz="0" w:space="0" w:color="auto"/>
      </w:divBdr>
    </w:div>
    <w:div w:id="77556386">
      <w:bodyDiv w:val="1"/>
      <w:marLeft w:val="0"/>
      <w:marRight w:val="0"/>
      <w:marTop w:val="0"/>
      <w:marBottom w:val="0"/>
      <w:divBdr>
        <w:top w:val="none" w:sz="0" w:space="0" w:color="auto"/>
        <w:left w:val="none" w:sz="0" w:space="0" w:color="auto"/>
        <w:bottom w:val="none" w:sz="0" w:space="0" w:color="auto"/>
        <w:right w:val="none" w:sz="0" w:space="0" w:color="auto"/>
      </w:divBdr>
    </w:div>
    <w:div w:id="78066538">
      <w:bodyDiv w:val="1"/>
      <w:marLeft w:val="0"/>
      <w:marRight w:val="0"/>
      <w:marTop w:val="0"/>
      <w:marBottom w:val="0"/>
      <w:divBdr>
        <w:top w:val="none" w:sz="0" w:space="0" w:color="auto"/>
        <w:left w:val="none" w:sz="0" w:space="0" w:color="auto"/>
        <w:bottom w:val="none" w:sz="0" w:space="0" w:color="auto"/>
        <w:right w:val="none" w:sz="0" w:space="0" w:color="auto"/>
      </w:divBdr>
    </w:div>
    <w:div w:id="78793771">
      <w:bodyDiv w:val="1"/>
      <w:marLeft w:val="0"/>
      <w:marRight w:val="0"/>
      <w:marTop w:val="0"/>
      <w:marBottom w:val="0"/>
      <w:divBdr>
        <w:top w:val="none" w:sz="0" w:space="0" w:color="auto"/>
        <w:left w:val="none" w:sz="0" w:space="0" w:color="auto"/>
        <w:bottom w:val="none" w:sz="0" w:space="0" w:color="auto"/>
        <w:right w:val="none" w:sz="0" w:space="0" w:color="auto"/>
      </w:divBdr>
    </w:div>
    <w:div w:id="79253053">
      <w:bodyDiv w:val="1"/>
      <w:marLeft w:val="0"/>
      <w:marRight w:val="0"/>
      <w:marTop w:val="0"/>
      <w:marBottom w:val="0"/>
      <w:divBdr>
        <w:top w:val="none" w:sz="0" w:space="0" w:color="auto"/>
        <w:left w:val="none" w:sz="0" w:space="0" w:color="auto"/>
        <w:bottom w:val="none" w:sz="0" w:space="0" w:color="auto"/>
        <w:right w:val="none" w:sz="0" w:space="0" w:color="auto"/>
      </w:divBdr>
    </w:div>
    <w:div w:id="81804964">
      <w:bodyDiv w:val="1"/>
      <w:marLeft w:val="0"/>
      <w:marRight w:val="0"/>
      <w:marTop w:val="0"/>
      <w:marBottom w:val="0"/>
      <w:divBdr>
        <w:top w:val="none" w:sz="0" w:space="0" w:color="auto"/>
        <w:left w:val="none" w:sz="0" w:space="0" w:color="auto"/>
        <w:bottom w:val="none" w:sz="0" w:space="0" w:color="auto"/>
        <w:right w:val="none" w:sz="0" w:space="0" w:color="auto"/>
      </w:divBdr>
    </w:div>
    <w:div w:id="82530223">
      <w:bodyDiv w:val="1"/>
      <w:marLeft w:val="0"/>
      <w:marRight w:val="0"/>
      <w:marTop w:val="0"/>
      <w:marBottom w:val="0"/>
      <w:divBdr>
        <w:top w:val="none" w:sz="0" w:space="0" w:color="auto"/>
        <w:left w:val="none" w:sz="0" w:space="0" w:color="auto"/>
        <w:bottom w:val="none" w:sz="0" w:space="0" w:color="auto"/>
        <w:right w:val="none" w:sz="0" w:space="0" w:color="auto"/>
      </w:divBdr>
    </w:div>
    <w:div w:id="84345560">
      <w:bodyDiv w:val="1"/>
      <w:marLeft w:val="0"/>
      <w:marRight w:val="0"/>
      <w:marTop w:val="0"/>
      <w:marBottom w:val="0"/>
      <w:divBdr>
        <w:top w:val="none" w:sz="0" w:space="0" w:color="auto"/>
        <w:left w:val="none" w:sz="0" w:space="0" w:color="auto"/>
        <w:bottom w:val="none" w:sz="0" w:space="0" w:color="auto"/>
        <w:right w:val="none" w:sz="0" w:space="0" w:color="auto"/>
      </w:divBdr>
    </w:div>
    <w:div w:id="85466306">
      <w:bodyDiv w:val="1"/>
      <w:marLeft w:val="0"/>
      <w:marRight w:val="0"/>
      <w:marTop w:val="0"/>
      <w:marBottom w:val="0"/>
      <w:divBdr>
        <w:top w:val="none" w:sz="0" w:space="0" w:color="auto"/>
        <w:left w:val="none" w:sz="0" w:space="0" w:color="auto"/>
        <w:bottom w:val="none" w:sz="0" w:space="0" w:color="auto"/>
        <w:right w:val="none" w:sz="0" w:space="0" w:color="auto"/>
      </w:divBdr>
    </w:div>
    <w:div w:id="85807820">
      <w:bodyDiv w:val="1"/>
      <w:marLeft w:val="0"/>
      <w:marRight w:val="0"/>
      <w:marTop w:val="0"/>
      <w:marBottom w:val="0"/>
      <w:divBdr>
        <w:top w:val="none" w:sz="0" w:space="0" w:color="auto"/>
        <w:left w:val="none" w:sz="0" w:space="0" w:color="auto"/>
        <w:bottom w:val="none" w:sz="0" w:space="0" w:color="auto"/>
        <w:right w:val="none" w:sz="0" w:space="0" w:color="auto"/>
      </w:divBdr>
    </w:div>
    <w:div w:id="86464062">
      <w:bodyDiv w:val="1"/>
      <w:marLeft w:val="0"/>
      <w:marRight w:val="0"/>
      <w:marTop w:val="0"/>
      <w:marBottom w:val="0"/>
      <w:divBdr>
        <w:top w:val="none" w:sz="0" w:space="0" w:color="auto"/>
        <w:left w:val="none" w:sz="0" w:space="0" w:color="auto"/>
        <w:bottom w:val="none" w:sz="0" w:space="0" w:color="auto"/>
        <w:right w:val="none" w:sz="0" w:space="0" w:color="auto"/>
      </w:divBdr>
    </w:div>
    <w:div w:id="87703075">
      <w:bodyDiv w:val="1"/>
      <w:marLeft w:val="0"/>
      <w:marRight w:val="0"/>
      <w:marTop w:val="0"/>
      <w:marBottom w:val="0"/>
      <w:divBdr>
        <w:top w:val="none" w:sz="0" w:space="0" w:color="auto"/>
        <w:left w:val="none" w:sz="0" w:space="0" w:color="auto"/>
        <w:bottom w:val="none" w:sz="0" w:space="0" w:color="auto"/>
        <w:right w:val="none" w:sz="0" w:space="0" w:color="auto"/>
      </w:divBdr>
    </w:div>
    <w:div w:id="90900890">
      <w:bodyDiv w:val="1"/>
      <w:marLeft w:val="0"/>
      <w:marRight w:val="0"/>
      <w:marTop w:val="0"/>
      <w:marBottom w:val="0"/>
      <w:divBdr>
        <w:top w:val="none" w:sz="0" w:space="0" w:color="auto"/>
        <w:left w:val="none" w:sz="0" w:space="0" w:color="auto"/>
        <w:bottom w:val="none" w:sz="0" w:space="0" w:color="auto"/>
        <w:right w:val="none" w:sz="0" w:space="0" w:color="auto"/>
      </w:divBdr>
    </w:div>
    <w:div w:id="93986798">
      <w:bodyDiv w:val="1"/>
      <w:marLeft w:val="0"/>
      <w:marRight w:val="0"/>
      <w:marTop w:val="0"/>
      <w:marBottom w:val="0"/>
      <w:divBdr>
        <w:top w:val="none" w:sz="0" w:space="0" w:color="auto"/>
        <w:left w:val="none" w:sz="0" w:space="0" w:color="auto"/>
        <w:bottom w:val="none" w:sz="0" w:space="0" w:color="auto"/>
        <w:right w:val="none" w:sz="0" w:space="0" w:color="auto"/>
      </w:divBdr>
    </w:div>
    <w:div w:id="94596943">
      <w:bodyDiv w:val="1"/>
      <w:marLeft w:val="0"/>
      <w:marRight w:val="0"/>
      <w:marTop w:val="0"/>
      <w:marBottom w:val="0"/>
      <w:divBdr>
        <w:top w:val="none" w:sz="0" w:space="0" w:color="auto"/>
        <w:left w:val="none" w:sz="0" w:space="0" w:color="auto"/>
        <w:bottom w:val="none" w:sz="0" w:space="0" w:color="auto"/>
        <w:right w:val="none" w:sz="0" w:space="0" w:color="auto"/>
      </w:divBdr>
    </w:div>
    <w:div w:id="95761007">
      <w:bodyDiv w:val="1"/>
      <w:marLeft w:val="0"/>
      <w:marRight w:val="0"/>
      <w:marTop w:val="0"/>
      <w:marBottom w:val="0"/>
      <w:divBdr>
        <w:top w:val="none" w:sz="0" w:space="0" w:color="auto"/>
        <w:left w:val="none" w:sz="0" w:space="0" w:color="auto"/>
        <w:bottom w:val="none" w:sz="0" w:space="0" w:color="auto"/>
        <w:right w:val="none" w:sz="0" w:space="0" w:color="auto"/>
      </w:divBdr>
    </w:div>
    <w:div w:id="97726730">
      <w:bodyDiv w:val="1"/>
      <w:marLeft w:val="0"/>
      <w:marRight w:val="0"/>
      <w:marTop w:val="0"/>
      <w:marBottom w:val="0"/>
      <w:divBdr>
        <w:top w:val="none" w:sz="0" w:space="0" w:color="auto"/>
        <w:left w:val="none" w:sz="0" w:space="0" w:color="auto"/>
        <w:bottom w:val="none" w:sz="0" w:space="0" w:color="auto"/>
        <w:right w:val="none" w:sz="0" w:space="0" w:color="auto"/>
      </w:divBdr>
    </w:div>
    <w:div w:id="97868989">
      <w:bodyDiv w:val="1"/>
      <w:marLeft w:val="0"/>
      <w:marRight w:val="0"/>
      <w:marTop w:val="0"/>
      <w:marBottom w:val="0"/>
      <w:divBdr>
        <w:top w:val="none" w:sz="0" w:space="0" w:color="auto"/>
        <w:left w:val="none" w:sz="0" w:space="0" w:color="auto"/>
        <w:bottom w:val="none" w:sz="0" w:space="0" w:color="auto"/>
        <w:right w:val="none" w:sz="0" w:space="0" w:color="auto"/>
      </w:divBdr>
    </w:div>
    <w:div w:id="98718242">
      <w:bodyDiv w:val="1"/>
      <w:marLeft w:val="0"/>
      <w:marRight w:val="0"/>
      <w:marTop w:val="0"/>
      <w:marBottom w:val="0"/>
      <w:divBdr>
        <w:top w:val="none" w:sz="0" w:space="0" w:color="auto"/>
        <w:left w:val="none" w:sz="0" w:space="0" w:color="auto"/>
        <w:bottom w:val="none" w:sz="0" w:space="0" w:color="auto"/>
        <w:right w:val="none" w:sz="0" w:space="0" w:color="auto"/>
      </w:divBdr>
    </w:div>
    <w:div w:id="99298346">
      <w:bodyDiv w:val="1"/>
      <w:marLeft w:val="0"/>
      <w:marRight w:val="0"/>
      <w:marTop w:val="0"/>
      <w:marBottom w:val="0"/>
      <w:divBdr>
        <w:top w:val="none" w:sz="0" w:space="0" w:color="auto"/>
        <w:left w:val="none" w:sz="0" w:space="0" w:color="auto"/>
        <w:bottom w:val="none" w:sz="0" w:space="0" w:color="auto"/>
        <w:right w:val="none" w:sz="0" w:space="0" w:color="auto"/>
      </w:divBdr>
    </w:div>
    <w:div w:id="99299118">
      <w:bodyDiv w:val="1"/>
      <w:marLeft w:val="0"/>
      <w:marRight w:val="0"/>
      <w:marTop w:val="0"/>
      <w:marBottom w:val="0"/>
      <w:divBdr>
        <w:top w:val="none" w:sz="0" w:space="0" w:color="auto"/>
        <w:left w:val="none" w:sz="0" w:space="0" w:color="auto"/>
        <w:bottom w:val="none" w:sz="0" w:space="0" w:color="auto"/>
        <w:right w:val="none" w:sz="0" w:space="0" w:color="auto"/>
      </w:divBdr>
    </w:div>
    <w:div w:id="100297774">
      <w:bodyDiv w:val="1"/>
      <w:marLeft w:val="0"/>
      <w:marRight w:val="0"/>
      <w:marTop w:val="0"/>
      <w:marBottom w:val="0"/>
      <w:divBdr>
        <w:top w:val="none" w:sz="0" w:space="0" w:color="auto"/>
        <w:left w:val="none" w:sz="0" w:space="0" w:color="auto"/>
        <w:bottom w:val="none" w:sz="0" w:space="0" w:color="auto"/>
        <w:right w:val="none" w:sz="0" w:space="0" w:color="auto"/>
      </w:divBdr>
    </w:div>
    <w:div w:id="101191537">
      <w:bodyDiv w:val="1"/>
      <w:marLeft w:val="0"/>
      <w:marRight w:val="0"/>
      <w:marTop w:val="0"/>
      <w:marBottom w:val="0"/>
      <w:divBdr>
        <w:top w:val="none" w:sz="0" w:space="0" w:color="auto"/>
        <w:left w:val="none" w:sz="0" w:space="0" w:color="auto"/>
        <w:bottom w:val="none" w:sz="0" w:space="0" w:color="auto"/>
        <w:right w:val="none" w:sz="0" w:space="0" w:color="auto"/>
      </w:divBdr>
    </w:div>
    <w:div w:id="101651926">
      <w:bodyDiv w:val="1"/>
      <w:marLeft w:val="0"/>
      <w:marRight w:val="0"/>
      <w:marTop w:val="0"/>
      <w:marBottom w:val="0"/>
      <w:divBdr>
        <w:top w:val="none" w:sz="0" w:space="0" w:color="auto"/>
        <w:left w:val="none" w:sz="0" w:space="0" w:color="auto"/>
        <w:bottom w:val="none" w:sz="0" w:space="0" w:color="auto"/>
        <w:right w:val="none" w:sz="0" w:space="0" w:color="auto"/>
      </w:divBdr>
    </w:div>
    <w:div w:id="103769067">
      <w:bodyDiv w:val="1"/>
      <w:marLeft w:val="0"/>
      <w:marRight w:val="0"/>
      <w:marTop w:val="0"/>
      <w:marBottom w:val="0"/>
      <w:divBdr>
        <w:top w:val="none" w:sz="0" w:space="0" w:color="auto"/>
        <w:left w:val="none" w:sz="0" w:space="0" w:color="auto"/>
        <w:bottom w:val="none" w:sz="0" w:space="0" w:color="auto"/>
        <w:right w:val="none" w:sz="0" w:space="0" w:color="auto"/>
      </w:divBdr>
    </w:div>
    <w:div w:id="104425358">
      <w:bodyDiv w:val="1"/>
      <w:marLeft w:val="0"/>
      <w:marRight w:val="0"/>
      <w:marTop w:val="0"/>
      <w:marBottom w:val="0"/>
      <w:divBdr>
        <w:top w:val="none" w:sz="0" w:space="0" w:color="auto"/>
        <w:left w:val="none" w:sz="0" w:space="0" w:color="auto"/>
        <w:bottom w:val="none" w:sz="0" w:space="0" w:color="auto"/>
        <w:right w:val="none" w:sz="0" w:space="0" w:color="auto"/>
      </w:divBdr>
    </w:div>
    <w:div w:id="105005262">
      <w:bodyDiv w:val="1"/>
      <w:marLeft w:val="0"/>
      <w:marRight w:val="0"/>
      <w:marTop w:val="0"/>
      <w:marBottom w:val="0"/>
      <w:divBdr>
        <w:top w:val="none" w:sz="0" w:space="0" w:color="auto"/>
        <w:left w:val="none" w:sz="0" w:space="0" w:color="auto"/>
        <w:bottom w:val="none" w:sz="0" w:space="0" w:color="auto"/>
        <w:right w:val="none" w:sz="0" w:space="0" w:color="auto"/>
      </w:divBdr>
    </w:div>
    <w:div w:id="105082614">
      <w:bodyDiv w:val="1"/>
      <w:marLeft w:val="0"/>
      <w:marRight w:val="0"/>
      <w:marTop w:val="0"/>
      <w:marBottom w:val="0"/>
      <w:divBdr>
        <w:top w:val="none" w:sz="0" w:space="0" w:color="auto"/>
        <w:left w:val="none" w:sz="0" w:space="0" w:color="auto"/>
        <w:bottom w:val="none" w:sz="0" w:space="0" w:color="auto"/>
        <w:right w:val="none" w:sz="0" w:space="0" w:color="auto"/>
      </w:divBdr>
    </w:div>
    <w:div w:id="105120882">
      <w:bodyDiv w:val="1"/>
      <w:marLeft w:val="0"/>
      <w:marRight w:val="0"/>
      <w:marTop w:val="0"/>
      <w:marBottom w:val="0"/>
      <w:divBdr>
        <w:top w:val="none" w:sz="0" w:space="0" w:color="auto"/>
        <w:left w:val="none" w:sz="0" w:space="0" w:color="auto"/>
        <w:bottom w:val="none" w:sz="0" w:space="0" w:color="auto"/>
        <w:right w:val="none" w:sz="0" w:space="0" w:color="auto"/>
      </w:divBdr>
    </w:div>
    <w:div w:id="105195681">
      <w:bodyDiv w:val="1"/>
      <w:marLeft w:val="0"/>
      <w:marRight w:val="0"/>
      <w:marTop w:val="0"/>
      <w:marBottom w:val="0"/>
      <w:divBdr>
        <w:top w:val="none" w:sz="0" w:space="0" w:color="auto"/>
        <w:left w:val="none" w:sz="0" w:space="0" w:color="auto"/>
        <w:bottom w:val="none" w:sz="0" w:space="0" w:color="auto"/>
        <w:right w:val="none" w:sz="0" w:space="0" w:color="auto"/>
      </w:divBdr>
    </w:div>
    <w:div w:id="108359291">
      <w:bodyDiv w:val="1"/>
      <w:marLeft w:val="0"/>
      <w:marRight w:val="0"/>
      <w:marTop w:val="0"/>
      <w:marBottom w:val="0"/>
      <w:divBdr>
        <w:top w:val="none" w:sz="0" w:space="0" w:color="auto"/>
        <w:left w:val="none" w:sz="0" w:space="0" w:color="auto"/>
        <w:bottom w:val="none" w:sz="0" w:space="0" w:color="auto"/>
        <w:right w:val="none" w:sz="0" w:space="0" w:color="auto"/>
      </w:divBdr>
    </w:div>
    <w:div w:id="108673097">
      <w:bodyDiv w:val="1"/>
      <w:marLeft w:val="0"/>
      <w:marRight w:val="0"/>
      <w:marTop w:val="0"/>
      <w:marBottom w:val="0"/>
      <w:divBdr>
        <w:top w:val="none" w:sz="0" w:space="0" w:color="auto"/>
        <w:left w:val="none" w:sz="0" w:space="0" w:color="auto"/>
        <w:bottom w:val="none" w:sz="0" w:space="0" w:color="auto"/>
        <w:right w:val="none" w:sz="0" w:space="0" w:color="auto"/>
      </w:divBdr>
    </w:div>
    <w:div w:id="108743369">
      <w:bodyDiv w:val="1"/>
      <w:marLeft w:val="0"/>
      <w:marRight w:val="0"/>
      <w:marTop w:val="0"/>
      <w:marBottom w:val="0"/>
      <w:divBdr>
        <w:top w:val="none" w:sz="0" w:space="0" w:color="auto"/>
        <w:left w:val="none" w:sz="0" w:space="0" w:color="auto"/>
        <w:bottom w:val="none" w:sz="0" w:space="0" w:color="auto"/>
        <w:right w:val="none" w:sz="0" w:space="0" w:color="auto"/>
      </w:divBdr>
    </w:div>
    <w:div w:id="109323148">
      <w:bodyDiv w:val="1"/>
      <w:marLeft w:val="0"/>
      <w:marRight w:val="0"/>
      <w:marTop w:val="0"/>
      <w:marBottom w:val="0"/>
      <w:divBdr>
        <w:top w:val="none" w:sz="0" w:space="0" w:color="auto"/>
        <w:left w:val="none" w:sz="0" w:space="0" w:color="auto"/>
        <w:bottom w:val="none" w:sz="0" w:space="0" w:color="auto"/>
        <w:right w:val="none" w:sz="0" w:space="0" w:color="auto"/>
      </w:divBdr>
    </w:div>
    <w:div w:id="110059096">
      <w:bodyDiv w:val="1"/>
      <w:marLeft w:val="0"/>
      <w:marRight w:val="0"/>
      <w:marTop w:val="0"/>
      <w:marBottom w:val="0"/>
      <w:divBdr>
        <w:top w:val="none" w:sz="0" w:space="0" w:color="auto"/>
        <w:left w:val="none" w:sz="0" w:space="0" w:color="auto"/>
        <w:bottom w:val="none" w:sz="0" w:space="0" w:color="auto"/>
        <w:right w:val="none" w:sz="0" w:space="0" w:color="auto"/>
      </w:divBdr>
    </w:div>
    <w:div w:id="112864638">
      <w:bodyDiv w:val="1"/>
      <w:marLeft w:val="0"/>
      <w:marRight w:val="0"/>
      <w:marTop w:val="0"/>
      <w:marBottom w:val="0"/>
      <w:divBdr>
        <w:top w:val="none" w:sz="0" w:space="0" w:color="auto"/>
        <w:left w:val="none" w:sz="0" w:space="0" w:color="auto"/>
        <w:bottom w:val="none" w:sz="0" w:space="0" w:color="auto"/>
        <w:right w:val="none" w:sz="0" w:space="0" w:color="auto"/>
      </w:divBdr>
    </w:div>
    <w:div w:id="116527604">
      <w:bodyDiv w:val="1"/>
      <w:marLeft w:val="0"/>
      <w:marRight w:val="0"/>
      <w:marTop w:val="0"/>
      <w:marBottom w:val="0"/>
      <w:divBdr>
        <w:top w:val="none" w:sz="0" w:space="0" w:color="auto"/>
        <w:left w:val="none" w:sz="0" w:space="0" w:color="auto"/>
        <w:bottom w:val="none" w:sz="0" w:space="0" w:color="auto"/>
        <w:right w:val="none" w:sz="0" w:space="0" w:color="auto"/>
      </w:divBdr>
    </w:div>
    <w:div w:id="116531586">
      <w:bodyDiv w:val="1"/>
      <w:marLeft w:val="0"/>
      <w:marRight w:val="0"/>
      <w:marTop w:val="0"/>
      <w:marBottom w:val="0"/>
      <w:divBdr>
        <w:top w:val="none" w:sz="0" w:space="0" w:color="auto"/>
        <w:left w:val="none" w:sz="0" w:space="0" w:color="auto"/>
        <w:bottom w:val="none" w:sz="0" w:space="0" w:color="auto"/>
        <w:right w:val="none" w:sz="0" w:space="0" w:color="auto"/>
      </w:divBdr>
    </w:div>
    <w:div w:id="116720782">
      <w:bodyDiv w:val="1"/>
      <w:marLeft w:val="0"/>
      <w:marRight w:val="0"/>
      <w:marTop w:val="0"/>
      <w:marBottom w:val="0"/>
      <w:divBdr>
        <w:top w:val="none" w:sz="0" w:space="0" w:color="auto"/>
        <w:left w:val="none" w:sz="0" w:space="0" w:color="auto"/>
        <w:bottom w:val="none" w:sz="0" w:space="0" w:color="auto"/>
        <w:right w:val="none" w:sz="0" w:space="0" w:color="auto"/>
      </w:divBdr>
    </w:div>
    <w:div w:id="117265873">
      <w:bodyDiv w:val="1"/>
      <w:marLeft w:val="0"/>
      <w:marRight w:val="0"/>
      <w:marTop w:val="0"/>
      <w:marBottom w:val="0"/>
      <w:divBdr>
        <w:top w:val="none" w:sz="0" w:space="0" w:color="auto"/>
        <w:left w:val="none" w:sz="0" w:space="0" w:color="auto"/>
        <w:bottom w:val="none" w:sz="0" w:space="0" w:color="auto"/>
        <w:right w:val="none" w:sz="0" w:space="0" w:color="auto"/>
      </w:divBdr>
    </w:div>
    <w:div w:id="117988557">
      <w:bodyDiv w:val="1"/>
      <w:marLeft w:val="0"/>
      <w:marRight w:val="0"/>
      <w:marTop w:val="0"/>
      <w:marBottom w:val="0"/>
      <w:divBdr>
        <w:top w:val="none" w:sz="0" w:space="0" w:color="auto"/>
        <w:left w:val="none" w:sz="0" w:space="0" w:color="auto"/>
        <w:bottom w:val="none" w:sz="0" w:space="0" w:color="auto"/>
        <w:right w:val="none" w:sz="0" w:space="0" w:color="auto"/>
      </w:divBdr>
    </w:div>
    <w:div w:id="118454618">
      <w:bodyDiv w:val="1"/>
      <w:marLeft w:val="0"/>
      <w:marRight w:val="0"/>
      <w:marTop w:val="0"/>
      <w:marBottom w:val="0"/>
      <w:divBdr>
        <w:top w:val="none" w:sz="0" w:space="0" w:color="auto"/>
        <w:left w:val="none" w:sz="0" w:space="0" w:color="auto"/>
        <w:bottom w:val="none" w:sz="0" w:space="0" w:color="auto"/>
        <w:right w:val="none" w:sz="0" w:space="0" w:color="auto"/>
      </w:divBdr>
    </w:div>
    <w:div w:id="118576712">
      <w:bodyDiv w:val="1"/>
      <w:marLeft w:val="0"/>
      <w:marRight w:val="0"/>
      <w:marTop w:val="0"/>
      <w:marBottom w:val="0"/>
      <w:divBdr>
        <w:top w:val="none" w:sz="0" w:space="0" w:color="auto"/>
        <w:left w:val="none" w:sz="0" w:space="0" w:color="auto"/>
        <w:bottom w:val="none" w:sz="0" w:space="0" w:color="auto"/>
        <w:right w:val="none" w:sz="0" w:space="0" w:color="auto"/>
      </w:divBdr>
    </w:div>
    <w:div w:id="119306169">
      <w:bodyDiv w:val="1"/>
      <w:marLeft w:val="0"/>
      <w:marRight w:val="0"/>
      <w:marTop w:val="0"/>
      <w:marBottom w:val="0"/>
      <w:divBdr>
        <w:top w:val="none" w:sz="0" w:space="0" w:color="auto"/>
        <w:left w:val="none" w:sz="0" w:space="0" w:color="auto"/>
        <w:bottom w:val="none" w:sz="0" w:space="0" w:color="auto"/>
        <w:right w:val="none" w:sz="0" w:space="0" w:color="auto"/>
      </w:divBdr>
    </w:div>
    <w:div w:id="119349764">
      <w:bodyDiv w:val="1"/>
      <w:marLeft w:val="0"/>
      <w:marRight w:val="0"/>
      <w:marTop w:val="0"/>
      <w:marBottom w:val="0"/>
      <w:divBdr>
        <w:top w:val="none" w:sz="0" w:space="0" w:color="auto"/>
        <w:left w:val="none" w:sz="0" w:space="0" w:color="auto"/>
        <w:bottom w:val="none" w:sz="0" w:space="0" w:color="auto"/>
        <w:right w:val="none" w:sz="0" w:space="0" w:color="auto"/>
      </w:divBdr>
    </w:div>
    <w:div w:id="120459914">
      <w:bodyDiv w:val="1"/>
      <w:marLeft w:val="0"/>
      <w:marRight w:val="0"/>
      <w:marTop w:val="0"/>
      <w:marBottom w:val="0"/>
      <w:divBdr>
        <w:top w:val="none" w:sz="0" w:space="0" w:color="auto"/>
        <w:left w:val="none" w:sz="0" w:space="0" w:color="auto"/>
        <w:bottom w:val="none" w:sz="0" w:space="0" w:color="auto"/>
        <w:right w:val="none" w:sz="0" w:space="0" w:color="auto"/>
      </w:divBdr>
    </w:div>
    <w:div w:id="121005005">
      <w:bodyDiv w:val="1"/>
      <w:marLeft w:val="0"/>
      <w:marRight w:val="0"/>
      <w:marTop w:val="0"/>
      <w:marBottom w:val="0"/>
      <w:divBdr>
        <w:top w:val="none" w:sz="0" w:space="0" w:color="auto"/>
        <w:left w:val="none" w:sz="0" w:space="0" w:color="auto"/>
        <w:bottom w:val="none" w:sz="0" w:space="0" w:color="auto"/>
        <w:right w:val="none" w:sz="0" w:space="0" w:color="auto"/>
      </w:divBdr>
    </w:div>
    <w:div w:id="121508882">
      <w:bodyDiv w:val="1"/>
      <w:marLeft w:val="0"/>
      <w:marRight w:val="0"/>
      <w:marTop w:val="0"/>
      <w:marBottom w:val="0"/>
      <w:divBdr>
        <w:top w:val="none" w:sz="0" w:space="0" w:color="auto"/>
        <w:left w:val="none" w:sz="0" w:space="0" w:color="auto"/>
        <w:bottom w:val="none" w:sz="0" w:space="0" w:color="auto"/>
        <w:right w:val="none" w:sz="0" w:space="0" w:color="auto"/>
      </w:divBdr>
    </w:div>
    <w:div w:id="121968143">
      <w:bodyDiv w:val="1"/>
      <w:marLeft w:val="0"/>
      <w:marRight w:val="0"/>
      <w:marTop w:val="0"/>
      <w:marBottom w:val="0"/>
      <w:divBdr>
        <w:top w:val="none" w:sz="0" w:space="0" w:color="auto"/>
        <w:left w:val="none" w:sz="0" w:space="0" w:color="auto"/>
        <w:bottom w:val="none" w:sz="0" w:space="0" w:color="auto"/>
        <w:right w:val="none" w:sz="0" w:space="0" w:color="auto"/>
      </w:divBdr>
    </w:div>
    <w:div w:id="121968458">
      <w:bodyDiv w:val="1"/>
      <w:marLeft w:val="0"/>
      <w:marRight w:val="0"/>
      <w:marTop w:val="0"/>
      <w:marBottom w:val="0"/>
      <w:divBdr>
        <w:top w:val="none" w:sz="0" w:space="0" w:color="auto"/>
        <w:left w:val="none" w:sz="0" w:space="0" w:color="auto"/>
        <w:bottom w:val="none" w:sz="0" w:space="0" w:color="auto"/>
        <w:right w:val="none" w:sz="0" w:space="0" w:color="auto"/>
      </w:divBdr>
    </w:div>
    <w:div w:id="123619897">
      <w:bodyDiv w:val="1"/>
      <w:marLeft w:val="0"/>
      <w:marRight w:val="0"/>
      <w:marTop w:val="0"/>
      <w:marBottom w:val="0"/>
      <w:divBdr>
        <w:top w:val="none" w:sz="0" w:space="0" w:color="auto"/>
        <w:left w:val="none" w:sz="0" w:space="0" w:color="auto"/>
        <w:bottom w:val="none" w:sz="0" w:space="0" w:color="auto"/>
        <w:right w:val="none" w:sz="0" w:space="0" w:color="auto"/>
      </w:divBdr>
    </w:div>
    <w:div w:id="124399218">
      <w:bodyDiv w:val="1"/>
      <w:marLeft w:val="0"/>
      <w:marRight w:val="0"/>
      <w:marTop w:val="0"/>
      <w:marBottom w:val="0"/>
      <w:divBdr>
        <w:top w:val="none" w:sz="0" w:space="0" w:color="auto"/>
        <w:left w:val="none" w:sz="0" w:space="0" w:color="auto"/>
        <w:bottom w:val="none" w:sz="0" w:space="0" w:color="auto"/>
        <w:right w:val="none" w:sz="0" w:space="0" w:color="auto"/>
      </w:divBdr>
    </w:div>
    <w:div w:id="124736427">
      <w:bodyDiv w:val="1"/>
      <w:marLeft w:val="0"/>
      <w:marRight w:val="0"/>
      <w:marTop w:val="0"/>
      <w:marBottom w:val="0"/>
      <w:divBdr>
        <w:top w:val="none" w:sz="0" w:space="0" w:color="auto"/>
        <w:left w:val="none" w:sz="0" w:space="0" w:color="auto"/>
        <w:bottom w:val="none" w:sz="0" w:space="0" w:color="auto"/>
        <w:right w:val="none" w:sz="0" w:space="0" w:color="auto"/>
      </w:divBdr>
    </w:div>
    <w:div w:id="124739864">
      <w:bodyDiv w:val="1"/>
      <w:marLeft w:val="0"/>
      <w:marRight w:val="0"/>
      <w:marTop w:val="0"/>
      <w:marBottom w:val="0"/>
      <w:divBdr>
        <w:top w:val="none" w:sz="0" w:space="0" w:color="auto"/>
        <w:left w:val="none" w:sz="0" w:space="0" w:color="auto"/>
        <w:bottom w:val="none" w:sz="0" w:space="0" w:color="auto"/>
        <w:right w:val="none" w:sz="0" w:space="0" w:color="auto"/>
      </w:divBdr>
    </w:div>
    <w:div w:id="125780593">
      <w:bodyDiv w:val="1"/>
      <w:marLeft w:val="0"/>
      <w:marRight w:val="0"/>
      <w:marTop w:val="0"/>
      <w:marBottom w:val="0"/>
      <w:divBdr>
        <w:top w:val="none" w:sz="0" w:space="0" w:color="auto"/>
        <w:left w:val="none" w:sz="0" w:space="0" w:color="auto"/>
        <w:bottom w:val="none" w:sz="0" w:space="0" w:color="auto"/>
        <w:right w:val="none" w:sz="0" w:space="0" w:color="auto"/>
      </w:divBdr>
    </w:div>
    <w:div w:id="128210971">
      <w:bodyDiv w:val="1"/>
      <w:marLeft w:val="0"/>
      <w:marRight w:val="0"/>
      <w:marTop w:val="0"/>
      <w:marBottom w:val="0"/>
      <w:divBdr>
        <w:top w:val="none" w:sz="0" w:space="0" w:color="auto"/>
        <w:left w:val="none" w:sz="0" w:space="0" w:color="auto"/>
        <w:bottom w:val="none" w:sz="0" w:space="0" w:color="auto"/>
        <w:right w:val="none" w:sz="0" w:space="0" w:color="auto"/>
      </w:divBdr>
    </w:div>
    <w:div w:id="128518031">
      <w:bodyDiv w:val="1"/>
      <w:marLeft w:val="0"/>
      <w:marRight w:val="0"/>
      <w:marTop w:val="0"/>
      <w:marBottom w:val="0"/>
      <w:divBdr>
        <w:top w:val="none" w:sz="0" w:space="0" w:color="auto"/>
        <w:left w:val="none" w:sz="0" w:space="0" w:color="auto"/>
        <w:bottom w:val="none" w:sz="0" w:space="0" w:color="auto"/>
        <w:right w:val="none" w:sz="0" w:space="0" w:color="auto"/>
      </w:divBdr>
    </w:div>
    <w:div w:id="128520220">
      <w:bodyDiv w:val="1"/>
      <w:marLeft w:val="0"/>
      <w:marRight w:val="0"/>
      <w:marTop w:val="0"/>
      <w:marBottom w:val="0"/>
      <w:divBdr>
        <w:top w:val="none" w:sz="0" w:space="0" w:color="auto"/>
        <w:left w:val="none" w:sz="0" w:space="0" w:color="auto"/>
        <w:bottom w:val="none" w:sz="0" w:space="0" w:color="auto"/>
        <w:right w:val="none" w:sz="0" w:space="0" w:color="auto"/>
      </w:divBdr>
    </w:div>
    <w:div w:id="129792051">
      <w:bodyDiv w:val="1"/>
      <w:marLeft w:val="0"/>
      <w:marRight w:val="0"/>
      <w:marTop w:val="0"/>
      <w:marBottom w:val="0"/>
      <w:divBdr>
        <w:top w:val="none" w:sz="0" w:space="0" w:color="auto"/>
        <w:left w:val="none" w:sz="0" w:space="0" w:color="auto"/>
        <w:bottom w:val="none" w:sz="0" w:space="0" w:color="auto"/>
        <w:right w:val="none" w:sz="0" w:space="0" w:color="auto"/>
      </w:divBdr>
    </w:div>
    <w:div w:id="130707543">
      <w:bodyDiv w:val="1"/>
      <w:marLeft w:val="0"/>
      <w:marRight w:val="0"/>
      <w:marTop w:val="0"/>
      <w:marBottom w:val="0"/>
      <w:divBdr>
        <w:top w:val="none" w:sz="0" w:space="0" w:color="auto"/>
        <w:left w:val="none" w:sz="0" w:space="0" w:color="auto"/>
        <w:bottom w:val="none" w:sz="0" w:space="0" w:color="auto"/>
        <w:right w:val="none" w:sz="0" w:space="0" w:color="auto"/>
      </w:divBdr>
    </w:div>
    <w:div w:id="131673708">
      <w:bodyDiv w:val="1"/>
      <w:marLeft w:val="0"/>
      <w:marRight w:val="0"/>
      <w:marTop w:val="0"/>
      <w:marBottom w:val="0"/>
      <w:divBdr>
        <w:top w:val="none" w:sz="0" w:space="0" w:color="auto"/>
        <w:left w:val="none" w:sz="0" w:space="0" w:color="auto"/>
        <w:bottom w:val="none" w:sz="0" w:space="0" w:color="auto"/>
        <w:right w:val="none" w:sz="0" w:space="0" w:color="auto"/>
      </w:divBdr>
    </w:div>
    <w:div w:id="132910804">
      <w:bodyDiv w:val="1"/>
      <w:marLeft w:val="0"/>
      <w:marRight w:val="0"/>
      <w:marTop w:val="0"/>
      <w:marBottom w:val="0"/>
      <w:divBdr>
        <w:top w:val="none" w:sz="0" w:space="0" w:color="auto"/>
        <w:left w:val="none" w:sz="0" w:space="0" w:color="auto"/>
        <w:bottom w:val="none" w:sz="0" w:space="0" w:color="auto"/>
        <w:right w:val="none" w:sz="0" w:space="0" w:color="auto"/>
      </w:divBdr>
    </w:div>
    <w:div w:id="133259442">
      <w:bodyDiv w:val="1"/>
      <w:marLeft w:val="0"/>
      <w:marRight w:val="0"/>
      <w:marTop w:val="0"/>
      <w:marBottom w:val="0"/>
      <w:divBdr>
        <w:top w:val="none" w:sz="0" w:space="0" w:color="auto"/>
        <w:left w:val="none" w:sz="0" w:space="0" w:color="auto"/>
        <w:bottom w:val="none" w:sz="0" w:space="0" w:color="auto"/>
        <w:right w:val="none" w:sz="0" w:space="0" w:color="auto"/>
      </w:divBdr>
    </w:div>
    <w:div w:id="137696149">
      <w:bodyDiv w:val="1"/>
      <w:marLeft w:val="0"/>
      <w:marRight w:val="0"/>
      <w:marTop w:val="0"/>
      <w:marBottom w:val="0"/>
      <w:divBdr>
        <w:top w:val="none" w:sz="0" w:space="0" w:color="auto"/>
        <w:left w:val="none" w:sz="0" w:space="0" w:color="auto"/>
        <w:bottom w:val="none" w:sz="0" w:space="0" w:color="auto"/>
        <w:right w:val="none" w:sz="0" w:space="0" w:color="auto"/>
      </w:divBdr>
    </w:div>
    <w:div w:id="137919972">
      <w:bodyDiv w:val="1"/>
      <w:marLeft w:val="0"/>
      <w:marRight w:val="0"/>
      <w:marTop w:val="0"/>
      <w:marBottom w:val="0"/>
      <w:divBdr>
        <w:top w:val="none" w:sz="0" w:space="0" w:color="auto"/>
        <w:left w:val="none" w:sz="0" w:space="0" w:color="auto"/>
        <w:bottom w:val="none" w:sz="0" w:space="0" w:color="auto"/>
        <w:right w:val="none" w:sz="0" w:space="0" w:color="auto"/>
      </w:divBdr>
    </w:div>
    <w:div w:id="138151959">
      <w:bodyDiv w:val="1"/>
      <w:marLeft w:val="0"/>
      <w:marRight w:val="0"/>
      <w:marTop w:val="0"/>
      <w:marBottom w:val="0"/>
      <w:divBdr>
        <w:top w:val="none" w:sz="0" w:space="0" w:color="auto"/>
        <w:left w:val="none" w:sz="0" w:space="0" w:color="auto"/>
        <w:bottom w:val="none" w:sz="0" w:space="0" w:color="auto"/>
        <w:right w:val="none" w:sz="0" w:space="0" w:color="auto"/>
      </w:divBdr>
    </w:div>
    <w:div w:id="139152672">
      <w:bodyDiv w:val="1"/>
      <w:marLeft w:val="0"/>
      <w:marRight w:val="0"/>
      <w:marTop w:val="0"/>
      <w:marBottom w:val="0"/>
      <w:divBdr>
        <w:top w:val="none" w:sz="0" w:space="0" w:color="auto"/>
        <w:left w:val="none" w:sz="0" w:space="0" w:color="auto"/>
        <w:bottom w:val="none" w:sz="0" w:space="0" w:color="auto"/>
        <w:right w:val="none" w:sz="0" w:space="0" w:color="auto"/>
      </w:divBdr>
    </w:div>
    <w:div w:id="140394415">
      <w:bodyDiv w:val="1"/>
      <w:marLeft w:val="0"/>
      <w:marRight w:val="0"/>
      <w:marTop w:val="0"/>
      <w:marBottom w:val="0"/>
      <w:divBdr>
        <w:top w:val="none" w:sz="0" w:space="0" w:color="auto"/>
        <w:left w:val="none" w:sz="0" w:space="0" w:color="auto"/>
        <w:bottom w:val="none" w:sz="0" w:space="0" w:color="auto"/>
        <w:right w:val="none" w:sz="0" w:space="0" w:color="auto"/>
      </w:divBdr>
    </w:div>
    <w:div w:id="141968624">
      <w:bodyDiv w:val="1"/>
      <w:marLeft w:val="0"/>
      <w:marRight w:val="0"/>
      <w:marTop w:val="0"/>
      <w:marBottom w:val="0"/>
      <w:divBdr>
        <w:top w:val="none" w:sz="0" w:space="0" w:color="auto"/>
        <w:left w:val="none" w:sz="0" w:space="0" w:color="auto"/>
        <w:bottom w:val="none" w:sz="0" w:space="0" w:color="auto"/>
        <w:right w:val="none" w:sz="0" w:space="0" w:color="auto"/>
      </w:divBdr>
    </w:div>
    <w:div w:id="142162314">
      <w:bodyDiv w:val="1"/>
      <w:marLeft w:val="0"/>
      <w:marRight w:val="0"/>
      <w:marTop w:val="0"/>
      <w:marBottom w:val="0"/>
      <w:divBdr>
        <w:top w:val="none" w:sz="0" w:space="0" w:color="auto"/>
        <w:left w:val="none" w:sz="0" w:space="0" w:color="auto"/>
        <w:bottom w:val="none" w:sz="0" w:space="0" w:color="auto"/>
        <w:right w:val="none" w:sz="0" w:space="0" w:color="auto"/>
      </w:divBdr>
    </w:div>
    <w:div w:id="142966460">
      <w:bodyDiv w:val="1"/>
      <w:marLeft w:val="0"/>
      <w:marRight w:val="0"/>
      <w:marTop w:val="0"/>
      <w:marBottom w:val="0"/>
      <w:divBdr>
        <w:top w:val="none" w:sz="0" w:space="0" w:color="auto"/>
        <w:left w:val="none" w:sz="0" w:space="0" w:color="auto"/>
        <w:bottom w:val="none" w:sz="0" w:space="0" w:color="auto"/>
        <w:right w:val="none" w:sz="0" w:space="0" w:color="auto"/>
      </w:divBdr>
    </w:div>
    <w:div w:id="144054016">
      <w:bodyDiv w:val="1"/>
      <w:marLeft w:val="0"/>
      <w:marRight w:val="0"/>
      <w:marTop w:val="0"/>
      <w:marBottom w:val="0"/>
      <w:divBdr>
        <w:top w:val="none" w:sz="0" w:space="0" w:color="auto"/>
        <w:left w:val="none" w:sz="0" w:space="0" w:color="auto"/>
        <w:bottom w:val="none" w:sz="0" w:space="0" w:color="auto"/>
        <w:right w:val="none" w:sz="0" w:space="0" w:color="auto"/>
      </w:divBdr>
    </w:div>
    <w:div w:id="145752122">
      <w:bodyDiv w:val="1"/>
      <w:marLeft w:val="0"/>
      <w:marRight w:val="0"/>
      <w:marTop w:val="0"/>
      <w:marBottom w:val="0"/>
      <w:divBdr>
        <w:top w:val="none" w:sz="0" w:space="0" w:color="auto"/>
        <w:left w:val="none" w:sz="0" w:space="0" w:color="auto"/>
        <w:bottom w:val="none" w:sz="0" w:space="0" w:color="auto"/>
        <w:right w:val="none" w:sz="0" w:space="0" w:color="auto"/>
      </w:divBdr>
    </w:div>
    <w:div w:id="146092829">
      <w:bodyDiv w:val="1"/>
      <w:marLeft w:val="0"/>
      <w:marRight w:val="0"/>
      <w:marTop w:val="0"/>
      <w:marBottom w:val="0"/>
      <w:divBdr>
        <w:top w:val="none" w:sz="0" w:space="0" w:color="auto"/>
        <w:left w:val="none" w:sz="0" w:space="0" w:color="auto"/>
        <w:bottom w:val="none" w:sz="0" w:space="0" w:color="auto"/>
        <w:right w:val="none" w:sz="0" w:space="0" w:color="auto"/>
      </w:divBdr>
    </w:div>
    <w:div w:id="146629261">
      <w:bodyDiv w:val="1"/>
      <w:marLeft w:val="0"/>
      <w:marRight w:val="0"/>
      <w:marTop w:val="0"/>
      <w:marBottom w:val="0"/>
      <w:divBdr>
        <w:top w:val="none" w:sz="0" w:space="0" w:color="auto"/>
        <w:left w:val="none" w:sz="0" w:space="0" w:color="auto"/>
        <w:bottom w:val="none" w:sz="0" w:space="0" w:color="auto"/>
        <w:right w:val="none" w:sz="0" w:space="0" w:color="auto"/>
      </w:divBdr>
    </w:div>
    <w:div w:id="149029751">
      <w:bodyDiv w:val="1"/>
      <w:marLeft w:val="0"/>
      <w:marRight w:val="0"/>
      <w:marTop w:val="0"/>
      <w:marBottom w:val="0"/>
      <w:divBdr>
        <w:top w:val="none" w:sz="0" w:space="0" w:color="auto"/>
        <w:left w:val="none" w:sz="0" w:space="0" w:color="auto"/>
        <w:bottom w:val="none" w:sz="0" w:space="0" w:color="auto"/>
        <w:right w:val="none" w:sz="0" w:space="0" w:color="auto"/>
      </w:divBdr>
    </w:div>
    <w:div w:id="149446238">
      <w:bodyDiv w:val="1"/>
      <w:marLeft w:val="0"/>
      <w:marRight w:val="0"/>
      <w:marTop w:val="0"/>
      <w:marBottom w:val="0"/>
      <w:divBdr>
        <w:top w:val="none" w:sz="0" w:space="0" w:color="auto"/>
        <w:left w:val="none" w:sz="0" w:space="0" w:color="auto"/>
        <w:bottom w:val="none" w:sz="0" w:space="0" w:color="auto"/>
        <w:right w:val="none" w:sz="0" w:space="0" w:color="auto"/>
      </w:divBdr>
    </w:div>
    <w:div w:id="150021985">
      <w:bodyDiv w:val="1"/>
      <w:marLeft w:val="0"/>
      <w:marRight w:val="0"/>
      <w:marTop w:val="0"/>
      <w:marBottom w:val="0"/>
      <w:divBdr>
        <w:top w:val="none" w:sz="0" w:space="0" w:color="auto"/>
        <w:left w:val="none" w:sz="0" w:space="0" w:color="auto"/>
        <w:bottom w:val="none" w:sz="0" w:space="0" w:color="auto"/>
        <w:right w:val="none" w:sz="0" w:space="0" w:color="auto"/>
      </w:divBdr>
    </w:div>
    <w:div w:id="150028860">
      <w:bodyDiv w:val="1"/>
      <w:marLeft w:val="0"/>
      <w:marRight w:val="0"/>
      <w:marTop w:val="0"/>
      <w:marBottom w:val="0"/>
      <w:divBdr>
        <w:top w:val="none" w:sz="0" w:space="0" w:color="auto"/>
        <w:left w:val="none" w:sz="0" w:space="0" w:color="auto"/>
        <w:bottom w:val="none" w:sz="0" w:space="0" w:color="auto"/>
        <w:right w:val="none" w:sz="0" w:space="0" w:color="auto"/>
      </w:divBdr>
    </w:div>
    <w:div w:id="153225502">
      <w:bodyDiv w:val="1"/>
      <w:marLeft w:val="0"/>
      <w:marRight w:val="0"/>
      <w:marTop w:val="0"/>
      <w:marBottom w:val="0"/>
      <w:divBdr>
        <w:top w:val="none" w:sz="0" w:space="0" w:color="auto"/>
        <w:left w:val="none" w:sz="0" w:space="0" w:color="auto"/>
        <w:bottom w:val="none" w:sz="0" w:space="0" w:color="auto"/>
        <w:right w:val="none" w:sz="0" w:space="0" w:color="auto"/>
      </w:divBdr>
    </w:div>
    <w:div w:id="154928634">
      <w:bodyDiv w:val="1"/>
      <w:marLeft w:val="0"/>
      <w:marRight w:val="0"/>
      <w:marTop w:val="0"/>
      <w:marBottom w:val="0"/>
      <w:divBdr>
        <w:top w:val="none" w:sz="0" w:space="0" w:color="auto"/>
        <w:left w:val="none" w:sz="0" w:space="0" w:color="auto"/>
        <w:bottom w:val="none" w:sz="0" w:space="0" w:color="auto"/>
        <w:right w:val="none" w:sz="0" w:space="0" w:color="auto"/>
      </w:divBdr>
    </w:div>
    <w:div w:id="154999283">
      <w:bodyDiv w:val="1"/>
      <w:marLeft w:val="0"/>
      <w:marRight w:val="0"/>
      <w:marTop w:val="0"/>
      <w:marBottom w:val="0"/>
      <w:divBdr>
        <w:top w:val="none" w:sz="0" w:space="0" w:color="auto"/>
        <w:left w:val="none" w:sz="0" w:space="0" w:color="auto"/>
        <w:bottom w:val="none" w:sz="0" w:space="0" w:color="auto"/>
        <w:right w:val="none" w:sz="0" w:space="0" w:color="auto"/>
      </w:divBdr>
    </w:div>
    <w:div w:id="155189561">
      <w:bodyDiv w:val="1"/>
      <w:marLeft w:val="0"/>
      <w:marRight w:val="0"/>
      <w:marTop w:val="0"/>
      <w:marBottom w:val="0"/>
      <w:divBdr>
        <w:top w:val="none" w:sz="0" w:space="0" w:color="auto"/>
        <w:left w:val="none" w:sz="0" w:space="0" w:color="auto"/>
        <w:bottom w:val="none" w:sz="0" w:space="0" w:color="auto"/>
        <w:right w:val="none" w:sz="0" w:space="0" w:color="auto"/>
      </w:divBdr>
    </w:div>
    <w:div w:id="155847614">
      <w:bodyDiv w:val="1"/>
      <w:marLeft w:val="0"/>
      <w:marRight w:val="0"/>
      <w:marTop w:val="0"/>
      <w:marBottom w:val="0"/>
      <w:divBdr>
        <w:top w:val="none" w:sz="0" w:space="0" w:color="auto"/>
        <w:left w:val="none" w:sz="0" w:space="0" w:color="auto"/>
        <w:bottom w:val="none" w:sz="0" w:space="0" w:color="auto"/>
        <w:right w:val="none" w:sz="0" w:space="0" w:color="auto"/>
      </w:divBdr>
    </w:div>
    <w:div w:id="156118820">
      <w:bodyDiv w:val="1"/>
      <w:marLeft w:val="0"/>
      <w:marRight w:val="0"/>
      <w:marTop w:val="0"/>
      <w:marBottom w:val="0"/>
      <w:divBdr>
        <w:top w:val="none" w:sz="0" w:space="0" w:color="auto"/>
        <w:left w:val="none" w:sz="0" w:space="0" w:color="auto"/>
        <w:bottom w:val="none" w:sz="0" w:space="0" w:color="auto"/>
        <w:right w:val="none" w:sz="0" w:space="0" w:color="auto"/>
      </w:divBdr>
    </w:div>
    <w:div w:id="157620120">
      <w:bodyDiv w:val="1"/>
      <w:marLeft w:val="0"/>
      <w:marRight w:val="0"/>
      <w:marTop w:val="0"/>
      <w:marBottom w:val="0"/>
      <w:divBdr>
        <w:top w:val="none" w:sz="0" w:space="0" w:color="auto"/>
        <w:left w:val="none" w:sz="0" w:space="0" w:color="auto"/>
        <w:bottom w:val="none" w:sz="0" w:space="0" w:color="auto"/>
        <w:right w:val="none" w:sz="0" w:space="0" w:color="auto"/>
      </w:divBdr>
    </w:div>
    <w:div w:id="158161326">
      <w:bodyDiv w:val="1"/>
      <w:marLeft w:val="0"/>
      <w:marRight w:val="0"/>
      <w:marTop w:val="0"/>
      <w:marBottom w:val="0"/>
      <w:divBdr>
        <w:top w:val="none" w:sz="0" w:space="0" w:color="auto"/>
        <w:left w:val="none" w:sz="0" w:space="0" w:color="auto"/>
        <w:bottom w:val="none" w:sz="0" w:space="0" w:color="auto"/>
        <w:right w:val="none" w:sz="0" w:space="0" w:color="auto"/>
      </w:divBdr>
    </w:div>
    <w:div w:id="158622537">
      <w:bodyDiv w:val="1"/>
      <w:marLeft w:val="0"/>
      <w:marRight w:val="0"/>
      <w:marTop w:val="0"/>
      <w:marBottom w:val="0"/>
      <w:divBdr>
        <w:top w:val="none" w:sz="0" w:space="0" w:color="auto"/>
        <w:left w:val="none" w:sz="0" w:space="0" w:color="auto"/>
        <w:bottom w:val="none" w:sz="0" w:space="0" w:color="auto"/>
        <w:right w:val="none" w:sz="0" w:space="0" w:color="auto"/>
      </w:divBdr>
    </w:div>
    <w:div w:id="158663416">
      <w:bodyDiv w:val="1"/>
      <w:marLeft w:val="0"/>
      <w:marRight w:val="0"/>
      <w:marTop w:val="0"/>
      <w:marBottom w:val="0"/>
      <w:divBdr>
        <w:top w:val="none" w:sz="0" w:space="0" w:color="auto"/>
        <w:left w:val="none" w:sz="0" w:space="0" w:color="auto"/>
        <w:bottom w:val="none" w:sz="0" w:space="0" w:color="auto"/>
        <w:right w:val="none" w:sz="0" w:space="0" w:color="auto"/>
      </w:divBdr>
    </w:div>
    <w:div w:id="158815671">
      <w:bodyDiv w:val="1"/>
      <w:marLeft w:val="0"/>
      <w:marRight w:val="0"/>
      <w:marTop w:val="0"/>
      <w:marBottom w:val="0"/>
      <w:divBdr>
        <w:top w:val="none" w:sz="0" w:space="0" w:color="auto"/>
        <w:left w:val="none" w:sz="0" w:space="0" w:color="auto"/>
        <w:bottom w:val="none" w:sz="0" w:space="0" w:color="auto"/>
        <w:right w:val="none" w:sz="0" w:space="0" w:color="auto"/>
      </w:divBdr>
    </w:div>
    <w:div w:id="159540145">
      <w:bodyDiv w:val="1"/>
      <w:marLeft w:val="0"/>
      <w:marRight w:val="0"/>
      <w:marTop w:val="0"/>
      <w:marBottom w:val="0"/>
      <w:divBdr>
        <w:top w:val="none" w:sz="0" w:space="0" w:color="auto"/>
        <w:left w:val="none" w:sz="0" w:space="0" w:color="auto"/>
        <w:bottom w:val="none" w:sz="0" w:space="0" w:color="auto"/>
        <w:right w:val="none" w:sz="0" w:space="0" w:color="auto"/>
      </w:divBdr>
    </w:div>
    <w:div w:id="160513991">
      <w:bodyDiv w:val="1"/>
      <w:marLeft w:val="0"/>
      <w:marRight w:val="0"/>
      <w:marTop w:val="0"/>
      <w:marBottom w:val="0"/>
      <w:divBdr>
        <w:top w:val="none" w:sz="0" w:space="0" w:color="auto"/>
        <w:left w:val="none" w:sz="0" w:space="0" w:color="auto"/>
        <w:bottom w:val="none" w:sz="0" w:space="0" w:color="auto"/>
        <w:right w:val="none" w:sz="0" w:space="0" w:color="auto"/>
      </w:divBdr>
    </w:div>
    <w:div w:id="162596682">
      <w:bodyDiv w:val="1"/>
      <w:marLeft w:val="0"/>
      <w:marRight w:val="0"/>
      <w:marTop w:val="0"/>
      <w:marBottom w:val="0"/>
      <w:divBdr>
        <w:top w:val="none" w:sz="0" w:space="0" w:color="auto"/>
        <w:left w:val="none" w:sz="0" w:space="0" w:color="auto"/>
        <w:bottom w:val="none" w:sz="0" w:space="0" w:color="auto"/>
        <w:right w:val="none" w:sz="0" w:space="0" w:color="auto"/>
      </w:divBdr>
    </w:div>
    <w:div w:id="162865371">
      <w:bodyDiv w:val="1"/>
      <w:marLeft w:val="0"/>
      <w:marRight w:val="0"/>
      <w:marTop w:val="0"/>
      <w:marBottom w:val="0"/>
      <w:divBdr>
        <w:top w:val="none" w:sz="0" w:space="0" w:color="auto"/>
        <w:left w:val="none" w:sz="0" w:space="0" w:color="auto"/>
        <w:bottom w:val="none" w:sz="0" w:space="0" w:color="auto"/>
        <w:right w:val="none" w:sz="0" w:space="0" w:color="auto"/>
      </w:divBdr>
    </w:div>
    <w:div w:id="162934424">
      <w:bodyDiv w:val="1"/>
      <w:marLeft w:val="0"/>
      <w:marRight w:val="0"/>
      <w:marTop w:val="0"/>
      <w:marBottom w:val="0"/>
      <w:divBdr>
        <w:top w:val="none" w:sz="0" w:space="0" w:color="auto"/>
        <w:left w:val="none" w:sz="0" w:space="0" w:color="auto"/>
        <w:bottom w:val="none" w:sz="0" w:space="0" w:color="auto"/>
        <w:right w:val="none" w:sz="0" w:space="0" w:color="auto"/>
      </w:divBdr>
    </w:div>
    <w:div w:id="163280367">
      <w:bodyDiv w:val="1"/>
      <w:marLeft w:val="0"/>
      <w:marRight w:val="0"/>
      <w:marTop w:val="0"/>
      <w:marBottom w:val="0"/>
      <w:divBdr>
        <w:top w:val="none" w:sz="0" w:space="0" w:color="auto"/>
        <w:left w:val="none" w:sz="0" w:space="0" w:color="auto"/>
        <w:bottom w:val="none" w:sz="0" w:space="0" w:color="auto"/>
        <w:right w:val="none" w:sz="0" w:space="0" w:color="auto"/>
      </w:divBdr>
    </w:div>
    <w:div w:id="163397800">
      <w:bodyDiv w:val="1"/>
      <w:marLeft w:val="0"/>
      <w:marRight w:val="0"/>
      <w:marTop w:val="0"/>
      <w:marBottom w:val="0"/>
      <w:divBdr>
        <w:top w:val="none" w:sz="0" w:space="0" w:color="auto"/>
        <w:left w:val="none" w:sz="0" w:space="0" w:color="auto"/>
        <w:bottom w:val="none" w:sz="0" w:space="0" w:color="auto"/>
        <w:right w:val="none" w:sz="0" w:space="0" w:color="auto"/>
      </w:divBdr>
    </w:div>
    <w:div w:id="164058437">
      <w:bodyDiv w:val="1"/>
      <w:marLeft w:val="0"/>
      <w:marRight w:val="0"/>
      <w:marTop w:val="0"/>
      <w:marBottom w:val="0"/>
      <w:divBdr>
        <w:top w:val="none" w:sz="0" w:space="0" w:color="auto"/>
        <w:left w:val="none" w:sz="0" w:space="0" w:color="auto"/>
        <w:bottom w:val="none" w:sz="0" w:space="0" w:color="auto"/>
        <w:right w:val="none" w:sz="0" w:space="0" w:color="auto"/>
      </w:divBdr>
    </w:div>
    <w:div w:id="164370466">
      <w:bodyDiv w:val="1"/>
      <w:marLeft w:val="0"/>
      <w:marRight w:val="0"/>
      <w:marTop w:val="0"/>
      <w:marBottom w:val="0"/>
      <w:divBdr>
        <w:top w:val="none" w:sz="0" w:space="0" w:color="auto"/>
        <w:left w:val="none" w:sz="0" w:space="0" w:color="auto"/>
        <w:bottom w:val="none" w:sz="0" w:space="0" w:color="auto"/>
        <w:right w:val="none" w:sz="0" w:space="0" w:color="auto"/>
      </w:divBdr>
    </w:div>
    <w:div w:id="164636397">
      <w:bodyDiv w:val="1"/>
      <w:marLeft w:val="0"/>
      <w:marRight w:val="0"/>
      <w:marTop w:val="0"/>
      <w:marBottom w:val="0"/>
      <w:divBdr>
        <w:top w:val="none" w:sz="0" w:space="0" w:color="auto"/>
        <w:left w:val="none" w:sz="0" w:space="0" w:color="auto"/>
        <w:bottom w:val="none" w:sz="0" w:space="0" w:color="auto"/>
        <w:right w:val="none" w:sz="0" w:space="0" w:color="auto"/>
      </w:divBdr>
    </w:div>
    <w:div w:id="164831049">
      <w:bodyDiv w:val="1"/>
      <w:marLeft w:val="0"/>
      <w:marRight w:val="0"/>
      <w:marTop w:val="0"/>
      <w:marBottom w:val="0"/>
      <w:divBdr>
        <w:top w:val="none" w:sz="0" w:space="0" w:color="auto"/>
        <w:left w:val="none" w:sz="0" w:space="0" w:color="auto"/>
        <w:bottom w:val="none" w:sz="0" w:space="0" w:color="auto"/>
        <w:right w:val="none" w:sz="0" w:space="0" w:color="auto"/>
      </w:divBdr>
    </w:div>
    <w:div w:id="167253924">
      <w:bodyDiv w:val="1"/>
      <w:marLeft w:val="0"/>
      <w:marRight w:val="0"/>
      <w:marTop w:val="0"/>
      <w:marBottom w:val="0"/>
      <w:divBdr>
        <w:top w:val="none" w:sz="0" w:space="0" w:color="auto"/>
        <w:left w:val="none" w:sz="0" w:space="0" w:color="auto"/>
        <w:bottom w:val="none" w:sz="0" w:space="0" w:color="auto"/>
        <w:right w:val="none" w:sz="0" w:space="0" w:color="auto"/>
      </w:divBdr>
    </w:div>
    <w:div w:id="167982869">
      <w:bodyDiv w:val="1"/>
      <w:marLeft w:val="0"/>
      <w:marRight w:val="0"/>
      <w:marTop w:val="0"/>
      <w:marBottom w:val="0"/>
      <w:divBdr>
        <w:top w:val="none" w:sz="0" w:space="0" w:color="auto"/>
        <w:left w:val="none" w:sz="0" w:space="0" w:color="auto"/>
        <w:bottom w:val="none" w:sz="0" w:space="0" w:color="auto"/>
        <w:right w:val="none" w:sz="0" w:space="0" w:color="auto"/>
      </w:divBdr>
    </w:div>
    <w:div w:id="168252101">
      <w:bodyDiv w:val="1"/>
      <w:marLeft w:val="0"/>
      <w:marRight w:val="0"/>
      <w:marTop w:val="0"/>
      <w:marBottom w:val="0"/>
      <w:divBdr>
        <w:top w:val="none" w:sz="0" w:space="0" w:color="auto"/>
        <w:left w:val="none" w:sz="0" w:space="0" w:color="auto"/>
        <w:bottom w:val="none" w:sz="0" w:space="0" w:color="auto"/>
        <w:right w:val="none" w:sz="0" w:space="0" w:color="auto"/>
      </w:divBdr>
    </w:div>
    <w:div w:id="168297359">
      <w:bodyDiv w:val="1"/>
      <w:marLeft w:val="0"/>
      <w:marRight w:val="0"/>
      <w:marTop w:val="0"/>
      <w:marBottom w:val="0"/>
      <w:divBdr>
        <w:top w:val="none" w:sz="0" w:space="0" w:color="auto"/>
        <w:left w:val="none" w:sz="0" w:space="0" w:color="auto"/>
        <w:bottom w:val="none" w:sz="0" w:space="0" w:color="auto"/>
        <w:right w:val="none" w:sz="0" w:space="0" w:color="auto"/>
      </w:divBdr>
    </w:div>
    <w:div w:id="170875246">
      <w:bodyDiv w:val="1"/>
      <w:marLeft w:val="0"/>
      <w:marRight w:val="0"/>
      <w:marTop w:val="0"/>
      <w:marBottom w:val="0"/>
      <w:divBdr>
        <w:top w:val="none" w:sz="0" w:space="0" w:color="auto"/>
        <w:left w:val="none" w:sz="0" w:space="0" w:color="auto"/>
        <w:bottom w:val="none" w:sz="0" w:space="0" w:color="auto"/>
        <w:right w:val="none" w:sz="0" w:space="0" w:color="auto"/>
      </w:divBdr>
    </w:div>
    <w:div w:id="172913217">
      <w:bodyDiv w:val="1"/>
      <w:marLeft w:val="0"/>
      <w:marRight w:val="0"/>
      <w:marTop w:val="0"/>
      <w:marBottom w:val="0"/>
      <w:divBdr>
        <w:top w:val="none" w:sz="0" w:space="0" w:color="auto"/>
        <w:left w:val="none" w:sz="0" w:space="0" w:color="auto"/>
        <w:bottom w:val="none" w:sz="0" w:space="0" w:color="auto"/>
        <w:right w:val="none" w:sz="0" w:space="0" w:color="auto"/>
      </w:divBdr>
    </w:div>
    <w:div w:id="173039828">
      <w:bodyDiv w:val="1"/>
      <w:marLeft w:val="0"/>
      <w:marRight w:val="0"/>
      <w:marTop w:val="0"/>
      <w:marBottom w:val="0"/>
      <w:divBdr>
        <w:top w:val="none" w:sz="0" w:space="0" w:color="auto"/>
        <w:left w:val="none" w:sz="0" w:space="0" w:color="auto"/>
        <w:bottom w:val="none" w:sz="0" w:space="0" w:color="auto"/>
        <w:right w:val="none" w:sz="0" w:space="0" w:color="auto"/>
      </w:divBdr>
    </w:div>
    <w:div w:id="173349223">
      <w:bodyDiv w:val="1"/>
      <w:marLeft w:val="0"/>
      <w:marRight w:val="0"/>
      <w:marTop w:val="0"/>
      <w:marBottom w:val="0"/>
      <w:divBdr>
        <w:top w:val="none" w:sz="0" w:space="0" w:color="auto"/>
        <w:left w:val="none" w:sz="0" w:space="0" w:color="auto"/>
        <w:bottom w:val="none" w:sz="0" w:space="0" w:color="auto"/>
        <w:right w:val="none" w:sz="0" w:space="0" w:color="auto"/>
      </w:divBdr>
    </w:div>
    <w:div w:id="175270292">
      <w:bodyDiv w:val="1"/>
      <w:marLeft w:val="0"/>
      <w:marRight w:val="0"/>
      <w:marTop w:val="0"/>
      <w:marBottom w:val="0"/>
      <w:divBdr>
        <w:top w:val="none" w:sz="0" w:space="0" w:color="auto"/>
        <w:left w:val="none" w:sz="0" w:space="0" w:color="auto"/>
        <w:bottom w:val="none" w:sz="0" w:space="0" w:color="auto"/>
        <w:right w:val="none" w:sz="0" w:space="0" w:color="auto"/>
      </w:divBdr>
    </w:div>
    <w:div w:id="176620304">
      <w:bodyDiv w:val="1"/>
      <w:marLeft w:val="0"/>
      <w:marRight w:val="0"/>
      <w:marTop w:val="0"/>
      <w:marBottom w:val="0"/>
      <w:divBdr>
        <w:top w:val="none" w:sz="0" w:space="0" w:color="auto"/>
        <w:left w:val="none" w:sz="0" w:space="0" w:color="auto"/>
        <w:bottom w:val="none" w:sz="0" w:space="0" w:color="auto"/>
        <w:right w:val="none" w:sz="0" w:space="0" w:color="auto"/>
      </w:divBdr>
    </w:div>
    <w:div w:id="178130487">
      <w:bodyDiv w:val="1"/>
      <w:marLeft w:val="0"/>
      <w:marRight w:val="0"/>
      <w:marTop w:val="0"/>
      <w:marBottom w:val="0"/>
      <w:divBdr>
        <w:top w:val="none" w:sz="0" w:space="0" w:color="auto"/>
        <w:left w:val="none" w:sz="0" w:space="0" w:color="auto"/>
        <w:bottom w:val="none" w:sz="0" w:space="0" w:color="auto"/>
        <w:right w:val="none" w:sz="0" w:space="0" w:color="auto"/>
      </w:divBdr>
    </w:div>
    <w:div w:id="178784494">
      <w:bodyDiv w:val="1"/>
      <w:marLeft w:val="0"/>
      <w:marRight w:val="0"/>
      <w:marTop w:val="0"/>
      <w:marBottom w:val="0"/>
      <w:divBdr>
        <w:top w:val="none" w:sz="0" w:space="0" w:color="auto"/>
        <w:left w:val="none" w:sz="0" w:space="0" w:color="auto"/>
        <w:bottom w:val="none" w:sz="0" w:space="0" w:color="auto"/>
        <w:right w:val="none" w:sz="0" w:space="0" w:color="auto"/>
      </w:divBdr>
    </w:div>
    <w:div w:id="179583975">
      <w:bodyDiv w:val="1"/>
      <w:marLeft w:val="0"/>
      <w:marRight w:val="0"/>
      <w:marTop w:val="0"/>
      <w:marBottom w:val="0"/>
      <w:divBdr>
        <w:top w:val="none" w:sz="0" w:space="0" w:color="auto"/>
        <w:left w:val="none" w:sz="0" w:space="0" w:color="auto"/>
        <w:bottom w:val="none" w:sz="0" w:space="0" w:color="auto"/>
        <w:right w:val="none" w:sz="0" w:space="0" w:color="auto"/>
      </w:divBdr>
    </w:div>
    <w:div w:id="180432232">
      <w:bodyDiv w:val="1"/>
      <w:marLeft w:val="0"/>
      <w:marRight w:val="0"/>
      <w:marTop w:val="0"/>
      <w:marBottom w:val="0"/>
      <w:divBdr>
        <w:top w:val="none" w:sz="0" w:space="0" w:color="auto"/>
        <w:left w:val="none" w:sz="0" w:space="0" w:color="auto"/>
        <w:bottom w:val="none" w:sz="0" w:space="0" w:color="auto"/>
        <w:right w:val="none" w:sz="0" w:space="0" w:color="auto"/>
      </w:divBdr>
    </w:div>
    <w:div w:id="181285424">
      <w:bodyDiv w:val="1"/>
      <w:marLeft w:val="0"/>
      <w:marRight w:val="0"/>
      <w:marTop w:val="0"/>
      <w:marBottom w:val="0"/>
      <w:divBdr>
        <w:top w:val="none" w:sz="0" w:space="0" w:color="auto"/>
        <w:left w:val="none" w:sz="0" w:space="0" w:color="auto"/>
        <w:bottom w:val="none" w:sz="0" w:space="0" w:color="auto"/>
        <w:right w:val="none" w:sz="0" w:space="0" w:color="auto"/>
      </w:divBdr>
    </w:div>
    <w:div w:id="181823940">
      <w:bodyDiv w:val="1"/>
      <w:marLeft w:val="0"/>
      <w:marRight w:val="0"/>
      <w:marTop w:val="0"/>
      <w:marBottom w:val="0"/>
      <w:divBdr>
        <w:top w:val="none" w:sz="0" w:space="0" w:color="auto"/>
        <w:left w:val="none" w:sz="0" w:space="0" w:color="auto"/>
        <w:bottom w:val="none" w:sz="0" w:space="0" w:color="auto"/>
        <w:right w:val="none" w:sz="0" w:space="0" w:color="auto"/>
      </w:divBdr>
    </w:div>
    <w:div w:id="184559459">
      <w:bodyDiv w:val="1"/>
      <w:marLeft w:val="0"/>
      <w:marRight w:val="0"/>
      <w:marTop w:val="0"/>
      <w:marBottom w:val="0"/>
      <w:divBdr>
        <w:top w:val="none" w:sz="0" w:space="0" w:color="auto"/>
        <w:left w:val="none" w:sz="0" w:space="0" w:color="auto"/>
        <w:bottom w:val="none" w:sz="0" w:space="0" w:color="auto"/>
        <w:right w:val="none" w:sz="0" w:space="0" w:color="auto"/>
      </w:divBdr>
    </w:div>
    <w:div w:id="185021645">
      <w:bodyDiv w:val="1"/>
      <w:marLeft w:val="0"/>
      <w:marRight w:val="0"/>
      <w:marTop w:val="0"/>
      <w:marBottom w:val="0"/>
      <w:divBdr>
        <w:top w:val="none" w:sz="0" w:space="0" w:color="auto"/>
        <w:left w:val="none" w:sz="0" w:space="0" w:color="auto"/>
        <w:bottom w:val="none" w:sz="0" w:space="0" w:color="auto"/>
        <w:right w:val="none" w:sz="0" w:space="0" w:color="auto"/>
      </w:divBdr>
    </w:div>
    <w:div w:id="187715785">
      <w:bodyDiv w:val="1"/>
      <w:marLeft w:val="0"/>
      <w:marRight w:val="0"/>
      <w:marTop w:val="0"/>
      <w:marBottom w:val="0"/>
      <w:divBdr>
        <w:top w:val="none" w:sz="0" w:space="0" w:color="auto"/>
        <w:left w:val="none" w:sz="0" w:space="0" w:color="auto"/>
        <w:bottom w:val="none" w:sz="0" w:space="0" w:color="auto"/>
        <w:right w:val="none" w:sz="0" w:space="0" w:color="auto"/>
      </w:divBdr>
    </w:div>
    <w:div w:id="187722405">
      <w:bodyDiv w:val="1"/>
      <w:marLeft w:val="0"/>
      <w:marRight w:val="0"/>
      <w:marTop w:val="0"/>
      <w:marBottom w:val="0"/>
      <w:divBdr>
        <w:top w:val="none" w:sz="0" w:space="0" w:color="auto"/>
        <w:left w:val="none" w:sz="0" w:space="0" w:color="auto"/>
        <w:bottom w:val="none" w:sz="0" w:space="0" w:color="auto"/>
        <w:right w:val="none" w:sz="0" w:space="0" w:color="auto"/>
      </w:divBdr>
    </w:div>
    <w:div w:id="187835984">
      <w:bodyDiv w:val="1"/>
      <w:marLeft w:val="0"/>
      <w:marRight w:val="0"/>
      <w:marTop w:val="0"/>
      <w:marBottom w:val="0"/>
      <w:divBdr>
        <w:top w:val="none" w:sz="0" w:space="0" w:color="auto"/>
        <w:left w:val="none" w:sz="0" w:space="0" w:color="auto"/>
        <w:bottom w:val="none" w:sz="0" w:space="0" w:color="auto"/>
        <w:right w:val="none" w:sz="0" w:space="0" w:color="auto"/>
      </w:divBdr>
    </w:div>
    <w:div w:id="188370752">
      <w:bodyDiv w:val="1"/>
      <w:marLeft w:val="0"/>
      <w:marRight w:val="0"/>
      <w:marTop w:val="0"/>
      <w:marBottom w:val="0"/>
      <w:divBdr>
        <w:top w:val="none" w:sz="0" w:space="0" w:color="auto"/>
        <w:left w:val="none" w:sz="0" w:space="0" w:color="auto"/>
        <w:bottom w:val="none" w:sz="0" w:space="0" w:color="auto"/>
        <w:right w:val="none" w:sz="0" w:space="0" w:color="auto"/>
      </w:divBdr>
    </w:div>
    <w:div w:id="189416206">
      <w:bodyDiv w:val="1"/>
      <w:marLeft w:val="0"/>
      <w:marRight w:val="0"/>
      <w:marTop w:val="0"/>
      <w:marBottom w:val="0"/>
      <w:divBdr>
        <w:top w:val="none" w:sz="0" w:space="0" w:color="auto"/>
        <w:left w:val="none" w:sz="0" w:space="0" w:color="auto"/>
        <w:bottom w:val="none" w:sz="0" w:space="0" w:color="auto"/>
        <w:right w:val="none" w:sz="0" w:space="0" w:color="auto"/>
      </w:divBdr>
    </w:div>
    <w:div w:id="189800518">
      <w:bodyDiv w:val="1"/>
      <w:marLeft w:val="0"/>
      <w:marRight w:val="0"/>
      <w:marTop w:val="0"/>
      <w:marBottom w:val="0"/>
      <w:divBdr>
        <w:top w:val="none" w:sz="0" w:space="0" w:color="auto"/>
        <w:left w:val="none" w:sz="0" w:space="0" w:color="auto"/>
        <w:bottom w:val="none" w:sz="0" w:space="0" w:color="auto"/>
        <w:right w:val="none" w:sz="0" w:space="0" w:color="auto"/>
      </w:divBdr>
    </w:div>
    <w:div w:id="192769308">
      <w:bodyDiv w:val="1"/>
      <w:marLeft w:val="0"/>
      <w:marRight w:val="0"/>
      <w:marTop w:val="0"/>
      <w:marBottom w:val="0"/>
      <w:divBdr>
        <w:top w:val="none" w:sz="0" w:space="0" w:color="auto"/>
        <w:left w:val="none" w:sz="0" w:space="0" w:color="auto"/>
        <w:bottom w:val="none" w:sz="0" w:space="0" w:color="auto"/>
        <w:right w:val="none" w:sz="0" w:space="0" w:color="auto"/>
      </w:divBdr>
    </w:div>
    <w:div w:id="192772528">
      <w:bodyDiv w:val="1"/>
      <w:marLeft w:val="0"/>
      <w:marRight w:val="0"/>
      <w:marTop w:val="0"/>
      <w:marBottom w:val="0"/>
      <w:divBdr>
        <w:top w:val="none" w:sz="0" w:space="0" w:color="auto"/>
        <w:left w:val="none" w:sz="0" w:space="0" w:color="auto"/>
        <w:bottom w:val="none" w:sz="0" w:space="0" w:color="auto"/>
        <w:right w:val="none" w:sz="0" w:space="0" w:color="auto"/>
      </w:divBdr>
    </w:div>
    <w:div w:id="195309956">
      <w:bodyDiv w:val="1"/>
      <w:marLeft w:val="0"/>
      <w:marRight w:val="0"/>
      <w:marTop w:val="0"/>
      <w:marBottom w:val="0"/>
      <w:divBdr>
        <w:top w:val="none" w:sz="0" w:space="0" w:color="auto"/>
        <w:left w:val="none" w:sz="0" w:space="0" w:color="auto"/>
        <w:bottom w:val="none" w:sz="0" w:space="0" w:color="auto"/>
        <w:right w:val="none" w:sz="0" w:space="0" w:color="auto"/>
      </w:divBdr>
    </w:div>
    <w:div w:id="195968467">
      <w:bodyDiv w:val="1"/>
      <w:marLeft w:val="0"/>
      <w:marRight w:val="0"/>
      <w:marTop w:val="0"/>
      <w:marBottom w:val="0"/>
      <w:divBdr>
        <w:top w:val="none" w:sz="0" w:space="0" w:color="auto"/>
        <w:left w:val="none" w:sz="0" w:space="0" w:color="auto"/>
        <w:bottom w:val="none" w:sz="0" w:space="0" w:color="auto"/>
        <w:right w:val="none" w:sz="0" w:space="0" w:color="auto"/>
      </w:divBdr>
    </w:div>
    <w:div w:id="196090128">
      <w:bodyDiv w:val="1"/>
      <w:marLeft w:val="0"/>
      <w:marRight w:val="0"/>
      <w:marTop w:val="0"/>
      <w:marBottom w:val="0"/>
      <w:divBdr>
        <w:top w:val="none" w:sz="0" w:space="0" w:color="auto"/>
        <w:left w:val="none" w:sz="0" w:space="0" w:color="auto"/>
        <w:bottom w:val="none" w:sz="0" w:space="0" w:color="auto"/>
        <w:right w:val="none" w:sz="0" w:space="0" w:color="auto"/>
      </w:divBdr>
    </w:div>
    <w:div w:id="196241377">
      <w:bodyDiv w:val="1"/>
      <w:marLeft w:val="0"/>
      <w:marRight w:val="0"/>
      <w:marTop w:val="0"/>
      <w:marBottom w:val="0"/>
      <w:divBdr>
        <w:top w:val="none" w:sz="0" w:space="0" w:color="auto"/>
        <w:left w:val="none" w:sz="0" w:space="0" w:color="auto"/>
        <w:bottom w:val="none" w:sz="0" w:space="0" w:color="auto"/>
        <w:right w:val="none" w:sz="0" w:space="0" w:color="auto"/>
      </w:divBdr>
    </w:div>
    <w:div w:id="196281969">
      <w:bodyDiv w:val="1"/>
      <w:marLeft w:val="0"/>
      <w:marRight w:val="0"/>
      <w:marTop w:val="0"/>
      <w:marBottom w:val="0"/>
      <w:divBdr>
        <w:top w:val="none" w:sz="0" w:space="0" w:color="auto"/>
        <w:left w:val="none" w:sz="0" w:space="0" w:color="auto"/>
        <w:bottom w:val="none" w:sz="0" w:space="0" w:color="auto"/>
        <w:right w:val="none" w:sz="0" w:space="0" w:color="auto"/>
      </w:divBdr>
    </w:div>
    <w:div w:id="196548765">
      <w:bodyDiv w:val="1"/>
      <w:marLeft w:val="0"/>
      <w:marRight w:val="0"/>
      <w:marTop w:val="0"/>
      <w:marBottom w:val="0"/>
      <w:divBdr>
        <w:top w:val="none" w:sz="0" w:space="0" w:color="auto"/>
        <w:left w:val="none" w:sz="0" w:space="0" w:color="auto"/>
        <w:bottom w:val="none" w:sz="0" w:space="0" w:color="auto"/>
        <w:right w:val="none" w:sz="0" w:space="0" w:color="auto"/>
      </w:divBdr>
    </w:div>
    <w:div w:id="196898109">
      <w:bodyDiv w:val="1"/>
      <w:marLeft w:val="0"/>
      <w:marRight w:val="0"/>
      <w:marTop w:val="0"/>
      <w:marBottom w:val="0"/>
      <w:divBdr>
        <w:top w:val="none" w:sz="0" w:space="0" w:color="auto"/>
        <w:left w:val="none" w:sz="0" w:space="0" w:color="auto"/>
        <w:bottom w:val="none" w:sz="0" w:space="0" w:color="auto"/>
        <w:right w:val="none" w:sz="0" w:space="0" w:color="auto"/>
      </w:divBdr>
    </w:div>
    <w:div w:id="197666883">
      <w:bodyDiv w:val="1"/>
      <w:marLeft w:val="0"/>
      <w:marRight w:val="0"/>
      <w:marTop w:val="0"/>
      <w:marBottom w:val="0"/>
      <w:divBdr>
        <w:top w:val="none" w:sz="0" w:space="0" w:color="auto"/>
        <w:left w:val="none" w:sz="0" w:space="0" w:color="auto"/>
        <w:bottom w:val="none" w:sz="0" w:space="0" w:color="auto"/>
        <w:right w:val="none" w:sz="0" w:space="0" w:color="auto"/>
      </w:divBdr>
    </w:div>
    <w:div w:id="198050034">
      <w:bodyDiv w:val="1"/>
      <w:marLeft w:val="0"/>
      <w:marRight w:val="0"/>
      <w:marTop w:val="0"/>
      <w:marBottom w:val="0"/>
      <w:divBdr>
        <w:top w:val="none" w:sz="0" w:space="0" w:color="auto"/>
        <w:left w:val="none" w:sz="0" w:space="0" w:color="auto"/>
        <w:bottom w:val="none" w:sz="0" w:space="0" w:color="auto"/>
        <w:right w:val="none" w:sz="0" w:space="0" w:color="auto"/>
      </w:divBdr>
    </w:div>
    <w:div w:id="199361194">
      <w:bodyDiv w:val="1"/>
      <w:marLeft w:val="0"/>
      <w:marRight w:val="0"/>
      <w:marTop w:val="0"/>
      <w:marBottom w:val="0"/>
      <w:divBdr>
        <w:top w:val="none" w:sz="0" w:space="0" w:color="auto"/>
        <w:left w:val="none" w:sz="0" w:space="0" w:color="auto"/>
        <w:bottom w:val="none" w:sz="0" w:space="0" w:color="auto"/>
        <w:right w:val="none" w:sz="0" w:space="0" w:color="auto"/>
      </w:divBdr>
    </w:div>
    <w:div w:id="199517268">
      <w:bodyDiv w:val="1"/>
      <w:marLeft w:val="0"/>
      <w:marRight w:val="0"/>
      <w:marTop w:val="0"/>
      <w:marBottom w:val="0"/>
      <w:divBdr>
        <w:top w:val="none" w:sz="0" w:space="0" w:color="auto"/>
        <w:left w:val="none" w:sz="0" w:space="0" w:color="auto"/>
        <w:bottom w:val="none" w:sz="0" w:space="0" w:color="auto"/>
        <w:right w:val="none" w:sz="0" w:space="0" w:color="auto"/>
      </w:divBdr>
    </w:div>
    <w:div w:id="199712482">
      <w:bodyDiv w:val="1"/>
      <w:marLeft w:val="0"/>
      <w:marRight w:val="0"/>
      <w:marTop w:val="0"/>
      <w:marBottom w:val="0"/>
      <w:divBdr>
        <w:top w:val="none" w:sz="0" w:space="0" w:color="auto"/>
        <w:left w:val="none" w:sz="0" w:space="0" w:color="auto"/>
        <w:bottom w:val="none" w:sz="0" w:space="0" w:color="auto"/>
        <w:right w:val="none" w:sz="0" w:space="0" w:color="auto"/>
      </w:divBdr>
    </w:div>
    <w:div w:id="200241017">
      <w:bodyDiv w:val="1"/>
      <w:marLeft w:val="0"/>
      <w:marRight w:val="0"/>
      <w:marTop w:val="0"/>
      <w:marBottom w:val="0"/>
      <w:divBdr>
        <w:top w:val="none" w:sz="0" w:space="0" w:color="auto"/>
        <w:left w:val="none" w:sz="0" w:space="0" w:color="auto"/>
        <w:bottom w:val="none" w:sz="0" w:space="0" w:color="auto"/>
        <w:right w:val="none" w:sz="0" w:space="0" w:color="auto"/>
      </w:divBdr>
    </w:div>
    <w:div w:id="200287192">
      <w:bodyDiv w:val="1"/>
      <w:marLeft w:val="0"/>
      <w:marRight w:val="0"/>
      <w:marTop w:val="0"/>
      <w:marBottom w:val="0"/>
      <w:divBdr>
        <w:top w:val="none" w:sz="0" w:space="0" w:color="auto"/>
        <w:left w:val="none" w:sz="0" w:space="0" w:color="auto"/>
        <w:bottom w:val="none" w:sz="0" w:space="0" w:color="auto"/>
        <w:right w:val="none" w:sz="0" w:space="0" w:color="auto"/>
      </w:divBdr>
    </w:div>
    <w:div w:id="200825282">
      <w:bodyDiv w:val="1"/>
      <w:marLeft w:val="0"/>
      <w:marRight w:val="0"/>
      <w:marTop w:val="0"/>
      <w:marBottom w:val="0"/>
      <w:divBdr>
        <w:top w:val="none" w:sz="0" w:space="0" w:color="auto"/>
        <w:left w:val="none" w:sz="0" w:space="0" w:color="auto"/>
        <w:bottom w:val="none" w:sz="0" w:space="0" w:color="auto"/>
        <w:right w:val="none" w:sz="0" w:space="0" w:color="auto"/>
      </w:divBdr>
    </w:div>
    <w:div w:id="201407618">
      <w:bodyDiv w:val="1"/>
      <w:marLeft w:val="0"/>
      <w:marRight w:val="0"/>
      <w:marTop w:val="0"/>
      <w:marBottom w:val="0"/>
      <w:divBdr>
        <w:top w:val="none" w:sz="0" w:space="0" w:color="auto"/>
        <w:left w:val="none" w:sz="0" w:space="0" w:color="auto"/>
        <w:bottom w:val="none" w:sz="0" w:space="0" w:color="auto"/>
        <w:right w:val="none" w:sz="0" w:space="0" w:color="auto"/>
      </w:divBdr>
    </w:div>
    <w:div w:id="201868064">
      <w:bodyDiv w:val="1"/>
      <w:marLeft w:val="0"/>
      <w:marRight w:val="0"/>
      <w:marTop w:val="0"/>
      <w:marBottom w:val="0"/>
      <w:divBdr>
        <w:top w:val="none" w:sz="0" w:space="0" w:color="auto"/>
        <w:left w:val="none" w:sz="0" w:space="0" w:color="auto"/>
        <w:bottom w:val="none" w:sz="0" w:space="0" w:color="auto"/>
        <w:right w:val="none" w:sz="0" w:space="0" w:color="auto"/>
      </w:divBdr>
    </w:div>
    <w:div w:id="201868788">
      <w:bodyDiv w:val="1"/>
      <w:marLeft w:val="0"/>
      <w:marRight w:val="0"/>
      <w:marTop w:val="0"/>
      <w:marBottom w:val="0"/>
      <w:divBdr>
        <w:top w:val="none" w:sz="0" w:space="0" w:color="auto"/>
        <w:left w:val="none" w:sz="0" w:space="0" w:color="auto"/>
        <w:bottom w:val="none" w:sz="0" w:space="0" w:color="auto"/>
        <w:right w:val="none" w:sz="0" w:space="0" w:color="auto"/>
      </w:divBdr>
    </w:div>
    <w:div w:id="202060734">
      <w:bodyDiv w:val="1"/>
      <w:marLeft w:val="0"/>
      <w:marRight w:val="0"/>
      <w:marTop w:val="0"/>
      <w:marBottom w:val="0"/>
      <w:divBdr>
        <w:top w:val="none" w:sz="0" w:space="0" w:color="auto"/>
        <w:left w:val="none" w:sz="0" w:space="0" w:color="auto"/>
        <w:bottom w:val="none" w:sz="0" w:space="0" w:color="auto"/>
        <w:right w:val="none" w:sz="0" w:space="0" w:color="auto"/>
      </w:divBdr>
    </w:div>
    <w:div w:id="203173202">
      <w:bodyDiv w:val="1"/>
      <w:marLeft w:val="0"/>
      <w:marRight w:val="0"/>
      <w:marTop w:val="0"/>
      <w:marBottom w:val="0"/>
      <w:divBdr>
        <w:top w:val="none" w:sz="0" w:space="0" w:color="auto"/>
        <w:left w:val="none" w:sz="0" w:space="0" w:color="auto"/>
        <w:bottom w:val="none" w:sz="0" w:space="0" w:color="auto"/>
        <w:right w:val="none" w:sz="0" w:space="0" w:color="auto"/>
      </w:divBdr>
    </w:div>
    <w:div w:id="203566619">
      <w:bodyDiv w:val="1"/>
      <w:marLeft w:val="0"/>
      <w:marRight w:val="0"/>
      <w:marTop w:val="0"/>
      <w:marBottom w:val="0"/>
      <w:divBdr>
        <w:top w:val="none" w:sz="0" w:space="0" w:color="auto"/>
        <w:left w:val="none" w:sz="0" w:space="0" w:color="auto"/>
        <w:bottom w:val="none" w:sz="0" w:space="0" w:color="auto"/>
        <w:right w:val="none" w:sz="0" w:space="0" w:color="auto"/>
      </w:divBdr>
    </w:div>
    <w:div w:id="204172875">
      <w:bodyDiv w:val="1"/>
      <w:marLeft w:val="0"/>
      <w:marRight w:val="0"/>
      <w:marTop w:val="0"/>
      <w:marBottom w:val="0"/>
      <w:divBdr>
        <w:top w:val="none" w:sz="0" w:space="0" w:color="auto"/>
        <w:left w:val="none" w:sz="0" w:space="0" w:color="auto"/>
        <w:bottom w:val="none" w:sz="0" w:space="0" w:color="auto"/>
        <w:right w:val="none" w:sz="0" w:space="0" w:color="auto"/>
      </w:divBdr>
    </w:div>
    <w:div w:id="204292881">
      <w:bodyDiv w:val="1"/>
      <w:marLeft w:val="0"/>
      <w:marRight w:val="0"/>
      <w:marTop w:val="0"/>
      <w:marBottom w:val="0"/>
      <w:divBdr>
        <w:top w:val="none" w:sz="0" w:space="0" w:color="auto"/>
        <w:left w:val="none" w:sz="0" w:space="0" w:color="auto"/>
        <w:bottom w:val="none" w:sz="0" w:space="0" w:color="auto"/>
        <w:right w:val="none" w:sz="0" w:space="0" w:color="auto"/>
      </w:divBdr>
    </w:div>
    <w:div w:id="205800846">
      <w:bodyDiv w:val="1"/>
      <w:marLeft w:val="0"/>
      <w:marRight w:val="0"/>
      <w:marTop w:val="0"/>
      <w:marBottom w:val="0"/>
      <w:divBdr>
        <w:top w:val="none" w:sz="0" w:space="0" w:color="auto"/>
        <w:left w:val="none" w:sz="0" w:space="0" w:color="auto"/>
        <w:bottom w:val="none" w:sz="0" w:space="0" w:color="auto"/>
        <w:right w:val="none" w:sz="0" w:space="0" w:color="auto"/>
      </w:divBdr>
    </w:div>
    <w:div w:id="206722019">
      <w:bodyDiv w:val="1"/>
      <w:marLeft w:val="0"/>
      <w:marRight w:val="0"/>
      <w:marTop w:val="0"/>
      <w:marBottom w:val="0"/>
      <w:divBdr>
        <w:top w:val="none" w:sz="0" w:space="0" w:color="auto"/>
        <w:left w:val="none" w:sz="0" w:space="0" w:color="auto"/>
        <w:bottom w:val="none" w:sz="0" w:space="0" w:color="auto"/>
        <w:right w:val="none" w:sz="0" w:space="0" w:color="auto"/>
      </w:divBdr>
    </w:div>
    <w:div w:id="208077110">
      <w:bodyDiv w:val="1"/>
      <w:marLeft w:val="0"/>
      <w:marRight w:val="0"/>
      <w:marTop w:val="0"/>
      <w:marBottom w:val="0"/>
      <w:divBdr>
        <w:top w:val="none" w:sz="0" w:space="0" w:color="auto"/>
        <w:left w:val="none" w:sz="0" w:space="0" w:color="auto"/>
        <w:bottom w:val="none" w:sz="0" w:space="0" w:color="auto"/>
        <w:right w:val="none" w:sz="0" w:space="0" w:color="auto"/>
      </w:divBdr>
    </w:div>
    <w:div w:id="209269414">
      <w:bodyDiv w:val="1"/>
      <w:marLeft w:val="0"/>
      <w:marRight w:val="0"/>
      <w:marTop w:val="0"/>
      <w:marBottom w:val="0"/>
      <w:divBdr>
        <w:top w:val="none" w:sz="0" w:space="0" w:color="auto"/>
        <w:left w:val="none" w:sz="0" w:space="0" w:color="auto"/>
        <w:bottom w:val="none" w:sz="0" w:space="0" w:color="auto"/>
        <w:right w:val="none" w:sz="0" w:space="0" w:color="auto"/>
      </w:divBdr>
    </w:div>
    <w:div w:id="210650549">
      <w:bodyDiv w:val="1"/>
      <w:marLeft w:val="0"/>
      <w:marRight w:val="0"/>
      <w:marTop w:val="0"/>
      <w:marBottom w:val="0"/>
      <w:divBdr>
        <w:top w:val="none" w:sz="0" w:space="0" w:color="auto"/>
        <w:left w:val="none" w:sz="0" w:space="0" w:color="auto"/>
        <w:bottom w:val="none" w:sz="0" w:space="0" w:color="auto"/>
        <w:right w:val="none" w:sz="0" w:space="0" w:color="auto"/>
      </w:divBdr>
    </w:div>
    <w:div w:id="211038781">
      <w:bodyDiv w:val="1"/>
      <w:marLeft w:val="0"/>
      <w:marRight w:val="0"/>
      <w:marTop w:val="0"/>
      <w:marBottom w:val="0"/>
      <w:divBdr>
        <w:top w:val="none" w:sz="0" w:space="0" w:color="auto"/>
        <w:left w:val="none" w:sz="0" w:space="0" w:color="auto"/>
        <w:bottom w:val="none" w:sz="0" w:space="0" w:color="auto"/>
        <w:right w:val="none" w:sz="0" w:space="0" w:color="auto"/>
      </w:divBdr>
    </w:div>
    <w:div w:id="212430298">
      <w:bodyDiv w:val="1"/>
      <w:marLeft w:val="0"/>
      <w:marRight w:val="0"/>
      <w:marTop w:val="0"/>
      <w:marBottom w:val="0"/>
      <w:divBdr>
        <w:top w:val="none" w:sz="0" w:space="0" w:color="auto"/>
        <w:left w:val="none" w:sz="0" w:space="0" w:color="auto"/>
        <w:bottom w:val="none" w:sz="0" w:space="0" w:color="auto"/>
        <w:right w:val="none" w:sz="0" w:space="0" w:color="auto"/>
      </w:divBdr>
    </w:div>
    <w:div w:id="213081159">
      <w:bodyDiv w:val="1"/>
      <w:marLeft w:val="0"/>
      <w:marRight w:val="0"/>
      <w:marTop w:val="0"/>
      <w:marBottom w:val="0"/>
      <w:divBdr>
        <w:top w:val="none" w:sz="0" w:space="0" w:color="auto"/>
        <w:left w:val="none" w:sz="0" w:space="0" w:color="auto"/>
        <w:bottom w:val="none" w:sz="0" w:space="0" w:color="auto"/>
        <w:right w:val="none" w:sz="0" w:space="0" w:color="auto"/>
      </w:divBdr>
    </w:div>
    <w:div w:id="214242466">
      <w:bodyDiv w:val="1"/>
      <w:marLeft w:val="0"/>
      <w:marRight w:val="0"/>
      <w:marTop w:val="0"/>
      <w:marBottom w:val="0"/>
      <w:divBdr>
        <w:top w:val="none" w:sz="0" w:space="0" w:color="auto"/>
        <w:left w:val="none" w:sz="0" w:space="0" w:color="auto"/>
        <w:bottom w:val="none" w:sz="0" w:space="0" w:color="auto"/>
        <w:right w:val="none" w:sz="0" w:space="0" w:color="auto"/>
      </w:divBdr>
    </w:div>
    <w:div w:id="214390747">
      <w:bodyDiv w:val="1"/>
      <w:marLeft w:val="0"/>
      <w:marRight w:val="0"/>
      <w:marTop w:val="0"/>
      <w:marBottom w:val="0"/>
      <w:divBdr>
        <w:top w:val="none" w:sz="0" w:space="0" w:color="auto"/>
        <w:left w:val="none" w:sz="0" w:space="0" w:color="auto"/>
        <w:bottom w:val="none" w:sz="0" w:space="0" w:color="auto"/>
        <w:right w:val="none" w:sz="0" w:space="0" w:color="auto"/>
      </w:divBdr>
    </w:div>
    <w:div w:id="216474504">
      <w:bodyDiv w:val="1"/>
      <w:marLeft w:val="0"/>
      <w:marRight w:val="0"/>
      <w:marTop w:val="0"/>
      <w:marBottom w:val="0"/>
      <w:divBdr>
        <w:top w:val="none" w:sz="0" w:space="0" w:color="auto"/>
        <w:left w:val="none" w:sz="0" w:space="0" w:color="auto"/>
        <w:bottom w:val="none" w:sz="0" w:space="0" w:color="auto"/>
        <w:right w:val="none" w:sz="0" w:space="0" w:color="auto"/>
      </w:divBdr>
    </w:div>
    <w:div w:id="216665569">
      <w:bodyDiv w:val="1"/>
      <w:marLeft w:val="0"/>
      <w:marRight w:val="0"/>
      <w:marTop w:val="0"/>
      <w:marBottom w:val="0"/>
      <w:divBdr>
        <w:top w:val="none" w:sz="0" w:space="0" w:color="auto"/>
        <w:left w:val="none" w:sz="0" w:space="0" w:color="auto"/>
        <w:bottom w:val="none" w:sz="0" w:space="0" w:color="auto"/>
        <w:right w:val="none" w:sz="0" w:space="0" w:color="auto"/>
      </w:divBdr>
    </w:div>
    <w:div w:id="216673069">
      <w:bodyDiv w:val="1"/>
      <w:marLeft w:val="0"/>
      <w:marRight w:val="0"/>
      <w:marTop w:val="0"/>
      <w:marBottom w:val="0"/>
      <w:divBdr>
        <w:top w:val="none" w:sz="0" w:space="0" w:color="auto"/>
        <w:left w:val="none" w:sz="0" w:space="0" w:color="auto"/>
        <w:bottom w:val="none" w:sz="0" w:space="0" w:color="auto"/>
        <w:right w:val="none" w:sz="0" w:space="0" w:color="auto"/>
      </w:divBdr>
    </w:div>
    <w:div w:id="216862944">
      <w:bodyDiv w:val="1"/>
      <w:marLeft w:val="0"/>
      <w:marRight w:val="0"/>
      <w:marTop w:val="0"/>
      <w:marBottom w:val="0"/>
      <w:divBdr>
        <w:top w:val="none" w:sz="0" w:space="0" w:color="auto"/>
        <w:left w:val="none" w:sz="0" w:space="0" w:color="auto"/>
        <w:bottom w:val="none" w:sz="0" w:space="0" w:color="auto"/>
        <w:right w:val="none" w:sz="0" w:space="0" w:color="auto"/>
      </w:divBdr>
    </w:div>
    <w:div w:id="217009145">
      <w:bodyDiv w:val="1"/>
      <w:marLeft w:val="0"/>
      <w:marRight w:val="0"/>
      <w:marTop w:val="0"/>
      <w:marBottom w:val="0"/>
      <w:divBdr>
        <w:top w:val="none" w:sz="0" w:space="0" w:color="auto"/>
        <w:left w:val="none" w:sz="0" w:space="0" w:color="auto"/>
        <w:bottom w:val="none" w:sz="0" w:space="0" w:color="auto"/>
        <w:right w:val="none" w:sz="0" w:space="0" w:color="auto"/>
      </w:divBdr>
    </w:div>
    <w:div w:id="217130171">
      <w:bodyDiv w:val="1"/>
      <w:marLeft w:val="0"/>
      <w:marRight w:val="0"/>
      <w:marTop w:val="0"/>
      <w:marBottom w:val="0"/>
      <w:divBdr>
        <w:top w:val="none" w:sz="0" w:space="0" w:color="auto"/>
        <w:left w:val="none" w:sz="0" w:space="0" w:color="auto"/>
        <w:bottom w:val="none" w:sz="0" w:space="0" w:color="auto"/>
        <w:right w:val="none" w:sz="0" w:space="0" w:color="auto"/>
      </w:divBdr>
    </w:div>
    <w:div w:id="217202737">
      <w:bodyDiv w:val="1"/>
      <w:marLeft w:val="0"/>
      <w:marRight w:val="0"/>
      <w:marTop w:val="0"/>
      <w:marBottom w:val="0"/>
      <w:divBdr>
        <w:top w:val="none" w:sz="0" w:space="0" w:color="auto"/>
        <w:left w:val="none" w:sz="0" w:space="0" w:color="auto"/>
        <w:bottom w:val="none" w:sz="0" w:space="0" w:color="auto"/>
        <w:right w:val="none" w:sz="0" w:space="0" w:color="auto"/>
      </w:divBdr>
    </w:div>
    <w:div w:id="217514315">
      <w:bodyDiv w:val="1"/>
      <w:marLeft w:val="0"/>
      <w:marRight w:val="0"/>
      <w:marTop w:val="0"/>
      <w:marBottom w:val="0"/>
      <w:divBdr>
        <w:top w:val="none" w:sz="0" w:space="0" w:color="auto"/>
        <w:left w:val="none" w:sz="0" w:space="0" w:color="auto"/>
        <w:bottom w:val="none" w:sz="0" w:space="0" w:color="auto"/>
        <w:right w:val="none" w:sz="0" w:space="0" w:color="auto"/>
      </w:divBdr>
    </w:div>
    <w:div w:id="218252217">
      <w:bodyDiv w:val="1"/>
      <w:marLeft w:val="0"/>
      <w:marRight w:val="0"/>
      <w:marTop w:val="0"/>
      <w:marBottom w:val="0"/>
      <w:divBdr>
        <w:top w:val="none" w:sz="0" w:space="0" w:color="auto"/>
        <w:left w:val="none" w:sz="0" w:space="0" w:color="auto"/>
        <w:bottom w:val="none" w:sz="0" w:space="0" w:color="auto"/>
        <w:right w:val="none" w:sz="0" w:space="0" w:color="auto"/>
      </w:divBdr>
    </w:div>
    <w:div w:id="219248317">
      <w:bodyDiv w:val="1"/>
      <w:marLeft w:val="0"/>
      <w:marRight w:val="0"/>
      <w:marTop w:val="0"/>
      <w:marBottom w:val="0"/>
      <w:divBdr>
        <w:top w:val="none" w:sz="0" w:space="0" w:color="auto"/>
        <w:left w:val="none" w:sz="0" w:space="0" w:color="auto"/>
        <w:bottom w:val="none" w:sz="0" w:space="0" w:color="auto"/>
        <w:right w:val="none" w:sz="0" w:space="0" w:color="auto"/>
      </w:divBdr>
    </w:div>
    <w:div w:id="219292508">
      <w:bodyDiv w:val="1"/>
      <w:marLeft w:val="0"/>
      <w:marRight w:val="0"/>
      <w:marTop w:val="0"/>
      <w:marBottom w:val="0"/>
      <w:divBdr>
        <w:top w:val="none" w:sz="0" w:space="0" w:color="auto"/>
        <w:left w:val="none" w:sz="0" w:space="0" w:color="auto"/>
        <w:bottom w:val="none" w:sz="0" w:space="0" w:color="auto"/>
        <w:right w:val="none" w:sz="0" w:space="0" w:color="auto"/>
      </w:divBdr>
    </w:div>
    <w:div w:id="220142195">
      <w:bodyDiv w:val="1"/>
      <w:marLeft w:val="0"/>
      <w:marRight w:val="0"/>
      <w:marTop w:val="0"/>
      <w:marBottom w:val="0"/>
      <w:divBdr>
        <w:top w:val="none" w:sz="0" w:space="0" w:color="auto"/>
        <w:left w:val="none" w:sz="0" w:space="0" w:color="auto"/>
        <w:bottom w:val="none" w:sz="0" w:space="0" w:color="auto"/>
        <w:right w:val="none" w:sz="0" w:space="0" w:color="auto"/>
      </w:divBdr>
    </w:div>
    <w:div w:id="220481228">
      <w:bodyDiv w:val="1"/>
      <w:marLeft w:val="0"/>
      <w:marRight w:val="0"/>
      <w:marTop w:val="0"/>
      <w:marBottom w:val="0"/>
      <w:divBdr>
        <w:top w:val="none" w:sz="0" w:space="0" w:color="auto"/>
        <w:left w:val="none" w:sz="0" w:space="0" w:color="auto"/>
        <w:bottom w:val="none" w:sz="0" w:space="0" w:color="auto"/>
        <w:right w:val="none" w:sz="0" w:space="0" w:color="auto"/>
      </w:divBdr>
    </w:div>
    <w:div w:id="222911936">
      <w:bodyDiv w:val="1"/>
      <w:marLeft w:val="0"/>
      <w:marRight w:val="0"/>
      <w:marTop w:val="0"/>
      <w:marBottom w:val="0"/>
      <w:divBdr>
        <w:top w:val="none" w:sz="0" w:space="0" w:color="auto"/>
        <w:left w:val="none" w:sz="0" w:space="0" w:color="auto"/>
        <w:bottom w:val="none" w:sz="0" w:space="0" w:color="auto"/>
        <w:right w:val="none" w:sz="0" w:space="0" w:color="auto"/>
      </w:divBdr>
    </w:div>
    <w:div w:id="223295029">
      <w:bodyDiv w:val="1"/>
      <w:marLeft w:val="0"/>
      <w:marRight w:val="0"/>
      <w:marTop w:val="0"/>
      <w:marBottom w:val="0"/>
      <w:divBdr>
        <w:top w:val="none" w:sz="0" w:space="0" w:color="auto"/>
        <w:left w:val="none" w:sz="0" w:space="0" w:color="auto"/>
        <w:bottom w:val="none" w:sz="0" w:space="0" w:color="auto"/>
        <w:right w:val="none" w:sz="0" w:space="0" w:color="auto"/>
      </w:divBdr>
    </w:div>
    <w:div w:id="224074305">
      <w:bodyDiv w:val="1"/>
      <w:marLeft w:val="0"/>
      <w:marRight w:val="0"/>
      <w:marTop w:val="0"/>
      <w:marBottom w:val="0"/>
      <w:divBdr>
        <w:top w:val="none" w:sz="0" w:space="0" w:color="auto"/>
        <w:left w:val="none" w:sz="0" w:space="0" w:color="auto"/>
        <w:bottom w:val="none" w:sz="0" w:space="0" w:color="auto"/>
        <w:right w:val="none" w:sz="0" w:space="0" w:color="auto"/>
      </w:divBdr>
    </w:div>
    <w:div w:id="224266816">
      <w:bodyDiv w:val="1"/>
      <w:marLeft w:val="0"/>
      <w:marRight w:val="0"/>
      <w:marTop w:val="0"/>
      <w:marBottom w:val="0"/>
      <w:divBdr>
        <w:top w:val="none" w:sz="0" w:space="0" w:color="auto"/>
        <w:left w:val="none" w:sz="0" w:space="0" w:color="auto"/>
        <w:bottom w:val="none" w:sz="0" w:space="0" w:color="auto"/>
        <w:right w:val="none" w:sz="0" w:space="0" w:color="auto"/>
      </w:divBdr>
    </w:div>
    <w:div w:id="228002784">
      <w:bodyDiv w:val="1"/>
      <w:marLeft w:val="0"/>
      <w:marRight w:val="0"/>
      <w:marTop w:val="0"/>
      <w:marBottom w:val="0"/>
      <w:divBdr>
        <w:top w:val="none" w:sz="0" w:space="0" w:color="auto"/>
        <w:left w:val="none" w:sz="0" w:space="0" w:color="auto"/>
        <w:bottom w:val="none" w:sz="0" w:space="0" w:color="auto"/>
        <w:right w:val="none" w:sz="0" w:space="0" w:color="auto"/>
      </w:divBdr>
    </w:div>
    <w:div w:id="228347964">
      <w:bodyDiv w:val="1"/>
      <w:marLeft w:val="0"/>
      <w:marRight w:val="0"/>
      <w:marTop w:val="0"/>
      <w:marBottom w:val="0"/>
      <w:divBdr>
        <w:top w:val="none" w:sz="0" w:space="0" w:color="auto"/>
        <w:left w:val="none" w:sz="0" w:space="0" w:color="auto"/>
        <w:bottom w:val="none" w:sz="0" w:space="0" w:color="auto"/>
        <w:right w:val="none" w:sz="0" w:space="0" w:color="auto"/>
      </w:divBdr>
    </w:div>
    <w:div w:id="228927814">
      <w:bodyDiv w:val="1"/>
      <w:marLeft w:val="0"/>
      <w:marRight w:val="0"/>
      <w:marTop w:val="0"/>
      <w:marBottom w:val="0"/>
      <w:divBdr>
        <w:top w:val="none" w:sz="0" w:space="0" w:color="auto"/>
        <w:left w:val="none" w:sz="0" w:space="0" w:color="auto"/>
        <w:bottom w:val="none" w:sz="0" w:space="0" w:color="auto"/>
        <w:right w:val="none" w:sz="0" w:space="0" w:color="auto"/>
      </w:divBdr>
    </w:div>
    <w:div w:id="229271433">
      <w:bodyDiv w:val="1"/>
      <w:marLeft w:val="0"/>
      <w:marRight w:val="0"/>
      <w:marTop w:val="0"/>
      <w:marBottom w:val="0"/>
      <w:divBdr>
        <w:top w:val="none" w:sz="0" w:space="0" w:color="auto"/>
        <w:left w:val="none" w:sz="0" w:space="0" w:color="auto"/>
        <w:bottom w:val="none" w:sz="0" w:space="0" w:color="auto"/>
        <w:right w:val="none" w:sz="0" w:space="0" w:color="auto"/>
      </w:divBdr>
    </w:div>
    <w:div w:id="229310514">
      <w:bodyDiv w:val="1"/>
      <w:marLeft w:val="0"/>
      <w:marRight w:val="0"/>
      <w:marTop w:val="0"/>
      <w:marBottom w:val="0"/>
      <w:divBdr>
        <w:top w:val="none" w:sz="0" w:space="0" w:color="auto"/>
        <w:left w:val="none" w:sz="0" w:space="0" w:color="auto"/>
        <w:bottom w:val="none" w:sz="0" w:space="0" w:color="auto"/>
        <w:right w:val="none" w:sz="0" w:space="0" w:color="auto"/>
      </w:divBdr>
    </w:div>
    <w:div w:id="229388383">
      <w:bodyDiv w:val="1"/>
      <w:marLeft w:val="0"/>
      <w:marRight w:val="0"/>
      <w:marTop w:val="0"/>
      <w:marBottom w:val="0"/>
      <w:divBdr>
        <w:top w:val="none" w:sz="0" w:space="0" w:color="auto"/>
        <w:left w:val="none" w:sz="0" w:space="0" w:color="auto"/>
        <w:bottom w:val="none" w:sz="0" w:space="0" w:color="auto"/>
        <w:right w:val="none" w:sz="0" w:space="0" w:color="auto"/>
      </w:divBdr>
    </w:div>
    <w:div w:id="232011902">
      <w:bodyDiv w:val="1"/>
      <w:marLeft w:val="0"/>
      <w:marRight w:val="0"/>
      <w:marTop w:val="0"/>
      <w:marBottom w:val="0"/>
      <w:divBdr>
        <w:top w:val="none" w:sz="0" w:space="0" w:color="auto"/>
        <w:left w:val="none" w:sz="0" w:space="0" w:color="auto"/>
        <w:bottom w:val="none" w:sz="0" w:space="0" w:color="auto"/>
        <w:right w:val="none" w:sz="0" w:space="0" w:color="auto"/>
      </w:divBdr>
    </w:div>
    <w:div w:id="232084080">
      <w:bodyDiv w:val="1"/>
      <w:marLeft w:val="0"/>
      <w:marRight w:val="0"/>
      <w:marTop w:val="0"/>
      <w:marBottom w:val="0"/>
      <w:divBdr>
        <w:top w:val="none" w:sz="0" w:space="0" w:color="auto"/>
        <w:left w:val="none" w:sz="0" w:space="0" w:color="auto"/>
        <w:bottom w:val="none" w:sz="0" w:space="0" w:color="auto"/>
        <w:right w:val="none" w:sz="0" w:space="0" w:color="auto"/>
      </w:divBdr>
    </w:div>
    <w:div w:id="232395700">
      <w:bodyDiv w:val="1"/>
      <w:marLeft w:val="0"/>
      <w:marRight w:val="0"/>
      <w:marTop w:val="0"/>
      <w:marBottom w:val="0"/>
      <w:divBdr>
        <w:top w:val="none" w:sz="0" w:space="0" w:color="auto"/>
        <w:left w:val="none" w:sz="0" w:space="0" w:color="auto"/>
        <w:bottom w:val="none" w:sz="0" w:space="0" w:color="auto"/>
        <w:right w:val="none" w:sz="0" w:space="0" w:color="auto"/>
      </w:divBdr>
    </w:div>
    <w:div w:id="232815785">
      <w:bodyDiv w:val="1"/>
      <w:marLeft w:val="0"/>
      <w:marRight w:val="0"/>
      <w:marTop w:val="0"/>
      <w:marBottom w:val="0"/>
      <w:divBdr>
        <w:top w:val="none" w:sz="0" w:space="0" w:color="auto"/>
        <w:left w:val="none" w:sz="0" w:space="0" w:color="auto"/>
        <w:bottom w:val="none" w:sz="0" w:space="0" w:color="auto"/>
        <w:right w:val="none" w:sz="0" w:space="0" w:color="auto"/>
      </w:divBdr>
    </w:div>
    <w:div w:id="233859796">
      <w:bodyDiv w:val="1"/>
      <w:marLeft w:val="0"/>
      <w:marRight w:val="0"/>
      <w:marTop w:val="0"/>
      <w:marBottom w:val="0"/>
      <w:divBdr>
        <w:top w:val="none" w:sz="0" w:space="0" w:color="auto"/>
        <w:left w:val="none" w:sz="0" w:space="0" w:color="auto"/>
        <w:bottom w:val="none" w:sz="0" w:space="0" w:color="auto"/>
        <w:right w:val="none" w:sz="0" w:space="0" w:color="auto"/>
      </w:divBdr>
    </w:div>
    <w:div w:id="234777438">
      <w:bodyDiv w:val="1"/>
      <w:marLeft w:val="0"/>
      <w:marRight w:val="0"/>
      <w:marTop w:val="0"/>
      <w:marBottom w:val="0"/>
      <w:divBdr>
        <w:top w:val="none" w:sz="0" w:space="0" w:color="auto"/>
        <w:left w:val="none" w:sz="0" w:space="0" w:color="auto"/>
        <w:bottom w:val="none" w:sz="0" w:space="0" w:color="auto"/>
        <w:right w:val="none" w:sz="0" w:space="0" w:color="auto"/>
      </w:divBdr>
    </w:div>
    <w:div w:id="236785913">
      <w:bodyDiv w:val="1"/>
      <w:marLeft w:val="0"/>
      <w:marRight w:val="0"/>
      <w:marTop w:val="0"/>
      <w:marBottom w:val="0"/>
      <w:divBdr>
        <w:top w:val="none" w:sz="0" w:space="0" w:color="auto"/>
        <w:left w:val="none" w:sz="0" w:space="0" w:color="auto"/>
        <w:bottom w:val="none" w:sz="0" w:space="0" w:color="auto"/>
        <w:right w:val="none" w:sz="0" w:space="0" w:color="auto"/>
      </w:divBdr>
    </w:div>
    <w:div w:id="237130288">
      <w:bodyDiv w:val="1"/>
      <w:marLeft w:val="0"/>
      <w:marRight w:val="0"/>
      <w:marTop w:val="0"/>
      <w:marBottom w:val="0"/>
      <w:divBdr>
        <w:top w:val="none" w:sz="0" w:space="0" w:color="auto"/>
        <w:left w:val="none" w:sz="0" w:space="0" w:color="auto"/>
        <w:bottom w:val="none" w:sz="0" w:space="0" w:color="auto"/>
        <w:right w:val="none" w:sz="0" w:space="0" w:color="auto"/>
      </w:divBdr>
    </w:div>
    <w:div w:id="237204806">
      <w:bodyDiv w:val="1"/>
      <w:marLeft w:val="0"/>
      <w:marRight w:val="0"/>
      <w:marTop w:val="0"/>
      <w:marBottom w:val="0"/>
      <w:divBdr>
        <w:top w:val="none" w:sz="0" w:space="0" w:color="auto"/>
        <w:left w:val="none" w:sz="0" w:space="0" w:color="auto"/>
        <w:bottom w:val="none" w:sz="0" w:space="0" w:color="auto"/>
        <w:right w:val="none" w:sz="0" w:space="0" w:color="auto"/>
      </w:divBdr>
    </w:div>
    <w:div w:id="238295376">
      <w:bodyDiv w:val="1"/>
      <w:marLeft w:val="0"/>
      <w:marRight w:val="0"/>
      <w:marTop w:val="0"/>
      <w:marBottom w:val="0"/>
      <w:divBdr>
        <w:top w:val="none" w:sz="0" w:space="0" w:color="auto"/>
        <w:left w:val="none" w:sz="0" w:space="0" w:color="auto"/>
        <w:bottom w:val="none" w:sz="0" w:space="0" w:color="auto"/>
        <w:right w:val="none" w:sz="0" w:space="0" w:color="auto"/>
      </w:divBdr>
    </w:div>
    <w:div w:id="239754243">
      <w:bodyDiv w:val="1"/>
      <w:marLeft w:val="0"/>
      <w:marRight w:val="0"/>
      <w:marTop w:val="0"/>
      <w:marBottom w:val="0"/>
      <w:divBdr>
        <w:top w:val="none" w:sz="0" w:space="0" w:color="auto"/>
        <w:left w:val="none" w:sz="0" w:space="0" w:color="auto"/>
        <w:bottom w:val="none" w:sz="0" w:space="0" w:color="auto"/>
        <w:right w:val="none" w:sz="0" w:space="0" w:color="auto"/>
      </w:divBdr>
    </w:div>
    <w:div w:id="239950169">
      <w:bodyDiv w:val="1"/>
      <w:marLeft w:val="0"/>
      <w:marRight w:val="0"/>
      <w:marTop w:val="0"/>
      <w:marBottom w:val="0"/>
      <w:divBdr>
        <w:top w:val="none" w:sz="0" w:space="0" w:color="auto"/>
        <w:left w:val="none" w:sz="0" w:space="0" w:color="auto"/>
        <w:bottom w:val="none" w:sz="0" w:space="0" w:color="auto"/>
        <w:right w:val="none" w:sz="0" w:space="0" w:color="auto"/>
      </w:divBdr>
    </w:div>
    <w:div w:id="240063793">
      <w:bodyDiv w:val="1"/>
      <w:marLeft w:val="0"/>
      <w:marRight w:val="0"/>
      <w:marTop w:val="0"/>
      <w:marBottom w:val="0"/>
      <w:divBdr>
        <w:top w:val="none" w:sz="0" w:space="0" w:color="auto"/>
        <w:left w:val="none" w:sz="0" w:space="0" w:color="auto"/>
        <w:bottom w:val="none" w:sz="0" w:space="0" w:color="auto"/>
        <w:right w:val="none" w:sz="0" w:space="0" w:color="auto"/>
      </w:divBdr>
    </w:div>
    <w:div w:id="240067667">
      <w:bodyDiv w:val="1"/>
      <w:marLeft w:val="0"/>
      <w:marRight w:val="0"/>
      <w:marTop w:val="0"/>
      <w:marBottom w:val="0"/>
      <w:divBdr>
        <w:top w:val="none" w:sz="0" w:space="0" w:color="auto"/>
        <w:left w:val="none" w:sz="0" w:space="0" w:color="auto"/>
        <w:bottom w:val="none" w:sz="0" w:space="0" w:color="auto"/>
        <w:right w:val="none" w:sz="0" w:space="0" w:color="auto"/>
      </w:divBdr>
    </w:div>
    <w:div w:id="243806170">
      <w:bodyDiv w:val="1"/>
      <w:marLeft w:val="0"/>
      <w:marRight w:val="0"/>
      <w:marTop w:val="0"/>
      <w:marBottom w:val="0"/>
      <w:divBdr>
        <w:top w:val="none" w:sz="0" w:space="0" w:color="auto"/>
        <w:left w:val="none" w:sz="0" w:space="0" w:color="auto"/>
        <w:bottom w:val="none" w:sz="0" w:space="0" w:color="auto"/>
        <w:right w:val="none" w:sz="0" w:space="0" w:color="auto"/>
      </w:divBdr>
    </w:div>
    <w:div w:id="243875152">
      <w:bodyDiv w:val="1"/>
      <w:marLeft w:val="0"/>
      <w:marRight w:val="0"/>
      <w:marTop w:val="0"/>
      <w:marBottom w:val="0"/>
      <w:divBdr>
        <w:top w:val="none" w:sz="0" w:space="0" w:color="auto"/>
        <w:left w:val="none" w:sz="0" w:space="0" w:color="auto"/>
        <w:bottom w:val="none" w:sz="0" w:space="0" w:color="auto"/>
        <w:right w:val="none" w:sz="0" w:space="0" w:color="auto"/>
      </w:divBdr>
    </w:div>
    <w:div w:id="243954178">
      <w:bodyDiv w:val="1"/>
      <w:marLeft w:val="0"/>
      <w:marRight w:val="0"/>
      <w:marTop w:val="0"/>
      <w:marBottom w:val="0"/>
      <w:divBdr>
        <w:top w:val="none" w:sz="0" w:space="0" w:color="auto"/>
        <w:left w:val="none" w:sz="0" w:space="0" w:color="auto"/>
        <w:bottom w:val="none" w:sz="0" w:space="0" w:color="auto"/>
        <w:right w:val="none" w:sz="0" w:space="0" w:color="auto"/>
      </w:divBdr>
    </w:div>
    <w:div w:id="246035362">
      <w:bodyDiv w:val="1"/>
      <w:marLeft w:val="0"/>
      <w:marRight w:val="0"/>
      <w:marTop w:val="0"/>
      <w:marBottom w:val="0"/>
      <w:divBdr>
        <w:top w:val="none" w:sz="0" w:space="0" w:color="auto"/>
        <w:left w:val="none" w:sz="0" w:space="0" w:color="auto"/>
        <w:bottom w:val="none" w:sz="0" w:space="0" w:color="auto"/>
        <w:right w:val="none" w:sz="0" w:space="0" w:color="auto"/>
      </w:divBdr>
    </w:div>
    <w:div w:id="246233046">
      <w:bodyDiv w:val="1"/>
      <w:marLeft w:val="0"/>
      <w:marRight w:val="0"/>
      <w:marTop w:val="0"/>
      <w:marBottom w:val="0"/>
      <w:divBdr>
        <w:top w:val="none" w:sz="0" w:space="0" w:color="auto"/>
        <w:left w:val="none" w:sz="0" w:space="0" w:color="auto"/>
        <w:bottom w:val="none" w:sz="0" w:space="0" w:color="auto"/>
        <w:right w:val="none" w:sz="0" w:space="0" w:color="auto"/>
      </w:divBdr>
    </w:div>
    <w:div w:id="246768924">
      <w:bodyDiv w:val="1"/>
      <w:marLeft w:val="0"/>
      <w:marRight w:val="0"/>
      <w:marTop w:val="0"/>
      <w:marBottom w:val="0"/>
      <w:divBdr>
        <w:top w:val="none" w:sz="0" w:space="0" w:color="auto"/>
        <w:left w:val="none" w:sz="0" w:space="0" w:color="auto"/>
        <w:bottom w:val="none" w:sz="0" w:space="0" w:color="auto"/>
        <w:right w:val="none" w:sz="0" w:space="0" w:color="auto"/>
      </w:divBdr>
    </w:div>
    <w:div w:id="247471058">
      <w:bodyDiv w:val="1"/>
      <w:marLeft w:val="0"/>
      <w:marRight w:val="0"/>
      <w:marTop w:val="0"/>
      <w:marBottom w:val="0"/>
      <w:divBdr>
        <w:top w:val="none" w:sz="0" w:space="0" w:color="auto"/>
        <w:left w:val="none" w:sz="0" w:space="0" w:color="auto"/>
        <w:bottom w:val="none" w:sz="0" w:space="0" w:color="auto"/>
        <w:right w:val="none" w:sz="0" w:space="0" w:color="auto"/>
      </w:divBdr>
    </w:div>
    <w:div w:id="247928281">
      <w:bodyDiv w:val="1"/>
      <w:marLeft w:val="0"/>
      <w:marRight w:val="0"/>
      <w:marTop w:val="0"/>
      <w:marBottom w:val="0"/>
      <w:divBdr>
        <w:top w:val="none" w:sz="0" w:space="0" w:color="auto"/>
        <w:left w:val="none" w:sz="0" w:space="0" w:color="auto"/>
        <w:bottom w:val="none" w:sz="0" w:space="0" w:color="auto"/>
        <w:right w:val="none" w:sz="0" w:space="0" w:color="auto"/>
      </w:divBdr>
    </w:div>
    <w:div w:id="248201206">
      <w:bodyDiv w:val="1"/>
      <w:marLeft w:val="0"/>
      <w:marRight w:val="0"/>
      <w:marTop w:val="0"/>
      <w:marBottom w:val="0"/>
      <w:divBdr>
        <w:top w:val="none" w:sz="0" w:space="0" w:color="auto"/>
        <w:left w:val="none" w:sz="0" w:space="0" w:color="auto"/>
        <w:bottom w:val="none" w:sz="0" w:space="0" w:color="auto"/>
        <w:right w:val="none" w:sz="0" w:space="0" w:color="auto"/>
      </w:divBdr>
    </w:div>
    <w:div w:id="248387734">
      <w:bodyDiv w:val="1"/>
      <w:marLeft w:val="0"/>
      <w:marRight w:val="0"/>
      <w:marTop w:val="0"/>
      <w:marBottom w:val="0"/>
      <w:divBdr>
        <w:top w:val="none" w:sz="0" w:space="0" w:color="auto"/>
        <w:left w:val="none" w:sz="0" w:space="0" w:color="auto"/>
        <w:bottom w:val="none" w:sz="0" w:space="0" w:color="auto"/>
        <w:right w:val="none" w:sz="0" w:space="0" w:color="auto"/>
      </w:divBdr>
    </w:div>
    <w:div w:id="250549778">
      <w:bodyDiv w:val="1"/>
      <w:marLeft w:val="0"/>
      <w:marRight w:val="0"/>
      <w:marTop w:val="0"/>
      <w:marBottom w:val="0"/>
      <w:divBdr>
        <w:top w:val="none" w:sz="0" w:space="0" w:color="auto"/>
        <w:left w:val="none" w:sz="0" w:space="0" w:color="auto"/>
        <w:bottom w:val="none" w:sz="0" w:space="0" w:color="auto"/>
        <w:right w:val="none" w:sz="0" w:space="0" w:color="auto"/>
      </w:divBdr>
    </w:div>
    <w:div w:id="251935262">
      <w:bodyDiv w:val="1"/>
      <w:marLeft w:val="0"/>
      <w:marRight w:val="0"/>
      <w:marTop w:val="0"/>
      <w:marBottom w:val="0"/>
      <w:divBdr>
        <w:top w:val="none" w:sz="0" w:space="0" w:color="auto"/>
        <w:left w:val="none" w:sz="0" w:space="0" w:color="auto"/>
        <w:bottom w:val="none" w:sz="0" w:space="0" w:color="auto"/>
        <w:right w:val="none" w:sz="0" w:space="0" w:color="auto"/>
      </w:divBdr>
    </w:div>
    <w:div w:id="252323212">
      <w:bodyDiv w:val="1"/>
      <w:marLeft w:val="0"/>
      <w:marRight w:val="0"/>
      <w:marTop w:val="0"/>
      <w:marBottom w:val="0"/>
      <w:divBdr>
        <w:top w:val="none" w:sz="0" w:space="0" w:color="auto"/>
        <w:left w:val="none" w:sz="0" w:space="0" w:color="auto"/>
        <w:bottom w:val="none" w:sz="0" w:space="0" w:color="auto"/>
        <w:right w:val="none" w:sz="0" w:space="0" w:color="auto"/>
      </w:divBdr>
    </w:div>
    <w:div w:id="252394168">
      <w:bodyDiv w:val="1"/>
      <w:marLeft w:val="0"/>
      <w:marRight w:val="0"/>
      <w:marTop w:val="0"/>
      <w:marBottom w:val="0"/>
      <w:divBdr>
        <w:top w:val="none" w:sz="0" w:space="0" w:color="auto"/>
        <w:left w:val="none" w:sz="0" w:space="0" w:color="auto"/>
        <w:bottom w:val="none" w:sz="0" w:space="0" w:color="auto"/>
        <w:right w:val="none" w:sz="0" w:space="0" w:color="auto"/>
      </w:divBdr>
    </w:div>
    <w:div w:id="255359929">
      <w:bodyDiv w:val="1"/>
      <w:marLeft w:val="0"/>
      <w:marRight w:val="0"/>
      <w:marTop w:val="0"/>
      <w:marBottom w:val="0"/>
      <w:divBdr>
        <w:top w:val="none" w:sz="0" w:space="0" w:color="auto"/>
        <w:left w:val="none" w:sz="0" w:space="0" w:color="auto"/>
        <w:bottom w:val="none" w:sz="0" w:space="0" w:color="auto"/>
        <w:right w:val="none" w:sz="0" w:space="0" w:color="auto"/>
      </w:divBdr>
    </w:div>
    <w:div w:id="256444854">
      <w:bodyDiv w:val="1"/>
      <w:marLeft w:val="0"/>
      <w:marRight w:val="0"/>
      <w:marTop w:val="0"/>
      <w:marBottom w:val="0"/>
      <w:divBdr>
        <w:top w:val="none" w:sz="0" w:space="0" w:color="auto"/>
        <w:left w:val="none" w:sz="0" w:space="0" w:color="auto"/>
        <w:bottom w:val="none" w:sz="0" w:space="0" w:color="auto"/>
        <w:right w:val="none" w:sz="0" w:space="0" w:color="auto"/>
      </w:divBdr>
    </w:div>
    <w:div w:id="257297820">
      <w:bodyDiv w:val="1"/>
      <w:marLeft w:val="0"/>
      <w:marRight w:val="0"/>
      <w:marTop w:val="0"/>
      <w:marBottom w:val="0"/>
      <w:divBdr>
        <w:top w:val="none" w:sz="0" w:space="0" w:color="auto"/>
        <w:left w:val="none" w:sz="0" w:space="0" w:color="auto"/>
        <w:bottom w:val="none" w:sz="0" w:space="0" w:color="auto"/>
        <w:right w:val="none" w:sz="0" w:space="0" w:color="auto"/>
      </w:divBdr>
    </w:div>
    <w:div w:id="257370711">
      <w:bodyDiv w:val="1"/>
      <w:marLeft w:val="0"/>
      <w:marRight w:val="0"/>
      <w:marTop w:val="0"/>
      <w:marBottom w:val="0"/>
      <w:divBdr>
        <w:top w:val="none" w:sz="0" w:space="0" w:color="auto"/>
        <w:left w:val="none" w:sz="0" w:space="0" w:color="auto"/>
        <w:bottom w:val="none" w:sz="0" w:space="0" w:color="auto"/>
        <w:right w:val="none" w:sz="0" w:space="0" w:color="auto"/>
      </w:divBdr>
    </w:div>
    <w:div w:id="260722638">
      <w:bodyDiv w:val="1"/>
      <w:marLeft w:val="0"/>
      <w:marRight w:val="0"/>
      <w:marTop w:val="0"/>
      <w:marBottom w:val="0"/>
      <w:divBdr>
        <w:top w:val="none" w:sz="0" w:space="0" w:color="auto"/>
        <w:left w:val="none" w:sz="0" w:space="0" w:color="auto"/>
        <w:bottom w:val="none" w:sz="0" w:space="0" w:color="auto"/>
        <w:right w:val="none" w:sz="0" w:space="0" w:color="auto"/>
      </w:divBdr>
    </w:div>
    <w:div w:id="260991464">
      <w:bodyDiv w:val="1"/>
      <w:marLeft w:val="0"/>
      <w:marRight w:val="0"/>
      <w:marTop w:val="0"/>
      <w:marBottom w:val="0"/>
      <w:divBdr>
        <w:top w:val="none" w:sz="0" w:space="0" w:color="auto"/>
        <w:left w:val="none" w:sz="0" w:space="0" w:color="auto"/>
        <w:bottom w:val="none" w:sz="0" w:space="0" w:color="auto"/>
        <w:right w:val="none" w:sz="0" w:space="0" w:color="auto"/>
      </w:divBdr>
    </w:div>
    <w:div w:id="261380132">
      <w:bodyDiv w:val="1"/>
      <w:marLeft w:val="0"/>
      <w:marRight w:val="0"/>
      <w:marTop w:val="0"/>
      <w:marBottom w:val="0"/>
      <w:divBdr>
        <w:top w:val="none" w:sz="0" w:space="0" w:color="auto"/>
        <w:left w:val="none" w:sz="0" w:space="0" w:color="auto"/>
        <w:bottom w:val="none" w:sz="0" w:space="0" w:color="auto"/>
        <w:right w:val="none" w:sz="0" w:space="0" w:color="auto"/>
      </w:divBdr>
    </w:div>
    <w:div w:id="263850360">
      <w:bodyDiv w:val="1"/>
      <w:marLeft w:val="0"/>
      <w:marRight w:val="0"/>
      <w:marTop w:val="0"/>
      <w:marBottom w:val="0"/>
      <w:divBdr>
        <w:top w:val="none" w:sz="0" w:space="0" w:color="auto"/>
        <w:left w:val="none" w:sz="0" w:space="0" w:color="auto"/>
        <w:bottom w:val="none" w:sz="0" w:space="0" w:color="auto"/>
        <w:right w:val="none" w:sz="0" w:space="0" w:color="auto"/>
      </w:divBdr>
    </w:div>
    <w:div w:id="265158955">
      <w:bodyDiv w:val="1"/>
      <w:marLeft w:val="0"/>
      <w:marRight w:val="0"/>
      <w:marTop w:val="0"/>
      <w:marBottom w:val="0"/>
      <w:divBdr>
        <w:top w:val="none" w:sz="0" w:space="0" w:color="auto"/>
        <w:left w:val="none" w:sz="0" w:space="0" w:color="auto"/>
        <w:bottom w:val="none" w:sz="0" w:space="0" w:color="auto"/>
        <w:right w:val="none" w:sz="0" w:space="0" w:color="auto"/>
      </w:divBdr>
    </w:div>
    <w:div w:id="266933124">
      <w:bodyDiv w:val="1"/>
      <w:marLeft w:val="0"/>
      <w:marRight w:val="0"/>
      <w:marTop w:val="0"/>
      <w:marBottom w:val="0"/>
      <w:divBdr>
        <w:top w:val="none" w:sz="0" w:space="0" w:color="auto"/>
        <w:left w:val="none" w:sz="0" w:space="0" w:color="auto"/>
        <w:bottom w:val="none" w:sz="0" w:space="0" w:color="auto"/>
        <w:right w:val="none" w:sz="0" w:space="0" w:color="auto"/>
      </w:divBdr>
    </w:div>
    <w:div w:id="268664766">
      <w:bodyDiv w:val="1"/>
      <w:marLeft w:val="0"/>
      <w:marRight w:val="0"/>
      <w:marTop w:val="0"/>
      <w:marBottom w:val="0"/>
      <w:divBdr>
        <w:top w:val="none" w:sz="0" w:space="0" w:color="auto"/>
        <w:left w:val="none" w:sz="0" w:space="0" w:color="auto"/>
        <w:bottom w:val="none" w:sz="0" w:space="0" w:color="auto"/>
        <w:right w:val="none" w:sz="0" w:space="0" w:color="auto"/>
      </w:divBdr>
    </w:div>
    <w:div w:id="272178657">
      <w:bodyDiv w:val="1"/>
      <w:marLeft w:val="0"/>
      <w:marRight w:val="0"/>
      <w:marTop w:val="0"/>
      <w:marBottom w:val="0"/>
      <w:divBdr>
        <w:top w:val="none" w:sz="0" w:space="0" w:color="auto"/>
        <w:left w:val="none" w:sz="0" w:space="0" w:color="auto"/>
        <w:bottom w:val="none" w:sz="0" w:space="0" w:color="auto"/>
        <w:right w:val="none" w:sz="0" w:space="0" w:color="auto"/>
      </w:divBdr>
    </w:div>
    <w:div w:id="272251584">
      <w:bodyDiv w:val="1"/>
      <w:marLeft w:val="0"/>
      <w:marRight w:val="0"/>
      <w:marTop w:val="0"/>
      <w:marBottom w:val="0"/>
      <w:divBdr>
        <w:top w:val="none" w:sz="0" w:space="0" w:color="auto"/>
        <w:left w:val="none" w:sz="0" w:space="0" w:color="auto"/>
        <w:bottom w:val="none" w:sz="0" w:space="0" w:color="auto"/>
        <w:right w:val="none" w:sz="0" w:space="0" w:color="auto"/>
      </w:divBdr>
    </w:div>
    <w:div w:id="274750552">
      <w:bodyDiv w:val="1"/>
      <w:marLeft w:val="0"/>
      <w:marRight w:val="0"/>
      <w:marTop w:val="0"/>
      <w:marBottom w:val="0"/>
      <w:divBdr>
        <w:top w:val="none" w:sz="0" w:space="0" w:color="auto"/>
        <w:left w:val="none" w:sz="0" w:space="0" w:color="auto"/>
        <w:bottom w:val="none" w:sz="0" w:space="0" w:color="auto"/>
        <w:right w:val="none" w:sz="0" w:space="0" w:color="auto"/>
      </w:divBdr>
    </w:div>
    <w:div w:id="275138186">
      <w:bodyDiv w:val="1"/>
      <w:marLeft w:val="0"/>
      <w:marRight w:val="0"/>
      <w:marTop w:val="0"/>
      <w:marBottom w:val="0"/>
      <w:divBdr>
        <w:top w:val="none" w:sz="0" w:space="0" w:color="auto"/>
        <w:left w:val="none" w:sz="0" w:space="0" w:color="auto"/>
        <w:bottom w:val="none" w:sz="0" w:space="0" w:color="auto"/>
        <w:right w:val="none" w:sz="0" w:space="0" w:color="auto"/>
      </w:divBdr>
    </w:div>
    <w:div w:id="275331441">
      <w:bodyDiv w:val="1"/>
      <w:marLeft w:val="0"/>
      <w:marRight w:val="0"/>
      <w:marTop w:val="0"/>
      <w:marBottom w:val="0"/>
      <w:divBdr>
        <w:top w:val="none" w:sz="0" w:space="0" w:color="auto"/>
        <w:left w:val="none" w:sz="0" w:space="0" w:color="auto"/>
        <w:bottom w:val="none" w:sz="0" w:space="0" w:color="auto"/>
        <w:right w:val="none" w:sz="0" w:space="0" w:color="auto"/>
      </w:divBdr>
    </w:div>
    <w:div w:id="275603209">
      <w:bodyDiv w:val="1"/>
      <w:marLeft w:val="0"/>
      <w:marRight w:val="0"/>
      <w:marTop w:val="0"/>
      <w:marBottom w:val="0"/>
      <w:divBdr>
        <w:top w:val="none" w:sz="0" w:space="0" w:color="auto"/>
        <w:left w:val="none" w:sz="0" w:space="0" w:color="auto"/>
        <w:bottom w:val="none" w:sz="0" w:space="0" w:color="auto"/>
        <w:right w:val="none" w:sz="0" w:space="0" w:color="auto"/>
      </w:divBdr>
    </w:div>
    <w:div w:id="276982951">
      <w:bodyDiv w:val="1"/>
      <w:marLeft w:val="0"/>
      <w:marRight w:val="0"/>
      <w:marTop w:val="0"/>
      <w:marBottom w:val="0"/>
      <w:divBdr>
        <w:top w:val="none" w:sz="0" w:space="0" w:color="auto"/>
        <w:left w:val="none" w:sz="0" w:space="0" w:color="auto"/>
        <w:bottom w:val="none" w:sz="0" w:space="0" w:color="auto"/>
        <w:right w:val="none" w:sz="0" w:space="0" w:color="auto"/>
      </w:divBdr>
    </w:div>
    <w:div w:id="277110047">
      <w:bodyDiv w:val="1"/>
      <w:marLeft w:val="0"/>
      <w:marRight w:val="0"/>
      <w:marTop w:val="0"/>
      <w:marBottom w:val="0"/>
      <w:divBdr>
        <w:top w:val="none" w:sz="0" w:space="0" w:color="auto"/>
        <w:left w:val="none" w:sz="0" w:space="0" w:color="auto"/>
        <w:bottom w:val="none" w:sz="0" w:space="0" w:color="auto"/>
        <w:right w:val="none" w:sz="0" w:space="0" w:color="auto"/>
      </w:divBdr>
    </w:div>
    <w:div w:id="277494971">
      <w:bodyDiv w:val="1"/>
      <w:marLeft w:val="0"/>
      <w:marRight w:val="0"/>
      <w:marTop w:val="0"/>
      <w:marBottom w:val="0"/>
      <w:divBdr>
        <w:top w:val="none" w:sz="0" w:space="0" w:color="auto"/>
        <w:left w:val="none" w:sz="0" w:space="0" w:color="auto"/>
        <w:bottom w:val="none" w:sz="0" w:space="0" w:color="auto"/>
        <w:right w:val="none" w:sz="0" w:space="0" w:color="auto"/>
      </w:divBdr>
    </w:div>
    <w:div w:id="277883302">
      <w:bodyDiv w:val="1"/>
      <w:marLeft w:val="0"/>
      <w:marRight w:val="0"/>
      <w:marTop w:val="0"/>
      <w:marBottom w:val="0"/>
      <w:divBdr>
        <w:top w:val="none" w:sz="0" w:space="0" w:color="auto"/>
        <w:left w:val="none" w:sz="0" w:space="0" w:color="auto"/>
        <w:bottom w:val="none" w:sz="0" w:space="0" w:color="auto"/>
        <w:right w:val="none" w:sz="0" w:space="0" w:color="auto"/>
      </w:divBdr>
    </w:div>
    <w:div w:id="278877582">
      <w:bodyDiv w:val="1"/>
      <w:marLeft w:val="0"/>
      <w:marRight w:val="0"/>
      <w:marTop w:val="0"/>
      <w:marBottom w:val="0"/>
      <w:divBdr>
        <w:top w:val="none" w:sz="0" w:space="0" w:color="auto"/>
        <w:left w:val="none" w:sz="0" w:space="0" w:color="auto"/>
        <w:bottom w:val="none" w:sz="0" w:space="0" w:color="auto"/>
        <w:right w:val="none" w:sz="0" w:space="0" w:color="auto"/>
      </w:divBdr>
    </w:div>
    <w:div w:id="280035387">
      <w:bodyDiv w:val="1"/>
      <w:marLeft w:val="0"/>
      <w:marRight w:val="0"/>
      <w:marTop w:val="0"/>
      <w:marBottom w:val="0"/>
      <w:divBdr>
        <w:top w:val="none" w:sz="0" w:space="0" w:color="auto"/>
        <w:left w:val="none" w:sz="0" w:space="0" w:color="auto"/>
        <w:bottom w:val="none" w:sz="0" w:space="0" w:color="auto"/>
        <w:right w:val="none" w:sz="0" w:space="0" w:color="auto"/>
      </w:divBdr>
    </w:div>
    <w:div w:id="280116256">
      <w:bodyDiv w:val="1"/>
      <w:marLeft w:val="0"/>
      <w:marRight w:val="0"/>
      <w:marTop w:val="0"/>
      <w:marBottom w:val="0"/>
      <w:divBdr>
        <w:top w:val="none" w:sz="0" w:space="0" w:color="auto"/>
        <w:left w:val="none" w:sz="0" w:space="0" w:color="auto"/>
        <w:bottom w:val="none" w:sz="0" w:space="0" w:color="auto"/>
        <w:right w:val="none" w:sz="0" w:space="0" w:color="auto"/>
      </w:divBdr>
    </w:div>
    <w:div w:id="280502752">
      <w:bodyDiv w:val="1"/>
      <w:marLeft w:val="0"/>
      <w:marRight w:val="0"/>
      <w:marTop w:val="0"/>
      <w:marBottom w:val="0"/>
      <w:divBdr>
        <w:top w:val="none" w:sz="0" w:space="0" w:color="auto"/>
        <w:left w:val="none" w:sz="0" w:space="0" w:color="auto"/>
        <w:bottom w:val="none" w:sz="0" w:space="0" w:color="auto"/>
        <w:right w:val="none" w:sz="0" w:space="0" w:color="auto"/>
      </w:divBdr>
    </w:div>
    <w:div w:id="280697658">
      <w:bodyDiv w:val="1"/>
      <w:marLeft w:val="0"/>
      <w:marRight w:val="0"/>
      <w:marTop w:val="0"/>
      <w:marBottom w:val="0"/>
      <w:divBdr>
        <w:top w:val="none" w:sz="0" w:space="0" w:color="auto"/>
        <w:left w:val="none" w:sz="0" w:space="0" w:color="auto"/>
        <w:bottom w:val="none" w:sz="0" w:space="0" w:color="auto"/>
        <w:right w:val="none" w:sz="0" w:space="0" w:color="auto"/>
      </w:divBdr>
    </w:div>
    <w:div w:id="280771453">
      <w:bodyDiv w:val="1"/>
      <w:marLeft w:val="0"/>
      <w:marRight w:val="0"/>
      <w:marTop w:val="0"/>
      <w:marBottom w:val="0"/>
      <w:divBdr>
        <w:top w:val="none" w:sz="0" w:space="0" w:color="auto"/>
        <w:left w:val="none" w:sz="0" w:space="0" w:color="auto"/>
        <w:bottom w:val="none" w:sz="0" w:space="0" w:color="auto"/>
        <w:right w:val="none" w:sz="0" w:space="0" w:color="auto"/>
      </w:divBdr>
    </w:div>
    <w:div w:id="285895053">
      <w:bodyDiv w:val="1"/>
      <w:marLeft w:val="0"/>
      <w:marRight w:val="0"/>
      <w:marTop w:val="0"/>
      <w:marBottom w:val="0"/>
      <w:divBdr>
        <w:top w:val="none" w:sz="0" w:space="0" w:color="auto"/>
        <w:left w:val="none" w:sz="0" w:space="0" w:color="auto"/>
        <w:bottom w:val="none" w:sz="0" w:space="0" w:color="auto"/>
        <w:right w:val="none" w:sz="0" w:space="0" w:color="auto"/>
      </w:divBdr>
    </w:div>
    <w:div w:id="285938015">
      <w:bodyDiv w:val="1"/>
      <w:marLeft w:val="0"/>
      <w:marRight w:val="0"/>
      <w:marTop w:val="0"/>
      <w:marBottom w:val="0"/>
      <w:divBdr>
        <w:top w:val="none" w:sz="0" w:space="0" w:color="auto"/>
        <w:left w:val="none" w:sz="0" w:space="0" w:color="auto"/>
        <w:bottom w:val="none" w:sz="0" w:space="0" w:color="auto"/>
        <w:right w:val="none" w:sz="0" w:space="0" w:color="auto"/>
      </w:divBdr>
    </w:div>
    <w:div w:id="287054665">
      <w:bodyDiv w:val="1"/>
      <w:marLeft w:val="0"/>
      <w:marRight w:val="0"/>
      <w:marTop w:val="0"/>
      <w:marBottom w:val="0"/>
      <w:divBdr>
        <w:top w:val="none" w:sz="0" w:space="0" w:color="auto"/>
        <w:left w:val="none" w:sz="0" w:space="0" w:color="auto"/>
        <w:bottom w:val="none" w:sz="0" w:space="0" w:color="auto"/>
        <w:right w:val="none" w:sz="0" w:space="0" w:color="auto"/>
      </w:divBdr>
    </w:div>
    <w:div w:id="287393150">
      <w:bodyDiv w:val="1"/>
      <w:marLeft w:val="0"/>
      <w:marRight w:val="0"/>
      <w:marTop w:val="0"/>
      <w:marBottom w:val="0"/>
      <w:divBdr>
        <w:top w:val="none" w:sz="0" w:space="0" w:color="auto"/>
        <w:left w:val="none" w:sz="0" w:space="0" w:color="auto"/>
        <w:bottom w:val="none" w:sz="0" w:space="0" w:color="auto"/>
        <w:right w:val="none" w:sz="0" w:space="0" w:color="auto"/>
      </w:divBdr>
    </w:div>
    <w:div w:id="288559311">
      <w:bodyDiv w:val="1"/>
      <w:marLeft w:val="0"/>
      <w:marRight w:val="0"/>
      <w:marTop w:val="0"/>
      <w:marBottom w:val="0"/>
      <w:divBdr>
        <w:top w:val="none" w:sz="0" w:space="0" w:color="auto"/>
        <w:left w:val="none" w:sz="0" w:space="0" w:color="auto"/>
        <w:bottom w:val="none" w:sz="0" w:space="0" w:color="auto"/>
        <w:right w:val="none" w:sz="0" w:space="0" w:color="auto"/>
      </w:divBdr>
    </w:div>
    <w:div w:id="289090627">
      <w:bodyDiv w:val="1"/>
      <w:marLeft w:val="0"/>
      <w:marRight w:val="0"/>
      <w:marTop w:val="0"/>
      <w:marBottom w:val="0"/>
      <w:divBdr>
        <w:top w:val="none" w:sz="0" w:space="0" w:color="auto"/>
        <w:left w:val="none" w:sz="0" w:space="0" w:color="auto"/>
        <w:bottom w:val="none" w:sz="0" w:space="0" w:color="auto"/>
        <w:right w:val="none" w:sz="0" w:space="0" w:color="auto"/>
      </w:divBdr>
    </w:div>
    <w:div w:id="289097889">
      <w:bodyDiv w:val="1"/>
      <w:marLeft w:val="0"/>
      <w:marRight w:val="0"/>
      <w:marTop w:val="0"/>
      <w:marBottom w:val="0"/>
      <w:divBdr>
        <w:top w:val="none" w:sz="0" w:space="0" w:color="auto"/>
        <w:left w:val="none" w:sz="0" w:space="0" w:color="auto"/>
        <w:bottom w:val="none" w:sz="0" w:space="0" w:color="auto"/>
        <w:right w:val="none" w:sz="0" w:space="0" w:color="auto"/>
      </w:divBdr>
    </w:div>
    <w:div w:id="290094108">
      <w:bodyDiv w:val="1"/>
      <w:marLeft w:val="0"/>
      <w:marRight w:val="0"/>
      <w:marTop w:val="0"/>
      <w:marBottom w:val="0"/>
      <w:divBdr>
        <w:top w:val="none" w:sz="0" w:space="0" w:color="auto"/>
        <w:left w:val="none" w:sz="0" w:space="0" w:color="auto"/>
        <w:bottom w:val="none" w:sz="0" w:space="0" w:color="auto"/>
        <w:right w:val="none" w:sz="0" w:space="0" w:color="auto"/>
      </w:divBdr>
    </w:div>
    <w:div w:id="290328371">
      <w:bodyDiv w:val="1"/>
      <w:marLeft w:val="0"/>
      <w:marRight w:val="0"/>
      <w:marTop w:val="0"/>
      <w:marBottom w:val="0"/>
      <w:divBdr>
        <w:top w:val="none" w:sz="0" w:space="0" w:color="auto"/>
        <w:left w:val="none" w:sz="0" w:space="0" w:color="auto"/>
        <w:bottom w:val="none" w:sz="0" w:space="0" w:color="auto"/>
        <w:right w:val="none" w:sz="0" w:space="0" w:color="auto"/>
      </w:divBdr>
    </w:div>
    <w:div w:id="291525627">
      <w:bodyDiv w:val="1"/>
      <w:marLeft w:val="0"/>
      <w:marRight w:val="0"/>
      <w:marTop w:val="0"/>
      <w:marBottom w:val="0"/>
      <w:divBdr>
        <w:top w:val="none" w:sz="0" w:space="0" w:color="auto"/>
        <w:left w:val="none" w:sz="0" w:space="0" w:color="auto"/>
        <w:bottom w:val="none" w:sz="0" w:space="0" w:color="auto"/>
        <w:right w:val="none" w:sz="0" w:space="0" w:color="auto"/>
      </w:divBdr>
    </w:div>
    <w:div w:id="291864303">
      <w:bodyDiv w:val="1"/>
      <w:marLeft w:val="0"/>
      <w:marRight w:val="0"/>
      <w:marTop w:val="0"/>
      <w:marBottom w:val="0"/>
      <w:divBdr>
        <w:top w:val="none" w:sz="0" w:space="0" w:color="auto"/>
        <w:left w:val="none" w:sz="0" w:space="0" w:color="auto"/>
        <w:bottom w:val="none" w:sz="0" w:space="0" w:color="auto"/>
        <w:right w:val="none" w:sz="0" w:space="0" w:color="auto"/>
      </w:divBdr>
    </w:div>
    <w:div w:id="291911408">
      <w:bodyDiv w:val="1"/>
      <w:marLeft w:val="0"/>
      <w:marRight w:val="0"/>
      <w:marTop w:val="0"/>
      <w:marBottom w:val="0"/>
      <w:divBdr>
        <w:top w:val="none" w:sz="0" w:space="0" w:color="auto"/>
        <w:left w:val="none" w:sz="0" w:space="0" w:color="auto"/>
        <w:bottom w:val="none" w:sz="0" w:space="0" w:color="auto"/>
        <w:right w:val="none" w:sz="0" w:space="0" w:color="auto"/>
      </w:divBdr>
    </w:div>
    <w:div w:id="292297363">
      <w:bodyDiv w:val="1"/>
      <w:marLeft w:val="0"/>
      <w:marRight w:val="0"/>
      <w:marTop w:val="0"/>
      <w:marBottom w:val="0"/>
      <w:divBdr>
        <w:top w:val="none" w:sz="0" w:space="0" w:color="auto"/>
        <w:left w:val="none" w:sz="0" w:space="0" w:color="auto"/>
        <w:bottom w:val="none" w:sz="0" w:space="0" w:color="auto"/>
        <w:right w:val="none" w:sz="0" w:space="0" w:color="auto"/>
      </w:divBdr>
    </w:div>
    <w:div w:id="293024696">
      <w:bodyDiv w:val="1"/>
      <w:marLeft w:val="0"/>
      <w:marRight w:val="0"/>
      <w:marTop w:val="0"/>
      <w:marBottom w:val="0"/>
      <w:divBdr>
        <w:top w:val="none" w:sz="0" w:space="0" w:color="auto"/>
        <w:left w:val="none" w:sz="0" w:space="0" w:color="auto"/>
        <w:bottom w:val="none" w:sz="0" w:space="0" w:color="auto"/>
        <w:right w:val="none" w:sz="0" w:space="0" w:color="auto"/>
      </w:divBdr>
    </w:div>
    <w:div w:id="293102954">
      <w:bodyDiv w:val="1"/>
      <w:marLeft w:val="0"/>
      <w:marRight w:val="0"/>
      <w:marTop w:val="0"/>
      <w:marBottom w:val="0"/>
      <w:divBdr>
        <w:top w:val="none" w:sz="0" w:space="0" w:color="auto"/>
        <w:left w:val="none" w:sz="0" w:space="0" w:color="auto"/>
        <w:bottom w:val="none" w:sz="0" w:space="0" w:color="auto"/>
        <w:right w:val="none" w:sz="0" w:space="0" w:color="auto"/>
      </w:divBdr>
    </w:div>
    <w:div w:id="294262486">
      <w:bodyDiv w:val="1"/>
      <w:marLeft w:val="0"/>
      <w:marRight w:val="0"/>
      <w:marTop w:val="0"/>
      <w:marBottom w:val="0"/>
      <w:divBdr>
        <w:top w:val="none" w:sz="0" w:space="0" w:color="auto"/>
        <w:left w:val="none" w:sz="0" w:space="0" w:color="auto"/>
        <w:bottom w:val="none" w:sz="0" w:space="0" w:color="auto"/>
        <w:right w:val="none" w:sz="0" w:space="0" w:color="auto"/>
      </w:divBdr>
    </w:div>
    <w:div w:id="295180084">
      <w:bodyDiv w:val="1"/>
      <w:marLeft w:val="0"/>
      <w:marRight w:val="0"/>
      <w:marTop w:val="0"/>
      <w:marBottom w:val="0"/>
      <w:divBdr>
        <w:top w:val="none" w:sz="0" w:space="0" w:color="auto"/>
        <w:left w:val="none" w:sz="0" w:space="0" w:color="auto"/>
        <w:bottom w:val="none" w:sz="0" w:space="0" w:color="auto"/>
        <w:right w:val="none" w:sz="0" w:space="0" w:color="auto"/>
      </w:divBdr>
    </w:div>
    <w:div w:id="296029378">
      <w:bodyDiv w:val="1"/>
      <w:marLeft w:val="0"/>
      <w:marRight w:val="0"/>
      <w:marTop w:val="0"/>
      <w:marBottom w:val="0"/>
      <w:divBdr>
        <w:top w:val="none" w:sz="0" w:space="0" w:color="auto"/>
        <w:left w:val="none" w:sz="0" w:space="0" w:color="auto"/>
        <w:bottom w:val="none" w:sz="0" w:space="0" w:color="auto"/>
        <w:right w:val="none" w:sz="0" w:space="0" w:color="auto"/>
      </w:divBdr>
    </w:div>
    <w:div w:id="296372798">
      <w:bodyDiv w:val="1"/>
      <w:marLeft w:val="0"/>
      <w:marRight w:val="0"/>
      <w:marTop w:val="0"/>
      <w:marBottom w:val="0"/>
      <w:divBdr>
        <w:top w:val="none" w:sz="0" w:space="0" w:color="auto"/>
        <w:left w:val="none" w:sz="0" w:space="0" w:color="auto"/>
        <w:bottom w:val="none" w:sz="0" w:space="0" w:color="auto"/>
        <w:right w:val="none" w:sz="0" w:space="0" w:color="auto"/>
      </w:divBdr>
    </w:div>
    <w:div w:id="296685171">
      <w:bodyDiv w:val="1"/>
      <w:marLeft w:val="0"/>
      <w:marRight w:val="0"/>
      <w:marTop w:val="0"/>
      <w:marBottom w:val="0"/>
      <w:divBdr>
        <w:top w:val="none" w:sz="0" w:space="0" w:color="auto"/>
        <w:left w:val="none" w:sz="0" w:space="0" w:color="auto"/>
        <w:bottom w:val="none" w:sz="0" w:space="0" w:color="auto"/>
        <w:right w:val="none" w:sz="0" w:space="0" w:color="auto"/>
      </w:divBdr>
    </w:div>
    <w:div w:id="297956522">
      <w:bodyDiv w:val="1"/>
      <w:marLeft w:val="0"/>
      <w:marRight w:val="0"/>
      <w:marTop w:val="0"/>
      <w:marBottom w:val="0"/>
      <w:divBdr>
        <w:top w:val="none" w:sz="0" w:space="0" w:color="auto"/>
        <w:left w:val="none" w:sz="0" w:space="0" w:color="auto"/>
        <w:bottom w:val="none" w:sz="0" w:space="0" w:color="auto"/>
        <w:right w:val="none" w:sz="0" w:space="0" w:color="auto"/>
      </w:divBdr>
    </w:div>
    <w:div w:id="301347966">
      <w:bodyDiv w:val="1"/>
      <w:marLeft w:val="0"/>
      <w:marRight w:val="0"/>
      <w:marTop w:val="0"/>
      <w:marBottom w:val="0"/>
      <w:divBdr>
        <w:top w:val="none" w:sz="0" w:space="0" w:color="auto"/>
        <w:left w:val="none" w:sz="0" w:space="0" w:color="auto"/>
        <w:bottom w:val="none" w:sz="0" w:space="0" w:color="auto"/>
        <w:right w:val="none" w:sz="0" w:space="0" w:color="auto"/>
      </w:divBdr>
    </w:div>
    <w:div w:id="301422434">
      <w:bodyDiv w:val="1"/>
      <w:marLeft w:val="0"/>
      <w:marRight w:val="0"/>
      <w:marTop w:val="0"/>
      <w:marBottom w:val="0"/>
      <w:divBdr>
        <w:top w:val="none" w:sz="0" w:space="0" w:color="auto"/>
        <w:left w:val="none" w:sz="0" w:space="0" w:color="auto"/>
        <w:bottom w:val="none" w:sz="0" w:space="0" w:color="auto"/>
        <w:right w:val="none" w:sz="0" w:space="0" w:color="auto"/>
      </w:divBdr>
    </w:div>
    <w:div w:id="301666296">
      <w:bodyDiv w:val="1"/>
      <w:marLeft w:val="0"/>
      <w:marRight w:val="0"/>
      <w:marTop w:val="0"/>
      <w:marBottom w:val="0"/>
      <w:divBdr>
        <w:top w:val="none" w:sz="0" w:space="0" w:color="auto"/>
        <w:left w:val="none" w:sz="0" w:space="0" w:color="auto"/>
        <w:bottom w:val="none" w:sz="0" w:space="0" w:color="auto"/>
        <w:right w:val="none" w:sz="0" w:space="0" w:color="auto"/>
      </w:divBdr>
    </w:div>
    <w:div w:id="302389690">
      <w:bodyDiv w:val="1"/>
      <w:marLeft w:val="0"/>
      <w:marRight w:val="0"/>
      <w:marTop w:val="0"/>
      <w:marBottom w:val="0"/>
      <w:divBdr>
        <w:top w:val="none" w:sz="0" w:space="0" w:color="auto"/>
        <w:left w:val="none" w:sz="0" w:space="0" w:color="auto"/>
        <w:bottom w:val="none" w:sz="0" w:space="0" w:color="auto"/>
        <w:right w:val="none" w:sz="0" w:space="0" w:color="auto"/>
      </w:divBdr>
    </w:div>
    <w:div w:id="303655317">
      <w:bodyDiv w:val="1"/>
      <w:marLeft w:val="0"/>
      <w:marRight w:val="0"/>
      <w:marTop w:val="0"/>
      <w:marBottom w:val="0"/>
      <w:divBdr>
        <w:top w:val="none" w:sz="0" w:space="0" w:color="auto"/>
        <w:left w:val="none" w:sz="0" w:space="0" w:color="auto"/>
        <w:bottom w:val="none" w:sz="0" w:space="0" w:color="auto"/>
        <w:right w:val="none" w:sz="0" w:space="0" w:color="auto"/>
      </w:divBdr>
    </w:div>
    <w:div w:id="306057842">
      <w:bodyDiv w:val="1"/>
      <w:marLeft w:val="0"/>
      <w:marRight w:val="0"/>
      <w:marTop w:val="0"/>
      <w:marBottom w:val="0"/>
      <w:divBdr>
        <w:top w:val="none" w:sz="0" w:space="0" w:color="auto"/>
        <w:left w:val="none" w:sz="0" w:space="0" w:color="auto"/>
        <w:bottom w:val="none" w:sz="0" w:space="0" w:color="auto"/>
        <w:right w:val="none" w:sz="0" w:space="0" w:color="auto"/>
      </w:divBdr>
    </w:div>
    <w:div w:id="306785390">
      <w:bodyDiv w:val="1"/>
      <w:marLeft w:val="0"/>
      <w:marRight w:val="0"/>
      <w:marTop w:val="0"/>
      <w:marBottom w:val="0"/>
      <w:divBdr>
        <w:top w:val="none" w:sz="0" w:space="0" w:color="auto"/>
        <w:left w:val="none" w:sz="0" w:space="0" w:color="auto"/>
        <w:bottom w:val="none" w:sz="0" w:space="0" w:color="auto"/>
        <w:right w:val="none" w:sz="0" w:space="0" w:color="auto"/>
      </w:divBdr>
    </w:div>
    <w:div w:id="307394605">
      <w:bodyDiv w:val="1"/>
      <w:marLeft w:val="0"/>
      <w:marRight w:val="0"/>
      <w:marTop w:val="0"/>
      <w:marBottom w:val="0"/>
      <w:divBdr>
        <w:top w:val="none" w:sz="0" w:space="0" w:color="auto"/>
        <w:left w:val="none" w:sz="0" w:space="0" w:color="auto"/>
        <w:bottom w:val="none" w:sz="0" w:space="0" w:color="auto"/>
        <w:right w:val="none" w:sz="0" w:space="0" w:color="auto"/>
      </w:divBdr>
    </w:div>
    <w:div w:id="307904656">
      <w:bodyDiv w:val="1"/>
      <w:marLeft w:val="0"/>
      <w:marRight w:val="0"/>
      <w:marTop w:val="0"/>
      <w:marBottom w:val="0"/>
      <w:divBdr>
        <w:top w:val="none" w:sz="0" w:space="0" w:color="auto"/>
        <w:left w:val="none" w:sz="0" w:space="0" w:color="auto"/>
        <w:bottom w:val="none" w:sz="0" w:space="0" w:color="auto"/>
        <w:right w:val="none" w:sz="0" w:space="0" w:color="auto"/>
      </w:divBdr>
    </w:div>
    <w:div w:id="309210152">
      <w:bodyDiv w:val="1"/>
      <w:marLeft w:val="0"/>
      <w:marRight w:val="0"/>
      <w:marTop w:val="0"/>
      <w:marBottom w:val="0"/>
      <w:divBdr>
        <w:top w:val="none" w:sz="0" w:space="0" w:color="auto"/>
        <w:left w:val="none" w:sz="0" w:space="0" w:color="auto"/>
        <w:bottom w:val="none" w:sz="0" w:space="0" w:color="auto"/>
        <w:right w:val="none" w:sz="0" w:space="0" w:color="auto"/>
      </w:divBdr>
    </w:div>
    <w:div w:id="309484639">
      <w:bodyDiv w:val="1"/>
      <w:marLeft w:val="0"/>
      <w:marRight w:val="0"/>
      <w:marTop w:val="0"/>
      <w:marBottom w:val="0"/>
      <w:divBdr>
        <w:top w:val="none" w:sz="0" w:space="0" w:color="auto"/>
        <w:left w:val="none" w:sz="0" w:space="0" w:color="auto"/>
        <w:bottom w:val="none" w:sz="0" w:space="0" w:color="auto"/>
        <w:right w:val="none" w:sz="0" w:space="0" w:color="auto"/>
      </w:divBdr>
    </w:div>
    <w:div w:id="311524645">
      <w:bodyDiv w:val="1"/>
      <w:marLeft w:val="0"/>
      <w:marRight w:val="0"/>
      <w:marTop w:val="0"/>
      <w:marBottom w:val="0"/>
      <w:divBdr>
        <w:top w:val="none" w:sz="0" w:space="0" w:color="auto"/>
        <w:left w:val="none" w:sz="0" w:space="0" w:color="auto"/>
        <w:bottom w:val="none" w:sz="0" w:space="0" w:color="auto"/>
        <w:right w:val="none" w:sz="0" w:space="0" w:color="auto"/>
      </w:divBdr>
    </w:div>
    <w:div w:id="312564330">
      <w:bodyDiv w:val="1"/>
      <w:marLeft w:val="0"/>
      <w:marRight w:val="0"/>
      <w:marTop w:val="0"/>
      <w:marBottom w:val="0"/>
      <w:divBdr>
        <w:top w:val="none" w:sz="0" w:space="0" w:color="auto"/>
        <w:left w:val="none" w:sz="0" w:space="0" w:color="auto"/>
        <w:bottom w:val="none" w:sz="0" w:space="0" w:color="auto"/>
        <w:right w:val="none" w:sz="0" w:space="0" w:color="auto"/>
      </w:divBdr>
    </w:div>
    <w:div w:id="312763002">
      <w:bodyDiv w:val="1"/>
      <w:marLeft w:val="0"/>
      <w:marRight w:val="0"/>
      <w:marTop w:val="0"/>
      <w:marBottom w:val="0"/>
      <w:divBdr>
        <w:top w:val="none" w:sz="0" w:space="0" w:color="auto"/>
        <w:left w:val="none" w:sz="0" w:space="0" w:color="auto"/>
        <w:bottom w:val="none" w:sz="0" w:space="0" w:color="auto"/>
        <w:right w:val="none" w:sz="0" w:space="0" w:color="auto"/>
      </w:divBdr>
    </w:div>
    <w:div w:id="313140488">
      <w:bodyDiv w:val="1"/>
      <w:marLeft w:val="0"/>
      <w:marRight w:val="0"/>
      <w:marTop w:val="0"/>
      <w:marBottom w:val="0"/>
      <w:divBdr>
        <w:top w:val="none" w:sz="0" w:space="0" w:color="auto"/>
        <w:left w:val="none" w:sz="0" w:space="0" w:color="auto"/>
        <w:bottom w:val="none" w:sz="0" w:space="0" w:color="auto"/>
        <w:right w:val="none" w:sz="0" w:space="0" w:color="auto"/>
      </w:divBdr>
    </w:div>
    <w:div w:id="314074035">
      <w:bodyDiv w:val="1"/>
      <w:marLeft w:val="0"/>
      <w:marRight w:val="0"/>
      <w:marTop w:val="0"/>
      <w:marBottom w:val="0"/>
      <w:divBdr>
        <w:top w:val="none" w:sz="0" w:space="0" w:color="auto"/>
        <w:left w:val="none" w:sz="0" w:space="0" w:color="auto"/>
        <w:bottom w:val="none" w:sz="0" w:space="0" w:color="auto"/>
        <w:right w:val="none" w:sz="0" w:space="0" w:color="auto"/>
      </w:divBdr>
    </w:div>
    <w:div w:id="315110481">
      <w:bodyDiv w:val="1"/>
      <w:marLeft w:val="0"/>
      <w:marRight w:val="0"/>
      <w:marTop w:val="0"/>
      <w:marBottom w:val="0"/>
      <w:divBdr>
        <w:top w:val="none" w:sz="0" w:space="0" w:color="auto"/>
        <w:left w:val="none" w:sz="0" w:space="0" w:color="auto"/>
        <w:bottom w:val="none" w:sz="0" w:space="0" w:color="auto"/>
        <w:right w:val="none" w:sz="0" w:space="0" w:color="auto"/>
      </w:divBdr>
    </w:div>
    <w:div w:id="315495281">
      <w:bodyDiv w:val="1"/>
      <w:marLeft w:val="0"/>
      <w:marRight w:val="0"/>
      <w:marTop w:val="0"/>
      <w:marBottom w:val="0"/>
      <w:divBdr>
        <w:top w:val="none" w:sz="0" w:space="0" w:color="auto"/>
        <w:left w:val="none" w:sz="0" w:space="0" w:color="auto"/>
        <w:bottom w:val="none" w:sz="0" w:space="0" w:color="auto"/>
        <w:right w:val="none" w:sz="0" w:space="0" w:color="auto"/>
      </w:divBdr>
    </w:div>
    <w:div w:id="317076465">
      <w:bodyDiv w:val="1"/>
      <w:marLeft w:val="0"/>
      <w:marRight w:val="0"/>
      <w:marTop w:val="0"/>
      <w:marBottom w:val="0"/>
      <w:divBdr>
        <w:top w:val="none" w:sz="0" w:space="0" w:color="auto"/>
        <w:left w:val="none" w:sz="0" w:space="0" w:color="auto"/>
        <w:bottom w:val="none" w:sz="0" w:space="0" w:color="auto"/>
        <w:right w:val="none" w:sz="0" w:space="0" w:color="auto"/>
      </w:divBdr>
    </w:div>
    <w:div w:id="317924123">
      <w:bodyDiv w:val="1"/>
      <w:marLeft w:val="0"/>
      <w:marRight w:val="0"/>
      <w:marTop w:val="0"/>
      <w:marBottom w:val="0"/>
      <w:divBdr>
        <w:top w:val="none" w:sz="0" w:space="0" w:color="auto"/>
        <w:left w:val="none" w:sz="0" w:space="0" w:color="auto"/>
        <w:bottom w:val="none" w:sz="0" w:space="0" w:color="auto"/>
        <w:right w:val="none" w:sz="0" w:space="0" w:color="auto"/>
      </w:divBdr>
    </w:div>
    <w:div w:id="319116441">
      <w:bodyDiv w:val="1"/>
      <w:marLeft w:val="0"/>
      <w:marRight w:val="0"/>
      <w:marTop w:val="0"/>
      <w:marBottom w:val="0"/>
      <w:divBdr>
        <w:top w:val="none" w:sz="0" w:space="0" w:color="auto"/>
        <w:left w:val="none" w:sz="0" w:space="0" w:color="auto"/>
        <w:bottom w:val="none" w:sz="0" w:space="0" w:color="auto"/>
        <w:right w:val="none" w:sz="0" w:space="0" w:color="auto"/>
      </w:divBdr>
    </w:div>
    <w:div w:id="320812649">
      <w:bodyDiv w:val="1"/>
      <w:marLeft w:val="0"/>
      <w:marRight w:val="0"/>
      <w:marTop w:val="0"/>
      <w:marBottom w:val="0"/>
      <w:divBdr>
        <w:top w:val="none" w:sz="0" w:space="0" w:color="auto"/>
        <w:left w:val="none" w:sz="0" w:space="0" w:color="auto"/>
        <w:bottom w:val="none" w:sz="0" w:space="0" w:color="auto"/>
        <w:right w:val="none" w:sz="0" w:space="0" w:color="auto"/>
      </w:divBdr>
    </w:div>
    <w:div w:id="320815607">
      <w:bodyDiv w:val="1"/>
      <w:marLeft w:val="0"/>
      <w:marRight w:val="0"/>
      <w:marTop w:val="0"/>
      <w:marBottom w:val="0"/>
      <w:divBdr>
        <w:top w:val="none" w:sz="0" w:space="0" w:color="auto"/>
        <w:left w:val="none" w:sz="0" w:space="0" w:color="auto"/>
        <w:bottom w:val="none" w:sz="0" w:space="0" w:color="auto"/>
        <w:right w:val="none" w:sz="0" w:space="0" w:color="auto"/>
      </w:divBdr>
    </w:div>
    <w:div w:id="321617783">
      <w:bodyDiv w:val="1"/>
      <w:marLeft w:val="0"/>
      <w:marRight w:val="0"/>
      <w:marTop w:val="0"/>
      <w:marBottom w:val="0"/>
      <w:divBdr>
        <w:top w:val="none" w:sz="0" w:space="0" w:color="auto"/>
        <w:left w:val="none" w:sz="0" w:space="0" w:color="auto"/>
        <w:bottom w:val="none" w:sz="0" w:space="0" w:color="auto"/>
        <w:right w:val="none" w:sz="0" w:space="0" w:color="auto"/>
      </w:divBdr>
    </w:div>
    <w:div w:id="323827099">
      <w:bodyDiv w:val="1"/>
      <w:marLeft w:val="0"/>
      <w:marRight w:val="0"/>
      <w:marTop w:val="0"/>
      <w:marBottom w:val="0"/>
      <w:divBdr>
        <w:top w:val="none" w:sz="0" w:space="0" w:color="auto"/>
        <w:left w:val="none" w:sz="0" w:space="0" w:color="auto"/>
        <w:bottom w:val="none" w:sz="0" w:space="0" w:color="auto"/>
        <w:right w:val="none" w:sz="0" w:space="0" w:color="auto"/>
      </w:divBdr>
    </w:div>
    <w:div w:id="324165193">
      <w:bodyDiv w:val="1"/>
      <w:marLeft w:val="0"/>
      <w:marRight w:val="0"/>
      <w:marTop w:val="0"/>
      <w:marBottom w:val="0"/>
      <w:divBdr>
        <w:top w:val="none" w:sz="0" w:space="0" w:color="auto"/>
        <w:left w:val="none" w:sz="0" w:space="0" w:color="auto"/>
        <w:bottom w:val="none" w:sz="0" w:space="0" w:color="auto"/>
        <w:right w:val="none" w:sz="0" w:space="0" w:color="auto"/>
      </w:divBdr>
    </w:div>
    <w:div w:id="324821479">
      <w:bodyDiv w:val="1"/>
      <w:marLeft w:val="0"/>
      <w:marRight w:val="0"/>
      <w:marTop w:val="0"/>
      <w:marBottom w:val="0"/>
      <w:divBdr>
        <w:top w:val="none" w:sz="0" w:space="0" w:color="auto"/>
        <w:left w:val="none" w:sz="0" w:space="0" w:color="auto"/>
        <w:bottom w:val="none" w:sz="0" w:space="0" w:color="auto"/>
        <w:right w:val="none" w:sz="0" w:space="0" w:color="auto"/>
      </w:divBdr>
    </w:div>
    <w:div w:id="324937111">
      <w:bodyDiv w:val="1"/>
      <w:marLeft w:val="0"/>
      <w:marRight w:val="0"/>
      <w:marTop w:val="0"/>
      <w:marBottom w:val="0"/>
      <w:divBdr>
        <w:top w:val="none" w:sz="0" w:space="0" w:color="auto"/>
        <w:left w:val="none" w:sz="0" w:space="0" w:color="auto"/>
        <w:bottom w:val="none" w:sz="0" w:space="0" w:color="auto"/>
        <w:right w:val="none" w:sz="0" w:space="0" w:color="auto"/>
      </w:divBdr>
    </w:div>
    <w:div w:id="325205759">
      <w:bodyDiv w:val="1"/>
      <w:marLeft w:val="0"/>
      <w:marRight w:val="0"/>
      <w:marTop w:val="0"/>
      <w:marBottom w:val="0"/>
      <w:divBdr>
        <w:top w:val="none" w:sz="0" w:space="0" w:color="auto"/>
        <w:left w:val="none" w:sz="0" w:space="0" w:color="auto"/>
        <w:bottom w:val="none" w:sz="0" w:space="0" w:color="auto"/>
        <w:right w:val="none" w:sz="0" w:space="0" w:color="auto"/>
      </w:divBdr>
    </w:div>
    <w:div w:id="325979178">
      <w:bodyDiv w:val="1"/>
      <w:marLeft w:val="0"/>
      <w:marRight w:val="0"/>
      <w:marTop w:val="0"/>
      <w:marBottom w:val="0"/>
      <w:divBdr>
        <w:top w:val="none" w:sz="0" w:space="0" w:color="auto"/>
        <w:left w:val="none" w:sz="0" w:space="0" w:color="auto"/>
        <w:bottom w:val="none" w:sz="0" w:space="0" w:color="auto"/>
        <w:right w:val="none" w:sz="0" w:space="0" w:color="auto"/>
      </w:divBdr>
    </w:div>
    <w:div w:id="327683854">
      <w:bodyDiv w:val="1"/>
      <w:marLeft w:val="0"/>
      <w:marRight w:val="0"/>
      <w:marTop w:val="0"/>
      <w:marBottom w:val="0"/>
      <w:divBdr>
        <w:top w:val="none" w:sz="0" w:space="0" w:color="auto"/>
        <w:left w:val="none" w:sz="0" w:space="0" w:color="auto"/>
        <w:bottom w:val="none" w:sz="0" w:space="0" w:color="auto"/>
        <w:right w:val="none" w:sz="0" w:space="0" w:color="auto"/>
      </w:divBdr>
    </w:div>
    <w:div w:id="329405610">
      <w:bodyDiv w:val="1"/>
      <w:marLeft w:val="0"/>
      <w:marRight w:val="0"/>
      <w:marTop w:val="0"/>
      <w:marBottom w:val="0"/>
      <w:divBdr>
        <w:top w:val="none" w:sz="0" w:space="0" w:color="auto"/>
        <w:left w:val="none" w:sz="0" w:space="0" w:color="auto"/>
        <w:bottom w:val="none" w:sz="0" w:space="0" w:color="auto"/>
        <w:right w:val="none" w:sz="0" w:space="0" w:color="auto"/>
      </w:divBdr>
    </w:div>
    <w:div w:id="330378918">
      <w:bodyDiv w:val="1"/>
      <w:marLeft w:val="0"/>
      <w:marRight w:val="0"/>
      <w:marTop w:val="0"/>
      <w:marBottom w:val="0"/>
      <w:divBdr>
        <w:top w:val="none" w:sz="0" w:space="0" w:color="auto"/>
        <w:left w:val="none" w:sz="0" w:space="0" w:color="auto"/>
        <w:bottom w:val="none" w:sz="0" w:space="0" w:color="auto"/>
        <w:right w:val="none" w:sz="0" w:space="0" w:color="auto"/>
      </w:divBdr>
    </w:div>
    <w:div w:id="331295926">
      <w:bodyDiv w:val="1"/>
      <w:marLeft w:val="0"/>
      <w:marRight w:val="0"/>
      <w:marTop w:val="0"/>
      <w:marBottom w:val="0"/>
      <w:divBdr>
        <w:top w:val="none" w:sz="0" w:space="0" w:color="auto"/>
        <w:left w:val="none" w:sz="0" w:space="0" w:color="auto"/>
        <w:bottom w:val="none" w:sz="0" w:space="0" w:color="auto"/>
        <w:right w:val="none" w:sz="0" w:space="0" w:color="auto"/>
      </w:divBdr>
    </w:div>
    <w:div w:id="331488348">
      <w:bodyDiv w:val="1"/>
      <w:marLeft w:val="0"/>
      <w:marRight w:val="0"/>
      <w:marTop w:val="0"/>
      <w:marBottom w:val="0"/>
      <w:divBdr>
        <w:top w:val="none" w:sz="0" w:space="0" w:color="auto"/>
        <w:left w:val="none" w:sz="0" w:space="0" w:color="auto"/>
        <w:bottom w:val="none" w:sz="0" w:space="0" w:color="auto"/>
        <w:right w:val="none" w:sz="0" w:space="0" w:color="auto"/>
      </w:divBdr>
    </w:div>
    <w:div w:id="334383643">
      <w:bodyDiv w:val="1"/>
      <w:marLeft w:val="0"/>
      <w:marRight w:val="0"/>
      <w:marTop w:val="0"/>
      <w:marBottom w:val="0"/>
      <w:divBdr>
        <w:top w:val="none" w:sz="0" w:space="0" w:color="auto"/>
        <w:left w:val="none" w:sz="0" w:space="0" w:color="auto"/>
        <w:bottom w:val="none" w:sz="0" w:space="0" w:color="auto"/>
        <w:right w:val="none" w:sz="0" w:space="0" w:color="auto"/>
      </w:divBdr>
    </w:div>
    <w:div w:id="335692366">
      <w:bodyDiv w:val="1"/>
      <w:marLeft w:val="0"/>
      <w:marRight w:val="0"/>
      <w:marTop w:val="0"/>
      <w:marBottom w:val="0"/>
      <w:divBdr>
        <w:top w:val="none" w:sz="0" w:space="0" w:color="auto"/>
        <w:left w:val="none" w:sz="0" w:space="0" w:color="auto"/>
        <w:bottom w:val="none" w:sz="0" w:space="0" w:color="auto"/>
        <w:right w:val="none" w:sz="0" w:space="0" w:color="auto"/>
      </w:divBdr>
    </w:div>
    <w:div w:id="335767982">
      <w:bodyDiv w:val="1"/>
      <w:marLeft w:val="0"/>
      <w:marRight w:val="0"/>
      <w:marTop w:val="0"/>
      <w:marBottom w:val="0"/>
      <w:divBdr>
        <w:top w:val="none" w:sz="0" w:space="0" w:color="auto"/>
        <w:left w:val="none" w:sz="0" w:space="0" w:color="auto"/>
        <w:bottom w:val="none" w:sz="0" w:space="0" w:color="auto"/>
        <w:right w:val="none" w:sz="0" w:space="0" w:color="auto"/>
      </w:divBdr>
    </w:div>
    <w:div w:id="335884699">
      <w:bodyDiv w:val="1"/>
      <w:marLeft w:val="0"/>
      <w:marRight w:val="0"/>
      <w:marTop w:val="0"/>
      <w:marBottom w:val="0"/>
      <w:divBdr>
        <w:top w:val="none" w:sz="0" w:space="0" w:color="auto"/>
        <w:left w:val="none" w:sz="0" w:space="0" w:color="auto"/>
        <w:bottom w:val="none" w:sz="0" w:space="0" w:color="auto"/>
        <w:right w:val="none" w:sz="0" w:space="0" w:color="auto"/>
      </w:divBdr>
    </w:div>
    <w:div w:id="337852791">
      <w:bodyDiv w:val="1"/>
      <w:marLeft w:val="0"/>
      <w:marRight w:val="0"/>
      <w:marTop w:val="0"/>
      <w:marBottom w:val="0"/>
      <w:divBdr>
        <w:top w:val="none" w:sz="0" w:space="0" w:color="auto"/>
        <w:left w:val="none" w:sz="0" w:space="0" w:color="auto"/>
        <w:bottom w:val="none" w:sz="0" w:space="0" w:color="auto"/>
        <w:right w:val="none" w:sz="0" w:space="0" w:color="auto"/>
      </w:divBdr>
    </w:div>
    <w:div w:id="338973459">
      <w:bodyDiv w:val="1"/>
      <w:marLeft w:val="0"/>
      <w:marRight w:val="0"/>
      <w:marTop w:val="0"/>
      <w:marBottom w:val="0"/>
      <w:divBdr>
        <w:top w:val="none" w:sz="0" w:space="0" w:color="auto"/>
        <w:left w:val="none" w:sz="0" w:space="0" w:color="auto"/>
        <w:bottom w:val="none" w:sz="0" w:space="0" w:color="auto"/>
        <w:right w:val="none" w:sz="0" w:space="0" w:color="auto"/>
      </w:divBdr>
    </w:div>
    <w:div w:id="339892626">
      <w:bodyDiv w:val="1"/>
      <w:marLeft w:val="0"/>
      <w:marRight w:val="0"/>
      <w:marTop w:val="0"/>
      <w:marBottom w:val="0"/>
      <w:divBdr>
        <w:top w:val="none" w:sz="0" w:space="0" w:color="auto"/>
        <w:left w:val="none" w:sz="0" w:space="0" w:color="auto"/>
        <w:bottom w:val="none" w:sz="0" w:space="0" w:color="auto"/>
        <w:right w:val="none" w:sz="0" w:space="0" w:color="auto"/>
      </w:divBdr>
    </w:div>
    <w:div w:id="340012357">
      <w:bodyDiv w:val="1"/>
      <w:marLeft w:val="0"/>
      <w:marRight w:val="0"/>
      <w:marTop w:val="0"/>
      <w:marBottom w:val="0"/>
      <w:divBdr>
        <w:top w:val="none" w:sz="0" w:space="0" w:color="auto"/>
        <w:left w:val="none" w:sz="0" w:space="0" w:color="auto"/>
        <w:bottom w:val="none" w:sz="0" w:space="0" w:color="auto"/>
        <w:right w:val="none" w:sz="0" w:space="0" w:color="auto"/>
      </w:divBdr>
    </w:div>
    <w:div w:id="340132355">
      <w:bodyDiv w:val="1"/>
      <w:marLeft w:val="0"/>
      <w:marRight w:val="0"/>
      <w:marTop w:val="0"/>
      <w:marBottom w:val="0"/>
      <w:divBdr>
        <w:top w:val="none" w:sz="0" w:space="0" w:color="auto"/>
        <w:left w:val="none" w:sz="0" w:space="0" w:color="auto"/>
        <w:bottom w:val="none" w:sz="0" w:space="0" w:color="auto"/>
        <w:right w:val="none" w:sz="0" w:space="0" w:color="auto"/>
      </w:divBdr>
    </w:div>
    <w:div w:id="340545622">
      <w:bodyDiv w:val="1"/>
      <w:marLeft w:val="0"/>
      <w:marRight w:val="0"/>
      <w:marTop w:val="0"/>
      <w:marBottom w:val="0"/>
      <w:divBdr>
        <w:top w:val="none" w:sz="0" w:space="0" w:color="auto"/>
        <w:left w:val="none" w:sz="0" w:space="0" w:color="auto"/>
        <w:bottom w:val="none" w:sz="0" w:space="0" w:color="auto"/>
        <w:right w:val="none" w:sz="0" w:space="0" w:color="auto"/>
      </w:divBdr>
    </w:div>
    <w:div w:id="341397010">
      <w:bodyDiv w:val="1"/>
      <w:marLeft w:val="0"/>
      <w:marRight w:val="0"/>
      <w:marTop w:val="0"/>
      <w:marBottom w:val="0"/>
      <w:divBdr>
        <w:top w:val="none" w:sz="0" w:space="0" w:color="auto"/>
        <w:left w:val="none" w:sz="0" w:space="0" w:color="auto"/>
        <w:bottom w:val="none" w:sz="0" w:space="0" w:color="auto"/>
        <w:right w:val="none" w:sz="0" w:space="0" w:color="auto"/>
      </w:divBdr>
    </w:div>
    <w:div w:id="342900314">
      <w:bodyDiv w:val="1"/>
      <w:marLeft w:val="0"/>
      <w:marRight w:val="0"/>
      <w:marTop w:val="0"/>
      <w:marBottom w:val="0"/>
      <w:divBdr>
        <w:top w:val="none" w:sz="0" w:space="0" w:color="auto"/>
        <w:left w:val="none" w:sz="0" w:space="0" w:color="auto"/>
        <w:bottom w:val="none" w:sz="0" w:space="0" w:color="auto"/>
        <w:right w:val="none" w:sz="0" w:space="0" w:color="auto"/>
      </w:divBdr>
    </w:div>
    <w:div w:id="344481633">
      <w:bodyDiv w:val="1"/>
      <w:marLeft w:val="0"/>
      <w:marRight w:val="0"/>
      <w:marTop w:val="0"/>
      <w:marBottom w:val="0"/>
      <w:divBdr>
        <w:top w:val="none" w:sz="0" w:space="0" w:color="auto"/>
        <w:left w:val="none" w:sz="0" w:space="0" w:color="auto"/>
        <w:bottom w:val="none" w:sz="0" w:space="0" w:color="auto"/>
        <w:right w:val="none" w:sz="0" w:space="0" w:color="auto"/>
      </w:divBdr>
    </w:div>
    <w:div w:id="347214691">
      <w:bodyDiv w:val="1"/>
      <w:marLeft w:val="0"/>
      <w:marRight w:val="0"/>
      <w:marTop w:val="0"/>
      <w:marBottom w:val="0"/>
      <w:divBdr>
        <w:top w:val="none" w:sz="0" w:space="0" w:color="auto"/>
        <w:left w:val="none" w:sz="0" w:space="0" w:color="auto"/>
        <w:bottom w:val="none" w:sz="0" w:space="0" w:color="auto"/>
        <w:right w:val="none" w:sz="0" w:space="0" w:color="auto"/>
      </w:divBdr>
    </w:div>
    <w:div w:id="347947309">
      <w:bodyDiv w:val="1"/>
      <w:marLeft w:val="0"/>
      <w:marRight w:val="0"/>
      <w:marTop w:val="0"/>
      <w:marBottom w:val="0"/>
      <w:divBdr>
        <w:top w:val="none" w:sz="0" w:space="0" w:color="auto"/>
        <w:left w:val="none" w:sz="0" w:space="0" w:color="auto"/>
        <w:bottom w:val="none" w:sz="0" w:space="0" w:color="auto"/>
        <w:right w:val="none" w:sz="0" w:space="0" w:color="auto"/>
      </w:divBdr>
    </w:div>
    <w:div w:id="348413986">
      <w:bodyDiv w:val="1"/>
      <w:marLeft w:val="0"/>
      <w:marRight w:val="0"/>
      <w:marTop w:val="0"/>
      <w:marBottom w:val="0"/>
      <w:divBdr>
        <w:top w:val="none" w:sz="0" w:space="0" w:color="auto"/>
        <w:left w:val="none" w:sz="0" w:space="0" w:color="auto"/>
        <w:bottom w:val="none" w:sz="0" w:space="0" w:color="auto"/>
        <w:right w:val="none" w:sz="0" w:space="0" w:color="auto"/>
      </w:divBdr>
    </w:div>
    <w:div w:id="348457269">
      <w:bodyDiv w:val="1"/>
      <w:marLeft w:val="0"/>
      <w:marRight w:val="0"/>
      <w:marTop w:val="0"/>
      <w:marBottom w:val="0"/>
      <w:divBdr>
        <w:top w:val="none" w:sz="0" w:space="0" w:color="auto"/>
        <w:left w:val="none" w:sz="0" w:space="0" w:color="auto"/>
        <w:bottom w:val="none" w:sz="0" w:space="0" w:color="auto"/>
        <w:right w:val="none" w:sz="0" w:space="0" w:color="auto"/>
      </w:divBdr>
    </w:div>
    <w:div w:id="348916333">
      <w:bodyDiv w:val="1"/>
      <w:marLeft w:val="0"/>
      <w:marRight w:val="0"/>
      <w:marTop w:val="0"/>
      <w:marBottom w:val="0"/>
      <w:divBdr>
        <w:top w:val="none" w:sz="0" w:space="0" w:color="auto"/>
        <w:left w:val="none" w:sz="0" w:space="0" w:color="auto"/>
        <w:bottom w:val="none" w:sz="0" w:space="0" w:color="auto"/>
        <w:right w:val="none" w:sz="0" w:space="0" w:color="auto"/>
      </w:divBdr>
    </w:div>
    <w:div w:id="351227602">
      <w:bodyDiv w:val="1"/>
      <w:marLeft w:val="0"/>
      <w:marRight w:val="0"/>
      <w:marTop w:val="0"/>
      <w:marBottom w:val="0"/>
      <w:divBdr>
        <w:top w:val="none" w:sz="0" w:space="0" w:color="auto"/>
        <w:left w:val="none" w:sz="0" w:space="0" w:color="auto"/>
        <w:bottom w:val="none" w:sz="0" w:space="0" w:color="auto"/>
        <w:right w:val="none" w:sz="0" w:space="0" w:color="auto"/>
      </w:divBdr>
    </w:div>
    <w:div w:id="351346026">
      <w:bodyDiv w:val="1"/>
      <w:marLeft w:val="0"/>
      <w:marRight w:val="0"/>
      <w:marTop w:val="0"/>
      <w:marBottom w:val="0"/>
      <w:divBdr>
        <w:top w:val="none" w:sz="0" w:space="0" w:color="auto"/>
        <w:left w:val="none" w:sz="0" w:space="0" w:color="auto"/>
        <w:bottom w:val="none" w:sz="0" w:space="0" w:color="auto"/>
        <w:right w:val="none" w:sz="0" w:space="0" w:color="auto"/>
      </w:divBdr>
    </w:div>
    <w:div w:id="351810205">
      <w:bodyDiv w:val="1"/>
      <w:marLeft w:val="0"/>
      <w:marRight w:val="0"/>
      <w:marTop w:val="0"/>
      <w:marBottom w:val="0"/>
      <w:divBdr>
        <w:top w:val="none" w:sz="0" w:space="0" w:color="auto"/>
        <w:left w:val="none" w:sz="0" w:space="0" w:color="auto"/>
        <w:bottom w:val="none" w:sz="0" w:space="0" w:color="auto"/>
        <w:right w:val="none" w:sz="0" w:space="0" w:color="auto"/>
      </w:divBdr>
    </w:div>
    <w:div w:id="351955506">
      <w:bodyDiv w:val="1"/>
      <w:marLeft w:val="0"/>
      <w:marRight w:val="0"/>
      <w:marTop w:val="0"/>
      <w:marBottom w:val="0"/>
      <w:divBdr>
        <w:top w:val="none" w:sz="0" w:space="0" w:color="auto"/>
        <w:left w:val="none" w:sz="0" w:space="0" w:color="auto"/>
        <w:bottom w:val="none" w:sz="0" w:space="0" w:color="auto"/>
        <w:right w:val="none" w:sz="0" w:space="0" w:color="auto"/>
      </w:divBdr>
    </w:div>
    <w:div w:id="352272433">
      <w:bodyDiv w:val="1"/>
      <w:marLeft w:val="0"/>
      <w:marRight w:val="0"/>
      <w:marTop w:val="0"/>
      <w:marBottom w:val="0"/>
      <w:divBdr>
        <w:top w:val="none" w:sz="0" w:space="0" w:color="auto"/>
        <w:left w:val="none" w:sz="0" w:space="0" w:color="auto"/>
        <w:bottom w:val="none" w:sz="0" w:space="0" w:color="auto"/>
        <w:right w:val="none" w:sz="0" w:space="0" w:color="auto"/>
      </w:divBdr>
    </w:div>
    <w:div w:id="353383290">
      <w:bodyDiv w:val="1"/>
      <w:marLeft w:val="0"/>
      <w:marRight w:val="0"/>
      <w:marTop w:val="0"/>
      <w:marBottom w:val="0"/>
      <w:divBdr>
        <w:top w:val="none" w:sz="0" w:space="0" w:color="auto"/>
        <w:left w:val="none" w:sz="0" w:space="0" w:color="auto"/>
        <w:bottom w:val="none" w:sz="0" w:space="0" w:color="auto"/>
        <w:right w:val="none" w:sz="0" w:space="0" w:color="auto"/>
      </w:divBdr>
    </w:div>
    <w:div w:id="353582385">
      <w:bodyDiv w:val="1"/>
      <w:marLeft w:val="0"/>
      <w:marRight w:val="0"/>
      <w:marTop w:val="0"/>
      <w:marBottom w:val="0"/>
      <w:divBdr>
        <w:top w:val="none" w:sz="0" w:space="0" w:color="auto"/>
        <w:left w:val="none" w:sz="0" w:space="0" w:color="auto"/>
        <w:bottom w:val="none" w:sz="0" w:space="0" w:color="auto"/>
        <w:right w:val="none" w:sz="0" w:space="0" w:color="auto"/>
      </w:divBdr>
    </w:div>
    <w:div w:id="354619733">
      <w:bodyDiv w:val="1"/>
      <w:marLeft w:val="0"/>
      <w:marRight w:val="0"/>
      <w:marTop w:val="0"/>
      <w:marBottom w:val="0"/>
      <w:divBdr>
        <w:top w:val="none" w:sz="0" w:space="0" w:color="auto"/>
        <w:left w:val="none" w:sz="0" w:space="0" w:color="auto"/>
        <w:bottom w:val="none" w:sz="0" w:space="0" w:color="auto"/>
        <w:right w:val="none" w:sz="0" w:space="0" w:color="auto"/>
      </w:divBdr>
    </w:div>
    <w:div w:id="354694637">
      <w:bodyDiv w:val="1"/>
      <w:marLeft w:val="0"/>
      <w:marRight w:val="0"/>
      <w:marTop w:val="0"/>
      <w:marBottom w:val="0"/>
      <w:divBdr>
        <w:top w:val="none" w:sz="0" w:space="0" w:color="auto"/>
        <w:left w:val="none" w:sz="0" w:space="0" w:color="auto"/>
        <w:bottom w:val="none" w:sz="0" w:space="0" w:color="auto"/>
        <w:right w:val="none" w:sz="0" w:space="0" w:color="auto"/>
      </w:divBdr>
    </w:div>
    <w:div w:id="355280533">
      <w:bodyDiv w:val="1"/>
      <w:marLeft w:val="0"/>
      <w:marRight w:val="0"/>
      <w:marTop w:val="0"/>
      <w:marBottom w:val="0"/>
      <w:divBdr>
        <w:top w:val="none" w:sz="0" w:space="0" w:color="auto"/>
        <w:left w:val="none" w:sz="0" w:space="0" w:color="auto"/>
        <w:bottom w:val="none" w:sz="0" w:space="0" w:color="auto"/>
        <w:right w:val="none" w:sz="0" w:space="0" w:color="auto"/>
      </w:divBdr>
    </w:div>
    <w:div w:id="356154012">
      <w:bodyDiv w:val="1"/>
      <w:marLeft w:val="0"/>
      <w:marRight w:val="0"/>
      <w:marTop w:val="0"/>
      <w:marBottom w:val="0"/>
      <w:divBdr>
        <w:top w:val="none" w:sz="0" w:space="0" w:color="auto"/>
        <w:left w:val="none" w:sz="0" w:space="0" w:color="auto"/>
        <w:bottom w:val="none" w:sz="0" w:space="0" w:color="auto"/>
        <w:right w:val="none" w:sz="0" w:space="0" w:color="auto"/>
      </w:divBdr>
    </w:div>
    <w:div w:id="357197028">
      <w:bodyDiv w:val="1"/>
      <w:marLeft w:val="0"/>
      <w:marRight w:val="0"/>
      <w:marTop w:val="0"/>
      <w:marBottom w:val="0"/>
      <w:divBdr>
        <w:top w:val="none" w:sz="0" w:space="0" w:color="auto"/>
        <w:left w:val="none" w:sz="0" w:space="0" w:color="auto"/>
        <w:bottom w:val="none" w:sz="0" w:space="0" w:color="auto"/>
        <w:right w:val="none" w:sz="0" w:space="0" w:color="auto"/>
      </w:divBdr>
    </w:div>
    <w:div w:id="359203719">
      <w:bodyDiv w:val="1"/>
      <w:marLeft w:val="0"/>
      <w:marRight w:val="0"/>
      <w:marTop w:val="0"/>
      <w:marBottom w:val="0"/>
      <w:divBdr>
        <w:top w:val="none" w:sz="0" w:space="0" w:color="auto"/>
        <w:left w:val="none" w:sz="0" w:space="0" w:color="auto"/>
        <w:bottom w:val="none" w:sz="0" w:space="0" w:color="auto"/>
        <w:right w:val="none" w:sz="0" w:space="0" w:color="auto"/>
      </w:divBdr>
    </w:div>
    <w:div w:id="360545827">
      <w:bodyDiv w:val="1"/>
      <w:marLeft w:val="0"/>
      <w:marRight w:val="0"/>
      <w:marTop w:val="0"/>
      <w:marBottom w:val="0"/>
      <w:divBdr>
        <w:top w:val="none" w:sz="0" w:space="0" w:color="auto"/>
        <w:left w:val="none" w:sz="0" w:space="0" w:color="auto"/>
        <w:bottom w:val="none" w:sz="0" w:space="0" w:color="auto"/>
        <w:right w:val="none" w:sz="0" w:space="0" w:color="auto"/>
      </w:divBdr>
    </w:div>
    <w:div w:id="361132655">
      <w:bodyDiv w:val="1"/>
      <w:marLeft w:val="0"/>
      <w:marRight w:val="0"/>
      <w:marTop w:val="0"/>
      <w:marBottom w:val="0"/>
      <w:divBdr>
        <w:top w:val="none" w:sz="0" w:space="0" w:color="auto"/>
        <w:left w:val="none" w:sz="0" w:space="0" w:color="auto"/>
        <w:bottom w:val="none" w:sz="0" w:space="0" w:color="auto"/>
        <w:right w:val="none" w:sz="0" w:space="0" w:color="auto"/>
      </w:divBdr>
    </w:div>
    <w:div w:id="361975952">
      <w:bodyDiv w:val="1"/>
      <w:marLeft w:val="0"/>
      <w:marRight w:val="0"/>
      <w:marTop w:val="0"/>
      <w:marBottom w:val="0"/>
      <w:divBdr>
        <w:top w:val="none" w:sz="0" w:space="0" w:color="auto"/>
        <w:left w:val="none" w:sz="0" w:space="0" w:color="auto"/>
        <w:bottom w:val="none" w:sz="0" w:space="0" w:color="auto"/>
        <w:right w:val="none" w:sz="0" w:space="0" w:color="auto"/>
      </w:divBdr>
    </w:div>
    <w:div w:id="362169598">
      <w:bodyDiv w:val="1"/>
      <w:marLeft w:val="0"/>
      <w:marRight w:val="0"/>
      <w:marTop w:val="0"/>
      <w:marBottom w:val="0"/>
      <w:divBdr>
        <w:top w:val="none" w:sz="0" w:space="0" w:color="auto"/>
        <w:left w:val="none" w:sz="0" w:space="0" w:color="auto"/>
        <w:bottom w:val="none" w:sz="0" w:space="0" w:color="auto"/>
        <w:right w:val="none" w:sz="0" w:space="0" w:color="auto"/>
      </w:divBdr>
    </w:div>
    <w:div w:id="363944008">
      <w:bodyDiv w:val="1"/>
      <w:marLeft w:val="0"/>
      <w:marRight w:val="0"/>
      <w:marTop w:val="0"/>
      <w:marBottom w:val="0"/>
      <w:divBdr>
        <w:top w:val="none" w:sz="0" w:space="0" w:color="auto"/>
        <w:left w:val="none" w:sz="0" w:space="0" w:color="auto"/>
        <w:bottom w:val="none" w:sz="0" w:space="0" w:color="auto"/>
        <w:right w:val="none" w:sz="0" w:space="0" w:color="auto"/>
      </w:divBdr>
    </w:div>
    <w:div w:id="364134007">
      <w:bodyDiv w:val="1"/>
      <w:marLeft w:val="0"/>
      <w:marRight w:val="0"/>
      <w:marTop w:val="0"/>
      <w:marBottom w:val="0"/>
      <w:divBdr>
        <w:top w:val="none" w:sz="0" w:space="0" w:color="auto"/>
        <w:left w:val="none" w:sz="0" w:space="0" w:color="auto"/>
        <w:bottom w:val="none" w:sz="0" w:space="0" w:color="auto"/>
        <w:right w:val="none" w:sz="0" w:space="0" w:color="auto"/>
      </w:divBdr>
    </w:div>
    <w:div w:id="364990433">
      <w:bodyDiv w:val="1"/>
      <w:marLeft w:val="0"/>
      <w:marRight w:val="0"/>
      <w:marTop w:val="0"/>
      <w:marBottom w:val="0"/>
      <w:divBdr>
        <w:top w:val="none" w:sz="0" w:space="0" w:color="auto"/>
        <w:left w:val="none" w:sz="0" w:space="0" w:color="auto"/>
        <w:bottom w:val="none" w:sz="0" w:space="0" w:color="auto"/>
        <w:right w:val="none" w:sz="0" w:space="0" w:color="auto"/>
      </w:divBdr>
    </w:div>
    <w:div w:id="365329822">
      <w:bodyDiv w:val="1"/>
      <w:marLeft w:val="0"/>
      <w:marRight w:val="0"/>
      <w:marTop w:val="0"/>
      <w:marBottom w:val="0"/>
      <w:divBdr>
        <w:top w:val="none" w:sz="0" w:space="0" w:color="auto"/>
        <w:left w:val="none" w:sz="0" w:space="0" w:color="auto"/>
        <w:bottom w:val="none" w:sz="0" w:space="0" w:color="auto"/>
        <w:right w:val="none" w:sz="0" w:space="0" w:color="auto"/>
      </w:divBdr>
    </w:div>
    <w:div w:id="365716659">
      <w:bodyDiv w:val="1"/>
      <w:marLeft w:val="0"/>
      <w:marRight w:val="0"/>
      <w:marTop w:val="0"/>
      <w:marBottom w:val="0"/>
      <w:divBdr>
        <w:top w:val="none" w:sz="0" w:space="0" w:color="auto"/>
        <w:left w:val="none" w:sz="0" w:space="0" w:color="auto"/>
        <w:bottom w:val="none" w:sz="0" w:space="0" w:color="auto"/>
        <w:right w:val="none" w:sz="0" w:space="0" w:color="auto"/>
      </w:divBdr>
    </w:div>
    <w:div w:id="365911352">
      <w:bodyDiv w:val="1"/>
      <w:marLeft w:val="0"/>
      <w:marRight w:val="0"/>
      <w:marTop w:val="0"/>
      <w:marBottom w:val="0"/>
      <w:divBdr>
        <w:top w:val="none" w:sz="0" w:space="0" w:color="auto"/>
        <w:left w:val="none" w:sz="0" w:space="0" w:color="auto"/>
        <w:bottom w:val="none" w:sz="0" w:space="0" w:color="auto"/>
        <w:right w:val="none" w:sz="0" w:space="0" w:color="auto"/>
      </w:divBdr>
    </w:div>
    <w:div w:id="367535356">
      <w:bodyDiv w:val="1"/>
      <w:marLeft w:val="0"/>
      <w:marRight w:val="0"/>
      <w:marTop w:val="0"/>
      <w:marBottom w:val="0"/>
      <w:divBdr>
        <w:top w:val="none" w:sz="0" w:space="0" w:color="auto"/>
        <w:left w:val="none" w:sz="0" w:space="0" w:color="auto"/>
        <w:bottom w:val="none" w:sz="0" w:space="0" w:color="auto"/>
        <w:right w:val="none" w:sz="0" w:space="0" w:color="auto"/>
      </w:divBdr>
    </w:div>
    <w:div w:id="367920594">
      <w:bodyDiv w:val="1"/>
      <w:marLeft w:val="0"/>
      <w:marRight w:val="0"/>
      <w:marTop w:val="0"/>
      <w:marBottom w:val="0"/>
      <w:divBdr>
        <w:top w:val="none" w:sz="0" w:space="0" w:color="auto"/>
        <w:left w:val="none" w:sz="0" w:space="0" w:color="auto"/>
        <w:bottom w:val="none" w:sz="0" w:space="0" w:color="auto"/>
        <w:right w:val="none" w:sz="0" w:space="0" w:color="auto"/>
      </w:divBdr>
    </w:div>
    <w:div w:id="368184201">
      <w:bodyDiv w:val="1"/>
      <w:marLeft w:val="0"/>
      <w:marRight w:val="0"/>
      <w:marTop w:val="0"/>
      <w:marBottom w:val="0"/>
      <w:divBdr>
        <w:top w:val="none" w:sz="0" w:space="0" w:color="auto"/>
        <w:left w:val="none" w:sz="0" w:space="0" w:color="auto"/>
        <w:bottom w:val="none" w:sz="0" w:space="0" w:color="auto"/>
        <w:right w:val="none" w:sz="0" w:space="0" w:color="auto"/>
      </w:divBdr>
    </w:div>
    <w:div w:id="371266857">
      <w:bodyDiv w:val="1"/>
      <w:marLeft w:val="0"/>
      <w:marRight w:val="0"/>
      <w:marTop w:val="0"/>
      <w:marBottom w:val="0"/>
      <w:divBdr>
        <w:top w:val="none" w:sz="0" w:space="0" w:color="auto"/>
        <w:left w:val="none" w:sz="0" w:space="0" w:color="auto"/>
        <w:bottom w:val="none" w:sz="0" w:space="0" w:color="auto"/>
        <w:right w:val="none" w:sz="0" w:space="0" w:color="auto"/>
      </w:divBdr>
    </w:div>
    <w:div w:id="371615048">
      <w:bodyDiv w:val="1"/>
      <w:marLeft w:val="0"/>
      <w:marRight w:val="0"/>
      <w:marTop w:val="0"/>
      <w:marBottom w:val="0"/>
      <w:divBdr>
        <w:top w:val="none" w:sz="0" w:space="0" w:color="auto"/>
        <w:left w:val="none" w:sz="0" w:space="0" w:color="auto"/>
        <w:bottom w:val="none" w:sz="0" w:space="0" w:color="auto"/>
        <w:right w:val="none" w:sz="0" w:space="0" w:color="auto"/>
      </w:divBdr>
    </w:div>
    <w:div w:id="372539056">
      <w:bodyDiv w:val="1"/>
      <w:marLeft w:val="0"/>
      <w:marRight w:val="0"/>
      <w:marTop w:val="0"/>
      <w:marBottom w:val="0"/>
      <w:divBdr>
        <w:top w:val="none" w:sz="0" w:space="0" w:color="auto"/>
        <w:left w:val="none" w:sz="0" w:space="0" w:color="auto"/>
        <w:bottom w:val="none" w:sz="0" w:space="0" w:color="auto"/>
        <w:right w:val="none" w:sz="0" w:space="0" w:color="auto"/>
      </w:divBdr>
    </w:div>
    <w:div w:id="374619139">
      <w:bodyDiv w:val="1"/>
      <w:marLeft w:val="0"/>
      <w:marRight w:val="0"/>
      <w:marTop w:val="0"/>
      <w:marBottom w:val="0"/>
      <w:divBdr>
        <w:top w:val="none" w:sz="0" w:space="0" w:color="auto"/>
        <w:left w:val="none" w:sz="0" w:space="0" w:color="auto"/>
        <w:bottom w:val="none" w:sz="0" w:space="0" w:color="auto"/>
        <w:right w:val="none" w:sz="0" w:space="0" w:color="auto"/>
      </w:divBdr>
    </w:div>
    <w:div w:id="376660653">
      <w:bodyDiv w:val="1"/>
      <w:marLeft w:val="0"/>
      <w:marRight w:val="0"/>
      <w:marTop w:val="0"/>
      <w:marBottom w:val="0"/>
      <w:divBdr>
        <w:top w:val="none" w:sz="0" w:space="0" w:color="auto"/>
        <w:left w:val="none" w:sz="0" w:space="0" w:color="auto"/>
        <w:bottom w:val="none" w:sz="0" w:space="0" w:color="auto"/>
        <w:right w:val="none" w:sz="0" w:space="0" w:color="auto"/>
      </w:divBdr>
    </w:div>
    <w:div w:id="376703440">
      <w:bodyDiv w:val="1"/>
      <w:marLeft w:val="0"/>
      <w:marRight w:val="0"/>
      <w:marTop w:val="0"/>
      <w:marBottom w:val="0"/>
      <w:divBdr>
        <w:top w:val="none" w:sz="0" w:space="0" w:color="auto"/>
        <w:left w:val="none" w:sz="0" w:space="0" w:color="auto"/>
        <w:bottom w:val="none" w:sz="0" w:space="0" w:color="auto"/>
        <w:right w:val="none" w:sz="0" w:space="0" w:color="auto"/>
      </w:divBdr>
    </w:div>
    <w:div w:id="378556345">
      <w:bodyDiv w:val="1"/>
      <w:marLeft w:val="0"/>
      <w:marRight w:val="0"/>
      <w:marTop w:val="0"/>
      <w:marBottom w:val="0"/>
      <w:divBdr>
        <w:top w:val="none" w:sz="0" w:space="0" w:color="auto"/>
        <w:left w:val="none" w:sz="0" w:space="0" w:color="auto"/>
        <w:bottom w:val="none" w:sz="0" w:space="0" w:color="auto"/>
        <w:right w:val="none" w:sz="0" w:space="0" w:color="auto"/>
      </w:divBdr>
    </w:div>
    <w:div w:id="378633999">
      <w:bodyDiv w:val="1"/>
      <w:marLeft w:val="0"/>
      <w:marRight w:val="0"/>
      <w:marTop w:val="0"/>
      <w:marBottom w:val="0"/>
      <w:divBdr>
        <w:top w:val="none" w:sz="0" w:space="0" w:color="auto"/>
        <w:left w:val="none" w:sz="0" w:space="0" w:color="auto"/>
        <w:bottom w:val="none" w:sz="0" w:space="0" w:color="auto"/>
        <w:right w:val="none" w:sz="0" w:space="0" w:color="auto"/>
      </w:divBdr>
    </w:div>
    <w:div w:id="378826811">
      <w:bodyDiv w:val="1"/>
      <w:marLeft w:val="0"/>
      <w:marRight w:val="0"/>
      <w:marTop w:val="0"/>
      <w:marBottom w:val="0"/>
      <w:divBdr>
        <w:top w:val="none" w:sz="0" w:space="0" w:color="auto"/>
        <w:left w:val="none" w:sz="0" w:space="0" w:color="auto"/>
        <w:bottom w:val="none" w:sz="0" w:space="0" w:color="auto"/>
        <w:right w:val="none" w:sz="0" w:space="0" w:color="auto"/>
      </w:divBdr>
    </w:div>
    <w:div w:id="380592236">
      <w:bodyDiv w:val="1"/>
      <w:marLeft w:val="0"/>
      <w:marRight w:val="0"/>
      <w:marTop w:val="0"/>
      <w:marBottom w:val="0"/>
      <w:divBdr>
        <w:top w:val="none" w:sz="0" w:space="0" w:color="auto"/>
        <w:left w:val="none" w:sz="0" w:space="0" w:color="auto"/>
        <w:bottom w:val="none" w:sz="0" w:space="0" w:color="auto"/>
        <w:right w:val="none" w:sz="0" w:space="0" w:color="auto"/>
      </w:divBdr>
    </w:div>
    <w:div w:id="381289544">
      <w:bodyDiv w:val="1"/>
      <w:marLeft w:val="0"/>
      <w:marRight w:val="0"/>
      <w:marTop w:val="0"/>
      <w:marBottom w:val="0"/>
      <w:divBdr>
        <w:top w:val="none" w:sz="0" w:space="0" w:color="auto"/>
        <w:left w:val="none" w:sz="0" w:space="0" w:color="auto"/>
        <w:bottom w:val="none" w:sz="0" w:space="0" w:color="auto"/>
        <w:right w:val="none" w:sz="0" w:space="0" w:color="auto"/>
      </w:divBdr>
    </w:div>
    <w:div w:id="381440046">
      <w:bodyDiv w:val="1"/>
      <w:marLeft w:val="0"/>
      <w:marRight w:val="0"/>
      <w:marTop w:val="0"/>
      <w:marBottom w:val="0"/>
      <w:divBdr>
        <w:top w:val="none" w:sz="0" w:space="0" w:color="auto"/>
        <w:left w:val="none" w:sz="0" w:space="0" w:color="auto"/>
        <w:bottom w:val="none" w:sz="0" w:space="0" w:color="auto"/>
        <w:right w:val="none" w:sz="0" w:space="0" w:color="auto"/>
      </w:divBdr>
    </w:div>
    <w:div w:id="381827190">
      <w:bodyDiv w:val="1"/>
      <w:marLeft w:val="0"/>
      <w:marRight w:val="0"/>
      <w:marTop w:val="0"/>
      <w:marBottom w:val="0"/>
      <w:divBdr>
        <w:top w:val="none" w:sz="0" w:space="0" w:color="auto"/>
        <w:left w:val="none" w:sz="0" w:space="0" w:color="auto"/>
        <w:bottom w:val="none" w:sz="0" w:space="0" w:color="auto"/>
        <w:right w:val="none" w:sz="0" w:space="0" w:color="auto"/>
      </w:divBdr>
    </w:div>
    <w:div w:id="382368003">
      <w:bodyDiv w:val="1"/>
      <w:marLeft w:val="0"/>
      <w:marRight w:val="0"/>
      <w:marTop w:val="0"/>
      <w:marBottom w:val="0"/>
      <w:divBdr>
        <w:top w:val="none" w:sz="0" w:space="0" w:color="auto"/>
        <w:left w:val="none" w:sz="0" w:space="0" w:color="auto"/>
        <w:bottom w:val="none" w:sz="0" w:space="0" w:color="auto"/>
        <w:right w:val="none" w:sz="0" w:space="0" w:color="auto"/>
      </w:divBdr>
    </w:div>
    <w:div w:id="382369531">
      <w:bodyDiv w:val="1"/>
      <w:marLeft w:val="0"/>
      <w:marRight w:val="0"/>
      <w:marTop w:val="0"/>
      <w:marBottom w:val="0"/>
      <w:divBdr>
        <w:top w:val="none" w:sz="0" w:space="0" w:color="auto"/>
        <w:left w:val="none" w:sz="0" w:space="0" w:color="auto"/>
        <w:bottom w:val="none" w:sz="0" w:space="0" w:color="auto"/>
        <w:right w:val="none" w:sz="0" w:space="0" w:color="auto"/>
      </w:divBdr>
    </w:div>
    <w:div w:id="383141972">
      <w:bodyDiv w:val="1"/>
      <w:marLeft w:val="0"/>
      <w:marRight w:val="0"/>
      <w:marTop w:val="0"/>
      <w:marBottom w:val="0"/>
      <w:divBdr>
        <w:top w:val="none" w:sz="0" w:space="0" w:color="auto"/>
        <w:left w:val="none" w:sz="0" w:space="0" w:color="auto"/>
        <w:bottom w:val="none" w:sz="0" w:space="0" w:color="auto"/>
        <w:right w:val="none" w:sz="0" w:space="0" w:color="auto"/>
      </w:divBdr>
    </w:div>
    <w:div w:id="383480548">
      <w:bodyDiv w:val="1"/>
      <w:marLeft w:val="0"/>
      <w:marRight w:val="0"/>
      <w:marTop w:val="0"/>
      <w:marBottom w:val="0"/>
      <w:divBdr>
        <w:top w:val="none" w:sz="0" w:space="0" w:color="auto"/>
        <w:left w:val="none" w:sz="0" w:space="0" w:color="auto"/>
        <w:bottom w:val="none" w:sz="0" w:space="0" w:color="auto"/>
        <w:right w:val="none" w:sz="0" w:space="0" w:color="auto"/>
      </w:divBdr>
    </w:div>
    <w:div w:id="383797564">
      <w:bodyDiv w:val="1"/>
      <w:marLeft w:val="0"/>
      <w:marRight w:val="0"/>
      <w:marTop w:val="0"/>
      <w:marBottom w:val="0"/>
      <w:divBdr>
        <w:top w:val="none" w:sz="0" w:space="0" w:color="auto"/>
        <w:left w:val="none" w:sz="0" w:space="0" w:color="auto"/>
        <w:bottom w:val="none" w:sz="0" w:space="0" w:color="auto"/>
        <w:right w:val="none" w:sz="0" w:space="0" w:color="auto"/>
      </w:divBdr>
    </w:div>
    <w:div w:id="386297603">
      <w:bodyDiv w:val="1"/>
      <w:marLeft w:val="0"/>
      <w:marRight w:val="0"/>
      <w:marTop w:val="0"/>
      <w:marBottom w:val="0"/>
      <w:divBdr>
        <w:top w:val="none" w:sz="0" w:space="0" w:color="auto"/>
        <w:left w:val="none" w:sz="0" w:space="0" w:color="auto"/>
        <w:bottom w:val="none" w:sz="0" w:space="0" w:color="auto"/>
        <w:right w:val="none" w:sz="0" w:space="0" w:color="auto"/>
      </w:divBdr>
    </w:div>
    <w:div w:id="386492753">
      <w:bodyDiv w:val="1"/>
      <w:marLeft w:val="0"/>
      <w:marRight w:val="0"/>
      <w:marTop w:val="0"/>
      <w:marBottom w:val="0"/>
      <w:divBdr>
        <w:top w:val="none" w:sz="0" w:space="0" w:color="auto"/>
        <w:left w:val="none" w:sz="0" w:space="0" w:color="auto"/>
        <w:bottom w:val="none" w:sz="0" w:space="0" w:color="auto"/>
        <w:right w:val="none" w:sz="0" w:space="0" w:color="auto"/>
      </w:divBdr>
    </w:div>
    <w:div w:id="388505024">
      <w:bodyDiv w:val="1"/>
      <w:marLeft w:val="0"/>
      <w:marRight w:val="0"/>
      <w:marTop w:val="0"/>
      <w:marBottom w:val="0"/>
      <w:divBdr>
        <w:top w:val="none" w:sz="0" w:space="0" w:color="auto"/>
        <w:left w:val="none" w:sz="0" w:space="0" w:color="auto"/>
        <w:bottom w:val="none" w:sz="0" w:space="0" w:color="auto"/>
        <w:right w:val="none" w:sz="0" w:space="0" w:color="auto"/>
      </w:divBdr>
    </w:div>
    <w:div w:id="388963805">
      <w:bodyDiv w:val="1"/>
      <w:marLeft w:val="0"/>
      <w:marRight w:val="0"/>
      <w:marTop w:val="0"/>
      <w:marBottom w:val="0"/>
      <w:divBdr>
        <w:top w:val="none" w:sz="0" w:space="0" w:color="auto"/>
        <w:left w:val="none" w:sz="0" w:space="0" w:color="auto"/>
        <w:bottom w:val="none" w:sz="0" w:space="0" w:color="auto"/>
        <w:right w:val="none" w:sz="0" w:space="0" w:color="auto"/>
      </w:divBdr>
    </w:div>
    <w:div w:id="389547725">
      <w:bodyDiv w:val="1"/>
      <w:marLeft w:val="0"/>
      <w:marRight w:val="0"/>
      <w:marTop w:val="0"/>
      <w:marBottom w:val="0"/>
      <w:divBdr>
        <w:top w:val="none" w:sz="0" w:space="0" w:color="auto"/>
        <w:left w:val="none" w:sz="0" w:space="0" w:color="auto"/>
        <w:bottom w:val="none" w:sz="0" w:space="0" w:color="auto"/>
        <w:right w:val="none" w:sz="0" w:space="0" w:color="auto"/>
      </w:divBdr>
    </w:div>
    <w:div w:id="390151932">
      <w:bodyDiv w:val="1"/>
      <w:marLeft w:val="0"/>
      <w:marRight w:val="0"/>
      <w:marTop w:val="0"/>
      <w:marBottom w:val="0"/>
      <w:divBdr>
        <w:top w:val="none" w:sz="0" w:space="0" w:color="auto"/>
        <w:left w:val="none" w:sz="0" w:space="0" w:color="auto"/>
        <w:bottom w:val="none" w:sz="0" w:space="0" w:color="auto"/>
        <w:right w:val="none" w:sz="0" w:space="0" w:color="auto"/>
      </w:divBdr>
    </w:div>
    <w:div w:id="391002742">
      <w:bodyDiv w:val="1"/>
      <w:marLeft w:val="0"/>
      <w:marRight w:val="0"/>
      <w:marTop w:val="0"/>
      <w:marBottom w:val="0"/>
      <w:divBdr>
        <w:top w:val="none" w:sz="0" w:space="0" w:color="auto"/>
        <w:left w:val="none" w:sz="0" w:space="0" w:color="auto"/>
        <w:bottom w:val="none" w:sz="0" w:space="0" w:color="auto"/>
        <w:right w:val="none" w:sz="0" w:space="0" w:color="auto"/>
      </w:divBdr>
    </w:div>
    <w:div w:id="391469617">
      <w:bodyDiv w:val="1"/>
      <w:marLeft w:val="0"/>
      <w:marRight w:val="0"/>
      <w:marTop w:val="0"/>
      <w:marBottom w:val="0"/>
      <w:divBdr>
        <w:top w:val="none" w:sz="0" w:space="0" w:color="auto"/>
        <w:left w:val="none" w:sz="0" w:space="0" w:color="auto"/>
        <w:bottom w:val="none" w:sz="0" w:space="0" w:color="auto"/>
        <w:right w:val="none" w:sz="0" w:space="0" w:color="auto"/>
      </w:divBdr>
    </w:div>
    <w:div w:id="391776890">
      <w:bodyDiv w:val="1"/>
      <w:marLeft w:val="0"/>
      <w:marRight w:val="0"/>
      <w:marTop w:val="0"/>
      <w:marBottom w:val="0"/>
      <w:divBdr>
        <w:top w:val="none" w:sz="0" w:space="0" w:color="auto"/>
        <w:left w:val="none" w:sz="0" w:space="0" w:color="auto"/>
        <w:bottom w:val="none" w:sz="0" w:space="0" w:color="auto"/>
        <w:right w:val="none" w:sz="0" w:space="0" w:color="auto"/>
      </w:divBdr>
    </w:div>
    <w:div w:id="392704819">
      <w:bodyDiv w:val="1"/>
      <w:marLeft w:val="0"/>
      <w:marRight w:val="0"/>
      <w:marTop w:val="0"/>
      <w:marBottom w:val="0"/>
      <w:divBdr>
        <w:top w:val="none" w:sz="0" w:space="0" w:color="auto"/>
        <w:left w:val="none" w:sz="0" w:space="0" w:color="auto"/>
        <w:bottom w:val="none" w:sz="0" w:space="0" w:color="auto"/>
        <w:right w:val="none" w:sz="0" w:space="0" w:color="auto"/>
      </w:divBdr>
    </w:div>
    <w:div w:id="393313568">
      <w:bodyDiv w:val="1"/>
      <w:marLeft w:val="0"/>
      <w:marRight w:val="0"/>
      <w:marTop w:val="0"/>
      <w:marBottom w:val="0"/>
      <w:divBdr>
        <w:top w:val="none" w:sz="0" w:space="0" w:color="auto"/>
        <w:left w:val="none" w:sz="0" w:space="0" w:color="auto"/>
        <w:bottom w:val="none" w:sz="0" w:space="0" w:color="auto"/>
        <w:right w:val="none" w:sz="0" w:space="0" w:color="auto"/>
      </w:divBdr>
    </w:div>
    <w:div w:id="393356710">
      <w:bodyDiv w:val="1"/>
      <w:marLeft w:val="0"/>
      <w:marRight w:val="0"/>
      <w:marTop w:val="0"/>
      <w:marBottom w:val="0"/>
      <w:divBdr>
        <w:top w:val="none" w:sz="0" w:space="0" w:color="auto"/>
        <w:left w:val="none" w:sz="0" w:space="0" w:color="auto"/>
        <w:bottom w:val="none" w:sz="0" w:space="0" w:color="auto"/>
        <w:right w:val="none" w:sz="0" w:space="0" w:color="auto"/>
      </w:divBdr>
    </w:div>
    <w:div w:id="395516317">
      <w:bodyDiv w:val="1"/>
      <w:marLeft w:val="0"/>
      <w:marRight w:val="0"/>
      <w:marTop w:val="0"/>
      <w:marBottom w:val="0"/>
      <w:divBdr>
        <w:top w:val="none" w:sz="0" w:space="0" w:color="auto"/>
        <w:left w:val="none" w:sz="0" w:space="0" w:color="auto"/>
        <w:bottom w:val="none" w:sz="0" w:space="0" w:color="auto"/>
        <w:right w:val="none" w:sz="0" w:space="0" w:color="auto"/>
      </w:divBdr>
    </w:div>
    <w:div w:id="396324445">
      <w:bodyDiv w:val="1"/>
      <w:marLeft w:val="0"/>
      <w:marRight w:val="0"/>
      <w:marTop w:val="0"/>
      <w:marBottom w:val="0"/>
      <w:divBdr>
        <w:top w:val="none" w:sz="0" w:space="0" w:color="auto"/>
        <w:left w:val="none" w:sz="0" w:space="0" w:color="auto"/>
        <w:bottom w:val="none" w:sz="0" w:space="0" w:color="auto"/>
        <w:right w:val="none" w:sz="0" w:space="0" w:color="auto"/>
      </w:divBdr>
    </w:div>
    <w:div w:id="396785993">
      <w:bodyDiv w:val="1"/>
      <w:marLeft w:val="0"/>
      <w:marRight w:val="0"/>
      <w:marTop w:val="0"/>
      <w:marBottom w:val="0"/>
      <w:divBdr>
        <w:top w:val="none" w:sz="0" w:space="0" w:color="auto"/>
        <w:left w:val="none" w:sz="0" w:space="0" w:color="auto"/>
        <w:bottom w:val="none" w:sz="0" w:space="0" w:color="auto"/>
        <w:right w:val="none" w:sz="0" w:space="0" w:color="auto"/>
      </w:divBdr>
    </w:div>
    <w:div w:id="397822921">
      <w:bodyDiv w:val="1"/>
      <w:marLeft w:val="0"/>
      <w:marRight w:val="0"/>
      <w:marTop w:val="0"/>
      <w:marBottom w:val="0"/>
      <w:divBdr>
        <w:top w:val="none" w:sz="0" w:space="0" w:color="auto"/>
        <w:left w:val="none" w:sz="0" w:space="0" w:color="auto"/>
        <w:bottom w:val="none" w:sz="0" w:space="0" w:color="auto"/>
        <w:right w:val="none" w:sz="0" w:space="0" w:color="auto"/>
      </w:divBdr>
    </w:div>
    <w:div w:id="400179328">
      <w:bodyDiv w:val="1"/>
      <w:marLeft w:val="0"/>
      <w:marRight w:val="0"/>
      <w:marTop w:val="0"/>
      <w:marBottom w:val="0"/>
      <w:divBdr>
        <w:top w:val="none" w:sz="0" w:space="0" w:color="auto"/>
        <w:left w:val="none" w:sz="0" w:space="0" w:color="auto"/>
        <w:bottom w:val="none" w:sz="0" w:space="0" w:color="auto"/>
        <w:right w:val="none" w:sz="0" w:space="0" w:color="auto"/>
      </w:divBdr>
    </w:div>
    <w:div w:id="400296040">
      <w:bodyDiv w:val="1"/>
      <w:marLeft w:val="0"/>
      <w:marRight w:val="0"/>
      <w:marTop w:val="0"/>
      <w:marBottom w:val="0"/>
      <w:divBdr>
        <w:top w:val="none" w:sz="0" w:space="0" w:color="auto"/>
        <w:left w:val="none" w:sz="0" w:space="0" w:color="auto"/>
        <w:bottom w:val="none" w:sz="0" w:space="0" w:color="auto"/>
        <w:right w:val="none" w:sz="0" w:space="0" w:color="auto"/>
      </w:divBdr>
    </w:div>
    <w:div w:id="400710560">
      <w:bodyDiv w:val="1"/>
      <w:marLeft w:val="0"/>
      <w:marRight w:val="0"/>
      <w:marTop w:val="0"/>
      <w:marBottom w:val="0"/>
      <w:divBdr>
        <w:top w:val="none" w:sz="0" w:space="0" w:color="auto"/>
        <w:left w:val="none" w:sz="0" w:space="0" w:color="auto"/>
        <w:bottom w:val="none" w:sz="0" w:space="0" w:color="auto"/>
        <w:right w:val="none" w:sz="0" w:space="0" w:color="auto"/>
      </w:divBdr>
    </w:div>
    <w:div w:id="401374921">
      <w:bodyDiv w:val="1"/>
      <w:marLeft w:val="0"/>
      <w:marRight w:val="0"/>
      <w:marTop w:val="0"/>
      <w:marBottom w:val="0"/>
      <w:divBdr>
        <w:top w:val="none" w:sz="0" w:space="0" w:color="auto"/>
        <w:left w:val="none" w:sz="0" w:space="0" w:color="auto"/>
        <w:bottom w:val="none" w:sz="0" w:space="0" w:color="auto"/>
        <w:right w:val="none" w:sz="0" w:space="0" w:color="auto"/>
      </w:divBdr>
    </w:div>
    <w:div w:id="401412399">
      <w:bodyDiv w:val="1"/>
      <w:marLeft w:val="0"/>
      <w:marRight w:val="0"/>
      <w:marTop w:val="0"/>
      <w:marBottom w:val="0"/>
      <w:divBdr>
        <w:top w:val="none" w:sz="0" w:space="0" w:color="auto"/>
        <w:left w:val="none" w:sz="0" w:space="0" w:color="auto"/>
        <w:bottom w:val="none" w:sz="0" w:space="0" w:color="auto"/>
        <w:right w:val="none" w:sz="0" w:space="0" w:color="auto"/>
      </w:divBdr>
    </w:div>
    <w:div w:id="402029043">
      <w:bodyDiv w:val="1"/>
      <w:marLeft w:val="0"/>
      <w:marRight w:val="0"/>
      <w:marTop w:val="0"/>
      <w:marBottom w:val="0"/>
      <w:divBdr>
        <w:top w:val="none" w:sz="0" w:space="0" w:color="auto"/>
        <w:left w:val="none" w:sz="0" w:space="0" w:color="auto"/>
        <w:bottom w:val="none" w:sz="0" w:space="0" w:color="auto"/>
        <w:right w:val="none" w:sz="0" w:space="0" w:color="auto"/>
      </w:divBdr>
    </w:div>
    <w:div w:id="402994604">
      <w:bodyDiv w:val="1"/>
      <w:marLeft w:val="0"/>
      <w:marRight w:val="0"/>
      <w:marTop w:val="0"/>
      <w:marBottom w:val="0"/>
      <w:divBdr>
        <w:top w:val="none" w:sz="0" w:space="0" w:color="auto"/>
        <w:left w:val="none" w:sz="0" w:space="0" w:color="auto"/>
        <w:bottom w:val="none" w:sz="0" w:space="0" w:color="auto"/>
        <w:right w:val="none" w:sz="0" w:space="0" w:color="auto"/>
      </w:divBdr>
    </w:div>
    <w:div w:id="403071013">
      <w:bodyDiv w:val="1"/>
      <w:marLeft w:val="0"/>
      <w:marRight w:val="0"/>
      <w:marTop w:val="0"/>
      <w:marBottom w:val="0"/>
      <w:divBdr>
        <w:top w:val="none" w:sz="0" w:space="0" w:color="auto"/>
        <w:left w:val="none" w:sz="0" w:space="0" w:color="auto"/>
        <w:bottom w:val="none" w:sz="0" w:space="0" w:color="auto"/>
        <w:right w:val="none" w:sz="0" w:space="0" w:color="auto"/>
      </w:divBdr>
    </w:div>
    <w:div w:id="404449777">
      <w:bodyDiv w:val="1"/>
      <w:marLeft w:val="0"/>
      <w:marRight w:val="0"/>
      <w:marTop w:val="0"/>
      <w:marBottom w:val="0"/>
      <w:divBdr>
        <w:top w:val="none" w:sz="0" w:space="0" w:color="auto"/>
        <w:left w:val="none" w:sz="0" w:space="0" w:color="auto"/>
        <w:bottom w:val="none" w:sz="0" w:space="0" w:color="auto"/>
        <w:right w:val="none" w:sz="0" w:space="0" w:color="auto"/>
      </w:divBdr>
    </w:div>
    <w:div w:id="405957361">
      <w:bodyDiv w:val="1"/>
      <w:marLeft w:val="0"/>
      <w:marRight w:val="0"/>
      <w:marTop w:val="0"/>
      <w:marBottom w:val="0"/>
      <w:divBdr>
        <w:top w:val="none" w:sz="0" w:space="0" w:color="auto"/>
        <w:left w:val="none" w:sz="0" w:space="0" w:color="auto"/>
        <w:bottom w:val="none" w:sz="0" w:space="0" w:color="auto"/>
        <w:right w:val="none" w:sz="0" w:space="0" w:color="auto"/>
      </w:divBdr>
    </w:div>
    <w:div w:id="405996011">
      <w:bodyDiv w:val="1"/>
      <w:marLeft w:val="0"/>
      <w:marRight w:val="0"/>
      <w:marTop w:val="0"/>
      <w:marBottom w:val="0"/>
      <w:divBdr>
        <w:top w:val="none" w:sz="0" w:space="0" w:color="auto"/>
        <w:left w:val="none" w:sz="0" w:space="0" w:color="auto"/>
        <w:bottom w:val="none" w:sz="0" w:space="0" w:color="auto"/>
        <w:right w:val="none" w:sz="0" w:space="0" w:color="auto"/>
      </w:divBdr>
    </w:div>
    <w:div w:id="406151611">
      <w:bodyDiv w:val="1"/>
      <w:marLeft w:val="0"/>
      <w:marRight w:val="0"/>
      <w:marTop w:val="0"/>
      <w:marBottom w:val="0"/>
      <w:divBdr>
        <w:top w:val="none" w:sz="0" w:space="0" w:color="auto"/>
        <w:left w:val="none" w:sz="0" w:space="0" w:color="auto"/>
        <w:bottom w:val="none" w:sz="0" w:space="0" w:color="auto"/>
        <w:right w:val="none" w:sz="0" w:space="0" w:color="auto"/>
      </w:divBdr>
    </w:div>
    <w:div w:id="406541041">
      <w:bodyDiv w:val="1"/>
      <w:marLeft w:val="0"/>
      <w:marRight w:val="0"/>
      <w:marTop w:val="0"/>
      <w:marBottom w:val="0"/>
      <w:divBdr>
        <w:top w:val="none" w:sz="0" w:space="0" w:color="auto"/>
        <w:left w:val="none" w:sz="0" w:space="0" w:color="auto"/>
        <w:bottom w:val="none" w:sz="0" w:space="0" w:color="auto"/>
        <w:right w:val="none" w:sz="0" w:space="0" w:color="auto"/>
      </w:divBdr>
    </w:div>
    <w:div w:id="406926315">
      <w:bodyDiv w:val="1"/>
      <w:marLeft w:val="0"/>
      <w:marRight w:val="0"/>
      <w:marTop w:val="0"/>
      <w:marBottom w:val="0"/>
      <w:divBdr>
        <w:top w:val="none" w:sz="0" w:space="0" w:color="auto"/>
        <w:left w:val="none" w:sz="0" w:space="0" w:color="auto"/>
        <w:bottom w:val="none" w:sz="0" w:space="0" w:color="auto"/>
        <w:right w:val="none" w:sz="0" w:space="0" w:color="auto"/>
      </w:divBdr>
    </w:div>
    <w:div w:id="407266337">
      <w:bodyDiv w:val="1"/>
      <w:marLeft w:val="0"/>
      <w:marRight w:val="0"/>
      <w:marTop w:val="0"/>
      <w:marBottom w:val="0"/>
      <w:divBdr>
        <w:top w:val="none" w:sz="0" w:space="0" w:color="auto"/>
        <w:left w:val="none" w:sz="0" w:space="0" w:color="auto"/>
        <w:bottom w:val="none" w:sz="0" w:space="0" w:color="auto"/>
        <w:right w:val="none" w:sz="0" w:space="0" w:color="auto"/>
      </w:divBdr>
    </w:div>
    <w:div w:id="408161708">
      <w:bodyDiv w:val="1"/>
      <w:marLeft w:val="0"/>
      <w:marRight w:val="0"/>
      <w:marTop w:val="0"/>
      <w:marBottom w:val="0"/>
      <w:divBdr>
        <w:top w:val="none" w:sz="0" w:space="0" w:color="auto"/>
        <w:left w:val="none" w:sz="0" w:space="0" w:color="auto"/>
        <w:bottom w:val="none" w:sz="0" w:space="0" w:color="auto"/>
        <w:right w:val="none" w:sz="0" w:space="0" w:color="auto"/>
      </w:divBdr>
    </w:div>
    <w:div w:id="409234844">
      <w:bodyDiv w:val="1"/>
      <w:marLeft w:val="0"/>
      <w:marRight w:val="0"/>
      <w:marTop w:val="0"/>
      <w:marBottom w:val="0"/>
      <w:divBdr>
        <w:top w:val="none" w:sz="0" w:space="0" w:color="auto"/>
        <w:left w:val="none" w:sz="0" w:space="0" w:color="auto"/>
        <w:bottom w:val="none" w:sz="0" w:space="0" w:color="auto"/>
        <w:right w:val="none" w:sz="0" w:space="0" w:color="auto"/>
      </w:divBdr>
    </w:div>
    <w:div w:id="409928834">
      <w:bodyDiv w:val="1"/>
      <w:marLeft w:val="0"/>
      <w:marRight w:val="0"/>
      <w:marTop w:val="0"/>
      <w:marBottom w:val="0"/>
      <w:divBdr>
        <w:top w:val="none" w:sz="0" w:space="0" w:color="auto"/>
        <w:left w:val="none" w:sz="0" w:space="0" w:color="auto"/>
        <w:bottom w:val="none" w:sz="0" w:space="0" w:color="auto"/>
        <w:right w:val="none" w:sz="0" w:space="0" w:color="auto"/>
      </w:divBdr>
    </w:div>
    <w:div w:id="410736836">
      <w:bodyDiv w:val="1"/>
      <w:marLeft w:val="0"/>
      <w:marRight w:val="0"/>
      <w:marTop w:val="0"/>
      <w:marBottom w:val="0"/>
      <w:divBdr>
        <w:top w:val="none" w:sz="0" w:space="0" w:color="auto"/>
        <w:left w:val="none" w:sz="0" w:space="0" w:color="auto"/>
        <w:bottom w:val="none" w:sz="0" w:space="0" w:color="auto"/>
        <w:right w:val="none" w:sz="0" w:space="0" w:color="auto"/>
      </w:divBdr>
    </w:div>
    <w:div w:id="410858172">
      <w:bodyDiv w:val="1"/>
      <w:marLeft w:val="0"/>
      <w:marRight w:val="0"/>
      <w:marTop w:val="0"/>
      <w:marBottom w:val="0"/>
      <w:divBdr>
        <w:top w:val="none" w:sz="0" w:space="0" w:color="auto"/>
        <w:left w:val="none" w:sz="0" w:space="0" w:color="auto"/>
        <w:bottom w:val="none" w:sz="0" w:space="0" w:color="auto"/>
        <w:right w:val="none" w:sz="0" w:space="0" w:color="auto"/>
      </w:divBdr>
    </w:div>
    <w:div w:id="414206012">
      <w:bodyDiv w:val="1"/>
      <w:marLeft w:val="0"/>
      <w:marRight w:val="0"/>
      <w:marTop w:val="0"/>
      <w:marBottom w:val="0"/>
      <w:divBdr>
        <w:top w:val="none" w:sz="0" w:space="0" w:color="auto"/>
        <w:left w:val="none" w:sz="0" w:space="0" w:color="auto"/>
        <w:bottom w:val="none" w:sz="0" w:space="0" w:color="auto"/>
        <w:right w:val="none" w:sz="0" w:space="0" w:color="auto"/>
      </w:divBdr>
    </w:div>
    <w:div w:id="414285674">
      <w:bodyDiv w:val="1"/>
      <w:marLeft w:val="0"/>
      <w:marRight w:val="0"/>
      <w:marTop w:val="0"/>
      <w:marBottom w:val="0"/>
      <w:divBdr>
        <w:top w:val="none" w:sz="0" w:space="0" w:color="auto"/>
        <w:left w:val="none" w:sz="0" w:space="0" w:color="auto"/>
        <w:bottom w:val="none" w:sz="0" w:space="0" w:color="auto"/>
        <w:right w:val="none" w:sz="0" w:space="0" w:color="auto"/>
      </w:divBdr>
    </w:div>
    <w:div w:id="416438615">
      <w:bodyDiv w:val="1"/>
      <w:marLeft w:val="0"/>
      <w:marRight w:val="0"/>
      <w:marTop w:val="0"/>
      <w:marBottom w:val="0"/>
      <w:divBdr>
        <w:top w:val="none" w:sz="0" w:space="0" w:color="auto"/>
        <w:left w:val="none" w:sz="0" w:space="0" w:color="auto"/>
        <w:bottom w:val="none" w:sz="0" w:space="0" w:color="auto"/>
        <w:right w:val="none" w:sz="0" w:space="0" w:color="auto"/>
      </w:divBdr>
    </w:div>
    <w:div w:id="416486965">
      <w:bodyDiv w:val="1"/>
      <w:marLeft w:val="0"/>
      <w:marRight w:val="0"/>
      <w:marTop w:val="0"/>
      <w:marBottom w:val="0"/>
      <w:divBdr>
        <w:top w:val="none" w:sz="0" w:space="0" w:color="auto"/>
        <w:left w:val="none" w:sz="0" w:space="0" w:color="auto"/>
        <w:bottom w:val="none" w:sz="0" w:space="0" w:color="auto"/>
        <w:right w:val="none" w:sz="0" w:space="0" w:color="auto"/>
      </w:divBdr>
    </w:div>
    <w:div w:id="417020279">
      <w:bodyDiv w:val="1"/>
      <w:marLeft w:val="0"/>
      <w:marRight w:val="0"/>
      <w:marTop w:val="0"/>
      <w:marBottom w:val="0"/>
      <w:divBdr>
        <w:top w:val="none" w:sz="0" w:space="0" w:color="auto"/>
        <w:left w:val="none" w:sz="0" w:space="0" w:color="auto"/>
        <w:bottom w:val="none" w:sz="0" w:space="0" w:color="auto"/>
        <w:right w:val="none" w:sz="0" w:space="0" w:color="auto"/>
      </w:divBdr>
    </w:div>
    <w:div w:id="420564680">
      <w:bodyDiv w:val="1"/>
      <w:marLeft w:val="0"/>
      <w:marRight w:val="0"/>
      <w:marTop w:val="0"/>
      <w:marBottom w:val="0"/>
      <w:divBdr>
        <w:top w:val="none" w:sz="0" w:space="0" w:color="auto"/>
        <w:left w:val="none" w:sz="0" w:space="0" w:color="auto"/>
        <w:bottom w:val="none" w:sz="0" w:space="0" w:color="auto"/>
        <w:right w:val="none" w:sz="0" w:space="0" w:color="auto"/>
      </w:divBdr>
    </w:div>
    <w:div w:id="421144113">
      <w:bodyDiv w:val="1"/>
      <w:marLeft w:val="0"/>
      <w:marRight w:val="0"/>
      <w:marTop w:val="0"/>
      <w:marBottom w:val="0"/>
      <w:divBdr>
        <w:top w:val="none" w:sz="0" w:space="0" w:color="auto"/>
        <w:left w:val="none" w:sz="0" w:space="0" w:color="auto"/>
        <w:bottom w:val="none" w:sz="0" w:space="0" w:color="auto"/>
        <w:right w:val="none" w:sz="0" w:space="0" w:color="auto"/>
      </w:divBdr>
    </w:div>
    <w:div w:id="422188088">
      <w:bodyDiv w:val="1"/>
      <w:marLeft w:val="0"/>
      <w:marRight w:val="0"/>
      <w:marTop w:val="0"/>
      <w:marBottom w:val="0"/>
      <w:divBdr>
        <w:top w:val="none" w:sz="0" w:space="0" w:color="auto"/>
        <w:left w:val="none" w:sz="0" w:space="0" w:color="auto"/>
        <w:bottom w:val="none" w:sz="0" w:space="0" w:color="auto"/>
        <w:right w:val="none" w:sz="0" w:space="0" w:color="auto"/>
      </w:divBdr>
    </w:div>
    <w:div w:id="424350630">
      <w:bodyDiv w:val="1"/>
      <w:marLeft w:val="0"/>
      <w:marRight w:val="0"/>
      <w:marTop w:val="0"/>
      <w:marBottom w:val="0"/>
      <w:divBdr>
        <w:top w:val="none" w:sz="0" w:space="0" w:color="auto"/>
        <w:left w:val="none" w:sz="0" w:space="0" w:color="auto"/>
        <w:bottom w:val="none" w:sz="0" w:space="0" w:color="auto"/>
        <w:right w:val="none" w:sz="0" w:space="0" w:color="auto"/>
      </w:divBdr>
    </w:div>
    <w:div w:id="424886043">
      <w:bodyDiv w:val="1"/>
      <w:marLeft w:val="0"/>
      <w:marRight w:val="0"/>
      <w:marTop w:val="0"/>
      <w:marBottom w:val="0"/>
      <w:divBdr>
        <w:top w:val="none" w:sz="0" w:space="0" w:color="auto"/>
        <w:left w:val="none" w:sz="0" w:space="0" w:color="auto"/>
        <w:bottom w:val="none" w:sz="0" w:space="0" w:color="auto"/>
        <w:right w:val="none" w:sz="0" w:space="0" w:color="auto"/>
      </w:divBdr>
    </w:div>
    <w:div w:id="425031740">
      <w:bodyDiv w:val="1"/>
      <w:marLeft w:val="0"/>
      <w:marRight w:val="0"/>
      <w:marTop w:val="0"/>
      <w:marBottom w:val="0"/>
      <w:divBdr>
        <w:top w:val="none" w:sz="0" w:space="0" w:color="auto"/>
        <w:left w:val="none" w:sz="0" w:space="0" w:color="auto"/>
        <w:bottom w:val="none" w:sz="0" w:space="0" w:color="auto"/>
        <w:right w:val="none" w:sz="0" w:space="0" w:color="auto"/>
      </w:divBdr>
    </w:div>
    <w:div w:id="425806223">
      <w:bodyDiv w:val="1"/>
      <w:marLeft w:val="0"/>
      <w:marRight w:val="0"/>
      <w:marTop w:val="0"/>
      <w:marBottom w:val="0"/>
      <w:divBdr>
        <w:top w:val="none" w:sz="0" w:space="0" w:color="auto"/>
        <w:left w:val="none" w:sz="0" w:space="0" w:color="auto"/>
        <w:bottom w:val="none" w:sz="0" w:space="0" w:color="auto"/>
        <w:right w:val="none" w:sz="0" w:space="0" w:color="auto"/>
      </w:divBdr>
    </w:div>
    <w:div w:id="425808856">
      <w:bodyDiv w:val="1"/>
      <w:marLeft w:val="0"/>
      <w:marRight w:val="0"/>
      <w:marTop w:val="0"/>
      <w:marBottom w:val="0"/>
      <w:divBdr>
        <w:top w:val="none" w:sz="0" w:space="0" w:color="auto"/>
        <w:left w:val="none" w:sz="0" w:space="0" w:color="auto"/>
        <w:bottom w:val="none" w:sz="0" w:space="0" w:color="auto"/>
        <w:right w:val="none" w:sz="0" w:space="0" w:color="auto"/>
      </w:divBdr>
    </w:div>
    <w:div w:id="427654774">
      <w:bodyDiv w:val="1"/>
      <w:marLeft w:val="0"/>
      <w:marRight w:val="0"/>
      <w:marTop w:val="0"/>
      <w:marBottom w:val="0"/>
      <w:divBdr>
        <w:top w:val="none" w:sz="0" w:space="0" w:color="auto"/>
        <w:left w:val="none" w:sz="0" w:space="0" w:color="auto"/>
        <w:bottom w:val="none" w:sz="0" w:space="0" w:color="auto"/>
        <w:right w:val="none" w:sz="0" w:space="0" w:color="auto"/>
      </w:divBdr>
    </w:div>
    <w:div w:id="429856495">
      <w:bodyDiv w:val="1"/>
      <w:marLeft w:val="0"/>
      <w:marRight w:val="0"/>
      <w:marTop w:val="0"/>
      <w:marBottom w:val="0"/>
      <w:divBdr>
        <w:top w:val="none" w:sz="0" w:space="0" w:color="auto"/>
        <w:left w:val="none" w:sz="0" w:space="0" w:color="auto"/>
        <w:bottom w:val="none" w:sz="0" w:space="0" w:color="auto"/>
        <w:right w:val="none" w:sz="0" w:space="0" w:color="auto"/>
      </w:divBdr>
    </w:div>
    <w:div w:id="430123167">
      <w:bodyDiv w:val="1"/>
      <w:marLeft w:val="0"/>
      <w:marRight w:val="0"/>
      <w:marTop w:val="0"/>
      <w:marBottom w:val="0"/>
      <w:divBdr>
        <w:top w:val="none" w:sz="0" w:space="0" w:color="auto"/>
        <w:left w:val="none" w:sz="0" w:space="0" w:color="auto"/>
        <w:bottom w:val="none" w:sz="0" w:space="0" w:color="auto"/>
        <w:right w:val="none" w:sz="0" w:space="0" w:color="auto"/>
      </w:divBdr>
    </w:div>
    <w:div w:id="432089890">
      <w:bodyDiv w:val="1"/>
      <w:marLeft w:val="0"/>
      <w:marRight w:val="0"/>
      <w:marTop w:val="0"/>
      <w:marBottom w:val="0"/>
      <w:divBdr>
        <w:top w:val="none" w:sz="0" w:space="0" w:color="auto"/>
        <w:left w:val="none" w:sz="0" w:space="0" w:color="auto"/>
        <w:bottom w:val="none" w:sz="0" w:space="0" w:color="auto"/>
        <w:right w:val="none" w:sz="0" w:space="0" w:color="auto"/>
      </w:divBdr>
    </w:div>
    <w:div w:id="432869013">
      <w:bodyDiv w:val="1"/>
      <w:marLeft w:val="0"/>
      <w:marRight w:val="0"/>
      <w:marTop w:val="0"/>
      <w:marBottom w:val="0"/>
      <w:divBdr>
        <w:top w:val="none" w:sz="0" w:space="0" w:color="auto"/>
        <w:left w:val="none" w:sz="0" w:space="0" w:color="auto"/>
        <w:bottom w:val="none" w:sz="0" w:space="0" w:color="auto"/>
        <w:right w:val="none" w:sz="0" w:space="0" w:color="auto"/>
      </w:divBdr>
    </w:div>
    <w:div w:id="432936632">
      <w:bodyDiv w:val="1"/>
      <w:marLeft w:val="0"/>
      <w:marRight w:val="0"/>
      <w:marTop w:val="0"/>
      <w:marBottom w:val="0"/>
      <w:divBdr>
        <w:top w:val="none" w:sz="0" w:space="0" w:color="auto"/>
        <w:left w:val="none" w:sz="0" w:space="0" w:color="auto"/>
        <w:bottom w:val="none" w:sz="0" w:space="0" w:color="auto"/>
        <w:right w:val="none" w:sz="0" w:space="0" w:color="auto"/>
      </w:divBdr>
    </w:div>
    <w:div w:id="434593984">
      <w:bodyDiv w:val="1"/>
      <w:marLeft w:val="0"/>
      <w:marRight w:val="0"/>
      <w:marTop w:val="0"/>
      <w:marBottom w:val="0"/>
      <w:divBdr>
        <w:top w:val="none" w:sz="0" w:space="0" w:color="auto"/>
        <w:left w:val="none" w:sz="0" w:space="0" w:color="auto"/>
        <w:bottom w:val="none" w:sz="0" w:space="0" w:color="auto"/>
        <w:right w:val="none" w:sz="0" w:space="0" w:color="auto"/>
      </w:divBdr>
    </w:div>
    <w:div w:id="434640563">
      <w:bodyDiv w:val="1"/>
      <w:marLeft w:val="0"/>
      <w:marRight w:val="0"/>
      <w:marTop w:val="0"/>
      <w:marBottom w:val="0"/>
      <w:divBdr>
        <w:top w:val="none" w:sz="0" w:space="0" w:color="auto"/>
        <w:left w:val="none" w:sz="0" w:space="0" w:color="auto"/>
        <w:bottom w:val="none" w:sz="0" w:space="0" w:color="auto"/>
        <w:right w:val="none" w:sz="0" w:space="0" w:color="auto"/>
      </w:divBdr>
    </w:div>
    <w:div w:id="435367084">
      <w:bodyDiv w:val="1"/>
      <w:marLeft w:val="0"/>
      <w:marRight w:val="0"/>
      <w:marTop w:val="0"/>
      <w:marBottom w:val="0"/>
      <w:divBdr>
        <w:top w:val="none" w:sz="0" w:space="0" w:color="auto"/>
        <w:left w:val="none" w:sz="0" w:space="0" w:color="auto"/>
        <w:bottom w:val="none" w:sz="0" w:space="0" w:color="auto"/>
        <w:right w:val="none" w:sz="0" w:space="0" w:color="auto"/>
      </w:divBdr>
    </w:div>
    <w:div w:id="439222799">
      <w:bodyDiv w:val="1"/>
      <w:marLeft w:val="0"/>
      <w:marRight w:val="0"/>
      <w:marTop w:val="0"/>
      <w:marBottom w:val="0"/>
      <w:divBdr>
        <w:top w:val="none" w:sz="0" w:space="0" w:color="auto"/>
        <w:left w:val="none" w:sz="0" w:space="0" w:color="auto"/>
        <w:bottom w:val="none" w:sz="0" w:space="0" w:color="auto"/>
        <w:right w:val="none" w:sz="0" w:space="0" w:color="auto"/>
      </w:divBdr>
    </w:div>
    <w:div w:id="439951845">
      <w:bodyDiv w:val="1"/>
      <w:marLeft w:val="0"/>
      <w:marRight w:val="0"/>
      <w:marTop w:val="0"/>
      <w:marBottom w:val="0"/>
      <w:divBdr>
        <w:top w:val="none" w:sz="0" w:space="0" w:color="auto"/>
        <w:left w:val="none" w:sz="0" w:space="0" w:color="auto"/>
        <w:bottom w:val="none" w:sz="0" w:space="0" w:color="auto"/>
        <w:right w:val="none" w:sz="0" w:space="0" w:color="auto"/>
      </w:divBdr>
    </w:div>
    <w:div w:id="440106114">
      <w:bodyDiv w:val="1"/>
      <w:marLeft w:val="0"/>
      <w:marRight w:val="0"/>
      <w:marTop w:val="0"/>
      <w:marBottom w:val="0"/>
      <w:divBdr>
        <w:top w:val="none" w:sz="0" w:space="0" w:color="auto"/>
        <w:left w:val="none" w:sz="0" w:space="0" w:color="auto"/>
        <w:bottom w:val="none" w:sz="0" w:space="0" w:color="auto"/>
        <w:right w:val="none" w:sz="0" w:space="0" w:color="auto"/>
      </w:divBdr>
    </w:div>
    <w:div w:id="440223693">
      <w:bodyDiv w:val="1"/>
      <w:marLeft w:val="0"/>
      <w:marRight w:val="0"/>
      <w:marTop w:val="0"/>
      <w:marBottom w:val="0"/>
      <w:divBdr>
        <w:top w:val="none" w:sz="0" w:space="0" w:color="auto"/>
        <w:left w:val="none" w:sz="0" w:space="0" w:color="auto"/>
        <w:bottom w:val="none" w:sz="0" w:space="0" w:color="auto"/>
        <w:right w:val="none" w:sz="0" w:space="0" w:color="auto"/>
      </w:divBdr>
    </w:div>
    <w:div w:id="440882261">
      <w:bodyDiv w:val="1"/>
      <w:marLeft w:val="0"/>
      <w:marRight w:val="0"/>
      <w:marTop w:val="0"/>
      <w:marBottom w:val="0"/>
      <w:divBdr>
        <w:top w:val="none" w:sz="0" w:space="0" w:color="auto"/>
        <w:left w:val="none" w:sz="0" w:space="0" w:color="auto"/>
        <w:bottom w:val="none" w:sz="0" w:space="0" w:color="auto"/>
        <w:right w:val="none" w:sz="0" w:space="0" w:color="auto"/>
      </w:divBdr>
    </w:div>
    <w:div w:id="443043288">
      <w:bodyDiv w:val="1"/>
      <w:marLeft w:val="0"/>
      <w:marRight w:val="0"/>
      <w:marTop w:val="0"/>
      <w:marBottom w:val="0"/>
      <w:divBdr>
        <w:top w:val="none" w:sz="0" w:space="0" w:color="auto"/>
        <w:left w:val="none" w:sz="0" w:space="0" w:color="auto"/>
        <w:bottom w:val="none" w:sz="0" w:space="0" w:color="auto"/>
        <w:right w:val="none" w:sz="0" w:space="0" w:color="auto"/>
      </w:divBdr>
    </w:div>
    <w:div w:id="445125654">
      <w:bodyDiv w:val="1"/>
      <w:marLeft w:val="0"/>
      <w:marRight w:val="0"/>
      <w:marTop w:val="0"/>
      <w:marBottom w:val="0"/>
      <w:divBdr>
        <w:top w:val="none" w:sz="0" w:space="0" w:color="auto"/>
        <w:left w:val="none" w:sz="0" w:space="0" w:color="auto"/>
        <w:bottom w:val="none" w:sz="0" w:space="0" w:color="auto"/>
        <w:right w:val="none" w:sz="0" w:space="0" w:color="auto"/>
      </w:divBdr>
    </w:div>
    <w:div w:id="445580096">
      <w:bodyDiv w:val="1"/>
      <w:marLeft w:val="0"/>
      <w:marRight w:val="0"/>
      <w:marTop w:val="0"/>
      <w:marBottom w:val="0"/>
      <w:divBdr>
        <w:top w:val="none" w:sz="0" w:space="0" w:color="auto"/>
        <w:left w:val="none" w:sz="0" w:space="0" w:color="auto"/>
        <w:bottom w:val="none" w:sz="0" w:space="0" w:color="auto"/>
        <w:right w:val="none" w:sz="0" w:space="0" w:color="auto"/>
      </w:divBdr>
    </w:div>
    <w:div w:id="445854141">
      <w:bodyDiv w:val="1"/>
      <w:marLeft w:val="0"/>
      <w:marRight w:val="0"/>
      <w:marTop w:val="0"/>
      <w:marBottom w:val="0"/>
      <w:divBdr>
        <w:top w:val="none" w:sz="0" w:space="0" w:color="auto"/>
        <w:left w:val="none" w:sz="0" w:space="0" w:color="auto"/>
        <w:bottom w:val="none" w:sz="0" w:space="0" w:color="auto"/>
        <w:right w:val="none" w:sz="0" w:space="0" w:color="auto"/>
      </w:divBdr>
    </w:div>
    <w:div w:id="447435327">
      <w:bodyDiv w:val="1"/>
      <w:marLeft w:val="0"/>
      <w:marRight w:val="0"/>
      <w:marTop w:val="0"/>
      <w:marBottom w:val="0"/>
      <w:divBdr>
        <w:top w:val="none" w:sz="0" w:space="0" w:color="auto"/>
        <w:left w:val="none" w:sz="0" w:space="0" w:color="auto"/>
        <w:bottom w:val="none" w:sz="0" w:space="0" w:color="auto"/>
        <w:right w:val="none" w:sz="0" w:space="0" w:color="auto"/>
      </w:divBdr>
    </w:div>
    <w:div w:id="449250112">
      <w:bodyDiv w:val="1"/>
      <w:marLeft w:val="0"/>
      <w:marRight w:val="0"/>
      <w:marTop w:val="0"/>
      <w:marBottom w:val="0"/>
      <w:divBdr>
        <w:top w:val="none" w:sz="0" w:space="0" w:color="auto"/>
        <w:left w:val="none" w:sz="0" w:space="0" w:color="auto"/>
        <w:bottom w:val="none" w:sz="0" w:space="0" w:color="auto"/>
        <w:right w:val="none" w:sz="0" w:space="0" w:color="auto"/>
      </w:divBdr>
    </w:div>
    <w:div w:id="450713995">
      <w:bodyDiv w:val="1"/>
      <w:marLeft w:val="0"/>
      <w:marRight w:val="0"/>
      <w:marTop w:val="0"/>
      <w:marBottom w:val="0"/>
      <w:divBdr>
        <w:top w:val="none" w:sz="0" w:space="0" w:color="auto"/>
        <w:left w:val="none" w:sz="0" w:space="0" w:color="auto"/>
        <w:bottom w:val="none" w:sz="0" w:space="0" w:color="auto"/>
        <w:right w:val="none" w:sz="0" w:space="0" w:color="auto"/>
      </w:divBdr>
    </w:div>
    <w:div w:id="450973362">
      <w:bodyDiv w:val="1"/>
      <w:marLeft w:val="0"/>
      <w:marRight w:val="0"/>
      <w:marTop w:val="0"/>
      <w:marBottom w:val="0"/>
      <w:divBdr>
        <w:top w:val="none" w:sz="0" w:space="0" w:color="auto"/>
        <w:left w:val="none" w:sz="0" w:space="0" w:color="auto"/>
        <w:bottom w:val="none" w:sz="0" w:space="0" w:color="auto"/>
        <w:right w:val="none" w:sz="0" w:space="0" w:color="auto"/>
      </w:divBdr>
    </w:div>
    <w:div w:id="451368776">
      <w:bodyDiv w:val="1"/>
      <w:marLeft w:val="0"/>
      <w:marRight w:val="0"/>
      <w:marTop w:val="0"/>
      <w:marBottom w:val="0"/>
      <w:divBdr>
        <w:top w:val="none" w:sz="0" w:space="0" w:color="auto"/>
        <w:left w:val="none" w:sz="0" w:space="0" w:color="auto"/>
        <w:bottom w:val="none" w:sz="0" w:space="0" w:color="auto"/>
        <w:right w:val="none" w:sz="0" w:space="0" w:color="auto"/>
      </w:divBdr>
    </w:div>
    <w:div w:id="452017250">
      <w:bodyDiv w:val="1"/>
      <w:marLeft w:val="0"/>
      <w:marRight w:val="0"/>
      <w:marTop w:val="0"/>
      <w:marBottom w:val="0"/>
      <w:divBdr>
        <w:top w:val="none" w:sz="0" w:space="0" w:color="auto"/>
        <w:left w:val="none" w:sz="0" w:space="0" w:color="auto"/>
        <w:bottom w:val="none" w:sz="0" w:space="0" w:color="auto"/>
        <w:right w:val="none" w:sz="0" w:space="0" w:color="auto"/>
      </w:divBdr>
    </w:div>
    <w:div w:id="452676648">
      <w:bodyDiv w:val="1"/>
      <w:marLeft w:val="0"/>
      <w:marRight w:val="0"/>
      <w:marTop w:val="0"/>
      <w:marBottom w:val="0"/>
      <w:divBdr>
        <w:top w:val="none" w:sz="0" w:space="0" w:color="auto"/>
        <w:left w:val="none" w:sz="0" w:space="0" w:color="auto"/>
        <w:bottom w:val="none" w:sz="0" w:space="0" w:color="auto"/>
        <w:right w:val="none" w:sz="0" w:space="0" w:color="auto"/>
      </w:divBdr>
    </w:div>
    <w:div w:id="452941929">
      <w:bodyDiv w:val="1"/>
      <w:marLeft w:val="0"/>
      <w:marRight w:val="0"/>
      <w:marTop w:val="0"/>
      <w:marBottom w:val="0"/>
      <w:divBdr>
        <w:top w:val="none" w:sz="0" w:space="0" w:color="auto"/>
        <w:left w:val="none" w:sz="0" w:space="0" w:color="auto"/>
        <w:bottom w:val="none" w:sz="0" w:space="0" w:color="auto"/>
        <w:right w:val="none" w:sz="0" w:space="0" w:color="auto"/>
      </w:divBdr>
    </w:div>
    <w:div w:id="455098744">
      <w:bodyDiv w:val="1"/>
      <w:marLeft w:val="0"/>
      <w:marRight w:val="0"/>
      <w:marTop w:val="0"/>
      <w:marBottom w:val="0"/>
      <w:divBdr>
        <w:top w:val="none" w:sz="0" w:space="0" w:color="auto"/>
        <w:left w:val="none" w:sz="0" w:space="0" w:color="auto"/>
        <w:bottom w:val="none" w:sz="0" w:space="0" w:color="auto"/>
        <w:right w:val="none" w:sz="0" w:space="0" w:color="auto"/>
      </w:divBdr>
    </w:div>
    <w:div w:id="455950683">
      <w:bodyDiv w:val="1"/>
      <w:marLeft w:val="0"/>
      <w:marRight w:val="0"/>
      <w:marTop w:val="0"/>
      <w:marBottom w:val="0"/>
      <w:divBdr>
        <w:top w:val="none" w:sz="0" w:space="0" w:color="auto"/>
        <w:left w:val="none" w:sz="0" w:space="0" w:color="auto"/>
        <w:bottom w:val="none" w:sz="0" w:space="0" w:color="auto"/>
        <w:right w:val="none" w:sz="0" w:space="0" w:color="auto"/>
      </w:divBdr>
    </w:div>
    <w:div w:id="455953995">
      <w:bodyDiv w:val="1"/>
      <w:marLeft w:val="0"/>
      <w:marRight w:val="0"/>
      <w:marTop w:val="0"/>
      <w:marBottom w:val="0"/>
      <w:divBdr>
        <w:top w:val="none" w:sz="0" w:space="0" w:color="auto"/>
        <w:left w:val="none" w:sz="0" w:space="0" w:color="auto"/>
        <w:bottom w:val="none" w:sz="0" w:space="0" w:color="auto"/>
        <w:right w:val="none" w:sz="0" w:space="0" w:color="auto"/>
      </w:divBdr>
    </w:div>
    <w:div w:id="456223217">
      <w:bodyDiv w:val="1"/>
      <w:marLeft w:val="0"/>
      <w:marRight w:val="0"/>
      <w:marTop w:val="0"/>
      <w:marBottom w:val="0"/>
      <w:divBdr>
        <w:top w:val="none" w:sz="0" w:space="0" w:color="auto"/>
        <w:left w:val="none" w:sz="0" w:space="0" w:color="auto"/>
        <w:bottom w:val="none" w:sz="0" w:space="0" w:color="auto"/>
        <w:right w:val="none" w:sz="0" w:space="0" w:color="auto"/>
      </w:divBdr>
    </w:div>
    <w:div w:id="456337552">
      <w:bodyDiv w:val="1"/>
      <w:marLeft w:val="0"/>
      <w:marRight w:val="0"/>
      <w:marTop w:val="0"/>
      <w:marBottom w:val="0"/>
      <w:divBdr>
        <w:top w:val="none" w:sz="0" w:space="0" w:color="auto"/>
        <w:left w:val="none" w:sz="0" w:space="0" w:color="auto"/>
        <w:bottom w:val="none" w:sz="0" w:space="0" w:color="auto"/>
        <w:right w:val="none" w:sz="0" w:space="0" w:color="auto"/>
      </w:divBdr>
    </w:div>
    <w:div w:id="456339025">
      <w:bodyDiv w:val="1"/>
      <w:marLeft w:val="0"/>
      <w:marRight w:val="0"/>
      <w:marTop w:val="0"/>
      <w:marBottom w:val="0"/>
      <w:divBdr>
        <w:top w:val="none" w:sz="0" w:space="0" w:color="auto"/>
        <w:left w:val="none" w:sz="0" w:space="0" w:color="auto"/>
        <w:bottom w:val="none" w:sz="0" w:space="0" w:color="auto"/>
        <w:right w:val="none" w:sz="0" w:space="0" w:color="auto"/>
      </w:divBdr>
    </w:div>
    <w:div w:id="456948777">
      <w:bodyDiv w:val="1"/>
      <w:marLeft w:val="0"/>
      <w:marRight w:val="0"/>
      <w:marTop w:val="0"/>
      <w:marBottom w:val="0"/>
      <w:divBdr>
        <w:top w:val="none" w:sz="0" w:space="0" w:color="auto"/>
        <w:left w:val="none" w:sz="0" w:space="0" w:color="auto"/>
        <w:bottom w:val="none" w:sz="0" w:space="0" w:color="auto"/>
        <w:right w:val="none" w:sz="0" w:space="0" w:color="auto"/>
      </w:divBdr>
    </w:div>
    <w:div w:id="458497330">
      <w:bodyDiv w:val="1"/>
      <w:marLeft w:val="0"/>
      <w:marRight w:val="0"/>
      <w:marTop w:val="0"/>
      <w:marBottom w:val="0"/>
      <w:divBdr>
        <w:top w:val="none" w:sz="0" w:space="0" w:color="auto"/>
        <w:left w:val="none" w:sz="0" w:space="0" w:color="auto"/>
        <w:bottom w:val="none" w:sz="0" w:space="0" w:color="auto"/>
        <w:right w:val="none" w:sz="0" w:space="0" w:color="auto"/>
      </w:divBdr>
    </w:div>
    <w:div w:id="459959281">
      <w:bodyDiv w:val="1"/>
      <w:marLeft w:val="0"/>
      <w:marRight w:val="0"/>
      <w:marTop w:val="0"/>
      <w:marBottom w:val="0"/>
      <w:divBdr>
        <w:top w:val="none" w:sz="0" w:space="0" w:color="auto"/>
        <w:left w:val="none" w:sz="0" w:space="0" w:color="auto"/>
        <w:bottom w:val="none" w:sz="0" w:space="0" w:color="auto"/>
        <w:right w:val="none" w:sz="0" w:space="0" w:color="auto"/>
      </w:divBdr>
    </w:div>
    <w:div w:id="460150761">
      <w:bodyDiv w:val="1"/>
      <w:marLeft w:val="0"/>
      <w:marRight w:val="0"/>
      <w:marTop w:val="0"/>
      <w:marBottom w:val="0"/>
      <w:divBdr>
        <w:top w:val="none" w:sz="0" w:space="0" w:color="auto"/>
        <w:left w:val="none" w:sz="0" w:space="0" w:color="auto"/>
        <w:bottom w:val="none" w:sz="0" w:space="0" w:color="auto"/>
        <w:right w:val="none" w:sz="0" w:space="0" w:color="auto"/>
      </w:divBdr>
    </w:div>
    <w:div w:id="460223748">
      <w:bodyDiv w:val="1"/>
      <w:marLeft w:val="0"/>
      <w:marRight w:val="0"/>
      <w:marTop w:val="0"/>
      <w:marBottom w:val="0"/>
      <w:divBdr>
        <w:top w:val="none" w:sz="0" w:space="0" w:color="auto"/>
        <w:left w:val="none" w:sz="0" w:space="0" w:color="auto"/>
        <w:bottom w:val="none" w:sz="0" w:space="0" w:color="auto"/>
        <w:right w:val="none" w:sz="0" w:space="0" w:color="auto"/>
      </w:divBdr>
    </w:div>
    <w:div w:id="462046676">
      <w:bodyDiv w:val="1"/>
      <w:marLeft w:val="0"/>
      <w:marRight w:val="0"/>
      <w:marTop w:val="0"/>
      <w:marBottom w:val="0"/>
      <w:divBdr>
        <w:top w:val="none" w:sz="0" w:space="0" w:color="auto"/>
        <w:left w:val="none" w:sz="0" w:space="0" w:color="auto"/>
        <w:bottom w:val="none" w:sz="0" w:space="0" w:color="auto"/>
        <w:right w:val="none" w:sz="0" w:space="0" w:color="auto"/>
      </w:divBdr>
    </w:div>
    <w:div w:id="463893972">
      <w:bodyDiv w:val="1"/>
      <w:marLeft w:val="0"/>
      <w:marRight w:val="0"/>
      <w:marTop w:val="0"/>
      <w:marBottom w:val="0"/>
      <w:divBdr>
        <w:top w:val="none" w:sz="0" w:space="0" w:color="auto"/>
        <w:left w:val="none" w:sz="0" w:space="0" w:color="auto"/>
        <w:bottom w:val="none" w:sz="0" w:space="0" w:color="auto"/>
        <w:right w:val="none" w:sz="0" w:space="0" w:color="auto"/>
      </w:divBdr>
    </w:div>
    <w:div w:id="464465100">
      <w:bodyDiv w:val="1"/>
      <w:marLeft w:val="0"/>
      <w:marRight w:val="0"/>
      <w:marTop w:val="0"/>
      <w:marBottom w:val="0"/>
      <w:divBdr>
        <w:top w:val="none" w:sz="0" w:space="0" w:color="auto"/>
        <w:left w:val="none" w:sz="0" w:space="0" w:color="auto"/>
        <w:bottom w:val="none" w:sz="0" w:space="0" w:color="auto"/>
        <w:right w:val="none" w:sz="0" w:space="0" w:color="auto"/>
      </w:divBdr>
    </w:div>
    <w:div w:id="464667119">
      <w:bodyDiv w:val="1"/>
      <w:marLeft w:val="0"/>
      <w:marRight w:val="0"/>
      <w:marTop w:val="0"/>
      <w:marBottom w:val="0"/>
      <w:divBdr>
        <w:top w:val="none" w:sz="0" w:space="0" w:color="auto"/>
        <w:left w:val="none" w:sz="0" w:space="0" w:color="auto"/>
        <w:bottom w:val="none" w:sz="0" w:space="0" w:color="auto"/>
        <w:right w:val="none" w:sz="0" w:space="0" w:color="auto"/>
      </w:divBdr>
    </w:div>
    <w:div w:id="465778685">
      <w:bodyDiv w:val="1"/>
      <w:marLeft w:val="0"/>
      <w:marRight w:val="0"/>
      <w:marTop w:val="0"/>
      <w:marBottom w:val="0"/>
      <w:divBdr>
        <w:top w:val="none" w:sz="0" w:space="0" w:color="auto"/>
        <w:left w:val="none" w:sz="0" w:space="0" w:color="auto"/>
        <w:bottom w:val="none" w:sz="0" w:space="0" w:color="auto"/>
        <w:right w:val="none" w:sz="0" w:space="0" w:color="auto"/>
      </w:divBdr>
    </w:div>
    <w:div w:id="466289368">
      <w:bodyDiv w:val="1"/>
      <w:marLeft w:val="0"/>
      <w:marRight w:val="0"/>
      <w:marTop w:val="0"/>
      <w:marBottom w:val="0"/>
      <w:divBdr>
        <w:top w:val="none" w:sz="0" w:space="0" w:color="auto"/>
        <w:left w:val="none" w:sz="0" w:space="0" w:color="auto"/>
        <w:bottom w:val="none" w:sz="0" w:space="0" w:color="auto"/>
        <w:right w:val="none" w:sz="0" w:space="0" w:color="auto"/>
      </w:divBdr>
    </w:div>
    <w:div w:id="466630493">
      <w:bodyDiv w:val="1"/>
      <w:marLeft w:val="0"/>
      <w:marRight w:val="0"/>
      <w:marTop w:val="0"/>
      <w:marBottom w:val="0"/>
      <w:divBdr>
        <w:top w:val="none" w:sz="0" w:space="0" w:color="auto"/>
        <w:left w:val="none" w:sz="0" w:space="0" w:color="auto"/>
        <w:bottom w:val="none" w:sz="0" w:space="0" w:color="auto"/>
        <w:right w:val="none" w:sz="0" w:space="0" w:color="auto"/>
      </w:divBdr>
    </w:div>
    <w:div w:id="468784957">
      <w:bodyDiv w:val="1"/>
      <w:marLeft w:val="0"/>
      <w:marRight w:val="0"/>
      <w:marTop w:val="0"/>
      <w:marBottom w:val="0"/>
      <w:divBdr>
        <w:top w:val="none" w:sz="0" w:space="0" w:color="auto"/>
        <w:left w:val="none" w:sz="0" w:space="0" w:color="auto"/>
        <w:bottom w:val="none" w:sz="0" w:space="0" w:color="auto"/>
        <w:right w:val="none" w:sz="0" w:space="0" w:color="auto"/>
      </w:divBdr>
    </w:div>
    <w:div w:id="469134539">
      <w:bodyDiv w:val="1"/>
      <w:marLeft w:val="0"/>
      <w:marRight w:val="0"/>
      <w:marTop w:val="0"/>
      <w:marBottom w:val="0"/>
      <w:divBdr>
        <w:top w:val="none" w:sz="0" w:space="0" w:color="auto"/>
        <w:left w:val="none" w:sz="0" w:space="0" w:color="auto"/>
        <w:bottom w:val="none" w:sz="0" w:space="0" w:color="auto"/>
        <w:right w:val="none" w:sz="0" w:space="0" w:color="auto"/>
      </w:divBdr>
    </w:div>
    <w:div w:id="470296019">
      <w:bodyDiv w:val="1"/>
      <w:marLeft w:val="0"/>
      <w:marRight w:val="0"/>
      <w:marTop w:val="0"/>
      <w:marBottom w:val="0"/>
      <w:divBdr>
        <w:top w:val="none" w:sz="0" w:space="0" w:color="auto"/>
        <w:left w:val="none" w:sz="0" w:space="0" w:color="auto"/>
        <w:bottom w:val="none" w:sz="0" w:space="0" w:color="auto"/>
        <w:right w:val="none" w:sz="0" w:space="0" w:color="auto"/>
      </w:divBdr>
    </w:div>
    <w:div w:id="470825341">
      <w:bodyDiv w:val="1"/>
      <w:marLeft w:val="0"/>
      <w:marRight w:val="0"/>
      <w:marTop w:val="0"/>
      <w:marBottom w:val="0"/>
      <w:divBdr>
        <w:top w:val="none" w:sz="0" w:space="0" w:color="auto"/>
        <w:left w:val="none" w:sz="0" w:space="0" w:color="auto"/>
        <w:bottom w:val="none" w:sz="0" w:space="0" w:color="auto"/>
        <w:right w:val="none" w:sz="0" w:space="0" w:color="auto"/>
      </w:divBdr>
    </w:div>
    <w:div w:id="470906403">
      <w:bodyDiv w:val="1"/>
      <w:marLeft w:val="0"/>
      <w:marRight w:val="0"/>
      <w:marTop w:val="0"/>
      <w:marBottom w:val="0"/>
      <w:divBdr>
        <w:top w:val="none" w:sz="0" w:space="0" w:color="auto"/>
        <w:left w:val="none" w:sz="0" w:space="0" w:color="auto"/>
        <w:bottom w:val="none" w:sz="0" w:space="0" w:color="auto"/>
        <w:right w:val="none" w:sz="0" w:space="0" w:color="auto"/>
      </w:divBdr>
    </w:div>
    <w:div w:id="471021011">
      <w:bodyDiv w:val="1"/>
      <w:marLeft w:val="0"/>
      <w:marRight w:val="0"/>
      <w:marTop w:val="0"/>
      <w:marBottom w:val="0"/>
      <w:divBdr>
        <w:top w:val="none" w:sz="0" w:space="0" w:color="auto"/>
        <w:left w:val="none" w:sz="0" w:space="0" w:color="auto"/>
        <w:bottom w:val="none" w:sz="0" w:space="0" w:color="auto"/>
        <w:right w:val="none" w:sz="0" w:space="0" w:color="auto"/>
      </w:divBdr>
    </w:div>
    <w:div w:id="471823834">
      <w:bodyDiv w:val="1"/>
      <w:marLeft w:val="0"/>
      <w:marRight w:val="0"/>
      <w:marTop w:val="0"/>
      <w:marBottom w:val="0"/>
      <w:divBdr>
        <w:top w:val="none" w:sz="0" w:space="0" w:color="auto"/>
        <w:left w:val="none" w:sz="0" w:space="0" w:color="auto"/>
        <w:bottom w:val="none" w:sz="0" w:space="0" w:color="auto"/>
        <w:right w:val="none" w:sz="0" w:space="0" w:color="auto"/>
      </w:divBdr>
    </w:div>
    <w:div w:id="471866843">
      <w:bodyDiv w:val="1"/>
      <w:marLeft w:val="0"/>
      <w:marRight w:val="0"/>
      <w:marTop w:val="0"/>
      <w:marBottom w:val="0"/>
      <w:divBdr>
        <w:top w:val="none" w:sz="0" w:space="0" w:color="auto"/>
        <w:left w:val="none" w:sz="0" w:space="0" w:color="auto"/>
        <w:bottom w:val="none" w:sz="0" w:space="0" w:color="auto"/>
        <w:right w:val="none" w:sz="0" w:space="0" w:color="auto"/>
      </w:divBdr>
    </w:div>
    <w:div w:id="472869967">
      <w:bodyDiv w:val="1"/>
      <w:marLeft w:val="0"/>
      <w:marRight w:val="0"/>
      <w:marTop w:val="0"/>
      <w:marBottom w:val="0"/>
      <w:divBdr>
        <w:top w:val="none" w:sz="0" w:space="0" w:color="auto"/>
        <w:left w:val="none" w:sz="0" w:space="0" w:color="auto"/>
        <w:bottom w:val="none" w:sz="0" w:space="0" w:color="auto"/>
        <w:right w:val="none" w:sz="0" w:space="0" w:color="auto"/>
      </w:divBdr>
    </w:div>
    <w:div w:id="473982714">
      <w:bodyDiv w:val="1"/>
      <w:marLeft w:val="0"/>
      <w:marRight w:val="0"/>
      <w:marTop w:val="0"/>
      <w:marBottom w:val="0"/>
      <w:divBdr>
        <w:top w:val="none" w:sz="0" w:space="0" w:color="auto"/>
        <w:left w:val="none" w:sz="0" w:space="0" w:color="auto"/>
        <w:bottom w:val="none" w:sz="0" w:space="0" w:color="auto"/>
        <w:right w:val="none" w:sz="0" w:space="0" w:color="auto"/>
      </w:divBdr>
    </w:div>
    <w:div w:id="474838728">
      <w:bodyDiv w:val="1"/>
      <w:marLeft w:val="0"/>
      <w:marRight w:val="0"/>
      <w:marTop w:val="0"/>
      <w:marBottom w:val="0"/>
      <w:divBdr>
        <w:top w:val="none" w:sz="0" w:space="0" w:color="auto"/>
        <w:left w:val="none" w:sz="0" w:space="0" w:color="auto"/>
        <w:bottom w:val="none" w:sz="0" w:space="0" w:color="auto"/>
        <w:right w:val="none" w:sz="0" w:space="0" w:color="auto"/>
      </w:divBdr>
    </w:div>
    <w:div w:id="475076259">
      <w:bodyDiv w:val="1"/>
      <w:marLeft w:val="0"/>
      <w:marRight w:val="0"/>
      <w:marTop w:val="0"/>
      <w:marBottom w:val="0"/>
      <w:divBdr>
        <w:top w:val="none" w:sz="0" w:space="0" w:color="auto"/>
        <w:left w:val="none" w:sz="0" w:space="0" w:color="auto"/>
        <w:bottom w:val="none" w:sz="0" w:space="0" w:color="auto"/>
        <w:right w:val="none" w:sz="0" w:space="0" w:color="auto"/>
      </w:divBdr>
    </w:div>
    <w:div w:id="475954584">
      <w:bodyDiv w:val="1"/>
      <w:marLeft w:val="0"/>
      <w:marRight w:val="0"/>
      <w:marTop w:val="0"/>
      <w:marBottom w:val="0"/>
      <w:divBdr>
        <w:top w:val="none" w:sz="0" w:space="0" w:color="auto"/>
        <w:left w:val="none" w:sz="0" w:space="0" w:color="auto"/>
        <w:bottom w:val="none" w:sz="0" w:space="0" w:color="auto"/>
        <w:right w:val="none" w:sz="0" w:space="0" w:color="auto"/>
      </w:divBdr>
    </w:div>
    <w:div w:id="476462556">
      <w:bodyDiv w:val="1"/>
      <w:marLeft w:val="0"/>
      <w:marRight w:val="0"/>
      <w:marTop w:val="0"/>
      <w:marBottom w:val="0"/>
      <w:divBdr>
        <w:top w:val="none" w:sz="0" w:space="0" w:color="auto"/>
        <w:left w:val="none" w:sz="0" w:space="0" w:color="auto"/>
        <w:bottom w:val="none" w:sz="0" w:space="0" w:color="auto"/>
        <w:right w:val="none" w:sz="0" w:space="0" w:color="auto"/>
      </w:divBdr>
    </w:div>
    <w:div w:id="476656118">
      <w:bodyDiv w:val="1"/>
      <w:marLeft w:val="0"/>
      <w:marRight w:val="0"/>
      <w:marTop w:val="0"/>
      <w:marBottom w:val="0"/>
      <w:divBdr>
        <w:top w:val="none" w:sz="0" w:space="0" w:color="auto"/>
        <w:left w:val="none" w:sz="0" w:space="0" w:color="auto"/>
        <w:bottom w:val="none" w:sz="0" w:space="0" w:color="auto"/>
        <w:right w:val="none" w:sz="0" w:space="0" w:color="auto"/>
      </w:divBdr>
    </w:div>
    <w:div w:id="477187331">
      <w:bodyDiv w:val="1"/>
      <w:marLeft w:val="0"/>
      <w:marRight w:val="0"/>
      <w:marTop w:val="0"/>
      <w:marBottom w:val="0"/>
      <w:divBdr>
        <w:top w:val="none" w:sz="0" w:space="0" w:color="auto"/>
        <w:left w:val="none" w:sz="0" w:space="0" w:color="auto"/>
        <w:bottom w:val="none" w:sz="0" w:space="0" w:color="auto"/>
        <w:right w:val="none" w:sz="0" w:space="0" w:color="auto"/>
      </w:divBdr>
    </w:div>
    <w:div w:id="477380998">
      <w:bodyDiv w:val="1"/>
      <w:marLeft w:val="0"/>
      <w:marRight w:val="0"/>
      <w:marTop w:val="0"/>
      <w:marBottom w:val="0"/>
      <w:divBdr>
        <w:top w:val="none" w:sz="0" w:space="0" w:color="auto"/>
        <w:left w:val="none" w:sz="0" w:space="0" w:color="auto"/>
        <w:bottom w:val="none" w:sz="0" w:space="0" w:color="auto"/>
        <w:right w:val="none" w:sz="0" w:space="0" w:color="auto"/>
      </w:divBdr>
    </w:div>
    <w:div w:id="478546385">
      <w:bodyDiv w:val="1"/>
      <w:marLeft w:val="0"/>
      <w:marRight w:val="0"/>
      <w:marTop w:val="0"/>
      <w:marBottom w:val="0"/>
      <w:divBdr>
        <w:top w:val="none" w:sz="0" w:space="0" w:color="auto"/>
        <w:left w:val="none" w:sz="0" w:space="0" w:color="auto"/>
        <w:bottom w:val="none" w:sz="0" w:space="0" w:color="auto"/>
        <w:right w:val="none" w:sz="0" w:space="0" w:color="auto"/>
      </w:divBdr>
    </w:div>
    <w:div w:id="478618727">
      <w:bodyDiv w:val="1"/>
      <w:marLeft w:val="0"/>
      <w:marRight w:val="0"/>
      <w:marTop w:val="0"/>
      <w:marBottom w:val="0"/>
      <w:divBdr>
        <w:top w:val="none" w:sz="0" w:space="0" w:color="auto"/>
        <w:left w:val="none" w:sz="0" w:space="0" w:color="auto"/>
        <w:bottom w:val="none" w:sz="0" w:space="0" w:color="auto"/>
        <w:right w:val="none" w:sz="0" w:space="0" w:color="auto"/>
      </w:divBdr>
    </w:div>
    <w:div w:id="479536375">
      <w:bodyDiv w:val="1"/>
      <w:marLeft w:val="0"/>
      <w:marRight w:val="0"/>
      <w:marTop w:val="0"/>
      <w:marBottom w:val="0"/>
      <w:divBdr>
        <w:top w:val="none" w:sz="0" w:space="0" w:color="auto"/>
        <w:left w:val="none" w:sz="0" w:space="0" w:color="auto"/>
        <w:bottom w:val="none" w:sz="0" w:space="0" w:color="auto"/>
        <w:right w:val="none" w:sz="0" w:space="0" w:color="auto"/>
      </w:divBdr>
    </w:div>
    <w:div w:id="479809141">
      <w:bodyDiv w:val="1"/>
      <w:marLeft w:val="0"/>
      <w:marRight w:val="0"/>
      <w:marTop w:val="0"/>
      <w:marBottom w:val="0"/>
      <w:divBdr>
        <w:top w:val="none" w:sz="0" w:space="0" w:color="auto"/>
        <w:left w:val="none" w:sz="0" w:space="0" w:color="auto"/>
        <w:bottom w:val="none" w:sz="0" w:space="0" w:color="auto"/>
        <w:right w:val="none" w:sz="0" w:space="0" w:color="auto"/>
      </w:divBdr>
    </w:div>
    <w:div w:id="480197602">
      <w:bodyDiv w:val="1"/>
      <w:marLeft w:val="0"/>
      <w:marRight w:val="0"/>
      <w:marTop w:val="0"/>
      <w:marBottom w:val="0"/>
      <w:divBdr>
        <w:top w:val="none" w:sz="0" w:space="0" w:color="auto"/>
        <w:left w:val="none" w:sz="0" w:space="0" w:color="auto"/>
        <w:bottom w:val="none" w:sz="0" w:space="0" w:color="auto"/>
        <w:right w:val="none" w:sz="0" w:space="0" w:color="auto"/>
      </w:divBdr>
    </w:div>
    <w:div w:id="480318130">
      <w:bodyDiv w:val="1"/>
      <w:marLeft w:val="0"/>
      <w:marRight w:val="0"/>
      <w:marTop w:val="0"/>
      <w:marBottom w:val="0"/>
      <w:divBdr>
        <w:top w:val="none" w:sz="0" w:space="0" w:color="auto"/>
        <w:left w:val="none" w:sz="0" w:space="0" w:color="auto"/>
        <w:bottom w:val="none" w:sz="0" w:space="0" w:color="auto"/>
        <w:right w:val="none" w:sz="0" w:space="0" w:color="auto"/>
      </w:divBdr>
    </w:div>
    <w:div w:id="480390386">
      <w:bodyDiv w:val="1"/>
      <w:marLeft w:val="0"/>
      <w:marRight w:val="0"/>
      <w:marTop w:val="0"/>
      <w:marBottom w:val="0"/>
      <w:divBdr>
        <w:top w:val="none" w:sz="0" w:space="0" w:color="auto"/>
        <w:left w:val="none" w:sz="0" w:space="0" w:color="auto"/>
        <w:bottom w:val="none" w:sz="0" w:space="0" w:color="auto"/>
        <w:right w:val="none" w:sz="0" w:space="0" w:color="auto"/>
      </w:divBdr>
    </w:div>
    <w:div w:id="480460734">
      <w:bodyDiv w:val="1"/>
      <w:marLeft w:val="0"/>
      <w:marRight w:val="0"/>
      <w:marTop w:val="0"/>
      <w:marBottom w:val="0"/>
      <w:divBdr>
        <w:top w:val="none" w:sz="0" w:space="0" w:color="auto"/>
        <w:left w:val="none" w:sz="0" w:space="0" w:color="auto"/>
        <w:bottom w:val="none" w:sz="0" w:space="0" w:color="auto"/>
        <w:right w:val="none" w:sz="0" w:space="0" w:color="auto"/>
      </w:divBdr>
    </w:div>
    <w:div w:id="480929387">
      <w:bodyDiv w:val="1"/>
      <w:marLeft w:val="0"/>
      <w:marRight w:val="0"/>
      <w:marTop w:val="0"/>
      <w:marBottom w:val="0"/>
      <w:divBdr>
        <w:top w:val="none" w:sz="0" w:space="0" w:color="auto"/>
        <w:left w:val="none" w:sz="0" w:space="0" w:color="auto"/>
        <w:bottom w:val="none" w:sz="0" w:space="0" w:color="auto"/>
        <w:right w:val="none" w:sz="0" w:space="0" w:color="auto"/>
      </w:divBdr>
    </w:div>
    <w:div w:id="481428344">
      <w:bodyDiv w:val="1"/>
      <w:marLeft w:val="0"/>
      <w:marRight w:val="0"/>
      <w:marTop w:val="0"/>
      <w:marBottom w:val="0"/>
      <w:divBdr>
        <w:top w:val="none" w:sz="0" w:space="0" w:color="auto"/>
        <w:left w:val="none" w:sz="0" w:space="0" w:color="auto"/>
        <w:bottom w:val="none" w:sz="0" w:space="0" w:color="auto"/>
        <w:right w:val="none" w:sz="0" w:space="0" w:color="auto"/>
      </w:divBdr>
    </w:div>
    <w:div w:id="481964196">
      <w:bodyDiv w:val="1"/>
      <w:marLeft w:val="0"/>
      <w:marRight w:val="0"/>
      <w:marTop w:val="0"/>
      <w:marBottom w:val="0"/>
      <w:divBdr>
        <w:top w:val="none" w:sz="0" w:space="0" w:color="auto"/>
        <w:left w:val="none" w:sz="0" w:space="0" w:color="auto"/>
        <w:bottom w:val="none" w:sz="0" w:space="0" w:color="auto"/>
        <w:right w:val="none" w:sz="0" w:space="0" w:color="auto"/>
      </w:divBdr>
    </w:div>
    <w:div w:id="482234043">
      <w:bodyDiv w:val="1"/>
      <w:marLeft w:val="0"/>
      <w:marRight w:val="0"/>
      <w:marTop w:val="0"/>
      <w:marBottom w:val="0"/>
      <w:divBdr>
        <w:top w:val="none" w:sz="0" w:space="0" w:color="auto"/>
        <w:left w:val="none" w:sz="0" w:space="0" w:color="auto"/>
        <w:bottom w:val="none" w:sz="0" w:space="0" w:color="auto"/>
        <w:right w:val="none" w:sz="0" w:space="0" w:color="auto"/>
      </w:divBdr>
    </w:div>
    <w:div w:id="482623129">
      <w:bodyDiv w:val="1"/>
      <w:marLeft w:val="0"/>
      <w:marRight w:val="0"/>
      <w:marTop w:val="0"/>
      <w:marBottom w:val="0"/>
      <w:divBdr>
        <w:top w:val="none" w:sz="0" w:space="0" w:color="auto"/>
        <w:left w:val="none" w:sz="0" w:space="0" w:color="auto"/>
        <w:bottom w:val="none" w:sz="0" w:space="0" w:color="auto"/>
        <w:right w:val="none" w:sz="0" w:space="0" w:color="auto"/>
      </w:divBdr>
    </w:div>
    <w:div w:id="482770605">
      <w:bodyDiv w:val="1"/>
      <w:marLeft w:val="0"/>
      <w:marRight w:val="0"/>
      <w:marTop w:val="0"/>
      <w:marBottom w:val="0"/>
      <w:divBdr>
        <w:top w:val="none" w:sz="0" w:space="0" w:color="auto"/>
        <w:left w:val="none" w:sz="0" w:space="0" w:color="auto"/>
        <w:bottom w:val="none" w:sz="0" w:space="0" w:color="auto"/>
        <w:right w:val="none" w:sz="0" w:space="0" w:color="auto"/>
      </w:divBdr>
    </w:div>
    <w:div w:id="483162716">
      <w:bodyDiv w:val="1"/>
      <w:marLeft w:val="0"/>
      <w:marRight w:val="0"/>
      <w:marTop w:val="0"/>
      <w:marBottom w:val="0"/>
      <w:divBdr>
        <w:top w:val="none" w:sz="0" w:space="0" w:color="auto"/>
        <w:left w:val="none" w:sz="0" w:space="0" w:color="auto"/>
        <w:bottom w:val="none" w:sz="0" w:space="0" w:color="auto"/>
        <w:right w:val="none" w:sz="0" w:space="0" w:color="auto"/>
      </w:divBdr>
    </w:div>
    <w:div w:id="485514327">
      <w:bodyDiv w:val="1"/>
      <w:marLeft w:val="0"/>
      <w:marRight w:val="0"/>
      <w:marTop w:val="0"/>
      <w:marBottom w:val="0"/>
      <w:divBdr>
        <w:top w:val="none" w:sz="0" w:space="0" w:color="auto"/>
        <w:left w:val="none" w:sz="0" w:space="0" w:color="auto"/>
        <w:bottom w:val="none" w:sz="0" w:space="0" w:color="auto"/>
        <w:right w:val="none" w:sz="0" w:space="0" w:color="auto"/>
      </w:divBdr>
    </w:div>
    <w:div w:id="485626793">
      <w:bodyDiv w:val="1"/>
      <w:marLeft w:val="0"/>
      <w:marRight w:val="0"/>
      <w:marTop w:val="0"/>
      <w:marBottom w:val="0"/>
      <w:divBdr>
        <w:top w:val="none" w:sz="0" w:space="0" w:color="auto"/>
        <w:left w:val="none" w:sz="0" w:space="0" w:color="auto"/>
        <w:bottom w:val="none" w:sz="0" w:space="0" w:color="auto"/>
        <w:right w:val="none" w:sz="0" w:space="0" w:color="auto"/>
      </w:divBdr>
    </w:div>
    <w:div w:id="486212041">
      <w:bodyDiv w:val="1"/>
      <w:marLeft w:val="0"/>
      <w:marRight w:val="0"/>
      <w:marTop w:val="0"/>
      <w:marBottom w:val="0"/>
      <w:divBdr>
        <w:top w:val="none" w:sz="0" w:space="0" w:color="auto"/>
        <w:left w:val="none" w:sz="0" w:space="0" w:color="auto"/>
        <w:bottom w:val="none" w:sz="0" w:space="0" w:color="auto"/>
        <w:right w:val="none" w:sz="0" w:space="0" w:color="auto"/>
      </w:divBdr>
    </w:div>
    <w:div w:id="487987818">
      <w:bodyDiv w:val="1"/>
      <w:marLeft w:val="0"/>
      <w:marRight w:val="0"/>
      <w:marTop w:val="0"/>
      <w:marBottom w:val="0"/>
      <w:divBdr>
        <w:top w:val="none" w:sz="0" w:space="0" w:color="auto"/>
        <w:left w:val="none" w:sz="0" w:space="0" w:color="auto"/>
        <w:bottom w:val="none" w:sz="0" w:space="0" w:color="auto"/>
        <w:right w:val="none" w:sz="0" w:space="0" w:color="auto"/>
      </w:divBdr>
    </w:div>
    <w:div w:id="488177865">
      <w:bodyDiv w:val="1"/>
      <w:marLeft w:val="0"/>
      <w:marRight w:val="0"/>
      <w:marTop w:val="0"/>
      <w:marBottom w:val="0"/>
      <w:divBdr>
        <w:top w:val="none" w:sz="0" w:space="0" w:color="auto"/>
        <w:left w:val="none" w:sz="0" w:space="0" w:color="auto"/>
        <w:bottom w:val="none" w:sz="0" w:space="0" w:color="auto"/>
        <w:right w:val="none" w:sz="0" w:space="0" w:color="auto"/>
      </w:divBdr>
    </w:div>
    <w:div w:id="488523358">
      <w:bodyDiv w:val="1"/>
      <w:marLeft w:val="0"/>
      <w:marRight w:val="0"/>
      <w:marTop w:val="0"/>
      <w:marBottom w:val="0"/>
      <w:divBdr>
        <w:top w:val="none" w:sz="0" w:space="0" w:color="auto"/>
        <w:left w:val="none" w:sz="0" w:space="0" w:color="auto"/>
        <w:bottom w:val="none" w:sz="0" w:space="0" w:color="auto"/>
        <w:right w:val="none" w:sz="0" w:space="0" w:color="auto"/>
      </w:divBdr>
    </w:div>
    <w:div w:id="489060840">
      <w:bodyDiv w:val="1"/>
      <w:marLeft w:val="0"/>
      <w:marRight w:val="0"/>
      <w:marTop w:val="0"/>
      <w:marBottom w:val="0"/>
      <w:divBdr>
        <w:top w:val="none" w:sz="0" w:space="0" w:color="auto"/>
        <w:left w:val="none" w:sz="0" w:space="0" w:color="auto"/>
        <w:bottom w:val="none" w:sz="0" w:space="0" w:color="auto"/>
        <w:right w:val="none" w:sz="0" w:space="0" w:color="auto"/>
      </w:divBdr>
    </w:div>
    <w:div w:id="490340925">
      <w:bodyDiv w:val="1"/>
      <w:marLeft w:val="0"/>
      <w:marRight w:val="0"/>
      <w:marTop w:val="0"/>
      <w:marBottom w:val="0"/>
      <w:divBdr>
        <w:top w:val="none" w:sz="0" w:space="0" w:color="auto"/>
        <w:left w:val="none" w:sz="0" w:space="0" w:color="auto"/>
        <w:bottom w:val="none" w:sz="0" w:space="0" w:color="auto"/>
        <w:right w:val="none" w:sz="0" w:space="0" w:color="auto"/>
      </w:divBdr>
    </w:div>
    <w:div w:id="491063278">
      <w:bodyDiv w:val="1"/>
      <w:marLeft w:val="0"/>
      <w:marRight w:val="0"/>
      <w:marTop w:val="0"/>
      <w:marBottom w:val="0"/>
      <w:divBdr>
        <w:top w:val="none" w:sz="0" w:space="0" w:color="auto"/>
        <w:left w:val="none" w:sz="0" w:space="0" w:color="auto"/>
        <w:bottom w:val="none" w:sz="0" w:space="0" w:color="auto"/>
        <w:right w:val="none" w:sz="0" w:space="0" w:color="auto"/>
      </w:divBdr>
    </w:div>
    <w:div w:id="492527346">
      <w:bodyDiv w:val="1"/>
      <w:marLeft w:val="0"/>
      <w:marRight w:val="0"/>
      <w:marTop w:val="0"/>
      <w:marBottom w:val="0"/>
      <w:divBdr>
        <w:top w:val="none" w:sz="0" w:space="0" w:color="auto"/>
        <w:left w:val="none" w:sz="0" w:space="0" w:color="auto"/>
        <w:bottom w:val="none" w:sz="0" w:space="0" w:color="auto"/>
        <w:right w:val="none" w:sz="0" w:space="0" w:color="auto"/>
      </w:divBdr>
    </w:div>
    <w:div w:id="493499394">
      <w:bodyDiv w:val="1"/>
      <w:marLeft w:val="0"/>
      <w:marRight w:val="0"/>
      <w:marTop w:val="0"/>
      <w:marBottom w:val="0"/>
      <w:divBdr>
        <w:top w:val="none" w:sz="0" w:space="0" w:color="auto"/>
        <w:left w:val="none" w:sz="0" w:space="0" w:color="auto"/>
        <w:bottom w:val="none" w:sz="0" w:space="0" w:color="auto"/>
        <w:right w:val="none" w:sz="0" w:space="0" w:color="auto"/>
      </w:divBdr>
    </w:div>
    <w:div w:id="497115112">
      <w:bodyDiv w:val="1"/>
      <w:marLeft w:val="0"/>
      <w:marRight w:val="0"/>
      <w:marTop w:val="0"/>
      <w:marBottom w:val="0"/>
      <w:divBdr>
        <w:top w:val="none" w:sz="0" w:space="0" w:color="auto"/>
        <w:left w:val="none" w:sz="0" w:space="0" w:color="auto"/>
        <w:bottom w:val="none" w:sz="0" w:space="0" w:color="auto"/>
        <w:right w:val="none" w:sz="0" w:space="0" w:color="auto"/>
      </w:divBdr>
    </w:div>
    <w:div w:id="497157064">
      <w:bodyDiv w:val="1"/>
      <w:marLeft w:val="0"/>
      <w:marRight w:val="0"/>
      <w:marTop w:val="0"/>
      <w:marBottom w:val="0"/>
      <w:divBdr>
        <w:top w:val="none" w:sz="0" w:space="0" w:color="auto"/>
        <w:left w:val="none" w:sz="0" w:space="0" w:color="auto"/>
        <w:bottom w:val="none" w:sz="0" w:space="0" w:color="auto"/>
        <w:right w:val="none" w:sz="0" w:space="0" w:color="auto"/>
      </w:divBdr>
    </w:div>
    <w:div w:id="498037657">
      <w:bodyDiv w:val="1"/>
      <w:marLeft w:val="0"/>
      <w:marRight w:val="0"/>
      <w:marTop w:val="0"/>
      <w:marBottom w:val="0"/>
      <w:divBdr>
        <w:top w:val="none" w:sz="0" w:space="0" w:color="auto"/>
        <w:left w:val="none" w:sz="0" w:space="0" w:color="auto"/>
        <w:bottom w:val="none" w:sz="0" w:space="0" w:color="auto"/>
        <w:right w:val="none" w:sz="0" w:space="0" w:color="auto"/>
      </w:divBdr>
    </w:div>
    <w:div w:id="498086277">
      <w:bodyDiv w:val="1"/>
      <w:marLeft w:val="0"/>
      <w:marRight w:val="0"/>
      <w:marTop w:val="0"/>
      <w:marBottom w:val="0"/>
      <w:divBdr>
        <w:top w:val="none" w:sz="0" w:space="0" w:color="auto"/>
        <w:left w:val="none" w:sz="0" w:space="0" w:color="auto"/>
        <w:bottom w:val="none" w:sz="0" w:space="0" w:color="auto"/>
        <w:right w:val="none" w:sz="0" w:space="0" w:color="auto"/>
      </w:divBdr>
    </w:div>
    <w:div w:id="498615418">
      <w:bodyDiv w:val="1"/>
      <w:marLeft w:val="0"/>
      <w:marRight w:val="0"/>
      <w:marTop w:val="0"/>
      <w:marBottom w:val="0"/>
      <w:divBdr>
        <w:top w:val="none" w:sz="0" w:space="0" w:color="auto"/>
        <w:left w:val="none" w:sz="0" w:space="0" w:color="auto"/>
        <w:bottom w:val="none" w:sz="0" w:space="0" w:color="auto"/>
        <w:right w:val="none" w:sz="0" w:space="0" w:color="auto"/>
      </w:divBdr>
    </w:div>
    <w:div w:id="498737778">
      <w:bodyDiv w:val="1"/>
      <w:marLeft w:val="0"/>
      <w:marRight w:val="0"/>
      <w:marTop w:val="0"/>
      <w:marBottom w:val="0"/>
      <w:divBdr>
        <w:top w:val="none" w:sz="0" w:space="0" w:color="auto"/>
        <w:left w:val="none" w:sz="0" w:space="0" w:color="auto"/>
        <w:bottom w:val="none" w:sz="0" w:space="0" w:color="auto"/>
        <w:right w:val="none" w:sz="0" w:space="0" w:color="auto"/>
      </w:divBdr>
    </w:div>
    <w:div w:id="499740057">
      <w:bodyDiv w:val="1"/>
      <w:marLeft w:val="0"/>
      <w:marRight w:val="0"/>
      <w:marTop w:val="0"/>
      <w:marBottom w:val="0"/>
      <w:divBdr>
        <w:top w:val="none" w:sz="0" w:space="0" w:color="auto"/>
        <w:left w:val="none" w:sz="0" w:space="0" w:color="auto"/>
        <w:bottom w:val="none" w:sz="0" w:space="0" w:color="auto"/>
        <w:right w:val="none" w:sz="0" w:space="0" w:color="auto"/>
      </w:divBdr>
    </w:div>
    <w:div w:id="501285683">
      <w:bodyDiv w:val="1"/>
      <w:marLeft w:val="0"/>
      <w:marRight w:val="0"/>
      <w:marTop w:val="0"/>
      <w:marBottom w:val="0"/>
      <w:divBdr>
        <w:top w:val="none" w:sz="0" w:space="0" w:color="auto"/>
        <w:left w:val="none" w:sz="0" w:space="0" w:color="auto"/>
        <w:bottom w:val="none" w:sz="0" w:space="0" w:color="auto"/>
        <w:right w:val="none" w:sz="0" w:space="0" w:color="auto"/>
      </w:divBdr>
    </w:div>
    <w:div w:id="502428328">
      <w:bodyDiv w:val="1"/>
      <w:marLeft w:val="0"/>
      <w:marRight w:val="0"/>
      <w:marTop w:val="0"/>
      <w:marBottom w:val="0"/>
      <w:divBdr>
        <w:top w:val="none" w:sz="0" w:space="0" w:color="auto"/>
        <w:left w:val="none" w:sz="0" w:space="0" w:color="auto"/>
        <w:bottom w:val="none" w:sz="0" w:space="0" w:color="auto"/>
        <w:right w:val="none" w:sz="0" w:space="0" w:color="auto"/>
      </w:divBdr>
    </w:div>
    <w:div w:id="502555344">
      <w:bodyDiv w:val="1"/>
      <w:marLeft w:val="0"/>
      <w:marRight w:val="0"/>
      <w:marTop w:val="0"/>
      <w:marBottom w:val="0"/>
      <w:divBdr>
        <w:top w:val="none" w:sz="0" w:space="0" w:color="auto"/>
        <w:left w:val="none" w:sz="0" w:space="0" w:color="auto"/>
        <w:bottom w:val="none" w:sz="0" w:space="0" w:color="auto"/>
        <w:right w:val="none" w:sz="0" w:space="0" w:color="auto"/>
      </w:divBdr>
    </w:div>
    <w:div w:id="502668413">
      <w:bodyDiv w:val="1"/>
      <w:marLeft w:val="0"/>
      <w:marRight w:val="0"/>
      <w:marTop w:val="0"/>
      <w:marBottom w:val="0"/>
      <w:divBdr>
        <w:top w:val="none" w:sz="0" w:space="0" w:color="auto"/>
        <w:left w:val="none" w:sz="0" w:space="0" w:color="auto"/>
        <w:bottom w:val="none" w:sz="0" w:space="0" w:color="auto"/>
        <w:right w:val="none" w:sz="0" w:space="0" w:color="auto"/>
      </w:divBdr>
    </w:div>
    <w:div w:id="503011565">
      <w:bodyDiv w:val="1"/>
      <w:marLeft w:val="0"/>
      <w:marRight w:val="0"/>
      <w:marTop w:val="0"/>
      <w:marBottom w:val="0"/>
      <w:divBdr>
        <w:top w:val="none" w:sz="0" w:space="0" w:color="auto"/>
        <w:left w:val="none" w:sz="0" w:space="0" w:color="auto"/>
        <w:bottom w:val="none" w:sz="0" w:space="0" w:color="auto"/>
        <w:right w:val="none" w:sz="0" w:space="0" w:color="auto"/>
      </w:divBdr>
    </w:div>
    <w:div w:id="503210463">
      <w:bodyDiv w:val="1"/>
      <w:marLeft w:val="0"/>
      <w:marRight w:val="0"/>
      <w:marTop w:val="0"/>
      <w:marBottom w:val="0"/>
      <w:divBdr>
        <w:top w:val="none" w:sz="0" w:space="0" w:color="auto"/>
        <w:left w:val="none" w:sz="0" w:space="0" w:color="auto"/>
        <w:bottom w:val="none" w:sz="0" w:space="0" w:color="auto"/>
        <w:right w:val="none" w:sz="0" w:space="0" w:color="auto"/>
      </w:divBdr>
    </w:div>
    <w:div w:id="503593675">
      <w:bodyDiv w:val="1"/>
      <w:marLeft w:val="0"/>
      <w:marRight w:val="0"/>
      <w:marTop w:val="0"/>
      <w:marBottom w:val="0"/>
      <w:divBdr>
        <w:top w:val="none" w:sz="0" w:space="0" w:color="auto"/>
        <w:left w:val="none" w:sz="0" w:space="0" w:color="auto"/>
        <w:bottom w:val="none" w:sz="0" w:space="0" w:color="auto"/>
        <w:right w:val="none" w:sz="0" w:space="0" w:color="auto"/>
      </w:divBdr>
    </w:div>
    <w:div w:id="504367350">
      <w:bodyDiv w:val="1"/>
      <w:marLeft w:val="0"/>
      <w:marRight w:val="0"/>
      <w:marTop w:val="0"/>
      <w:marBottom w:val="0"/>
      <w:divBdr>
        <w:top w:val="none" w:sz="0" w:space="0" w:color="auto"/>
        <w:left w:val="none" w:sz="0" w:space="0" w:color="auto"/>
        <w:bottom w:val="none" w:sz="0" w:space="0" w:color="auto"/>
        <w:right w:val="none" w:sz="0" w:space="0" w:color="auto"/>
      </w:divBdr>
    </w:div>
    <w:div w:id="505444935">
      <w:bodyDiv w:val="1"/>
      <w:marLeft w:val="0"/>
      <w:marRight w:val="0"/>
      <w:marTop w:val="0"/>
      <w:marBottom w:val="0"/>
      <w:divBdr>
        <w:top w:val="none" w:sz="0" w:space="0" w:color="auto"/>
        <w:left w:val="none" w:sz="0" w:space="0" w:color="auto"/>
        <w:bottom w:val="none" w:sz="0" w:space="0" w:color="auto"/>
        <w:right w:val="none" w:sz="0" w:space="0" w:color="auto"/>
      </w:divBdr>
    </w:div>
    <w:div w:id="505828035">
      <w:bodyDiv w:val="1"/>
      <w:marLeft w:val="0"/>
      <w:marRight w:val="0"/>
      <w:marTop w:val="0"/>
      <w:marBottom w:val="0"/>
      <w:divBdr>
        <w:top w:val="none" w:sz="0" w:space="0" w:color="auto"/>
        <w:left w:val="none" w:sz="0" w:space="0" w:color="auto"/>
        <w:bottom w:val="none" w:sz="0" w:space="0" w:color="auto"/>
        <w:right w:val="none" w:sz="0" w:space="0" w:color="auto"/>
      </w:divBdr>
    </w:div>
    <w:div w:id="506407529">
      <w:bodyDiv w:val="1"/>
      <w:marLeft w:val="0"/>
      <w:marRight w:val="0"/>
      <w:marTop w:val="0"/>
      <w:marBottom w:val="0"/>
      <w:divBdr>
        <w:top w:val="none" w:sz="0" w:space="0" w:color="auto"/>
        <w:left w:val="none" w:sz="0" w:space="0" w:color="auto"/>
        <w:bottom w:val="none" w:sz="0" w:space="0" w:color="auto"/>
        <w:right w:val="none" w:sz="0" w:space="0" w:color="auto"/>
      </w:divBdr>
    </w:div>
    <w:div w:id="506751849">
      <w:bodyDiv w:val="1"/>
      <w:marLeft w:val="0"/>
      <w:marRight w:val="0"/>
      <w:marTop w:val="0"/>
      <w:marBottom w:val="0"/>
      <w:divBdr>
        <w:top w:val="none" w:sz="0" w:space="0" w:color="auto"/>
        <w:left w:val="none" w:sz="0" w:space="0" w:color="auto"/>
        <w:bottom w:val="none" w:sz="0" w:space="0" w:color="auto"/>
        <w:right w:val="none" w:sz="0" w:space="0" w:color="auto"/>
      </w:divBdr>
    </w:div>
    <w:div w:id="507215677">
      <w:bodyDiv w:val="1"/>
      <w:marLeft w:val="0"/>
      <w:marRight w:val="0"/>
      <w:marTop w:val="0"/>
      <w:marBottom w:val="0"/>
      <w:divBdr>
        <w:top w:val="none" w:sz="0" w:space="0" w:color="auto"/>
        <w:left w:val="none" w:sz="0" w:space="0" w:color="auto"/>
        <w:bottom w:val="none" w:sz="0" w:space="0" w:color="auto"/>
        <w:right w:val="none" w:sz="0" w:space="0" w:color="auto"/>
      </w:divBdr>
    </w:div>
    <w:div w:id="507448231">
      <w:bodyDiv w:val="1"/>
      <w:marLeft w:val="0"/>
      <w:marRight w:val="0"/>
      <w:marTop w:val="0"/>
      <w:marBottom w:val="0"/>
      <w:divBdr>
        <w:top w:val="none" w:sz="0" w:space="0" w:color="auto"/>
        <w:left w:val="none" w:sz="0" w:space="0" w:color="auto"/>
        <w:bottom w:val="none" w:sz="0" w:space="0" w:color="auto"/>
        <w:right w:val="none" w:sz="0" w:space="0" w:color="auto"/>
      </w:divBdr>
    </w:div>
    <w:div w:id="509220209">
      <w:bodyDiv w:val="1"/>
      <w:marLeft w:val="0"/>
      <w:marRight w:val="0"/>
      <w:marTop w:val="0"/>
      <w:marBottom w:val="0"/>
      <w:divBdr>
        <w:top w:val="none" w:sz="0" w:space="0" w:color="auto"/>
        <w:left w:val="none" w:sz="0" w:space="0" w:color="auto"/>
        <w:bottom w:val="none" w:sz="0" w:space="0" w:color="auto"/>
        <w:right w:val="none" w:sz="0" w:space="0" w:color="auto"/>
      </w:divBdr>
    </w:div>
    <w:div w:id="509610018">
      <w:bodyDiv w:val="1"/>
      <w:marLeft w:val="0"/>
      <w:marRight w:val="0"/>
      <w:marTop w:val="0"/>
      <w:marBottom w:val="0"/>
      <w:divBdr>
        <w:top w:val="none" w:sz="0" w:space="0" w:color="auto"/>
        <w:left w:val="none" w:sz="0" w:space="0" w:color="auto"/>
        <w:bottom w:val="none" w:sz="0" w:space="0" w:color="auto"/>
        <w:right w:val="none" w:sz="0" w:space="0" w:color="auto"/>
      </w:divBdr>
    </w:div>
    <w:div w:id="509951885">
      <w:bodyDiv w:val="1"/>
      <w:marLeft w:val="0"/>
      <w:marRight w:val="0"/>
      <w:marTop w:val="0"/>
      <w:marBottom w:val="0"/>
      <w:divBdr>
        <w:top w:val="none" w:sz="0" w:space="0" w:color="auto"/>
        <w:left w:val="none" w:sz="0" w:space="0" w:color="auto"/>
        <w:bottom w:val="none" w:sz="0" w:space="0" w:color="auto"/>
        <w:right w:val="none" w:sz="0" w:space="0" w:color="auto"/>
      </w:divBdr>
    </w:div>
    <w:div w:id="512261015">
      <w:bodyDiv w:val="1"/>
      <w:marLeft w:val="0"/>
      <w:marRight w:val="0"/>
      <w:marTop w:val="0"/>
      <w:marBottom w:val="0"/>
      <w:divBdr>
        <w:top w:val="none" w:sz="0" w:space="0" w:color="auto"/>
        <w:left w:val="none" w:sz="0" w:space="0" w:color="auto"/>
        <w:bottom w:val="none" w:sz="0" w:space="0" w:color="auto"/>
        <w:right w:val="none" w:sz="0" w:space="0" w:color="auto"/>
      </w:divBdr>
    </w:div>
    <w:div w:id="512305872">
      <w:bodyDiv w:val="1"/>
      <w:marLeft w:val="0"/>
      <w:marRight w:val="0"/>
      <w:marTop w:val="0"/>
      <w:marBottom w:val="0"/>
      <w:divBdr>
        <w:top w:val="none" w:sz="0" w:space="0" w:color="auto"/>
        <w:left w:val="none" w:sz="0" w:space="0" w:color="auto"/>
        <w:bottom w:val="none" w:sz="0" w:space="0" w:color="auto"/>
        <w:right w:val="none" w:sz="0" w:space="0" w:color="auto"/>
      </w:divBdr>
    </w:div>
    <w:div w:id="513345181">
      <w:bodyDiv w:val="1"/>
      <w:marLeft w:val="0"/>
      <w:marRight w:val="0"/>
      <w:marTop w:val="0"/>
      <w:marBottom w:val="0"/>
      <w:divBdr>
        <w:top w:val="none" w:sz="0" w:space="0" w:color="auto"/>
        <w:left w:val="none" w:sz="0" w:space="0" w:color="auto"/>
        <w:bottom w:val="none" w:sz="0" w:space="0" w:color="auto"/>
        <w:right w:val="none" w:sz="0" w:space="0" w:color="auto"/>
      </w:divBdr>
    </w:div>
    <w:div w:id="516238076">
      <w:bodyDiv w:val="1"/>
      <w:marLeft w:val="0"/>
      <w:marRight w:val="0"/>
      <w:marTop w:val="0"/>
      <w:marBottom w:val="0"/>
      <w:divBdr>
        <w:top w:val="none" w:sz="0" w:space="0" w:color="auto"/>
        <w:left w:val="none" w:sz="0" w:space="0" w:color="auto"/>
        <w:bottom w:val="none" w:sz="0" w:space="0" w:color="auto"/>
        <w:right w:val="none" w:sz="0" w:space="0" w:color="auto"/>
      </w:divBdr>
    </w:div>
    <w:div w:id="516697033">
      <w:bodyDiv w:val="1"/>
      <w:marLeft w:val="0"/>
      <w:marRight w:val="0"/>
      <w:marTop w:val="0"/>
      <w:marBottom w:val="0"/>
      <w:divBdr>
        <w:top w:val="none" w:sz="0" w:space="0" w:color="auto"/>
        <w:left w:val="none" w:sz="0" w:space="0" w:color="auto"/>
        <w:bottom w:val="none" w:sz="0" w:space="0" w:color="auto"/>
        <w:right w:val="none" w:sz="0" w:space="0" w:color="auto"/>
      </w:divBdr>
    </w:div>
    <w:div w:id="517426461">
      <w:bodyDiv w:val="1"/>
      <w:marLeft w:val="0"/>
      <w:marRight w:val="0"/>
      <w:marTop w:val="0"/>
      <w:marBottom w:val="0"/>
      <w:divBdr>
        <w:top w:val="none" w:sz="0" w:space="0" w:color="auto"/>
        <w:left w:val="none" w:sz="0" w:space="0" w:color="auto"/>
        <w:bottom w:val="none" w:sz="0" w:space="0" w:color="auto"/>
        <w:right w:val="none" w:sz="0" w:space="0" w:color="auto"/>
      </w:divBdr>
    </w:div>
    <w:div w:id="522862959">
      <w:bodyDiv w:val="1"/>
      <w:marLeft w:val="0"/>
      <w:marRight w:val="0"/>
      <w:marTop w:val="0"/>
      <w:marBottom w:val="0"/>
      <w:divBdr>
        <w:top w:val="none" w:sz="0" w:space="0" w:color="auto"/>
        <w:left w:val="none" w:sz="0" w:space="0" w:color="auto"/>
        <w:bottom w:val="none" w:sz="0" w:space="0" w:color="auto"/>
        <w:right w:val="none" w:sz="0" w:space="0" w:color="auto"/>
      </w:divBdr>
    </w:div>
    <w:div w:id="522985781">
      <w:bodyDiv w:val="1"/>
      <w:marLeft w:val="0"/>
      <w:marRight w:val="0"/>
      <w:marTop w:val="0"/>
      <w:marBottom w:val="0"/>
      <w:divBdr>
        <w:top w:val="none" w:sz="0" w:space="0" w:color="auto"/>
        <w:left w:val="none" w:sz="0" w:space="0" w:color="auto"/>
        <w:bottom w:val="none" w:sz="0" w:space="0" w:color="auto"/>
        <w:right w:val="none" w:sz="0" w:space="0" w:color="auto"/>
      </w:divBdr>
    </w:div>
    <w:div w:id="523978883">
      <w:bodyDiv w:val="1"/>
      <w:marLeft w:val="0"/>
      <w:marRight w:val="0"/>
      <w:marTop w:val="0"/>
      <w:marBottom w:val="0"/>
      <w:divBdr>
        <w:top w:val="none" w:sz="0" w:space="0" w:color="auto"/>
        <w:left w:val="none" w:sz="0" w:space="0" w:color="auto"/>
        <w:bottom w:val="none" w:sz="0" w:space="0" w:color="auto"/>
        <w:right w:val="none" w:sz="0" w:space="0" w:color="auto"/>
      </w:divBdr>
    </w:div>
    <w:div w:id="526868292">
      <w:bodyDiv w:val="1"/>
      <w:marLeft w:val="0"/>
      <w:marRight w:val="0"/>
      <w:marTop w:val="0"/>
      <w:marBottom w:val="0"/>
      <w:divBdr>
        <w:top w:val="none" w:sz="0" w:space="0" w:color="auto"/>
        <w:left w:val="none" w:sz="0" w:space="0" w:color="auto"/>
        <w:bottom w:val="none" w:sz="0" w:space="0" w:color="auto"/>
        <w:right w:val="none" w:sz="0" w:space="0" w:color="auto"/>
      </w:divBdr>
    </w:div>
    <w:div w:id="527912495">
      <w:bodyDiv w:val="1"/>
      <w:marLeft w:val="0"/>
      <w:marRight w:val="0"/>
      <w:marTop w:val="0"/>
      <w:marBottom w:val="0"/>
      <w:divBdr>
        <w:top w:val="none" w:sz="0" w:space="0" w:color="auto"/>
        <w:left w:val="none" w:sz="0" w:space="0" w:color="auto"/>
        <w:bottom w:val="none" w:sz="0" w:space="0" w:color="auto"/>
        <w:right w:val="none" w:sz="0" w:space="0" w:color="auto"/>
      </w:divBdr>
    </w:div>
    <w:div w:id="530265582">
      <w:bodyDiv w:val="1"/>
      <w:marLeft w:val="0"/>
      <w:marRight w:val="0"/>
      <w:marTop w:val="0"/>
      <w:marBottom w:val="0"/>
      <w:divBdr>
        <w:top w:val="none" w:sz="0" w:space="0" w:color="auto"/>
        <w:left w:val="none" w:sz="0" w:space="0" w:color="auto"/>
        <w:bottom w:val="none" w:sz="0" w:space="0" w:color="auto"/>
        <w:right w:val="none" w:sz="0" w:space="0" w:color="auto"/>
      </w:divBdr>
    </w:div>
    <w:div w:id="530460520">
      <w:bodyDiv w:val="1"/>
      <w:marLeft w:val="0"/>
      <w:marRight w:val="0"/>
      <w:marTop w:val="0"/>
      <w:marBottom w:val="0"/>
      <w:divBdr>
        <w:top w:val="none" w:sz="0" w:space="0" w:color="auto"/>
        <w:left w:val="none" w:sz="0" w:space="0" w:color="auto"/>
        <w:bottom w:val="none" w:sz="0" w:space="0" w:color="auto"/>
        <w:right w:val="none" w:sz="0" w:space="0" w:color="auto"/>
      </w:divBdr>
    </w:div>
    <w:div w:id="530606019">
      <w:bodyDiv w:val="1"/>
      <w:marLeft w:val="0"/>
      <w:marRight w:val="0"/>
      <w:marTop w:val="0"/>
      <w:marBottom w:val="0"/>
      <w:divBdr>
        <w:top w:val="none" w:sz="0" w:space="0" w:color="auto"/>
        <w:left w:val="none" w:sz="0" w:space="0" w:color="auto"/>
        <w:bottom w:val="none" w:sz="0" w:space="0" w:color="auto"/>
        <w:right w:val="none" w:sz="0" w:space="0" w:color="auto"/>
      </w:divBdr>
    </w:div>
    <w:div w:id="531964378">
      <w:bodyDiv w:val="1"/>
      <w:marLeft w:val="0"/>
      <w:marRight w:val="0"/>
      <w:marTop w:val="0"/>
      <w:marBottom w:val="0"/>
      <w:divBdr>
        <w:top w:val="none" w:sz="0" w:space="0" w:color="auto"/>
        <w:left w:val="none" w:sz="0" w:space="0" w:color="auto"/>
        <w:bottom w:val="none" w:sz="0" w:space="0" w:color="auto"/>
        <w:right w:val="none" w:sz="0" w:space="0" w:color="auto"/>
      </w:divBdr>
    </w:div>
    <w:div w:id="532423802">
      <w:bodyDiv w:val="1"/>
      <w:marLeft w:val="0"/>
      <w:marRight w:val="0"/>
      <w:marTop w:val="0"/>
      <w:marBottom w:val="0"/>
      <w:divBdr>
        <w:top w:val="none" w:sz="0" w:space="0" w:color="auto"/>
        <w:left w:val="none" w:sz="0" w:space="0" w:color="auto"/>
        <w:bottom w:val="none" w:sz="0" w:space="0" w:color="auto"/>
        <w:right w:val="none" w:sz="0" w:space="0" w:color="auto"/>
      </w:divBdr>
    </w:div>
    <w:div w:id="532498189">
      <w:bodyDiv w:val="1"/>
      <w:marLeft w:val="0"/>
      <w:marRight w:val="0"/>
      <w:marTop w:val="0"/>
      <w:marBottom w:val="0"/>
      <w:divBdr>
        <w:top w:val="none" w:sz="0" w:space="0" w:color="auto"/>
        <w:left w:val="none" w:sz="0" w:space="0" w:color="auto"/>
        <w:bottom w:val="none" w:sz="0" w:space="0" w:color="auto"/>
        <w:right w:val="none" w:sz="0" w:space="0" w:color="auto"/>
      </w:divBdr>
    </w:div>
    <w:div w:id="533232191">
      <w:bodyDiv w:val="1"/>
      <w:marLeft w:val="0"/>
      <w:marRight w:val="0"/>
      <w:marTop w:val="0"/>
      <w:marBottom w:val="0"/>
      <w:divBdr>
        <w:top w:val="none" w:sz="0" w:space="0" w:color="auto"/>
        <w:left w:val="none" w:sz="0" w:space="0" w:color="auto"/>
        <w:bottom w:val="none" w:sz="0" w:space="0" w:color="auto"/>
        <w:right w:val="none" w:sz="0" w:space="0" w:color="auto"/>
      </w:divBdr>
    </w:div>
    <w:div w:id="534851619">
      <w:bodyDiv w:val="1"/>
      <w:marLeft w:val="0"/>
      <w:marRight w:val="0"/>
      <w:marTop w:val="0"/>
      <w:marBottom w:val="0"/>
      <w:divBdr>
        <w:top w:val="none" w:sz="0" w:space="0" w:color="auto"/>
        <w:left w:val="none" w:sz="0" w:space="0" w:color="auto"/>
        <w:bottom w:val="none" w:sz="0" w:space="0" w:color="auto"/>
        <w:right w:val="none" w:sz="0" w:space="0" w:color="auto"/>
      </w:divBdr>
    </w:div>
    <w:div w:id="534851699">
      <w:bodyDiv w:val="1"/>
      <w:marLeft w:val="0"/>
      <w:marRight w:val="0"/>
      <w:marTop w:val="0"/>
      <w:marBottom w:val="0"/>
      <w:divBdr>
        <w:top w:val="none" w:sz="0" w:space="0" w:color="auto"/>
        <w:left w:val="none" w:sz="0" w:space="0" w:color="auto"/>
        <w:bottom w:val="none" w:sz="0" w:space="0" w:color="auto"/>
        <w:right w:val="none" w:sz="0" w:space="0" w:color="auto"/>
      </w:divBdr>
    </w:div>
    <w:div w:id="535311773">
      <w:bodyDiv w:val="1"/>
      <w:marLeft w:val="0"/>
      <w:marRight w:val="0"/>
      <w:marTop w:val="0"/>
      <w:marBottom w:val="0"/>
      <w:divBdr>
        <w:top w:val="none" w:sz="0" w:space="0" w:color="auto"/>
        <w:left w:val="none" w:sz="0" w:space="0" w:color="auto"/>
        <w:bottom w:val="none" w:sz="0" w:space="0" w:color="auto"/>
        <w:right w:val="none" w:sz="0" w:space="0" w:color="auto"/>
      </w:divBdr>
    </w:div>
    <w:div w:id="536308831">
      <w:bodyDiv w:val="1"/>
      <w:marLeft w:val="0"/>
      <w:marRight w:val="0"/>
      <w:marTop w:val="0"/>
      <w:marBottom w:val="0"/>
      <w:divBdr>
        <w:top w:val="none" w:sz="0" w:space="0" w:color="auto"/>
        <w:left w:val="none" w:sz="0" w:space="0" w:color="auto"/>
        <w:bottom w:val="none" w:sz="0" w:space="0" w:color="auto"/>
        <w:right w:val="none" w:sz="0" w:space="0" w:color="auto"/>
      </w:divBdr>
    </w:div>
    <w:div w:id="536628812">
      <w:bodyDiv w:val="1"/>
      <w:marLeft w:val="0"/>
      <w:marRight w:val="0"/>
      <w:marTop w:val="0"/>
      <w:marBottom w:val="0"/>
      <w:divBdr>
        <w:top w:val="none" w:sz="0" w:space="0" w:color="auto"/>
        <w:left w:val="none" w:sz="0" w:space="0" w:color="auto"/>
        <w:bottom w:val="none" w:sz="0" w:space="0" w:color="auto"/>
        <w:right w:val="none" w:sz="0" w:space="0" w:color="auto"/>
      </w:divBdr>
    </w:div>
    <w:div w:id="536893858">
      <w:bodyDiv w:val="1"/>
      <w:marLeft w:val="0"/>
      <w:marRight w:val="0"/>
      <w:marTop w:val="0"/>
      <w:marBottom w:val="0"/>
      <w:divBdr>
        <w:top w:val="none" w:sz="0" w:space="0" w:color="auto"/>
        <w:left w:val="none" w:sz="0" w:space="0" w:color="auto"/>
        <w:bottom w:val="none" w:sz="0" w:space="0" w:color="auto"/>
        <w:right w:val="none" w:sz="0" w:space="0" w:color="auto"/>
      </w:divBdr>
    </w:div>
    <w:div w:id="538713021">
      <w:bodyDiv w:val="1"/>
      <w:marLeft w:val="0"/>
      <w:marRight w:val="0"/>
      <w:marTop w:val="0"/>
      <w:marBottom w:val="0"/>
      <w:divBdr>
        <w:top w:val="none" w:sz="0" w:space="0" w:color="auto"/>
        <w:left w:val="none" w:sz="0" w:space="0" w:color="auto"/>
        <w:bottom w:val="none" w:sz="0" w:space="0" w:color="auto"/>
        <w:right w:val="none" w:sz="0" w:space="0" w:color="auto"/>
      </w:divBdr>
    </w:div>
    <w:div w:id="539365806">
      <w:bodyDiv w:val="1"/>
      <w:marLeft w:val="0"/>
      <w:marRight w:val="0"/>
      <w:marTop w:val="0"/>
      <w:marBottom w:val="0"/>
      <w:divBdr>
        <w:top w:val="none" w:sz="0" w:space="0" w:color="auto"/>
        <w:left w:val="none" w:sz="0" w:space="0" w:color="auto"/>
        <w:bottom w:val="none" w:sz="0" w:space="0" w:color="auto"/>
        <w:right w:val="none" w:sz="0" w:space="0" w:color="auto"/>
      </w:divBdr>
    </w:div>
    <w:div w:id="540439337">
      <w:bodyDiv w:val="1"/>
      <w:marLeft w:val="0"/>
      <w:marRight w:val="0"/>
      <w:marTop w:val="0"/>
      <w:marBottom w:val="0"/>
      <w:divBdr>
        <w:top w:val="none" w:sz="0" w:space="0" w:color="auto"/>
        <w:left w:val="none" w:sz="0" w:space="0" w:color="auto"/>
        <w:bottom w:val="none" w:sz="0" w:space="0" w:color="auto"/>
        <w:right w:val="none" w:sz="0" w:space="0" w:color="auto"/>
      </w:divBdr>
    </w:div>
    <w:div w:id="543253793">
      <w:bodyDiv w:val="1"/>
      <w:marLeft w:val="0"/>
      <w:marRight w:val="0"/>
      <w:marTop w:val="0"/>
      <w:marBottom w:val="0"/>
      <w:divBdr>
        <w:top w:val="none" w:sz="0" w:space="0" w:color="auto"/>
        <w:left w:val="none" w:sz="0" w:space="0" w:color="auto"/>
        <w:bottom w:val="none" w:sz="0" w:space="0" w:color="auto"/>
        <w:right w:val="none" w:sz="0" w:space="0" w:color="auto"/>
      </w:divBdr>
    </w:div>
    <w:div w:id="543834209">
      <w:bodyDiv w:val="1"/>
      <w:marLeft w:val="0"/>
      <w:marRight w:val="0"/>
      <w:marTop w:val="0"/>
      <w:marBottom w:val="0"/>
      <w:divBdr>
        <w:top w:val="none" w:sz="0" w:space="0" w:color="auto"/>
        <w:left w:val="none" w:sz="0" w:space="0" w:color="auto"/>
        <w:bottom w:val="none" w:sz="0" w:space="0" w:color="auto"/>
        <w:right w:val="none" w:sz="0" w:space="0" w:color="auto"/>
      </w:divBdr>
    </w:div>
    <w:div w:id="544752595">
      <w:bodyDiv w:val="1"/>
      <w:marLeft w:val="0"/>
      <w:marRight w:val="0"/>
      <w:marTop w:val="0"/>
      <w:marBottom w:val="0"/>
      <w:divBdr>
        <w:top w:val="none" w:sz="0" w:space="0" w:color="auto"/>
        <w:left w:val="none" w:sz="0" w:space="0" w:color="auto"/>
        <w:bottom w:val="none" w:sz="0" w:space="0" w:color="auto"/>
        <w:right w:val="none" w:sz="0" w:space="0" w:color="auto"/>
      </w:divBdr>
    </w:div>
    <w:div w:id="544952113">
      <w:bodyDiv w:val="1"/>
      <w:marLeft w:val="0"/>
      <w:marRight w:val="0"/>
      <w:marTop w:val="0"/>
      <w:marBottom w:val="0"/>
      <w:divBdr>
        <w:top w:val="none" w:sz="0" w:space="0" w:color="auto"/>
        <w:left w:val="none" w:sz="0" w:space="0" w:color="auto"/>
        <w:bottom w:val="none" w:sz="0" w:space="0" w:color="auto"/>
        <w:right w:val="none" w:sz="0" w:space="0" w:color="auto"/>
      </w:divBdr>
    </w:div>
    <w:div w:id="545219359">
      <w:bodyDiv w:val="1"/>
      <w:marLeft w:val="0"/>
      <w:marRight w:val="0"/>
      <w:marTop w:val="0"/>
      <w:marBottom w:val="0"/>
      <w:divBdr>
        <w:top w:val="none" w:sz="0" w:space="0" w:color="auto"/>
        <w:left w:val="none" w:sz="0" w:space="0" w:color="auto"/>
        <w:bottom w:val="none" w:sz="0" w:space="0" w:color="auto"/>
        <w:right w:val="none" w:sz="0" w:space="0" w:color="auto"/>
      </w:divBdr>
    </w:div>
    <w:div w:id="545679070">
      <w:bodyDiv w:val="1"/>
      <w:marLeft w:val="0"/>
      <w:marRight w:val="0"/>
      <w:marTop w:val="0"/>
      <w:marBottom w:val="0"/>
      <w:divBdr>
        <w:top w:val="none" w:sz="0" w:space="0" w:color="auto"/>
        <w:left w:val="none" w:sz="0" w:space="0" w:color="auto"/>
        <w:bottom w:val="none" w:sz="0" w:space="0" w:color="auto"/>
        <w:right w:val="none" w:sz="0" w:space="0" w:color="auto"/>
      </w:divBdr>
    </w:div>
    <w:div w:id="546990648">
      <w:bodyDiv w:val="1"/>
      <w:marLeft w:val="0"/>
      <w:marRight w:val="0"/>
      <w:marTop w:val="0"/>
      <w:marBottom w:val="0"/>
      <w:divBdr>
        <w:top w:val="none" w:sz="0" w:space="0" w:color="auto"/>
        <w:left w:val="none" w:sz="0" w:space="0" w:color="auto"/>
        <w:bottom w:val="none" w:sz="0" w:space="0" w:color="auto"/>
        <w:right w:val="none" w:sz="0" w:space="0" w:color="auto"/>
      </w:divBdr>
    </w:div>
    <w:div w:id="547037711">
      <w:bodyDiv w:val="1"/>
      <w:marLeft w:val="0"/>
      <w:marRight w:val="0"/>
      <w:marTop w:val="0"/>
      <w:marBottom w:val="0"/>
      <w:divBdr>
        <w:top w:val="none" w:sz="0" w:space="0" w:color="auto"/>
        <w:left w:val="none" w:sz="0" w:space="0" w:color="auto"/>
        <w:bottom w:val="none" w:sz="0" w:space="0" w:color="auto"/>
        <w:right w:val="none" w:sz="0" w:space="0" w:color="auto"/>
      </w:divBdr>
    </w:div>
    <w:div w:id="548762772">
      <w:bodyDiv w:val="1"/>
      <w:marLeft w:val="0"/>
      <w:marRight w:val="0"/>
      <w:marTop w:val="0"/>
      <w:marBottom w:val="0"/>
      <w:divBdr>
        <w:top w:val="none" w:sz="0" w:space="0" w:color="auto"/>
        <w:left w:val="none" w:sz="0" w:space="0" w:color="auto"/>
        <w:bottom w:val="none" w:sz="0" w:space="0" w:color="auto"/>
        <w:right w:val="none" w:sz="0" w:space="0" w:color="auto"/>
      </w:divBdr>
    </w:div>
    <w:div w:id="549656110">
      <w:bodyDiv w:val="1"/>
      <w:marLeft w:val="0"/>
      <w:marRight w:val="0"/>
      <w:marTop w:val="0"/>
      <w:marBottom w:val="0"/>
      <w:divBdr>
        <w:top w:val="none" w:sz="0" w:space="0" w:color="auto"/>
        <w:left w:val="none" w:sz="0" w:space="0" w:color="auto"/>
        <w:bottom w:val="none" w:sz="0" w:space="0" w:color="auto"/>
        <w:right w:val="none" w:sz="0" w:space="0" w:color="auto"/>
      </w:divBdr>
    </w:div>
    <w:div w:id="550724809">
      <w:bodyDiv w:val="1"/>
      <w:marLeft w:val="0"/>
      <w:marRight w:val="0"/>
      <w:marTop w:val="0"/>
      <w:marBottom w:val="0"/>
      <w:divBdr>
        <w:top w:val="none" w:sz="0" w:space="0" w:color="auto"/>
        <w:left w:val="none" w:sz="0" w:space="0" w:color="auto"/>
        <w:bottom w:val="none" w:sz="0" w:space="0" w:color="auto"/>
        <w:right w:val="none" w:sz="0" w:space="0" w:color="auto"/>
      </w:divBdr>
    </w:div>
    <w:div w:id="551307246">
      <w:bodyDiv w:val="1"/>
      <w:marLeft w:val="0"/>
      <w:marRight w:val="0"/>
      <w:marTop w:val="0"/>
      <w:marBottom w:val="0"/>
      <w:divBdr>
        <w:top w:val="none" w:sz="0" w:space="0" w:color="auto"/>
        <w:left w:val="none" w:sz="0" w:space="0" w:color="auto"/>
        <w:bottom w:val="none" w:sz="0" w:space="0" w:color="auto"/>
        <w:right w:val="none" w:sz="0" w:space="0" w:color="auto"/>
      </w:divBdr>
    </w:div>
    <w:div w:id="551969248">
      <w:bodyDiv w:val="1"/>
      <w:marLeft w:val="0"/>
      <w:marRight w:val="0"/>
      <w:marTop w:val="0"/>
      <w:marBottom w:val="0"/>
      <w:divBdr>
        <w:top w:val="none" w:sz="0" w:space="0" w:color="auto"/>
        <w:left w:val="none" w:sz="0" w:space="0" w:color="auto"/>
        <w:bottom w:val="none" w:sz="0" w:space="0" w:color="auto"/>
        <w:right w:val="none" w:sz="0" w:space="0" w:color="auto"/>
      </w:divBdr>
    </w:div>
    <w:div w:id="552162265">
      <w:bodyDiv w:val="1"/>
      <w:marLeft w:val="0"/>
      <w:marRight w:val="0"/>
      <w:marTop w:val="0"/>
      <w:marBottom w:val="0"/>
      <w:divBdr>
        <w:top w:val="none" w:sz="0" w:space="0" w:color="auto"/>
        <w:left w:val="none" w:sz="0" w:space="0" w:color="auto"/>
        <w:bottom w:val="none" w:sz="0" w:space="0" w:color="auto"/>
        <w:right w:val="none" w:sz="0" w:space="0" w:color="auto"/>
      </w:divBdr>
    </w:div>
    <w:div w:id="553852017">
      <w:bodyDiv w:val="1"/>
      <w:marLeft w:val="0"/>
      <w:marRight w:val="0"/>
      <w:marTop w:val="0"/>
      <w:marBottom w:val="0"/>
      <w:divBdr>
        <w:top w:val="none" w:sz="0" w:space="0" w:color="auto"/>
        <w:left w:val="none" w:sz="0" w:space="0" w:color="auto"/>
        <w:bottom w:val="none" w:sz="0" w:space="0" w:color="auto"/>
        <w:right w:val="none" w:sz="0" w:space="0" w:color="auto"/>
      </w:divBdr>
    </w:div>
    <w:div w:id="555090751">
      <w:bodyDiv w:val="1"/>
      <w:marLeft w:val="0"/>
      <w:marRight w:val="0"/>
      <w:marTop w:val="0"/>
      <w:marBottom w:val="0"/>
      <w:divBdr>
        <w:top w:val="none" w:sz="0" w:space="0" w:color="auto"/>
        <w:left w:val="none" w:sz="0" w:space="0" w:color="auto"/>
        <w:bottom w:val="none" w:sz="0" w:space="0" w:color="auto"/>
        <w:right w:val="none" w:sz="0" w:space="0" w:color="auto"/>
      </w:divBdr>
    </w:div>
    <w:div w:id="556014529">
      <w:bodyDiv w:val="1"/>
      <w:marLeft w:val="0"/>
      <w:marRight w:val="0"/>
      <w:marTop w:val="0"/>
      <w:marBottom w:val="0"/>
      <w:divBdr>
        <w:top w:val="none" w:sz="0" w:space="0" w:color="auto"/>
        <w:left w:val="none" w:sz="0" w:space="0" w:color="auto"/>
        <w:bottom w:val="none" w:sz="0" w:space="0" w:color="auto"/>
        <w:right w:val="none" w:sz="0" w:space="0" w:color="auto"/>
      </w:divBdr>
    </w:div>
    <w:div w:id="556936376">
      <w:bodyDiv w:val="1"/>
      <w:marLeft w:val="0"/>
      <w:marRight w:val="0"/>
      <w:marTop w:val="0"/>
      <w:marBottom w:val="0"/>
      <w:divBdr>
        <w:top w:val="none" w:sz="0" w:space="0" w:color="auto"/>
        <w:left w:val="none" w:sz="0" w:space="0" w:color="auto"/>
        <w:bottom w:val="none" w:sz="0" w:space="0" w:color="auto"/>
        <w:right w:val="none" w:sz="0" w:space="0" w:color="auto"/>
      </w:divBdr>
    </w:div>
    <w:div w:id="557786884">
      <w:bodyDiv w:val="1"/>
      <w:marLeft w:val="0"/>
      <w:marRight w:val="0"/>
      <w:marTop w:val="0"/>
      <w:marBottom w:val="0"/>
      <w:divBdr>
        <w:top w:val="none" w:sz="0" w:space="0" w:color="auto"/>
        <w:left w:val="none" w:sz="0" w:space="0" w:color="auto"/>
        <w:bottom w:val="none" w:sz="0" w:space="0" w:color="auto"/>
        <w:right w:val="none" w:sz="0" w:space="0" w:color="auto"/>
      </w:divBdr>
    </w:div>
    <w:div w:id="558637887">
      <w:bodyDiv w:val="1"/>
      <w:marLeft w:val="0"/>
      <w:marRight w:val="0"/>
      <w:marTop w:val="0"/>
      <w:marBottom w:val="0"/>
      <w:divBdr>
        <w:top w:val="none" w:sz="0" w:space="0" w:color="auto"/>
        <w:left w:val="none" w:sz="0" w:space="0" w:color="auto"/>
        <w:bottom w:val="none" w:sz="0" w:space="0" w:color="auto"/>
        <w:right w:val="none" w:sz="0" w:space="0" w:color="auto"/>
      </w:divBdr>
    </w:div>
    <w:div w:id="559636331">
      <w:bodyDiv w:val="1"/>
      <w:marLeft w:val="0"/>
      <w:marRight w:val="0"/>
      <w:marTop w:val="0"/>
      <w:marBottom w:val="0"/>
      <w:divBdr>
        <w:top w:val="none" w:sz="0" w:space="0" w:color="auto"/>
        <w:left w:val="none" w:sz="0" w:space="0" w:color="auto"/>
        <w:bottom w:val="none" w:sz="0" w:space="0" w:color="auto"/>
        <w:right w:val="none" w:sz="0" w:space="0" w:color="auto"/>
      </w:divBdr>
    </w:div>
    <w:div w:id="560100782">
      <w:bodyDiv w:val="1"/>
      <w:marLeft w:val="0"/>
      <w:marRight w:val="0"/>
      <w:marTop w:val="0"/>
      <w:marBottom w:val="0"/>
      <w:divBdr>
        <w:top w:val="none" w:sz="0" w:space="0" w:color="auto"/>
        <w:left w:val="none" w:sz="0" w:space="0" w:color="auto"/>
        <w:bottom w:val="none" w:sz="0" w:space="0" w:color="auto"/>
        <w:right w:val="none" w:sz="0" w:space="0" w:color="auto"/>
      </w:divBdr>
    </w:div>
    <w:div w:id="560287542">
      <w:bodyDiv w:val="1"/>
      <w:marLeft w:val="0"/>
      <w:marRight w:val="0"/>
      <w:marTop w:val="0"/>
      <w:marBottom w:val="0"/>
      <w:divBdr>
        <w:top w:val="none" w:sz="0" w:space="0" w:color="auto"/>
        <w:left w:val="none" w:sz="0" w:space="0" w:color="auto"/>
        <w:bottom w:val="none" w:sz="0" w:space="0" w:color="auto"/>
        <w:right w:val="none" w:sz="0" w:space="0" w:color="auto"/>
      </w:divBdr>
    </w:div>
    <w:div w:id="562719960">
      <w:bodyDiv w:val="1"/>
      <w:marLeft w:val="0"/>
      <w:marRight w:val="0"/>
      <w:marTop w:val="0"/>
      <w:marBottom w:val="0"/>
      <w:divBdr>
        <w:top w:val="none" w:sz="0" w:space="0" w:color="auto"/>
        <w:left w:val="none" w:sz="0" w:space="0" w:color="auto"/>
        <w:bottom w:val="none" w:sz="0" w:space="0" w:color="auto"/>
        <w:right w:val="none" w:sz="0" w:space="0" w:color="auto"/>
      </w:divBdr>
    </w:div>
    <w:div w:id="564031208">
      <w:bodyDiv w:val="1"/>
      <w:marLeft w:val="0"/>
      <w:marRight w:val="0"/>
      <w:marTop w:val="0"/>
      <w:marBottom w:val="0"/>
      <w:divBdr>
        <w:top w:val="none" w:sz="0" w:space="0" w:color="auto"/>
        <w:left w:val="none" w:sz="0" w:space="0" w:color="auto"/>
        <w:bottom w:val="none" w:sz="0" w:space="0" w:color="auto"/>
        <w:right w:val="none" w:sz="0" w:space="0" w:color="auto"/>
      </w:divBdr>
    </w:div>
    <w:div w:id="565915071">
      <w:bodyDiv w:val="1"/>
      <w:marLeft w:val="0"/>
      <w:marRight w:val="0"/>
      <w:marTop w:val="0"/>
      <w:marBottom w:val="0"/>
      <w:divBdr>
        <w:top w:val="none" w:sz="0" w:space="0" w:color="auto"/>
        <w:left w:val="none" w:sz="0" w:space="0" w:color="auto"/>
        <w:bottom w:val="none" w:sz="0" w:space="0" w:color="auto"/>
        <w:right w:val="none" w:sz="0" w:space="0" w:color="auto"/>
      </w:divBdr>
    </w:div>
    <w:div w:id="565997622">
      <w:bodyDiv w:val="1"/>
      <w:marLeft w:val="0"/>
      <w:marRight w:val="0"/>
      <w:marTop w:val="0"/>
      <w:marBottom w:val="0"/>
      <w:divBdr>
        <w:top w:val="none" w:sz="0" w:space="0" w:color="auto"/>
        <w:left w:val="none" w:sz="0" w:space="0" w:color="auto"/>
        <w:bottom w:val="none" w:sz="0" w:space="0" w:color="auto"/>
        <w:right w:val="none" w:sz="0" w:space="0" w:color="auto"/>
      </w:divBdr>
    </w:div>
    <w:div w:id="567689951">
      <w:bodyDiv w:val="1"/>
      <w:marLeft w:val="0"/>
      <w:marRight w:val="0"/>
      <w:marTop w:val="0"/>
      <w:marBottom w:val="0"/>
      <w:divBdr>
        <w:top w:val="none" w:sz="0" w:space="0" w:color="auto"/>
        <w:left w:val="none" w:sz="0" w:space="0" w:color="auto"/>
        <w:bottom w:val="none" w:sz="0" w:space="0" w:color="auto"/>
        <w:right w:val="none" w:sz="0" w:space="0" w:color="auto"/>
      </w:divBdr>
    </w:div>
    <w:div w:id="568541713">
      <w:bodyDiv w:val="1"/>
      <w:marLeft w:val="0"/>
      <w:marRight w:val="0"/>
      <w:marTop w:val="0"/>
      <w:marBottom w:val="0"/>
      <w:divBdr>
        <w:top w:val="none" w:sz="0" w:space="0" w:color="auto"/>
        <w:left w:val="none" w:sz="0" w:space="0" w:color="auto"/>
        <w:bottom w:val="none" w:sz="0" w:space="0" w:color="auto"/>
        <w:right w:val="none" w:sz="0" w:space="0" w:color="auto"/>
      </w:divBdr>
    </w:div>
    <w:div w:id="568617475">
      <w:bodyDiv w:val="1"/>
      <w:marLeft w:val="0"/>
      <w:marRight w:val="0"/>
      <w:marTop w:val="0"/>
      <w:marBottom w:val="0"/>
      <w:divBdr>
        <w:top w:val="none" w:sz="0" w:space="0" w:color="auto"/>
        <w:left w:val="none" w:sz="0" w:space="0" w:color="auto"/>
        <w:bottom w:val="none" w:sz="0" w:space="0" w:color="auto"/>
        <w:right w:val="none" w:sz="0" w:space="0" w:color="auto"/>
      </w:divBdr>
    </w:div>
    <w:div w:id="569461569">
      <w:bodyDiv w:val="1"/>
      <w:marLeft w:val="0"/>
      <w:marRight w:val="0"/>
      <w:marTop w:val="0"/>
      <w:marBottom w:val="0"/>
      <w:divBdr>
        <w:top w:val="none" w:sz="0" w:space="0" w:color="auto"/>
        <w:left w:val="none" w:sz="0" w:space="0" w:color="auto"/>
        <w:bottom w:val="none" w:sz="0" w:space="0" w:color="auto"/>
        <w:right w:val="none" w:sz="0" w:space="0" w:color="auto"/>
      </w:divBdr>
    </w:div>
    <w:div w:id="569467625">
      <w:bodyDiv w:val="1"/>
      <w:marLeft w:val="0"/>
      <w:marRight w:val="0"/>
      <w:marTop w:val="0"/>
      <w:marBottom w:val="0"/>
      <w:divBdr>
        <w:top w:val="none" w:sz="0" w:space="0" w:color="auto"/>
        <w:left w:val="none" w:sz="0" w:space="0" w:color="auto"/>
        <w:bottom w:val="none" w:sz="0" w:space="0" w:color="auto"/>
        <w:right w:val="none" w:sz="0" w:space="0" w:color="auto"/>
      </w:divBdr>
    </w:div>
    <w:div w:id="575894342">
      <w:bodyDiv w:val="1"/>
      <w:marLeft w:val="0"/>
      <w:marRight w:val="0"/>
      <w:marTop w:val="0"/>
      <w:marBottom w:val="0"/>
      <w:divBdr>
        <w:top w:val="none" w:sz="0" w:space="0" w:color="auto"/>
        <w:left w:val="none" w:sz="0" w:space="0" w:color="auto"/>
        <w:bottom w:val="none" w:sz="0" w:space="0" w:color="auto"/>
        <w:right w:val="none" w:sz="0" w:space="0" w:color="auto"/>
      </w:divBdr>
    </w:div>
    <w:div w:id="576286771">
      <w:bodyDiv w:val="1"/>
      <w:marLeft w:val="0"/>
      <w:marRight w:val="0"/>
      <w:marTop w:val="0"/>
      <w:marBottom w:val="0"/>
      <w:divBdr>
        <w:top w:val="none" w:sz="0" w:space="0" w:color="auto"/>
        <w:left w:val="none" w:sz="0" w:space="0" w:color="auto"/>
        <w:bottom w:val="none" w:sz="0" w:space="0" w:color="auto"/>
        <w:right w:val="none" w:sz="0" w:space="0" w:color="auto"/>
      </w:divBdr>
    </w:div>
    <w:div w:id="576480014">
      <w:bodyDiv w:val="1"/>
      <w:marLeft w:val="0"/>
      <w:marRight w:val="0"/>
      <w:marTop w:val="0"/>
      <w:marBottom w:val="0"/>
      <w:divBdr>
        <w:top w:val="none" w:sz="0" w:space="0" w:color="auto"/>
        <w:left w:val="none" w:sz="0" w:space="0" w:color="auto"/>
        <w:bottom w:val="none" w:sz="0" w:space="0" w:color="auto"/>
        <w:right w:val="none" w:sz="0" w:space="0" w:color="auto"/>
      </w:divBdr>
    </w:div>
    <w:div w:id="577635215">
      <w:bodyDiv w:val="1"/>
      <w:marLeft w:val="0"/>
      <w:marRight w:val="0"/>
      <w:marTop w:val="0"/>
      <w:marBottom w:val="0"/>
      <w:divBdr>
        <w:top w:val="none" w:sz="0" w:space="0" w:color="auto"/>
        <w:left w:val="none" w:sz="0" w:space="0" w:color="auto"/>
        <w:bottom w:val="none" w:sz="0" w:space="0" w:color="auto"/>
        <w:right w:val="none" w:sz="0" w:space="0" w:color="auto"/>
      </w:divBdr>
    </w:div>
    <w:div w:id="579826927">
      <w:bodyDiv w:val="1"/>
      <w:marLeft w:val="0"/>
      <w:marRight w:val="0"/>
      <w:marTop w:val="0"/>
      <w:marBottom w:val="0"/>
      <w:divBdr>
        <w:top w:val="none" w:sz="0" w:space="0" w:color="auto"/>
        <w:left w:val="none" w:sz="0" w:space="0" w:color="auto"/>
        <w:bottom w:val="none" w:sz="0" w:space="0" w:color="auto"/>
        <w:right w:val="none" w:sz="0" w:space="0" w:color="auto"/>
      </w:divBdr>
    </w:div>
    <w:div w:id="580213510">
      <w:bodyDiv w:val="1"/>
      <w:marLeft w:val="0"/>
      <w:marRight w:val="0"/>
      <w:marTop w:val="0"/>
      <w:marBottom w:val="0"/>
      <w:divBdr>
        <w:top w:val="none" w:sz="0" w:space="0" w:color="auto"/>
        <w:left w:val="none" w:sz="0" w:space="0" w:color="auto"/>
        <w:bottom w:val="none" w:sz="0" w:space="0" w:color="auto"/>
        <w:right w:val="none" w:sz="0" w:space="0" w:color="auto"/>
      </w:divBdr>
    </w:div>
    <w:div w:id="581065608">
      <w:bodyDiv w:val="1"/>
      <w:marLeft w:val="0"/>
      <w:marRight w:val="0"/>
      <w:marTop w:val="0"/>
      <w:marBottom w:val="0"/>
      <w:divBdr>
        <w:top w:val="none" w:sz="0" w:space="0" w:color="auto"/>
        <w:left w:val="none" w:sz="0" w:space="0" w:color="auto"/>
        <w:bottom w:val="none" w:sz="0" w:space="0" w:color="auto"/>
        <w:right w:val="none" w:sz="0" w:space="0" w:color="auto"/>
      </w:divBdr>
    </w:div>
    <w:div w:id="581989465">
      <w:bodyDiv w:val="1"/>
      <w:marLeft w:val="0"/>
      <w:marRight w:val="0"/>
      <w:marTop w:val="0"/>
      <w:marBottom w:val="0"/>
      <w:divBdr>
        <w:top w:val="none" w:sz="0" w:space="0" w:color="auto"/>
        <w:left w:val="none" w:sz="0" w:space="0" w:color="auto"/>
        <w:bottom w:val="none" w:sz="0" w:space="0" w:color="auto"/>
        <w:right w:val="none" w:sz="0" w:space="0" w:color="auto"/>
      </w:divBdr>
    </w:div>
    <w:div w:id="582568352">
      <w:bodyDiv w:val="1"/>
      <w:marLeft w:val="0"/>
      <w:marRight w:val="0"/>
      <w:marTop w:val="0"/>
      <w:marBottom w:val="0"/>
      <w:divBdr>
        <w:top w:val="none" w:sz="0" w:space="0" w:color="auto"/>
        <w:left w:val="none" w:sz="0" w:space="0" w:color="auto"/>
        <w:bottom w:val="none" w:sz="0" w:space="0" w:color="auto"/>
        <w:right w:val="none" w:sz="0" w:space="0" w:color="auto"/>
      </w:divBdr>
    </w:div>
    <w:div w:id="582883339">
      <w:bodyDiv w:val="1"/>
      <w:marLeft w:val="0"/>
      <w:marRight w:val="0"/>
      <w:marTop w:val="0"/>
      <w:marBottom w:val="0"/>
      <w:divBdr>
        <w:top w:val="none" w:sz="0" w:space="0" w:color="auto"/>
        <w:left w:val="none" w:sz="0" w:space="0" w:color="auto"/>
        <w:bottom w:val="none" w:sz="0" w:space="0" w:color="auto"/>
        <w:right w:val="none" w:sz="0" w:space="0" w:color="auto"/>
      </w:divBdr>
    </w:div>
    <w:div w:id="583270585">
      <w:bodyDiv w:val="1"/>
      <w:marLeft w:val="0"/>
      <w:marRight w:val="0"/>
      <w:marTop w:val="0"/>
      <w:marBottom w:val="0"/>
      <w:divBdr>
        <w:top w:val="none" w:sz="0" w:space="0" w:color="auto"/>
        <w:left w:val="none" w:sz="0" w:space="0" w:color="auto"/>
        <w:bottom w:val="none" w:sz="0" w:space="0" w:color="auto"/>
        <w:right w:val="none" w:sz="0" w:space="0" w:color="auto"/>
      </w:divBdr>
    </w:div>
    <w:div w:id="585306725">
      <w:bodyDiv w:val="1"/>
      <w:marLeft w:val="0"/>
      <w:marRight w:val="0"/>
      <w:marTop w:val="0"/>
      <w:marBottom w:val="0"/>
      <w:divBdr>
        <w:top w:val="none" w:sz="0" w:space="0" w:color="auto"/>
        <w:left w:val="none" w:sz="0" w:space="0" w:color="auto"/>
        <w:bottom w:val="none" w:sz="0" w:space="0" w:color="auto"/>
        <w:right w:val="none" w:sz="0" w:space="0" w:color="auto"/>
      </w:divBdr>
    </w:div>
    <w:div w:id="586815451">
      <w:bodyDiv w:val="1"/>
      <w:marLeft w:val="0"/>
      <w:marRight w:val="0"/>
      <w:marTop w:val="0"/>
      <w:marBottom w:val="0"/>
      <w:divBdr>
        <w:top w:val="none" w:sz="0" w:space="0" w:color="auto"/>
        <w:left w:val="none" w:sz="0" w:space="0" w:color="auto"/>
        <w:bottom w:val="none" w:sz="0" w:space="0" w:color="auto"/>
        <w:right w:val="none" w:sz="0" w:space="0" w:color="auto"/>
      </w:divBdr>
    </w:div>
    <w:div w:id="587543496">
      <w:bodyDiv w:val="1"/>
      <w:marLeft w:val="0"/>
      <w:marRight w:val="0"/>
      <w:marTop w:val="0"/>
      <w:marBottom w:val="0"/>
      <w:divBdr>
        <w:top w:val="none" w:sz="0" w:space="0" w:color="auto"/>
        <w:left w:val="none" w:sz="0" w:space="0" w:color="auto"/>
        <w:bottom w:val="none" w:sz="0" w:space="0" w:color="auto"/>
        <w:right w:val="none" w:sz="0" w:space="0" w:color="auto"/>
      </w:divBdr>
    </w:div>
    <w:div w:id="588126214">
      <w:bodyDiv w:val="1"/>
      <w:marLeft w:val="0"/>
      <w:marRight w:val="0"/>
      <w:marTop w:val="0"/>
      <w:marBottom w:val="0"/>
      <w:divBdr>
        <w:top w:val="none" w:sz="0" w:space="0" w:color="auto"/>
        <w:left w:val="none" w:sz="0" w:space="0" w:color="auto"/>
        <w:bottom w:val="none" w:sz="0" w:space="0" w:color="auto"/>
        <w:right w:val="none" w:sz="0" w:space="0" w:color="auto"/>
      </w:divBdr>
    </w:div>
    <w:div w:id="589042453">
      <w:bodyDiv w:val="1"/>
      <w:marLeft w:val="0"/>
      <w:marRight w:val="0"/>
      <w:marTop w:val="0"/>
      <w:marBottom w:val="0"/>
      <w:divBdr>
        <w:top w:val="none" w:sz="0" w:space="0" w:color="auto"/>
        <w:left w:val="none" w:sz="0" w:space="0" w:color="auto"/>
        <w:bottom w:val="none" w:sz="0" w:space="0" w:color="auto"/>
        <w:right w:val="none" w:sz="0" w:space="0" w:color="auto"/>
      </w:divBdr>
    </w:div>
    <w:div w:id="591091792">
      <w:bodyDiv w:val="1"/>
      <w:marLeft w:val="0"/>
      <w:marRight w:val="0"/>
      <w:marTop w:val="0"/>
      <w:marBottom w:val="0"/>
      <w:divBdr>
        <w:top w:val="none" w:sz="0" w:space="0" w:color="auto"/>
        <w:left w:val="none" w:sz="0" w:space="0" w:color="auto"/>
        <w:bottom w:val="none" w:sz="0" w:space="0" w:color="auto"/>
        <w:right w:val="none" w:sz="0" w:space="0" w:color="auto"/>
      </w:divBdr>
    </w:div>
    <w:div w:id="591285452">
      <w:bodyDiv w:val="1"/>
      <w:marLeft w:val="0"/>
      <w:marRight w:val="0"/>
      <w:marTop w:val="0"/>
      <w:marBottom w:val="0"/>
      <w:divBdr>
        <w:top w:val="none" w:sz="0" w:space="0" w:color="auto"/>
        <w:left w:val="none" w:sz="0" w:space="0" w:color="auto"/>
        <w:bottom w:val="none" w:sz="0" w:space="0" w:color="auto"/>
        <w:right w:val="none" w:sz="0" w:space="0" w:color="auto"/>
      </w:divBdr>
    </w:div>
    <w:div w:id="591819384">
      <w:bodyDiv w:val="1"/>
      <w:marLeft w:val="0"/>
      <w:marRight w:val="0"/>
      <w:marTop w:val="0"/>
      <w:marBottom w:val="0"/>
      <w:divBdr>
        <w:top w:val="none" w:sz="0" w:space="0" w:color="auto"/>
        <w:left w:val="none" w:sz="0" w:space="0" w:color="auto"/>
        <w:bottom w:val="none" w:sz="0" w:space="0" w:color="auto"/>
        <w:right w:val="none" w:sz="0" w:space="0" w:color="auto"/>
      </w:divBdr>
    </w:div>
    <w:div w:id="591863309">
      <w:bodyDiv w:val="1"/>
      <w:marLeft w:val="0"/>
      <w:marRight w:val="0"/>
      <w:marTop w:val="0"/>
      <w:marBottom w:val="0"/>
      <w:divBdr>
        <w:top w:val="none" w:sz="0" w:space="0" w:color="auto"/>
        <w:left w:val="none" w:sz="0" w:space="0" w:color="auto"/>
        <w:bottom w:val="none" w:sz="0" w:space="0" w:color="auto"/>
        <w:right w:val="none" w:sz="0" w:space="0" w:color="auto"/>
      </w:divBdr>
    </w:div>
    <w:div w:id="592133036">
      <w:bodyDiv w:val="1"/>
      <w:marLeft w:val="0"/>
      <w:marRight w:val="0"/>
      <w:marTop w:val="0"/>
      <w:marBottom w:val="0"/>
      <w:divBdr>
        <w:top w:val="none" w:sz="0" w:space="0" w:color="auto"/>
        <w:left w:val="none" w:sz="0" w:space="0" w:color="auto"/>
        <w:bottom w:val="none" w:sz="0" w:space="0" w:color="auto"/>
        <w:right w:val="none" w:sz="0" w:space="0" w:color="auto"/>
      </w:divBdr>
    </w:div>
    <w:div w:id="592973199">
      <w:bodyDiv w:val="1"/>
      <w:marLeft w:val="0"/>
      <w:marRight w:val="0"/>
      <w:marTop w:val="0"/>
      <w:marBottom w:val="0"/>
      <w:divBdr>
        <w:top w:val="none" w:sz="0" w:space="0" w:color="auto"/>
        <w:left w:val="none" w:sz="0" w:space="0" w:color="auto"/>
        <w:bottom w:val="none" w:sz="0" w:space="0" w:color="auto"/>
        <w:right w:val="none" w:sz="0" w:space="0" w:color="auto"/>
      </w:divBdr>
    </w:div>
    <w:div w:id="593710553">
      <w:bodyDiv w:val="1"/>
      <w:marLeft w:val="0"/>
      <w:marRight w:val="0"/>
      <w:marTop w:val="0"/>
      <w:marBottom w:val="0"/>
      <w:divBdr>
        <w:top w:val="none" w:sz="0" w:space="0" w:color="auto"/>
        <w:left w:val="none" w:sz="0" w:space="0" w:color="auto"/>
        <w:bottom w:val="none" w:sz="0" w:space="0" w:color="auto"/>
        <w:right w:val="none" w:sz="0" w:space="0" w:color="auto"/>
      </w:divBdr>
    </w:div>
    <w:div w:id="597518070">
      <w:bodyDiv w:val="1"/>
      <w:marLeft w:val="0"/>
      <w:marRight w:val="0"/>
      <w:marTop w:val="0"/>
      <w:marBottom w:val="0"/>
      <w:divBdr>
        <w:top w:val="none" w:sz="0" w:space="0" w:color="auto"/>
        <w:left w:val="none" w:sz="0" w:space="0" w:color="auto"/>
        <w:bottom w:val="none" w:sz="0" w:space="0" w:color="auto"/>
        <w:right w:val="none" w:sz="0" w:space="0" w:color="auto"/>
      </w:divBdr>
    </w:div>
    <w:div w:id="597710774">
      <w:bodyDiv w:val="1"/>
      <w:marLeft w:val="0"/>
      <w:marRight w:val="0"/>
      <w:marTop w:val="0"/>
      <w:marBottom w:val="0"/>
      <w:divBdr>
        <w:top w:val="none" w:sz="0" w:space="0" w:color="auto"/>
        <w:left w:val="none" w:sz="0" w:space="0" w:color="auto"/>
        <w:bottom w:val="none" w:sz="0" w:space="0" w:color="auto"/>
        <w:right w:val="none" w:sz="0" w:space="0" w:color="auto"/>
      </w:divBdr>
    </w:div>
    <w:div w:id="599606540">
      <w:bodyDiv w:val="1"/>
      <w:marLeft w:val="0"/>
      <w:marRight w:val="0"/>
      <w:marTop w:val="0"/>
      <w:marBottom w:val="0"/>
      <w:divBdr>
        <w:top w:val="none" w:sz="0" w:space="0" w:color="auto"/>
        <w:left w:val="none" w:sz="0" w:space="0" w:color="auto"/>
        <w:bottom w:val="none" w:sz="0" w:space="0" w:color="auto"/>
        <w:right w:val="none" w:sz="0" w:space="0" w:color="auto"/>
      </w:divBdr>
    </w:div>
    <w:div w:id="599684784">
      <w:bodyDiv w:val="1"/>
      <w:marLeft w:val="0"/>
      <w:marRight w:val="0"/>
      <w:marTop w:val="0"/>
      <w:marBottom w:val="0"/>
      <w:divBdr>
        <w:top w:val="none" w:sz="0" w:space="0" w:color="auto"/>
        <w:left w:val="none" w:sz="0" w:space="0" w:color="auto"/>
        <w:bottom w:val="none" w:sz="0" w:space="0" w:color="auto"/>
        <w:right w:val="none" w:sz="0" w:space="0" w:color="auto"/>
      </w:divBdr>
    </w:div>
    <w:div w:id="600917834">
      <w:bodyDiv w:val="1"/>
      <w:marLeft w:val="0"/>
      <w:marRight w:val="0"/>
      <w:marTop w:val="0"/>
      <w:marBottom w:val="0"/>
      <w:divBdr>
        <w:top w:val="none" w:sz="0" w:space="0" w:color="auto"/>
        <w:left w:val="none" w:sz="0" w:space="0" w:color="auto"/>
        <w:bottom w:val="none" w:sz="0" w:space="0" w:color="auto"/>
        <w:right w:val="none" w:sz="0" w:space="0" w:color="auto"/>
      </w:divBdr>
    </w:div>
    <w:div w:id="602302049">
      <w:bodyDiv w:val="1"/>
      <w:marLeft w:val="0"/>
      <w:marRight w:val="0"/>
      <w:marTop w:val="0"/>
      <w:marBottom w:val="0"/>
      <w:divBdr>
        <w:top w:val="none" w:sz="0" w:space="0" w:color="auto"/>
        <w:left w:val="none" w:sz="0" w:space="0" w:color="auto"/>
        <w:bottom w:val="none" w:sz="0" w:space="0" w:color="auto"/>
        <w:right w:val="none" w:sz="0" w:space="0" w:color="auto"/>
      </w:divBdr>
    </w:div>
    <w:div w:id="604533456">
      <w:bodyDiv w:val="1"/>
      <w:marLeft w:val="0"/>
      <w:marRight w:val="0"/>
      <w:marTop w:val="0"/>
      <w:marBottom w:val="0"/>
      <w:divBdr>
        <w:top w:val="none" w:sz="0" w:space="0" w:color="auto"/>
        <w:left w:val="none" w:sz="0" w:space="0" w:color="auto"/>
        <w:bottom w:val="none" w:sz="0" w:space="0" w:color="auto"/>
        <w:right w:val="none" w:sz="0" w:space="0" w:color="auto"/>
      </w:divBdr>
    </w:div>
    <w:div w:id="605385681">
      <w:bodyDiv w:val="1"/>
      <w:marLeft w:val="0"/>
      <w:marRight w:val="0"/>
      <w:marTop w:val="0"/>
      <w:marBottom w:val="0"/>
      <w:divBdr>
        <w:top w:val="none" w:sz="0" w:space="0" w:color="auto"/>
        <w:left w:val="none" w:sz="0" w:space="0" w:color="auto"/>
        <w:bottom w:val="none" w:sz="0" w:space="0" w:color="auto"/>
        <w:right w:val="none" w:sz="0" w:space="0" w:color="auto"/>
      </w:divBdr>
    </w:div>
    <w:div w:id="605773064">
      <w:bodyDiv w:val="1"/>
      <w:marLeft w:val="0"/>
      <w:marRight w:val="0"/>
      <w:marTop w:val="0"/>
      <w:marBottom w:val="0"/>
      <w:divBdr>
        <w:top w:val="none" w:sz="0" w:space="0" w:color="auto"/>
        <w:left w:val="none" w:sz="0" w:space="0" w:color="auto"/>
        <w:bottom w:val="none" w:sz="0" w:space="0" w:color="auto"/>
        <w:right w:val="none" w:sz="0" w:space="0" w:color="auto"/>
      </w:divBdr>
    </w:div>
    <w:div w:id="606930416">
      <w:bodyDiv w:val="1"/>
      <w:marLeft w:val="0"/>
      <w:marRight w:val="0"/>
      <w:marTop w:val="0"/>
      <w:marBottom w:val="0"/>
      <w:divBdr>
        <w:top w:val="none" w:sz="0" w:space="0" w:color="auto"/>
        <w:left w:val="none" w:sz="0" w:space="0" w:color="auto"/>
        <w:bottom w:val="none" w:sz="0" w:space="0" w:color="auto"/>
        <w:right w:val="none" w:sz="0" w:space="0" w:color="auto"/>
      </w:divBdr>
    </w:div>
    <w:div w:id="607740905">
      <w:bodyDiv w:val="1"/>
      <w:marLeft w:val="0"/>
      <w:marRight w:val="0"/>
      <w:marTop w:val="0"/>
      <w:marBottom w:val="0"/>
      <w:divBdr>
        <w:top w:val="none" w:sz="0" w:space="0" w:color="auto"/>
        <w:left w:val="none" w:sz="0" w:space="0" w:color="auto"/>
        <w:bottom w:val="none" w:sz="0" w:space="0" w:color="auto"/>
        <w:right w:val="none" w:sz="0" w:space="0" w:color="auto"/>
      </w:divBdr>
    </w:div>
    <w:div w:id="615019160">
      <w:bodyDiv w:val="1"/>
      <w:marLeft w:val="0"/>
      <w:marRight w:val="0"/>
      <w:marTop w:val="0"/>
      <w:marBottom w:val="0"/>
      <w:divBdr>
        <w:top w:val="none" w:sz="0" w:space="0" w:color="auto"/>
        <w:left w:val="none" w:sz="0" w:space="0" w:color="auto"/>
        <w:bottom w:val="none" w:sz="0" w:space="0" w:color="auto"/>
        <w:right w:val="none" w:sz="0" w:space="0" w:color="auto"/>
      </w:divBdr>
    </w:div>
    <w:div w:id="615529385">
      <w:bodyDiv w:val="1"/>
      <w:marLeft w:val="0"/>
      <w:marRight w:val="0"/>
      <w:marTop w:val="0"/>
      <w:marBottom w:val="0"/>
      <w:divBdr>
        <w:top w:val="none" w:sz="0" w:space="0" w:color="auto"/>
        <w:left w:val="none" w:sz="0" w:space="0" w:color="auto"/>
        <w:bottom w:val="none" w:sz="0" w:space="0" w:color="auto"/>
        <w:right w:val="none" w:sz="0" w:space="0" w:color="auto"/>
      </w:divBdr>
    </w:div>
    <w:div w:id="617177984">
      <w:bodyDiv w:val="1"/>
      <w:marLeft w:val="0"/>
      <w:marRight w:val="0"/>
      <w:marTop w:val="0"/>
      <w:marBottom w:val="0"/>
      <w:divBdr>
        <w:top w:val="none" w:sz="0" w:space="0" w:color="auto"/>
        <w:left w:val="none" w:sz="0" w:space="0" w:color="auto"/>
        <w:bottom w:val="none" w:sz="0" w:space="0" w:color="auto"/>
        <w:right w:val="none" w:sz="0" w:space="0" w:color="auto"/>
      </w:divBdr>
    </w:div>
    <w:div w:id="617218701">
      <w:bodyDiv w:val="1"/>
      <w:marLeft w:val="0"/>
      <w:marRight w:val="0"/>
      <w:marTop w:val="0"/>
      <w:marBottom w:val="0"/>
      <w:divBdr>
        <w:top w:val="none" w:sz="0" w:space="0" w:color="auto"/>
        <w:left w:val="none" w:sz="0" w:space="0" w:color="auto"/>
        <w:bottom w:val="none" w:sz="0" w:space="0" w:color="auto"/>
        <w:right w:val="none" w:sz="0" w:space="0" w:color="auto"/>
      </w:divBdr>
    </w:div>
    <w:div w:id="618606718">
      <w:bodyDiv w:val="1"/>
      <w:marLeft w:val="0"/>
      <w:marRight w:val="0"/>
      <w:marTop w:val="0"/>
      <w:marBottom w:val="0"/>
      <w:divBdr>
        <w:top w:val="none" w:sz="0" w:space="0" w:color="auto"/>
        <w:left w:val="none" w:sz="0" w:space="0" w:color="auto"/>
        <w:bottom w:val="none" w:sz="0" w:space="0" w:color="auto"/>
        <w:right w:val="none" w:sz="0" w:space="0" w:color="auto"/>
      </w:divBdr>
    </w:div>
    <w:div w:id="618725542">
      <w:bodyDiv w:val="1"/>
      <w:marLeft w:val="0"/>
      <w:marRight w:val="0"/>
      <w:marTop w:val="0"/>
      <w:marBottom w:val="0"/>
      <w:divBdr>
        <w:top w:val="none" w:sz="0" w:space="0" w:color="auto"/>
        <w:left w:val="none" w:sz="0" w:space="0" w:color="auto"/>
        <w:bottom w:val="none" w:sz="0" w:space="0" w:color="auto"/>
        <w:right w:val="none" w:sz="0" w:space="0" w:color="auto"/>
      </w:divBdr>
    </w:div>
    <w:div w:id="620308701">
      <w:bodyDiv w:val="1"/>
      <w:marLeft w:val="0"/>
      <w:marRight w:val="0"/>
      <w:marTop w:val="0"/>
      <w:marBottom w:val="0"/>
      <w:divBdr>
        <w:top w:val="none" w:sz="0" w:space="0" w:color="auto"/>
        <w:left w:val="none" w:sz="0" w:space="0" w:color="auto"/>
        <w:bottom w:val="none" w:sz="0" w:space="0" w:color="auto"/>
        <w:right w:val="none" w:sz="0" w:space="0" w:color="auto"/>
      </w:divBdr>
    </w:div>
    <w:div w:id="622736972">
      <w:bodyDiv w:val="1"/>
      <w:marLeft w:val="0"/>
      <w:marRight w:val="0"/>
      <w:marTop w:val="0"/>
      <w:marBottom w:val="0"/>
      <w:divBdr>
        <w:top w:val="none" w:sz="0" w:space="0" w:color="auto"/>
        <w:left w:val="none" w:sz="0" w:space="0" w:color="auto"/>
        <w:bottom w:val="none" w:sz="0" w:space="0" w:color="auto"/>
        <w:right w:val="none" w:sz="0" w:space="0" w:color="auto"/>
      </w:divBdr>
    </w:div>
    <w:div w:id="623007111">
      <w:bodyDiv w:val="1"/>
      <w:marLeft w:val="0"/>
      <w:marRight w:val="0"/>
      <w:marTop w:val="0"/>
      <w:marBottom w:val="0"/>
      <w:divBdr>
        <w:top w:val="none" w:sz="0" w:space="0" w:color="auto"/>
        <w:left w:val="none" w:sz="0" w:space="0" w:color="auto"/>
        <w:bottom w:val="none" w:sz="0" w:space="0" w:color="auto"/>
        <w:right w:val="none" w:sz="0" w:space="0" w:color="auto"/>
      </w:divBdr>
    </w:div>
    <w:div w:id="624771099">
      <w:bodyDiv w:val="1"/>
      <w:marLeft w:val="0"/>
      <w:marRight w:val="0"/>
      <w:marTop w:val="0"/>
      <w:marBottom w:val="0"/>
      <w:divBdr>
        <w:top w:val="none" w:sz="0" w:space="0" w:color="auto"/>
        <w:left w:val="none" w:sz="0" w:space="0" w:color="auto"/>
        <w:bottom w:val="none" w:sz="0" w:space="0" w:color="auto"/>
        <w:right w:val="none" w:sz="0" w:space="0" w:color="auto"/>
      </w:divBdr>
    </w:div>
    <w:div w:id="626274086">
      <w:bodyDiv w:val="1"/>
      <w:marLeft w:val="0"/>
      <w:marRight w:val="0"/>
      <w:marTop w:val="0"/>
      <w:marBottom w:val="0"/>
      <w:divBdr>
        <w:top w:val="none" w:sz="0" w:space="0" w:color="auto"/>
        <w:left w:val="none" w:sz="0" w:space="0" w:color="auto"/>
        <w:bottom w:val="none" w:sz="0" w:space="0" w:color="auto"/>
        <w:right w:val="none" w:sz="0" w:space="0" w:color="auto"/>
      </w:divBdr>
    </w:div>
    <w:div w:id="626467370">
      <w:bodyDiv w:val="1"/>
      <w:marLeft w:val="0"/>
      <w:marRight w:val="0"/>
      <w:marTop w:val="0"/>
      <w:marBottom w:val="0"/>
      <w:divBdr>
        <w:top w:val="none" w:sz="0" w:space="0" w:color="auto"/>
        <w:left w:val="none" w:sz="0" w:space="0" w:color="auto"/>
        <w:bottom w:val="none" w:sz="0" w:space="0" w:color="auto"/>
        <w:right w:val="none" w:sz="0" w:space="0" w:color="auto"/>
      </w:divBdr>
    </w:div>
    <w:div w:id="627705973">
      <w:bodyDiv w:val="1"/>
      <w:marLeft w:val="0"/>
      <w:marRight w:val="0"/>
      <w:marTop w:val="0"/>
      <w:marBottom w:val="0"/>
      <w:divBdr>
        <w:top w:val="none" w:sz="0" w:space="0" w:color="auto"/>
        <w:left w:val="none" w:sz="0" w:space="0" w:color="auto"/>
        <w:bottom w:val="none" w:sz="0" w:space="0" w:color="auto"/>
        <w:right w:val="none" w:sz="0" w:space="0" w:color="auto"/>
      </w:divBdr>
    </w:div>
    <w:div w:id="627783185">
      <w:bodyDiv w:val="1"/>
      <w:marLeft w:val="0"/>
      <w:marRight w:val="0"/>
      <w:marTop w:val="0"/>
      <w:marBottom w:val="0"/>
      <w:divBdr>
        <w:top w:val="none" w:sz="0" w:space="0" w:color="auto"/>
        <w:left w:val="none" w:sz="0" w:space="0" w:color="auto"/>
        <w:bottom w:val="none" w:sz="0" w:space="0" w:color="auto"/>
        <w:right w:val="none" w:sz="0" w:space="0" w:color="auto"/>
      </w:divBdr>
    </w:div>
    <w:div w:id="628361330">
      <w:bodyDiv w:val="1"/>
      <w:marLeft w:val="0"/>
      <w:marRight w:val="0"/>
      <w:marTop w:val="0"/>
      <w:marBottom w:val="0"/>
      <w:divBdr>
        <w:top w:val="none" w:sz="0" w:space="0" w:color="auto"/>
        <w:left w:val="none" w:sz="0" w:space="0" w:color="auto"/>
        <w:bottom w:val="none" w:sz="0" w:space="0" w:color="auto"/>
        <w:right w:val="none" w:sz="0" w:space="0" w:color="auto"/>
      </w:divBdr>
    </w:div>
    <w:div w:id="628633617">
      <w:bodyDiv w:val="1"/>
      <w:marLeft w:val="0"/>
      <w:marRight w:val="0"/>
      <w:marTop w:val="0"/>
      <w:marBottom w:val="0"/>
      <w:divBdr>
        <w:top w:val="none" w:sz="0" w:space="0" w:color="auto"/>
        <w:left w:val="none" w:sz="0" w:space="0" w:color="auto"/>
        <w:bottom w:val="none" w:sz="0" w:space="0" w:color="auto"/>
        <w:right w:val="none" w:sz="0" w:space="0" w:color="auto"/>
      </w:divBdr>
    </w:div>
    <w:div w:id="628706836">
      <w:bodyDiv w:val="1"/>
      <w:marLeft w:val="0"/>
      <w:marRight w:val="0"/>
      <w:marTop w:val="0"/>
      <w:marBottom w:val="0"/>
      <w:divBdr>
        <w:top w:val="none" w:sz="0" w:space="0" w:color="auto"/>
        <w:left w:val="none" w:sz="0" w:space="0" w:color="auto"/>
        <w:bottom w:val="none" w:sz="0" w:space="0" w:color="auto"/>
        <w:right w:val="none" w:sz="0" w:space="0" w:color="auto"/>
      </w:divBdr>
    </w:div>
    <w:div w:id="631902925">
      <w:bodyDiv w:val="1"/>
      <w:marLeft w:val="0"/>
      <w:marRight w:val="0"/>
      <w:marTop w:val="0"/>
      <w:marBottom w:val="0"/>
      <w:divBdr>
        <w:top w:val="none" w:sz="0" w:space="0" w:color="auto"/>
        <w:left w:val="none" w:sz="0" w:space="0" w:color="auto"/>
        <w:bottom w:val="none" w:sz="0" w:space="0" w:color="auto"/>
        <w:right w:val="none" w:sz="0" w:space="0" w:color="auto"/>
      </w:divBdr>
    </w:div>
    <w:div w:id="633868927">
      <w:bodyDiv w:val="1"/>
      <w:marLeft w:val="0"/>
      <w:marRight w:val="0"/>
      <w:marTop w:val="0"/>
      <w:marBottom w:val="0"/>
      <w:divBdr>
        <w:top w:val="none" w:sz="0" w:space="0" w:color="auto"/>
        <w:left w:val="none" w:sz="0" w:space="0" w:color="auto"/>
        <w:bottom w:val="none" w:sz="0" w:space="0" w:color="auto"/>
        <w:right w:val="none" w:sz="0" w:space="0" w:color="auto"/>
      </w:divBdr>
    </w:div>
    <w:div w:id="636758368">
      <w:bodyDiv w:val="1"/>
      <w:marLeft w:val="0"/>
      <w:marRight w:val="0"/>
      <w:marTop w:val="0"/>
      <w:marBottom w:val="0"/>
      <w:divBdr>
        <w:top w:val="none" w:sz="0" w:space="0" w:color="auto"/>
        <w:left w:val="none" w:sz="0" w:space="0" w:color="auto"/>
        <w:bottom w:val="none" w:sz="0" w:space="0" w:color="auto"/>
        <w:right w:val="none" w:sz="0" w:space="0" w:color="auto"/>
      </w:divBdr>
    </w:div>
    <w:div w:id="636839947">
      <w:bodyDiv w:val="1"/>
      <w:marLeft w:val="0"/>
      <w:marRight w:val="0"/>
      <w:marTop w:val="0"/>
      <w:marBottom w:val="0"/>
      <w:divBdr>
        <w:top w:val="none" w:sz="0" w:space="0" w:color="auto"/>
        <w:left w:val="none" w:sz="0" w:space="0" w:color="auto"/>
        <w:bottom w:val="none" w:sz="0" w:space="0" w:color="auto"/>
        <w:right w:val="none" w:sz="0" w:space="0" w:color="auto"/>
      </w:divBdr>
    </w:div>
    <w:div w:id="636954755">
      <w:bodyDiv w:val="1"/>
      <w:marLeft w:val="0"/>
      <w:marRight w:val="0"/>
      <w:marTop w:val="0"/>
      <w:marBottom w:val="0"/>
      <w:divBdr>
        <w:top w:val="none" w:sz="0" w:space="0" w:color="auto"/>
        <w:left w:val="none" w:sz="0" w:space="0" w:color="auto"/>
        <w:bottom w:val="none" w:sz="0" w:space="0" w:color="auto"/>
        <w:right w:val="none" w:sz="0" w:space="0" w:color="auto"/>
      </w:divBdr>
    </w:div>
    <w:div w:id="637536435">
      <w:bodyDiv w:val="1"/>
      <w:marLeft w:val="0"/>
      <w:marRight w:val="0"/>
      <w:marTop w:val="0"/>
      <w:marBottom w:val="0"/>
      <w:divBdr>
        <w:top w:val="none" w:sz="0" w:space="0" w:color="auto"/>
        <w:left w:val="none" w:sz="0" w:space="0" w:color="auto"/>
        <w:bottom w:val="none" w:sz="0" w:space="0" w:color="auto"/>
        <w:right w:val="none" w:sz="0" w:space="0" w:color="auto"/>
      </w:divBdr>
    </w:div>
    <w:div w:id="638148819">
      <w:bodyDiv w:val="1"/>
      <w:marLeft w:val="0"/>
      <w:marRight w:val="0"/>
      <w:marTop w:val="0"/>
      <w:marBottom w:val="0"/>
      <w:divBdr>
        <w:top w:val="none" w:sz="0" w:space="0" w:color="auto"/>
        <w:left w:val="none" w:sz="0" w:space="0" w:color="auto"/>
        <w:bottom w:val="none" w:sz="0" w:space="0" w:color="auto"/>
        <w:right w:val="none" w:sz="0" w:space="0" w:color="auto"/>
      </w:divBdr>
    </w:div>
    <w:div w:id="640039407">
      <w:bodyDiv w:val="1"/>
      <w:marLeft w:val="0"/>
      <w:marRight w:val="0"/>
      <w:marTop w:val="0"/>
      <w:marBottom w:val="0"/>
      <w:divBdr>
        <w:top w:val="none" w:sz="0" w:space="0" w:color="auto"/>
        <w:left w:val="none" w:sz="0" w:space="0" w:color="auto"/>
        <w:bottom w:val="none" w:sz="0" w:space="0" w:color="auto"/>
        <w:right w:val="none" w:sz="0" w:space="0" w:color="auto"/>
      </w:divBdr>
    </w:div>
    <w:div w:id="640573334">
      <w:bodyDiv w:val="1"/>
      <w:marLeft w:val="0"/>
      <w:marRight w:val="0"/>
      <w:marTop w:val="0"/>
      <w:marBottom w:val="0"/>
      <w:divBdr>
        <w:top w:val="none" w:sz="0" w:space="0" w:color="auto"/>
        <w:left w:val="none" w:sz="0" w:space="0" w:color="auto"/>
        <w:bottom w:val="none" w:sz="0" w:space="0" w:color="auto"/>
        <w:right w:val="none" w:sz="0" w:space="0" w:color="auto"/>
      </w:divBdr>
    </w:div>
    <w:div w:id="640695510">
      <w:bodyDiv w:val="1"/>
      <w:marLeft w:val="0"/>
      <w:marRight w:val="0"/>
      <w:marTop w:val="0"/>
      <w:marBottom w:val="0"/>
      <w:divBdr>
        <w:top w:val="none" w:sz="0" w:space="0" w:color="auto"/>
        <w:left w:val="none" w:sz="0" w:space="0" w:color="auto"/>
        <w:bottom w:val="none" w:sz="0" w:space="0" w:color="auto"/>
        <w:right w:val="none" w:sz="0" w:space="0" w:color="auto"/>
      </w:divBdr>
    </w:div>
    <w:div w:id="642541453">
      <w:bodyDiv w:val="1"/>
      <w:marLeft w:val="0"/>
      <w:marRight w:val="0"/>
      <w:marTop w:val="0"/>
      <w:marBottom w:val="0"/>
      <w:divBdr>
        <w:top w:val="none" w:sz="0" w:space="0" w:color="auto"/>
        <w:left w:val="none" w:sz="0" w:space="0" w:color="auto"/>
        <w:bottom w:val="none" w:sz="0" w:space="0" w:color="auto"/>
        <w:right w:val="none" w:sz="0" w:space="0" w:color="auto"/>
      </w:divBdr>
    </w:div>
    <w:div w:id="644625478">
      <w:bodyDiv w:val="1"/>
      <w:marLeft w:val="0"/>
      <w:marRight w:val="0"/>
      <w:marTop w:val="0"/>
      <w:marBottom w:val="0"/>
      <w:divBdr>
        <w:top w:val="none" w:sz="0" w:space="0" w:color="auto"/>
        <w:left w:val="none" w:sz="0" w:space="0" w:color="auto"/>
        <w:bottom w:val="none" w:sz="0" w:space="0" w:color="auto"/>
        <w:right w:val="none" w:sz="0" w:space="0" w:color="auto"/>
      </w:divBdr>
    </w:div>
    <w:div w:id="644699242">
      <w:bodyDiv w:val="1"/>
      <w:marLeft w:val="0"/>
      <w:marRight w:val="0"/>
      <w:marTop w:val="0"/>
      <w:marBottom w:val="0"/>
      <w:divBdr>
        <w:top w:val="none" w:sz="0" w:space="0" w:color="auto"/>
        <w:left w:val="none" w:sz="0" w:space="0" w:color="auto"/>
        <w:bottom w:val="none" w:sz="0" w:space="0" w:color="auto"/>
        <w:right w:val="none" w:sz="0" w:space="0" w:color="auto"/>
      </w:divBdr>
    </w:div>
    <w:div w:id="644896831">
      <w:bodyDiv w:val="1"/>
      <w:marLeft w:val="0"/>
      <w:marRight w:val="0"/>
      <w:marTop w:val="0"/>
      <w:marBottom w:val="0"/>
      <w:divBdr>
        <w:top w:val="none" w:sz="0" w:space="0" w:color="auto"/>
        <w:left w:val="none" w:sz="0" w:space="0" w:color="auto"/>
        <w:bottom w:val="none" w:sz="0" w:space="0" w:color="auto"/>
        <w:right w:val="none" w:sz="0" w:space="0" w:color="auto"/>
      </w:divBdr>
    </w:div>
    <w:div w:id="644898628">
      <w:bodyDiv w:val="1"/>
      <w:marLeft w:val="0"/>
      <w:marRight w:val="0"/>
      <w:marTop w:val="0"/>
      <w:marBottom w:val="0"/>
      <w:divBdr>
        <w:top w:val="none" w:sz="0" w:space="0" w:color="auto"/>
        <w:left w:val="none" w:sz="0" w:space="0" w:color="auto"/>
        <w:bottom w:val="none" w:sz="0" w:space="0" w:color="auto"/>
        <w:right w:val="none" w:sz="0" w:space="0" w:color="auto"/>
      </w:divBdr>
    </w:div>
    <w:div w:id="645356029">
      <w:bodyDiv w:val="1"/>
      <w:marLeft w:val="0"/>
      <w:marRight w:val="0"/>
      <w:marTop w:val="0"/>
      <w:marBottom w:val="0"/>
      <w:divBdr>
        <w:top w:val="none" w:sz="0" w:space="0" w:color="auto"/>
        <w:left w:val="none" w:sz="0" w:space="0" w:color="auto"/>
        <w:bottom w:val="none" w:sz="0" w:space="0" w:color="auto"/>
        <w:right w:val="none" w:sz="0" w:space="0" w:color="auto"/>
      </w:divBdr>
    </w:div>
    <w:div w:id="645622914">
      <w:bodyDiv w:val="1"/>
      <w:marLeft w:val="0"/>
      <w:marRight w:val="0"/>
      <w:marTop w:val="0"/>
      <w:marBottom w:val="0"/>
      <w:divBdr>
        <w:top w:val="none" w:sz="0" w:space="0" w:color="auto"/>
        <w:left w:val="none" w:sz="0" w:space="0" w:color="auto"/>
        <w:bottom w:val="none" w:sz="0" w:space="0" w:color="auto"/>
        <w:right w:val="none" w:sz="0" w:space="0" w:color="auto"/>
      </w:divBdr>
    </w:div>
    <w:div w:id="646671532">
      <w:bodyDiv w:val="1"/>
      <w:marLeft w:val="0"/>
      <w:marRight w:val="0"/>
      <w:marTop w:val="0"/>
      <w:marBottom w:val="0"/>
      <w:divBdr>
        <w:top w:val="none" w:sz="0" w:space="0" w:color="auto"/>
        <w:left w:val="none" w:sz="0" w:space="0" w:color="auto"/>
        <w:bottom w:val="none" w:sz="0" w:space="0" w:color="auto"/>
        <w:right w:val="none" w:sz="0" w:space="0" w:color="auto"/>
      </w:divBdr>
    </w:div>
    <w:div w:id="647590995">
      <w:bodyDiv w:val="1"/>
      <w:marLeft w:val="0"/>
      <w:marRight w:val="0"/>
      <w:marTop w:val="0"/>
      <w:marBottom w:val="0"/>
      <w:divBdr>
        <w:top w:val="none" w:sz="0" w:space="0" w:color="auto"/>
        <w:left w:val="none" w:sz="0" w:space="0" w:color="auto"/>
        <w:bottom w:val="none" w:sz="0" w:space="0" w:color="auto"/>
        <w:right w:val="none" w:sz="0" w:space="0" w:color="auto"/>
      </w:divBdr>
    </w:div>
    <w:div w:id="648242980">
      <w:bodyDiv w:val="1"/>
      <w:marLeft w:val="0"/>
      <w:marRight w:val="0"/>
      <w:marTop w:val="0"/>
      <w:marBottom w:val="0"/>
      <w:divBdr>
        <w:top w:val="none" w:sz="0" w:space="0" w:color="auto"/>
        <w:left w:val="none" w:sz="0" w:space="0" w:color="auto"/>
        <w:bottom w:val="none" w:sz="0" w:space="0" w:color="auto"/>
        <w:right w:val="none" w:sz="0" w:space="0" w:color="auto"/>
      </w:divBdr>
    </w:div>
    <w:div w:id="650523704">
      <w:bodyDiv w:val="1"/>
      <w:marLeft w:val="0"/>
      <w:marRight w:val="0"/>
      <w:marTop w:val="0"/>
      <w:marBottom w:val="0"/>
      <w:divBdr>
        <w:top w:val="none" w:sz="0" w:space="0" w:color="auto"/>
        <w:left w:val="none" w:sz="0" w:space="0" w:color="auto"/>
        <w:bottom w:val="none" w:sz="0" w:space="0" w:color="auto"/>
        <w:right w:val="none" w:sz="0" w:space="0" w:color="auto"/>
      </w:divBdr>
    </w:div>
    <w:div w:id="650524360">
      <w:bodyDiv w:val="1"/>
      <w:marLeft w:val="0"/>
      <w:marRight w:val="0"/>
      <w:marTop w:val="0"/>
      <w:marBottom w:val="0"/>
      <w:divBdr>
        <w:top w:val="none" w:sz="0" w:space="0" w:color="auto"/>
        <w:left w:val="none" w:sz="0" w:space="0" w:color="auto"/>
        <w:bottom w:val="none" w:sz="0" w:space="0" w:color="auto"/>
        <w:right w:val="none" w:sz="0" w:space="0" w:color="auto"/>
      </w:divBdr>
    </w:div>
    <w:div w:id="651183655">
      <w:bodyDiv w:val="1"/>
      <w:marLeft w:val="0"/>
      <w:marRight w:val="0"/>
      <w:marTop w:val="0"/>
      <w:marBottom w:val="0"/>
      <w:divBdr>
        <w:top w:val="none" w:sz="0" w:space="0" w:color="auto"/>
        <w:left w:val="none" w:sz="0" w:space="0" w:color="auto"/>
        <w:bottom w:val="none" w:sz="0" w:space="0" w:color="auto"/>
        <w:right w:val="none" w:sz="0" w:space="0" w:color="auto"/>
      </w:divBdr>
    </w:div>
    <w:div w:id="654603922">
      <w:bodyDiv w:val="1"/>
      <w:marLeft w:val="0"/>
      <w:marRight w:val="0"/>
      <w:marTop w:val="0"/>
      <w:marBottom w:val="0"/>
      <w:divBdr>
        <w:top w:val="none" w:sz="0" w:space="0" w:color="auto"/>
        <w:left w:val="none" w:sz="0" w:space="0" w:color="auto"/>
        <w:bottom w:val="none" w:sz="0" w:space="0" w:color="auto"/>
        <w:right w:val="none" w:sz="0" w:space="0" w:color="auto"/>
      </w:divBdr>
    </w:div>
    <w:div w:id="655114968">
      <w:bodyDiv w:val="1"/>
      <w:marLeft w:val="0"/>
      <w:marRight w:val="0"/>
      <w:marTop w:val="0"/>
      <w:marBottom w:val="0"/>
      <w:divBdr>
        <w:top w:val="none" w:sz="0" w:space="0" w:color="auto"/>
        <w:left w:val="none" w:sz="0" w:space="0" w:color="auto"/>
        <w:bottom w:val="none" w:sz="0" w:space="0" w:color="auto"/>
        <w:right w:val="none" w:sz="0" w:space="0" w:color="auto"/>
      </w:divBdr>
    </w:div>
    <w:div w:id="655694456">
      <w:bodyDiv w:val="1"/>
      <w:marLeft w:val="0"/>
      <w:marRight w:val="0"/>
      <w:marTop w:val="0"/>
      <w:marBottom w:val="0"/>
      <w:divBdr>
        <w:top w:val="none" w:sz="0" w:space="0" w:color="auto"/>
        <w:left w:val="none" w:sz="0" w:space="0" w:color="auto"/>
        <w:bottom w:val="none" w:sz="0" w:space="0" w:color="auto"/>
        <w:right w:val="none" w:sz="0" w:space="0" w:color="auto"/>
      </w:divBdr>
    </w:div>
    <w:div w:id="658733266">
      <w:bodyDiv w:val="1"/>
      <w:marLeft w:val="0"/>
      <w:marRight w:val="0"/>
      <w:marTop w:val="0"/>
      <w:marBottom w:val="0"/>
      <w:divBdr>
        <w:top w:val="none" w:sz="0" w:space="0" w:color="auto"/>
        <w:left w:val="none" w:sz="0" w:space="0" w:color="auto"/>
        <w:bottom w:val="none" w:sz="0" w:space="0" w:color="auto"/>
        <w:right w:val="none" w:sz="0" w:space="0" w:color="auto"/>
      </w:divBdr>
    </w:div>
    <w:div w:id="659040064">
      <w:bodyDiv w:val="1"/>
      <w:marLeft w:val="0"/>
      <w:marRight w:val="0"/>
      <w:marTop w:val="0"/>
      <w:marBottom w:val="0"/>
      <w:divBdr>
        <w:top w:val="none" w:sz="0" w:space="0" w:color="auto"/>
        <w:left w:val="none" w:sz="0" w:space="0" w:color="auto"/>
        <w:bottom w:val="none" w:sz="0" w:space="0" w:color="auto"/>
        <w:right w:val="none" w:sz="0" w:space="0" w:color="auto"/>
      </w:divBdr>
    </w:div>
    <w:div w:id="659505625">
      <w:bodyDiv w:val="1"/>
      <w:marLeft w:val="0"/>
      <w:marRight w:val="0"/>
      <w:marTop w:val="0"/>
      <w:marBottom w:val="0"/>
      <w:divBdr>
        <w:top w:val="none" w:sz="0" w:space="0" w:color="auto"/>
        <w:left w:val="none" w:sz="0" w:space="0" w:color="auto"/>
        <w:bottom w:val="none" w:sz="0" w:space="0" w:color="auto"/>
        <w:right w:val="none" w:sz="0" w:space="0" w:color="auto"/>
      </w:divBdr>
    </w:div>
    <w:div w:id="660238864">
      <w:bodyDiv w:val="1"/>
      <w:marLeft w:val="0"/>
      <w:marRight w:val="0"/>
      <w:marTop w:val="0"/>
      <w:marBottom w:val="0"/>
      <w:divBdr>
        <w:top w:val="none" w:sz="0" w:space="0" w:color="auto"/>
        <w:left w:val="none" w:sz="0" w:space="0" w:color="auto"/>
        <w:bottom w:val="none" w:sz="0" w:space="0" w:color="auto"/>
        <w:right w:val="none" w:sz="0" w:space="0" w:color="auto"/>
      </w:divBdr>
    </w:div>
    <w:div w:id="660621825">
      <w:bodyDiv w:val="1"/>
      <w:marLeft w:val="0"/>
      <w:marRight w:val="0"/>
      <w:marTop w:val="0"/>
      <w:marBottom w:val="0"/>
      <w:divBdr>
        <w:top w:val="none" w:sz="0" w:space="0" w:color="auto"/>
        <w:left w:val="none" w:sz="0" w:space="0" w:color="auto"/>
        <w:bottom w:val="none" w:sz="0" w:space="0" w:color="auto"/>
        <w:right w:val="none" w:sz="0" w:space="0" w:color="auto"/>
      </w:divBdr>
    </w:div>
    <w:div w:id="661466579">
      <w:bodyDiv w:val="1"/>
      <w:marLeft w:val="0"/>
      <w:marRight w:val="0"/>
      <w:marTop w:val="0"/>
      <w:marBottom w:val="0"/>
      <w:divBdr>
        <w:top w:val="none" w:sz="0" w:space="0" w:color="auto"/>
        <w:left w:val="none" w:sz="0" w:space="0" w:color="auto"/>
        <w:bottom w:val="none" w:sz="0" w:space="0" w:color="auto"/>
        <w:right w:val="none" w:sz="0" w:space="0" w:color="auto"/>
      </w:divBdr>
    </w:div>
    <w:div w:id="663360074">
      <w:bodyDiv w:val="1"/>
      <w:marLeft w:val="0"/>
      <w:marRight w:val="0"/>
      <w:marTop w:val="0"/>
      <w:marBottom w:val="0"/>
      <w:divBdr>
        <w:top w:val="none" w:sz="0" w:space="0" w:color="auto"/>
        <w:left w:val="none" w:sz="0" w:space="0" w:color="auto"/>
        <w:bottom w:val="none" w:sz="0" w:space="0" w:color="auto"/>
        <w:right w:val="none" w:sz="0" w:space="0" w:color="auto"/>
      </w:divBdr>
    </w:div>
    <w:div w:id="663821399">
      <w:bodyDiv w:val="1"/>
      <w:marLeft w:val="0"/>
      <w:marRight w:val="0"/>
      <w:marTop w:val="0"/>
      <w:marBottom w:val="0"/>
      <w:divBdr>
        <w:top w:val="none" w:sz="0" w:space="0" w:color="auto"/>
        <w:left w:val="none" w:sz="0" w:space="0" w:color="auto"/>
        <w:bottom w:val="none" w:sz="0" w:space="0" w:color="auto"/>
        <w:right w:val="none" w:sz="0" w:space="0" w:color="auto"/>
      </w:divBdr>
    </w:div>
    <w:div w:id="664624377">
      <w:bodyDiv w:val="1"/>
      <w:marLeft w:val="0"/>
      <w:marRight w:val="0"/>
      <w:marTop w:val="0"/>
      <w:marBottom w:val="0"/>
      <w:divBdr>
        <w:top w:val="none" w:sz="0" w:space="0" w:color="auto"/>
        <w:left w:val="none" w:sz="0" w:space="0" w:color="auto"/>
        <w:bottom w:val="none" w:sz="0" w:space="0" w:color="auto"/>
        <w:right w:val="none" w:sz="0" w:space="0" w:color="auto"/>
      </w:divBdr>
    </w:div>
    <w:div w:id="664749250">
      <w:bodyDiv w:val="1"/>
      <w:marLeft w:val="0"/>
      <w:marRight w:val="0"/>
      <w:marTop w:val="0"/>
      <w:marBottom w:val="0"/>
      <w:divBdr>
        <w:top w:val="none" w:sz="0" w:space="0" w:color="auto"/>
        <w:left w:val="none" w:sz="0" w:space="0" w:color="auto"/>
        <w:bottom w:val="none" w:sz="0" w:space="0" w:color="auto"/>
        <w:right w:val="none" w:sz="0" w:space="0" w:color="auto"/>
      </w:divBdr>
    </w:div>
    <w:div w:id="665130770">
      <w:bodyDiv w:val="1"/>
      <w:marLeft w:val="0"/>
      <w:marRight w:val="0"/>
      <w:marTop w:val="0"/>
      <w:marBottom w:val="0"/>
      <w:divBdr>
        <w:top w:val="none" w:sz="0" w:space="0" w:color="auto"/>
        <w:left w:val="none" w:sz="0" w:space="0" w:color="auto"/>
        <w:bottom w:val="none" w:sz="0" w:space="0" w:color="auto"/>
        <w:right w:val="none" w:sz="0" w:space="0" w:color="auto"/>
      </w:divBdr>
    </w:div>
    <w:div w:id="665399465">
      <w:bodyDiv w:val="1"/>
      <w:marLeft w:val="0"/>
      <w:marRight w:val="0"/>
      <w:marTop w:val="0"/>
      <w:marBottom w:val="0"/>
      <w:divBdr>
        <w:top w:val="none" w:sz="0" w:space="0" w:color="auto"/>
        <w:left w:val="none" w:sz="0" w:space="0" w:color="auto"/>
        <w:bottom w:val="none" w:sz="0" w:space="0" w:color="auto"/>
        <w:right w:val="none" w:sz="0" w:space="0" w:color="auto"/>
      </w:divBdr>
    </w:div>
    <w:div w:id="666127464">
      <w:bodyDiv w:val="1"/>
      <w:marLeft w:val="0"/>
      <w:marRight w:val="0"/>
      <w:marTop w:val="0"/>
      <w:marBottom w:val="0"/>
      <w:divBdr>
        <w:top w:val="none" w:sz="0" w:space="0" w:color="auto"/>
        <w:left w:val="none" w:sz="0" w:space="0" w:color="auto"/>
        <w:bottom w:val="none" w:sz="0" w:space="0" w:color="auto"/>
        <w:right w:val="none" w:sz="0" w:space="0" w:color="auto"/>
      </w:divBdr>
    </w:div>
    <w:div w:id="666328077">
      <w:bodyDiv w:val="1"/>
      <w:marLeft w:val="0"/>
      <w:marRight w:val="0"/>
      <w:marTop w:val="0"/>
      <w:marBottom w:val="0"/>
      <w:divBdr>
        <w:top w:val="none" w:sz="0" w:space="0" w:color="auto"/>
        <w:left w:val="none" w:sz="0" w:space="0" w:color="auto"/>
        <w:bottom w:val="none" w:sz="0" w:space="0" w:color="auto"/>
        <w:right w:val="none" w:sz="0" w:space="0" w:color="auto"/>
      </w:divBdr>
    </w:div>
    <w:div w:id="666901208">
      <w:bodyDiv w:val="1"/>
      <w:marLeft w:val="0"/>
      <w:marRight w:val="0"/>
      <w:marTop w:val="0"/>
      <w:marBottom w:val="0"/>
      <w:divBdr>
        <w:top w:val="none" w:sz="0" w:space="0" w:color="auto"/>
        <w:left w:val="none" w:sz="0" w:space="0" w:color="auto"/>
        <w:bottom w:val="none" w:sz="0" w:space="0" w:color="auto"/>
        <w:right w:val="none" w:sz="0" w:space="0" w:color="auto"/>
      </w:divBdr>
    </w:div>
    <w:div w:id="667947886">
      <w:bodyDiv w:val="1"/>
      <w:marLeft w:val="0"/>
      <w:marRight w:val="0"/>
      <w:marTop w:val="0"/>
      <w:marBottom w:val="0"/>
      <w:divBdr>
        <w:top w:val="none" w:sz="0" w:space="0" w:color="auto"/>
        <w:left w:val="none" w:sz="0" w:space="0" w:color="auto"/>
        <w:bottom w:val="none" w:sz="0" w:space="0" w:color="auto"/>
        <w:right w:val="none" w:sz="0" w:space="0" w:color="auto"/>
      </w:divBdr>
    </w:div>
    <w:div w:id="668484175">
      <w:bodyDiv w:val="1"/>
      <w:marLeft w:val="0"/>
      <w:marRight w:val="0"/>
      <w:marTop w:val="0"/>
      <w:marBottom w:val="0"/>
      <w:divBdr>
        <w:top w:val="none" w:sz="0" w:space="0" w:color="auto"/>
        <w:left w:val="none" w:sz="0" w:space="0" w:color="auto"/>
        <w:bottom w:val="none" w:sz="0" w:space="0" w:color="auto"/>
        <w:right w:val="none" w:sz="0" w:space="0" w:color="auto"/>
      </w:divBdr>
    </w:div>
    <w:div w:id="668562067">
      <w:bodyDiv w:val="1"/>
      <w:marLeft w:val="0"/>
      <w:marRight w:val="0"/>
      <w:marTop w:val="0"/>
      <w:marBottom w:val="0"/>
      <w:divBdr>
        <w:top w:val="none" w:sz="0" w:space="0" w:color="auto"/>
        <w:left w:val="none" w:sz="0" w:space="0" w:color="auto"/>
        <w:bottom w:val="none" w:sz="0" w:space="0" w:color="auto"/>
        <w:right w:val="none" w:sz="0" w:space="0" w:color="auto"/>
      </w:divBdr>
    </w:div>
    <w:div w:id="669020226">
      <w:bodyDiv w:val="1"/>
      <w:marLeft w:val="0"/>
      <w:marRight w:val="0"/>
      <w:marTop w:val="0"/>
      <w:marBottom w:val="0"/>
      <w:divBdr>
        <w:top w:val="none" w:sz="0" w:space="0" w:color="auto"/>
        <w:left w:val="none" w:sz="0" w:space="0" w:color="auto"/>
        <w:bottom w:val="none" w:sz="0" w:space="0" w:color="auto"/>
        <w:right w:val="none" w:sz="0" w:space="0" w:color="auto"/>
      </w:divBdr>
    </w:div>
    <w:div w:id="669259903">
      <w:bodyDiv w:val="1"/>
      <w:marLeft w:val="0"/>
      <w:marRight w:val="0"/>
      <w:marTop w:val="0"/>
      <w:marBottom w:val="0"/>
      <w:divBdr>
        <w:top w:val="none" w:sz="0" w:space="0" w:color="auto"/>
        <w:left w:val="none" w:sz="0" w:space="0" w:color="auto"/>
        <w:bottom w:val="none" w:sz="0" w:space="0" w:color="auto"/>
        <w:right w:val="none" w:sz="0" w:space="0" w:color="auto"/>
      </w:divBdr>
    </w:div>
    <w:div w:id="670328091">
      <w:bodyDiv w:val="1"/>
      <w:marLeft w:val="0"/>
      <w:marRight w:val="0"/>
      <w:marTop w:val="0"/>
      <w:marBottom w:val="0"/>
      <w:divBdr>
        <w:top w:val="none" w:sz="0" w:space="0" w:color="auto"/>
        <w:left w:val="none" w:sz="0" w:space="0" w:color="auto"/>
        <w:bottom w:val="none" w:sz="0" w:space="0" w:color="auto"/>
        <w:right w:val="none" w:sz="0" w:space="0" w:color="auto"/>
      </w:divBdr>
    </w:div>
    <w:div w:id="670912967">
      <w:bodyDiv w:val="1"/>
      <w:marLeft w:val="0"/>
      <w:marRight w:val="0"/>
      <w:marTop w:val="0"/>
      <w:marBottom w:val="0"/>
      <w:divBdr>
        <w:top w:val="none" w:sz="0" w:space="0" w:color="auto"/>
        <w:left w:val="none" w:sz="0" w:space="0" w:color="auto"/>
        <w:bottom w:val="none" w:sz="0" w:space="0" w:color="auto"/>
        <w:right w:val="none" w:sz="0" w:space="0" w:color="auto"/>
      </w:divBdr>
    </w:div>
    <w:div w:id="671298132">
      <w:bodyDiv w:val="1"/>
      <w:marLeft w:val="0"/>
      <w:marRight w:val="0"/>
      <w:marTop w:val="0"/>
      <w:marBottom w:val="0"/>
      <w:divBdr>
        <w:top w:val="none" w:sz="0" w:space="0" w:color="auto"/>
        <w:left w:val="none" w:sz="0" w:space="0" w:color="auto"/>
        <w:bottom w:val="none" w:sz="0" w:space="0" w:color="auto"/>
        <w:right w:val="none" w:sz="0" w:space="0" w:color="auto"/>
      </w:divBdr>
    </w:div>
    <w:div w:id="671957278">
      <w:bodyDiv w:val="1"/>
      <w:marLeft w:val="0"/>
      <w:marRight w:val="0"/>
      <w:marTop w:val="0"/>
      <w:marBottom w:val="0"/>
      <w:divBdr>
        <w:top w:val="none" w:sz="0" w:space="0" w:color="auto"/>
        <w:left w:val="none" w:sz="0" w:space="0" w:color="auto"/>
        <w:bottom w:val="none" w:sz="0" w:space="0" w:color="auto"/>
        <w:right w:val="none" w:sz="0" w:space="0" w:color="auto"/>
      </w:divBdr>
    </w:div>
    <w:div w:id="672491880">
      <w:bodyDiv w:val="1"/>
      <w:marLeft w:val="0"/>
      <w:marRight w:val="0"/>
      <w:marTop w:val="0"/>
      <w:marBottom w:val="0"/>
      <w:divBdr>
        <w:top w:val="none" w:sz="0" w:space="0" w:color="auto"/>
        <w:left w:val="none" w:sz="0" w:space="0" w:color="auto"/>
        <w:bottom w:val="none" w:sz="0" w:space="0" w:color="auto"/>
        <w:right w:val="none" w:sz="0" w:space="0" w:color="auto"/>
      </w:divBdr>
    </w:div>
    <w:div w:id="677923859">
      <w:bodyDiv w:val="1"/>
      <w:marLeft w:val="0"/>
      <w:marRight w:val="0"/>
      <w:marTop w:val="0"/>
      <w:marBottom w:val="0"/>
      <w:divBdr>
        <w:top w:val="none" w:sz="0" w:space="0" w:color="auto"/>
        <w:left w:val="none" w:sz="0" w:space="0" w:color="auto"/>
        <w:bottom w:val="none" w:sz="0" w:space="0" w:color="auto"/>
        <w:right w:val="none" w:sz="0" w:space="0" w:color="auto"/>
      </w:divBdr>
    </w:div>
    <w:div w:id="678772517">
      <w:bodyDiv w:val="1"/>
      <w:marLeft w:val="0"/>
      <w:marRight w:val="0"/>
      <w:marTop w:val="0"/>
      <w:marBottom w:val="0"/>
      <w:divBdr>
        <w:top w:val="none" w:sz="0" w:space="0" w:color="auto"/>
        <w:left w:val="none" w:sz="0" w:space="0" w:color="auto"/>
        <w:bottom w:val="none" w:sz="0" w:space="0" w:color="auto"/>
        <w:right w:val="none" w:sz="0" w:space="0" w:color="auto"/>
      </w:divBdr>
    </w:div>
    <w:div w:id="679091199">
      <w:bodyDiv w:val="1"/>
      <w:marLeft w:val="0"/>
      <w:marRight w:val="0"/>
      <w:marTop w:val="0"/>
      <w:marBottom w:val="0"/>
      <w:divBdr>
        <w:top w:val="none" w:sz="0" w:space="0" w:color="auto"/>
        <w:left w:val="none" w:sz="0" w:space="0" w:color="auto"/>
        <w:bottom w:val="none" w:sz="0" w:space="0" w:color="auto"/>
        <w:right w:val="none" w:sz="0" w:space="0" w:color="auto"/>
      </w:divBdr>
    </w:div>
    <w:div w:id="679965831">
      <w:bodyDiv w:val="1"/>
      <w:marLeft w:val="0"/>
      <w:marRight w:val="0"/>
      <w:marTop w:val="0"/>
      <w:marBottom w:val="0"/>
      <w:divBdr>
        <w:top w:val="none" w:sz="0" w:space="0" w:color="auto"/>
        <w:left w:val="none" w:sz="0" w:space="0" w:color="auto"/>
        <w:bottom w:val="none" w:sz="0" w:space="0" w:color="auto"/>
        <w:right w:val="none" w:sz="0" w:space="0" w:color="auto"/>
      </w:divBdr>
    </w:div>
    <w:div w:id="681471524">
      <w:bodyDiv w:val="1"/>
      <w:marLeft w:val="0"/>
      <w:marRight w:val="0"/>
      <w:marTop w:val="0"/>
      <w:marBottom w:val="0"/>
      <w:divBdr>
        <w:top w:val="none" w:sz="0" w:space="0" w:color="auto"/>
        <w:left w:val="none" w:sz="0" w:space="0" w:color="auto"/>
        <w:bottom w:val="none" w:sz="0" w:space="0" w:color="auto"/>
        <w:right w:val="none" w:sz="0" w:space="0" w:color="auto"/>
      </w:divBdr>
    </w:div>
    <w:div w:id="683365631">
      <w:bodyDiv w:val="1"/>
      <w:marLeft w:val="0"/>
      <w:marRight w:val="0"/>
      <w:marTop w:val="0"/>
      <w:marBottom w:val="0"/>
      <w:divBdr>
        <w:top w:val="none" w:sz="0" w:space="0" w:color="auto"/>
        <w:left w:val="none" w:sz="0" w:space="0" w:color="auto"/>
        <w:bottom w:val="none" w:sz="0" w:space="0" w:color="auto"/>
        <w:right w:val="none" w:sz="0" w:space="0" w:color="auto"/>
      </w:divBdr>
    </w:div>
    <w:div w:id="684212924">
      <w:bodyDiv w:val="1"/>
      <w:marLeft w:val="0"/>
      <w:marRight w:val="0"/>
      <w:marTop w:val="0"/>
      <w:marBottom w:val="0"/>
      <w:divBdr>
        <w:top w:val="none" w:sz="0" w:space="0" w:color="auto"/>
        <w:left w:val="none" w:sz="0" w:space="0" w:color="auto"/>
        <w:bottom w:val="none" w:sz="0" w:space="0" w:color="auto"/>
        <w:right w:val="none" w:sz="0" w:space="0" w:color="auto"/>
      </w:divBdr>
    </w:div>
    <w:div w:id="684867765">
      <w:bodyDiv w:val="1"/>
      <w:marLeft w:val="0"/>
      <w:marRight w:val="0"/>
      <w:marTop w:val="0"/>
      <w:marBottom w:val="0"/>
      <w:divBdr>
        <w:top w:val="none" w:sz="0" w:space="0" w:color="auto"/>
        <w:left w:val="none" w:sz="0" w:space="0" w:color="auto"/>
        <w:bottom w:val="none" w:sz="0" w:space="0" w:color="auto"/>
        <w:right w:val="none" w:sz="0" w:space="0" w:color="auto"/>
      </w:divBdr>
    </w:div>
    <w:div w:id="686059543">
      <w:bodyDiv w:val="1"/>
      <w:marLeft w:val="0"/>
      <w:marRight w:val="0"/>
      <w:marTop w:val="0"/>
      <w:marBottom w:val="0"/>
      <w:divBdr>
        <w:top w:val="none" w:sz="0" w:space="0" w:color="auto"/>
        <w:left w:val="none" w:sz="0" w:space="0" w:color="auto"/>
        <w:bottom w:val="none" w:sz="0" w:space="0" w:color="auto"/>
        <w:right w:val="none" w:sz="0" w:space="0" w:color="auto"/>
      </w:divBdr>
    </w:div>
    <w:div w:id="687676199">
      <w:bodyDiv w:val="1"/>
      <w:marLeft w:val="0"/>
      <w:marRight w:val="0"/>
      <w:marTop w:val="0"/>
      <w:marBottom w:val="0"/>
      <w:divBdr>
        <w:top w:val="none" w:sz="0" w:space="0" w:color="auto"/>
        <w:left w:val="none" w:sz="0" w:space="0" w:color="auto"/>
        <w:bottom w:val="none" w:sz="0" w:space="0" w:color="auto"/>
        <w:right w:val="none" w:sz="0" w:space="0" w:color="auto"/>
      </w:divBdr>
    </w:div>
    <w:div w:id="690492198">
      <w:bodyDiv w:val="1"/>
      <w:marLeft w:val="0"/>
      <w:marRight w:val="0"/>
      <w:marTop w:val="0"/>
      <w:marBottom w:val="0"/>
      <w:divBdr>
        <w:top w:val="none" w:sz="0" w:space="0" w:color="auto"/>
        <w:left w:val="none" w:sz="0" w:space="0" w:color="auto"/>
        <w:bottom w:val="none" w:sz="0" w:space="0" w:color="auto"/>
        <w:right w:val="none" w:sz="0" w:space="0" w:color="auto"/>
      </w:divBdr>
    </w:div>
    <w:div w:id="691303939">
      <w:bodyDiv w:val="1"/>
      <w:marLeft w:val="0"/>
      <w:marRight w:val="0"/>
      <w:marTop w:val="0"/>
      <w:marBottom w:val="0"/>
      <w:divBdr>
        <w:top w:val="none" w:sz="0" w:space="0" w:color="auto"/>
        <w:left w:val="none" w:sz="0" w:space="0" w:color="auto"/>
        <w:bottom w:val="none" w:sz="0" w:space="0" w:color="auto"/>
        <w:right w:val="none" w:sz="0" w:space="0" w:color="auto"/>
      </w:divBdr>
    </w:div>
    <w:div w:id="691419000">
      <w:bodyDiv w:val="1"/>
      <w:marLeft w:val="0"/>
      <w:marRight w:val="0"/>
      <w:marTop w:val="0"/>
      <w:marBottom w:val="0"/>
      <w:divBdr>
        <w:top w:val="none" w:sz="0" w:space="0" w:color="auto"/>
        <w:left w:val="none" w:sz="0" w:space="0" w:color="auto"/>
        <w:bottom w:val="none" w:sz="0" w:space="0" w:color="auto"/>
        <w:right w:val="none" w:sz="0" w:space="0" w:color="auto"/>
      </w:divBdr>
    </w:div>
    <w:div w:id="691494019">
      <w:bodyDiv w:val="1"/>
      <w:marLeft w:val="0"/>
      <w:marRight w:val="0"/>
      <w:marTop w:val="0"/>
      <w:marBottom w:val="0"/>
      <w:divBdr>
        <w:top w:val="none" w:sz="0" w:space="0" w:color="auto"/>
        <w:left w:val="none" w:sz="0" w:space="0" w:color="auto"/>
        <w:bottom w:val="none" w:sz="0" w:space="0" w:color="auto"/>
        <w:right w:val="none" w:sz="0" w:space="0" w:color="auto"/>
      </w:divBdr>
    </w:div>
    <w:div w:id="692682489">
      <w:bodyDiv w:val="1"/>
      <w:marLeft w:val="0"/>
      <w:marRight w:val="0"/>
      <w:marTop w:val="0"/>
      <w:marBottom w:val="0"/>
      <w:divBdr>
        <w:top w:val="none" w:sz="0" w:space="0" w:color="auto"/>
        <w:left w:val="none" w:sz="0" w:space="0" w:color="auto"/>
        <w:bottom w:val="none" w:sz="0" w:space="0" w:color="auto"/>
        <w:right w:val="none" w:sz="0" w:space="0" w:color="auto"/>
      </w:divBdr>
    </w:div>
    <w:div w:id="695084136">
      <w:bodyDiv w:val="1"/>
      <w:marLeft w:val="0"/>
      <w:marRight w:val="0"/>
      <w:marTop w:val="0"/>
      <w:marBottom w:val="0"/>
      <w:divBdr>
        <w:top w:val="none" w:sz="0" w:space="0" w:color="auto"/>
        <w:left w:val="none" w:sz="0" w:space="0" w:color="auto"/>
        <w:bottom w:val="none" w:sz="0" w:space="0" w:color="auto"/>
        <w:right w:val="none" w:sz="0" w:space="0" w:color="auto"/>
      </w:divBdr>
    </w:div>
    <w:div w:id="697123177">
      <w:bodyDiv w:val="1"/>
      <w:marLeft w:val="0"/>
      <w:marRight w:val="0"/>
      <w:marTop w:val="0"/>
      <w:marBottom w:val="0"/>
      <w:divBdr>
        <w:top w:val="none" w:sz="0" w:space="0" w:color="auto"/>
        <w:left w:val="none" w:sz="0" w:space="0" w:color="auto"/>
        <w:bottom w:val="none" w:sz="0" w:space="0" w:color="auto"/>
        <w:right w:val="none" w:sz="0" w:space="0" w:color="auto"/>
      </w:divBdr>
    </w:div>
    <w:div w:id="697124425">
      <w:bodyDiv w:val="1"/>
      <w:marLeft w:val="0"/>
      <w:marRight w:val="0"/>
      <w:marTop w:val="0"/>
      <w:marBottom w:val="0"/>
      <w:divBdr>
        <w:top w:val="none" w:sz="0" w:space="0" w:color="auto"/>
        <w:left w:val="none" w:sz="0" w:space="0" w:color="auto"/>
        <w:bottom w:val="none" w:sz="0" w:space="0" w:color="auto"/>
        <w:right w:val="none" w:sz="0" w:space="0" w:color="auto"/>
      </w:divBdr>
    </w:div>
    <w:div w:id="699166882">
      <w:bodyDiv w:val="1"/>
      <w:marLeft w:val="0"/>
      <w:marRight w:val="0"/>
      <w:marTop w:val="0"/>
      <w:marBottom w:val="0"/>
      <w:divBdr>
        <w:top w:val="none" w:sz="0" w:space="0" w:color="auto"/>
        <w:left w:val="none" w:sz="0" w:space="0" w:color="auto"/>
        <w:bottom w:val="none" w:sz="0" w:space="0" w:color="auto"/>
        <w:right w:val="none" w:sz="0" w:space="0" w:color="auto"/>
      </w:divBdr>
    </w:div>
    <w:div w:id="701367138">
      <w:bodyDiv w:val="1"/>
      <w:marLeft w:val="0"/>
      <w:marRight w:val="0"/>
      <w:marTop w:val="0"/>
      <w:marBottom w:val="0"/>
      <w:divBdr>
        <w:top w:val="none" w:sz="0" w:space="0" w:color="auto"/>
        <w:left w:val="none" w:sz="0" w:space="0" w:color="auto"/>
        <w:bottom w:val="none" w:sz="0" w:space="0" w:color="auto"/>
        <w:right w:val="none" w:sz="0" w:space="0" w:color="auto"/>
      </w:divBdr>
    </w:div>
    <w:div w:id="703211891">
      <w:bodyDiv w:val="1"/>
      <w:marLeft w:val="0"/>
      <w:marRight w:val="0"/>
      <w:marTop w:val="0"/>
      <w:marBottom w:val="0"/>
      <w:divBdr>
        <w:top w:val="none" w:sz="0" w:space="0" w:color="auto"/>
        <w:left w:val="none" w:sz="0" w:space="0" w:color="auto"/>
        <w:bottom w:val="none" w:sz="0" w:space="0" w:color="auto"/>
        <w:right w:val="none" w:sz="0" w:space="0" w:color="auto"/>
      </w:divBdr>
    </w:div>
    <w:div w:id="703362588">
      <w:bodyDiv w:val="1"/>
      <w:marLeft w:val="0"/>
      <w:marRight w:val="0"/>
      <w:marTop w:val="0"/>
      <w:marBottom w:val="0"/>
      <w:divBdr>
        <w:top w:val="none" w:sz="0" w:space="0" w:color="auto"/>
        <w:left w:val="none" w:sz="0" w:space="0" w:color="auto"/>
        <w:bottom w:val="none" w:sz="0" w:space="0" w:color="auto"/>
        <w:right w:val="none" w:sz="0" w:space="0" w:color="auto"/>
      </w:divBdr>
    </w:div>
    <w:div w:id="706176807">
      <w:bodyDiv w:val="1"/>
      <w:marLeft w:val="0"/>
      <w:marRight w:val="0"/>
      <w:marTop w:val="0"/>
      <w:marBottom w:val="0"/>
      <w:divBdr>
        <w:top w:val="none" w:sz="0" w:space="0" w:color="auto"/>
        <w:left w:val="none" w:sz="0" w:space="0" w:color="auto"/>
        <w:bottom w:val="none" w:sz="0" w:space="0" w:color="auto"/>
        <w:right w:val="none" w:sz="0" w:space="0" w:color="auto"/>
      </w:divBdr>
    </w:div>
    <w:div w:id="706955147">
      <w:bodyDiv w:val="1"/>
      <w:marLeft w:val="0"/>
      <w:marRight w:val="0"/>
      <w:marTop w:val="0"/>
      <w:marBottom w:val="0"/>
      <w:divBdr>
        <w:top w:val="none" w:sz="0" w:space="0" w:color="auto"/>
        <w:left w:val="none" w:sz="0" w:space="0" w:color="auto"/>
        <w:bottom w:val="none" w:sz="0" w:space="0" w:color="auto"/>
        <w:right w:val="none" w:sz="0" w:space="0" w:color="auto"/>
      </w:divBdr>
    </w:div>
    <w:div w:id="707489969">
      <w:bodyDiv w:val="1"/>
      <w:marLeft w:val="0"/>
      <w:marRight w:val="0"/>
      <w:marTop w:val="0"/>
      <w:marBottom w:val="0"/>
      <w:divBdr>
        <w:top w:val="none" w:sz="0" w:space="0" w:color="auto"/>
        <w:left w:val="none" w:sz="0" w:space="0" w:color="auto"/>
        <w:bottom w:val="none" w:sz="0" w:space="0" w:color="auto"/>
        <w:right w:val="none" w:sz="0" w:space="0" w:color="auto"/>
      </w:divBdr>
    </w:div>
    <w:div w:id="708719923">
      <w:bodyDiv w:val="1"/>
      <w:marLeft w:val="0"/>
      <w:marRight w:val="0"/>
      <w:marTop w:val="0"/>
      <w:marBottom w:val="0"/>
      <w:divBdr>
        <w:top w:val="none" w:sz="0" w:space="0" w:color="auto"/>
        <w:left w:val="none" w:sz="0" w:space="0" w:color="auto"/>
        <w:bottom w:val="none" w:sz="0" w:space="0" w:color="auto"/>
        <w:right w:val="none" w:sz="0" w:space="0" w:color="auto"/>
      </w:divBdr>
    </w:div>
    <w:div w:id="710346873">
      <w:bodyDiv w:val="1"/>
      <w:marLeft w:val="0"/>
      <w:marRight w:val="0"/>
      <w:marTop w:val="0"/>
      <w:marBottom w:val="0"/>
      <w:divBdr>
        <w:top w:val="none" w:sz="0" w:space="0" w:color="auto"/>
        <w:left w:val="none" w:sz="0" w:space="0" w:color="auto"/>
        <w:bottom w:val="none" w:sz="0" w:space="0" w:color="auto"/>
        <w:right w:val="none" w:sz="0" w:space="0" w:color="auto"/>
      </w:divBdr>
    </w:div>
    <w:div w:id="710492243">
      <w:bodyDiv w:val="1"/>
      <w:marLeft w:val="0"/>
      <w:marRight w:val="0"/>
      <w:marTop w:val="0"/>
      <w:marBottom w:val="0"/>
      <w:divBdr>
        <w:top w:val="none" w:sz="0" w:space="0" w:color="auto"/>
        <w:left w:val="none" w:sz="0" w:space="0" w:color="auto"/>
        <w:bottom w:val="none" w:sz="0" w:space="0" w:color="auto"/>
        <w:right w:val="none" w:sz="0" w:space="0" w:color="auto"/>
      </w:divBdr>
    </w:div>
    <w:div w:id="711348430">
      <w:bodyDiv w:val="1"/>
      <w:marLeft w:val="0"/>
      <w:marRight w:val="0"/>
      <w:marTop w:val="0"/>
      <w:marBottom w:val="0"/>
      <w:divBdr>
        <w:top w:val="none" w:sz="0" w:space="0" w:color="auto"/>
        <w:left w:val="none" w:sz="0" w:space="0" w:color="auto"/>
        <w:bottom w:val="none" w:sz="0" w:space="0" w:color="auto"/>
        <w:right w:val="none" w:sz="0" w:space="0" w:color="auto"/>
      </w:divBdr>
    </w:div>
    <w:div w:id="714934130">
      <w:bodyDiv w:val="1"/>
      <w:marLeft w:val="0"/>
      <w:marRight w:val="0"/>
      <w:marTop w:val="0"/>
      <w:marBottom w:val="0"/>
      <w:divBdr>
        <w:top w:val="none" w:sz="0" w:space="0" w:color="auto"/>
        <w:left w:val="none" w:sz="0" w:space="0" w:color="auto"/>
        <w:bottom w:val="none" w:sz="0" w:space="0" w:color="auto"/>
        <w:right w:val="none" w:sz="0" w:space="0" w:color="auto"/>
      </w:divBdr>
    </w:div>
    <w:div w:id="715007073">
      <w:bodyDiv w:val="1"/>
      <w:marLeft w:val="0"/>
      <w:marRight w:val="0"/>
      <w:marTop w:val="0"/>
      <w:marBottom w:val="0"/>
      <w:divBdr>
        <w:top w:val="none" w:sz="0" w:space="0" w:color="auto"/>
        <w:left w:val="none" w:sz="0" w:space="0" w:color="auto"/>
        <w:bottom w:val="none" w:sz="0" w:space="0" w:color="auto"/>
        <w:right w:val="none" w:sz="0" w:space="0" w:color="auto"/>
      </w:divBdr>
    </w:div>
    <w:div w:id="715198316">
      <w:bodyDiv w:val="1"/>
      <w:marLeft w:val="0"/>
      <w:marRight w:val="0"/>
      <w:marTop w:val="0"/>
      <w:marBottom w:val="0"/>
      <w:divBdr>
        <w:top w:val="none" w:sz="0" w:space="0" w:color="auto"/>
        <w:left w:val="none" w:sz="0" w:space="0" w:color="auto"/>
        <w:bottom w:val="none" w:sz="0" w:space="0" w:color="auto"/>
        <w:right w:val="none" w:sz="0" w:space="0" w:color="auto"/>
      </w:divBdr>
    </w:div>
    <w:div w:id="715547424">
      <w:bodyDiv w:val="1"/>
      <w:marLeft w:val="0"/>
      <w:marRight w:val="0"/>
      <w:marTop w:val="0"/>
      <w:marBottom w:val="0"/>
      <w:divBdr>
        <w:top w:val="none" w:sz="0" w:space="0" w:color="auto"/>
        <w:left w:val="none" w:sz="0" w:space="0" w:color="auto"/>
        <w:bottom w:val="none" w:sz="0" w:space="0" w:color="auto"/>
        <w:right w:val="none" w:sz="0" w:space="0" w:color="auto"/>
      </w:divBdr>
    </w:div>
    <w:div w:id="716200199">
      <w:bodyDiv w:val="1"/>
      <w:marLeft w:val="0"/>
      <w:marRight w:val="0"/>
      <w:marTop w:val="0"/>
      <w:marBottom w:val="0"/>
      <w:divBdr>
        <w:top w:val="none" w:sz="0" w:space="0" w:color="auto"/>
        <w:left w:val="none" w:sz="0" w:space="0" w:color="auto"/>
        <w:bottom w:val="none" w:sz="0" w:space="0" w:color="auto"/>
        <w:right w:val="none" w:sz="0" w:space="0" w:color="auto"/>
      </w:divBdr>
    </w:div>
    <w:div w:id="717634163">
      <w:bodyDiv w:val="1"/>
      <w:marLeft w:val="0"/>
      <w:marRight w:val="0"/>
      <w:marTop w:val="0"/>
      <w:marBottom w:val="0"/>
      <w:divBdr>
        <w:top w:val="none" w:sz="0" w:space="0" w:color="auto"/>
        <w:left w:val="none" w:sz="0" w:space="0" w:color="auto"/>
        <w:bottom w:val="none" w:sz="0" w:space="0" w:color="auto"/>
        <w:right w:val="none" w:sz="0" w:space="0" w:color="auto"/>
      </w:divBdr>
    </w:div>
    <w:div w:id="719282514">
      <w:bodyDiv w:val="1"/>
      <w:marLeft w:val="0"/>
      <w:marRight w:val="0"/>
      <w:marTop w:val="0"/>
      <w:marBottom w:val="0"/>
      <w:divBdr>
        <w:top w:val="none" w:sz="0" w:space="0" w:color="auto"/>
        <w:left w:val="none" w:sz="0" w:space="0" w:color="auto"/>
        <w:bottom w:val="none" w:sz="0" w:space="0" w:color="auto"/>
        <w:right w:val="none" w:sz="0" w:space="0" w:color="auto"/>
      </w:divBdr>
    </w:div>
    <w:div w:id="719523265">
      <w:bodyDiv w:val="1"/>
      <w:marLeft w:val="0"/>
      <w:marRight w:val="0"/>
      <w:marTop w:val="0"/>
      <w:marBottom w:val="0"/>
      <w:divBdr>
        <w:top w:val="none" w:sz="0" w:space="0" w:color="auto"/>
        <w:left w:val="none" w:sz="0" w:space="0" w:color="auto"/>
        <w:bottom w:val="none" w:sz="0" w:space="0" w:color="auto"/>
        <w:right w:val="none" w:sz="0" w:space="0" w:color="auto"/>
      </w:divBdr>
    </w:div>
    <w:div w:id="719742561">
      <w:bodyDiv w:val="1"/>
      <w:marLeft w:val="0"/>
      <w:marRight w:val="0"/>
      <w:marTop w:val="0"/>
      <w:marBottom w:val="0"/>
      <w:divBdr>
        <w:top w:val="none" w:sz="0" w:space="0" w:color="auto"/>
        <w:left w:val="none" w:sz="0" w:space="0" w:color="auto"/>
        <w:bottom w:val="none" w:sz="0" w:space="0" w:color="auto"/>
        <w:right w:val="none" w:sz="0" w:space="0" w:color="auto"/>
      </w:divBdr>
    </w:div>
    <w:div w:id="720136083">
      <w:bodyDiv w:val="1"/>
      <w:marLeft w:val="0"/>
      <w:marRight w:val="0"/>
      <w:marTop w:val="0"/>
      <w:marBottom w:val="0"/>
      <w:divBdr>
        <w:top w:val="none" w:sz="0" w:space="0" w:color="auto"/>
        <w:left w:val="none" w:sz="0" w:space="0" w:color="auto"/>
        <w:bottom w:val="none" w:sz="0" w:space="0" w:color="auto"/>
        <w:right w:val="none" w:sz="0" w:space="0" w:color="auto"/>
      </w:divBdr>
    </w:div>
    <w:div w:id="720982922">
      <w:bodyDiv w:val="1"/>
      <w:marLeft w:val="0"/>
      <w:marRight w:val="0"/>
      <w:marTop w:val="0"/>
      <w:marBottom w:val="0"/>
      <w:divBdr>
        <w:top w:val="none" w:sz="0" w:space="0" w:color="auto"/>
        <w:left w:val="none" w:sz="0" w:space="0" w:color="auto"/>
        <w:bottom w:val="none" w:sz="0" w:space="0" w:color="auto"/>
        <w:right w:val="none" w:sz="0" w:space="0" w:color="auto"/>
      </w:divBdr>
    </w:div>
    <w:div w:id="722682656">
      <w:bodyDiv w:val="1"/>
      <w:marLeft w:val="0"/>
      <w:marRight w:val="0"/>
      <w:marTop w:val="0"/>
      <w:marBottom w:val="0"/>
      <w:divBdr>
        <w:top w:val="none" w:sz="0" w:space="0" w:color="auto"/>
        <w:left w:val="none" w:sz="0" w:space="0" w:color="auto"/>
        <w:bottom w:val="none" w:sz="0" w:space="0" w:color="auto"/>
        <w:right w:val="none" w:sz="0" w:space="0" w:color="auto"/>
      </w:divBdr>
    </w:div>
    <w:div w:id="723023676">
      <w:bodyDiv w:val="1"/>
      <w:marLeft w:val="0"/>
      <w:marRight w:val="0"/>
      <w:marTop w:val="0"/>
      <w:marBottom w:val="0"/>
      <w:divBdr>
        <w:top w:val="none" w:sz="0" w:space="0" w:color="auto"/>
        <w:left w:val="none" w:sz="0" w:space="0" w:color="auto"/>
        <w:bottom w:val="none" w:sz="0" w:space="0" w:color="auto"/>
        <w:right w:val="none" w:sz="0" w:space="0" w:color="auto"/>
      </w:divBdr>
    </w:div>
    <w:div w:id="724646036">
      <w:bodyDiv w:val="1"/>
      <w:marLeft w:val="0"/>
      <w:marRight w:val="0"/>
      <w:marTop w:val="0"/>
      <w:marBottom w:val="0"/>
      <w:divBdr>
        <w:top w:val="none" w:sz="0" w:space="0" w:color="auto"/>
        <w:left w:val="none" w:sz="0" w:space="0" w:color="auto"/>
        <w:bottom w:val="none" w:sz="0" w:space="0" w:color="auto"/>
        <w:right w:val="none" w:sz="0" w:space="0" w:color="auto"/>
      </w:divBdr>
    </w:div>
    <w:div w:id="727218519">
      <w:bodyDiv w:val="1"/>
      <w:marLeft w:val="0"/>
      <w:marRight w:val="0"/>
      <w:marTop w:val="0"/>
      <w:marBottom w:val="0"/>
      <w:divBdr>
        <w:top w:val="none" w:sz="0" w:space="0" w:color="auto"/>
        <w:left w:val="none" w:sz="0" w:space="0" w:color="auto"/>
        <w:bottom w:val="none" w:sz="0" w:space="0" w:color="auto"/>
        <w:right w:val="none" w:sz="0" w:space="0" w:color="auto"/>
      </w:divBdr>
    </w:div>
    <w:div w:id="727414726">
      <w:bodyDiv w:val="1"/>
      <w:marLeft w:val="0"/>
      <w:marRight w:val="0"/>
      <w:marTop w:val="0"/>
      <w:marBottom w:val="0"/>
      <w:divBdr>
        <w:top w:val="none" w:sz="0" w:space="0" w:color="auto"/>
        <w:left w:val="none" w:sz="0" w:space="0" w:color="auto"/>
        <w:bottom w:val="none" w:sz="0" w:space="0" w:color="auto"/>
        <w:right w:val="none" w:sz="0" w:space="0" w:color="auto"/>
      </w:divBdr>
    </w:div>
    <w:div w:id="727802578">
      <w:bodyDiv w:val="1"/>
      <w:marLeft w:val="0"/>
      <w:marRight w:val="0"/>
      <w:marTop w:val="0"/>
      <w:marBottom w:val="0"/>
      <w:divBdr>
        <w:top w:val="none" w:sz="0" w:space="0" w:color="auto"/>
        <w:left w:val="none" w:sz="0" w:space="0" w:color="auto"/>
        <w:bottom w:val="none" w:sz="0" w:space="0" w:color="auto"/>
        <w:right w:val="none" w:sz="0" w:space="0" w:color="auto"/>
      </w:divBdr>
    </w:div>
    <w:div w:id="727996326">
      <w:bodyDiv w:val="1"/>
      <w:marLeft w:val="0"/>
      <w:marRight w:val="0"/>
      <w:marTop w:val="0"/>
      <w:marBottom w:val="0"/>
      <w:divBdr>
        <w:top w:val="none" w:sz="0" w:space="0" w:color="auto"/>
        <w:left w:val="none" w:sz="0" w:space="0" w:color="auto"/>
        <w:bottom w:val="none" w:sz="0" w:space="0" w:color="auto"/>
        <w:right w:val="none" w:sz="0" w:space="0" w:color="auto"/>
      </w:divBdr>
    </w:div>
    <w:div w:id="728115182">
      <w:bodyDiv w:val="1"/>
      <w:marLeft w:val="0"/>
      <w:marRight w:val="0"/>
      <w:marTop w:val="0"/>
      <w:marBottom w:val="0"/>
      <w:divBdr>
        <w:top w:val="none" w:sz="0" w:space="0" w:color="auto"/>
        <w:left w:val="none" w:sz="0" w:space="0" w:color="auto"/>
        <w:bottom w:val="none" w:sz="0" w:space="0" w:color="auto"/>
        <w:right w:val="none" w:sz="0" w:space="0" w:color="auto"/>
      </w:divBdr>
    </w:div>
    <w:div w:id="728573954">
      <w:bodyDiv w:val="1"/>
      <w:marLeft w:val="0"/>
      <w:marRight w:val="0"/>
      <w:marTop w:val="0"/>
      <w:marBottom w:val="0"/>
      <w:divBdr>
        <w:top w:val="none" w:sz="0" w:space="0" w:color="auto"/>
        <w:left w:val="none" w:sz="0" w:space="0" w:color="auto"/>
        <w:bottom w:val="none" w:sz="0" w:space="0" w:color="auto"/>
        <w:right w:val="none" w:sz="0" w:space="0" w:color="auto"/>
      </w:divBdr>
    </w:div>
    <w:div w:id="729429196">
      <w:bodyDiv w:val="1"/>
      <w:marLeft w:val="0"/>
      <w:marRight w:val="0"/>
      <w:marTop w:val="0"/>
      <w:marBottom w:val="0"/>
      <w:divBdr>
        <w:top w:val="none" w:sz="0" w:space="0" w:color="auto"/>
        <w:left w:val="none" w:sz="0" w:space="0" w:color="auto"/>
        <w:bottom w:val="none" w:sz="0" w:space="0" w:color="auto"/>
        <w:right w:val="none" w:sz="0" w:space="0" w:color="auto"/>
      </w:divBdr>
    </w:div>
    <w:div w:id="729886687">
      <w:bodyDiv w:val="1"/>
      <w:marLeft w:val="0"/>
      <w:marRight w:val="0"/>
      <w:marTop w:val="0"/>
      <w:marBottom w:val="0"/>
      <w:divBdr>
        <w:top w:val="none" w:sz="0" w:space="0" w:color="auto"/>
        <w:left w:val="none" w:sz="0" w:space="0" w:color="auto"/>
        <w:bottom w:val="none" w:sz="0" w:space="0" w:color="auto"/>
        <w:right w:val="none" w:sz="0" w:space="0" w:color="auto"/>
      </w:divBdr>
    </w:div>
    <w:div w:id="730349686">
      <w:bodyDiv w:val="1"/>
      <w:marLeft w:val="0"/>
      <w:marRight w:val="0"/>
      <w:marTop w:val="0"/>
      <w:marBottom w:val="0"/>
      <w:divBdr>
        <w:top w:val="none" w:sz="0" w:space="0" w:color="auto"/>
        <w:left w:val="none" w:sz="0" w:space="0" w:color="auto"/>
        <w:bottom w:val="none" w:sz="0" w:space="0" w:color="auto"/>
        <w:right w:val="none" w:sz="0" w:space="0" w:color="auto"/>
      </w:divBdr>
    </w:div>
    <w:div w:id="730618501">
      <w:bodyDiv w:val="1"/>
      <w:marLeft w:val="0"/>
      <w:marRight w:val="0"/>
      <w:marTop w:val="0"/>
      <w:marBottom w:val="0"/>
      <w:divBdr>
        <w:top w:val="none" w:sz="0" w:space="0" w:color="auto"/>
        <w:left w:val="none" w:sz="0" w:space="0" w:color="auto"/>
        <w:bottom w:val="none" w:sz="0" w:space="0" w:color="auto"/>
        <w:right w:val="none" w:sz="0" w:space="0" w:color="auto"/>
      </w:divBdr>
    </w:div>
    <w:div w:id="731654757">
      <w:bodyDiv w:val="1"/>
      <w:marLeft w:val="0"/>
      <w:marRight w:val="0"/>
      <w:marTop w:val="0"/>
      <w:marBottom w:val="0"/>
      <w:divBdr>
        <w:top w:val="none" w:sz="0" w:space="0" w:color="auto"/>
        <w:left w:val="none" w:sz="0" w:space="0" w:color="auto"/>
        <w:bottom w:val="none" w:sz="0" w:space="0" w:color="auto"/>
        <w:right w:val="none" w:sz="0" w:space="0" w:color="auto"/>
      </w:divBdr>
    </w:div>
    <w:div w:id="733161607">
      <w:bodyDiv w:val="1"/>
      <w:marLeft w:val="0"/>
      <w:marRight w:val="0"/>
      <w:marTop w:val="0"/>
      <w:marBottom w:val="0"/>
      <w:divBdr>
        <w:top w:val="none" w:sz="0" w:space="0" w:color="auto"/>
        <w:left w:val="none" w:sz="0" w:space="0" w:color="auto"/>
        <w:bottom w:val="none" w:sz="0" w:space="0" w:color="auto"/>
        <w:right w:val="none" w:sz="0" w:space="0" w:color="auto"/>
      </w:divBdr>
    </w:div>
    <w:div w:id="733620124">
      <w:bodyDiv w:val="1"/>
      <w:marLeft w:val="0"/>
      <w:marRight w:val="0"/>
      <w:marTop w:val="0"/>
      <w:marBottom w:val="0"/>
      <w:divBdr>
        <w:top w:val="none" w:sz="0" w:space="0" w:color="auto"/>
        <w:left w:val="none" w:sz="0" w:space="0" w:color="auto"/>
        <w:bottom w:val="none" w:sz="0" w:space="0" w:color="auto"/>
        <w:right w:val="none" w:sz="0" w:space="0" w:color="auto"/>
      </w:divBdr>
    </w:div>
    <w:div w:id="734548984">
      <w:bodyDiv w:val="1"/>
      <w:marLeft w:val="0"/>
      <w:marRight w:val="0"/>
      <w:marTop w:val="0"/>
      <w:marBottom w:val="0"/>
      <w:divBdr>
        <w:top w:val="none" w:sz="0" w:space="0" w:color="auto"/>
        <w:left w:val="none" w:sz="0" w:space="0" w:color="auto"/>
        <w:bottom w:val="none" w:sz="0" w:space="0" w:color="auto"/>
        <w:right w:val="none" w:sz="0" w:space="0" w:color="auto"/>
      </w:divBdr>
    </w:div>
    <w:div w:id="735469126">
      <w:bodyDiv w:val="1"/>
      <w:marLeft w:val="0"/>
      <w:marRight w:val="0"/>
      <w:marTop w:val="0"/>
      <w:marBottom w:val="0"/>
      <w:divBdr>
        <w:top w:val="none" w:sz="0" w:space="0" w:color="auto"/>
        <w:left w:val="none" w:sz="0" w:space="0" w:color="auto"/>
        <w:bottom w:val="none" w:sz="0" w:space="0" w:color="auto"/>
        <w:right w:val="none" w:sz="0" w:space="0" w:color="auto"/>
      </w:divBdr>
    </w:div>
    <w:div w:id="735469176">
      <w:bodyDiv w:val="1"/>
      <w:marLeft w:val="0"/>
      <w:marRight w:val="0"/>
      <w:marTop w:val="0"/>
      <w:marBottom w:val="0"/>
      <w:divBdr>
        <w:top w:val="none" w:sz="0" w:space="0" w:color="auto"/>
        <w:left w:val="none" w:sz="0" w:space="0" w:color="auto"/>
        <w:bottom w:val="none" w:sz="0" w:space="0" w:color="auto"/>
        <w:right w:val="none" w:sz="0" w:space="0" w:color="auto"/>
      </w:divBdr>
    </w:div>
    <w:div w:id="737703931">
      <w:bodyDiv w:val="1"/>
      <w:marLeft w:val="0"/>
      <w:marRight w:val="0"/>
      <w:marTop w:val="0"/>
      <w:marBottom w:val="0"/>
      <w:divBdr>
        <w:top w:val="none" w:sz="0" w:space="0" w:color="auto"/>
        <w:left w:val="none" w:sz="0" w:space="0" w:color="auto"/>
        <w:bottom w:val="none" w:sz="0" w:space="0" w:color="auto"/>
        <w:right w:val="none" w:sz="0" w:space="0" w:color="auto"/>
      </w:divBdr>
    </w:div>
    <w:div w:id="737941101">
      <w:bodyDiv w:val="1"/>
      <w:marLeft w:val="0"/>
      <w:marRight w:val="0"/>
      <w:marTop w:val="0"/>
      <w:marBottom w:val="0"/>
      <w:divBdr>
        <w:top w:val="none" w:sz="0" w:space="0" w:color="auto"/>
        <w:left w:val="none" w:sz="0" w:space="0" w:color="auto"/>
        <w:bottom w:val="none" w:sz="0" w:space="0" w:color="auto"/>
        <w:right w:val="none" w:sz="0" w:space="0" w:color="auto"/>
      </w:divBdr>
    </w:div>
    <w:div w:id="738135333">
      <w:bodyDiv w:val="1"/>
      <w:marLeft w:val="0"/>
      <w:marRight w:val="0"/>
      <w:marTop w:val="0"/>
      <w:marBottom w:val="0"/>
      <w:divBdr>
        <w:top w:val="none" w:sz="0" w:space="0" w:color="auto"/>
        <w:left w:val="none" w:sz="0" w:space="0" w:color="auto"/>
        <w:bottom w:val="none" w:sz="0" w:space="0" w:color="auto"/>
        <w:right w:val="none" w:sz="0" w:space="0" w:color="auto"/>
      </w:divBdr>
    </w:div>
    <w:div w:id="740908319">
      <w:bodyDiv w:val="1"/>
      <w:marLeft w:val="0"/>
      <w:marRight w:val="0"/>
      <w:marTop w:val="0"/>
      <w:marBottom w:val="0"/>
      <w:divBdr>
        <w:top w:val="none" w:sz="0" w:space="0" w:color="auto"/>
        <w:left w:val="none" w:sz="0" w:space="0" w:color="auto"/>
        <w:bottom w:val="none" w:sz="0" w:space="0" w:color="auto"/>
        <w:right w:val="none" w:sz="0" w:space="0" w:color="auto"/>
      </w:divBdr>
    </w:div>
    <w:div w:id="741022979">
      <w:bodyDiv w:val="1"/>
      <w:marLeft w:val="0"/>
      <w:marRight w:val="0"/>
      <w:marTop w:val="0"/>
      <w:marBottom w:val="0"/>
      <w:divBdr>
        <w:top w:val="none" w:sz="0" w:space="0" w:color="auto"/>
        <w:left w:val="none" w:sz="0" w:space="0" w:color="auto"/>
        <w:bottom w:val="none" w:sz="0" w:space="0" w:color="auto"/>
        <w:right w:val="none" w:sz="0" w:space="0" w:color="auto"/>
      </w:divBdr>
    </w:div>
    <w:div w:id="741752313">
      <w:bodyDiv w:val="1"/>
      <w:marLeft w:val="0"/>
      <w:marRight w:val="0"/>
      <w:marTop w:val="0"/>
      <w:marBottom w:val="0"/>
      <w:divBdr>
        <w:top w:val="none" w:sz="0" w:space="0" w:color="auto"/>
        <w:left w:val="none" w:sz="0" w:space="0" w:color="auto"/>
        <w:bottom w:val="none" w:sz="0" w:space="0" w:color="auto"/>
        <w:right w:val="none" w:sz="0" w:space="0" w:color="auto"/>
      </w:divBdr>
    </w:div>
    <w:div w:id="742266114">
      <w:bodyDiv w:val="1"/>
      <w:marLeft w:val="0"/>
      <w:marRight w:val="0"/>
      <w:marTop w:val="0"/>
      <w:marBottom w:val="0"/>
      <w:divBdr>
        <w:top w:val="none" w:sz="0" w:space="0" w:color="auto"/>
        <w:left w:val="none" w:sz="0" w:space="0" w:color="auto"/>
        <w:bottom w:val="none" w:sz="0" w:space="0" w:color="auto"/>
        <w:right w:val="none" w:sz="0" w:space="0" w:color="auto"/>
      </w:divBdr>
    </w:div>
    <w:div w:id="742483362">
      <w:bodyDiv w:val="1"/>
      <w:marLeft w:val="0"/>
      <w:marRight w:val="0"/>
      <w:marTop w:val="0"/>
      <w:marBottom w:val="0"/>
      <w:divBdr>
        <w:top w:val="none" w:sz="0" w:space="0" w:color="auto"/>
        <w:left w:val="none" w:sz="0" w:space="0" w:color="auto"/>
        <w:bottom w:val="none" w:sz="0" w:space="0" w:color="auto"/>
        <w:right w:val="none" w:sz="0" w:space="0" w:color="auto"/>
      </w:divBdr>
    </w:div>
    <w:div w:id="742874117">
      <w:bodyDiv w:val="1"/>
      <w:marLeft w:val="0"/>
      <w:marRight w:val="0"/>
      <w:marTop w:val="0"/>
      <w:marBottom w:val="0"/>
      <w:divBdr>
        <w:top w:val="none" w:sz="0" w:space="0" w:color="auto"/>
        <w:left w:val="none" w:sz="0" w:space="0" w:color="auto"/>
        <w:bottom w:val="none" w:sz="0" w:space="0" w:color="auto"/>
        <w:right w:val="none" w:sz="0" w:space="0" w:color="auto"/>
      </w:divBdr>
    </w:div>
    <w:div w:id="742948271">
      <w:bodyDiv w:val="1"/>
      <w:marLeft w:val="0"/>
      <w:marRight w:val="0"/>
      <w:marTop w:val="0"/>
      <w:marBottom w:val="0"/>
      <w:divBdr>
        <w:top w:val="none" w:sz="0" w:space="0" w:color="auto"/>
        <w:left w:val="none" w:sz="0" w:space="0" w:color="auto"/>
        <w:bottom w:val="none" w:sz="0" w:space="0" w:color="auto"/>
        <w:right w:val="none" w:sz="0" w:space="0" w:color="auto"/>
      </w:divBdr>
    </w:div>
    <w:div w:id="743721266">
      <w:bodyDiv w:val="1"/>
      <w:marLeft w:val="0"/>
      <w:marRight w:val="0"/>
      <w:marTop w:val="0"/>
      <w:marBottom w:val="0"/>
      <w:divBdr>
        <w:top w:val="none" w:sz="0" w:space="0" w:color="auto"/>
        <w:left w:val="none" w:sz="0" w:space="0" w:color="auto"/>
        <w:bottom w:val="none" w:sz="0" w:space="0" w:color="auto"/>
        <w:right w:val="none" w:sz="0" w:space="0" w:color="auto"/>
      </w:divBdr>
    </w:div>
    <w:div w:id="744643664">
      <w:bodyDiv w:val="1"/>
      <w:marLeft w:val="0"/>
      <w:marRight w:val="0"/>
      <w:marTop w:val="0"/>
      <w:marBottom w:val="0"/>
      <w:divBdr>
        <w:top w:val="none" w:sz="0" w:space="0" w:color="auto"/>
        <w:left w:val="none" w:sz="0" w:space="0" w:color="auto"/>
        <w:bottom w:val="none" w:sz="0" w:space="0" w:color="auto"/>
        <w:right w:val="none" w:sz="0" w:space="0" w:color="auto"/>
      </w:divBdr>
    </w:div>
    <w:div w:id="744884307">
      <w:bodyDiv w:val="1"/>
      <w:marLeft w:val="0"/>
      <w:marRight w:val="0"/>
      <w:marTop w:val="0"/>
      <w:marBottom w:val="0"/>
      <w:divBdr>
        <w:top w:val="none" w:sz="0" w:space="0" w:color="auto"/>
        <w:left w:val="none" w:sz="0" w:space="0" w:color="auto"/>
        <w:bottom w:val="none" w:sz="0" w:space="0" w:color="auto"/>
        <w:right w:val="none" w:sz="0" w:space="0" w:color="auto"/>
      </w:divBdr>
    </w:div>
    <w:div w:id="745222012">
      <w:bodyDiv w:val="1"/>
      <w:marLeft w:val="0"/>
      <w:marRight w:val="0"/>
      <w:marTop w:val="0"/>
      <w:marBottom w:val="0"/>
      <w:divBdr>
        <w:top w:val="none" w:sz="0" w:space="0" w:color="auto"/>
        <w:left w:val="none" w:sz="0" w:space="0" w:color="auto"/>
        <w:bottom w:val="none" w:sz="0" w:space="0" w:color="auto"/>
        <w:right w:val="none" w:sz="0" w:space="0" w:color="auto"/>
      </w:divBdr>
    </w:div>
    <w:div w:id="745734563">
      <w:bodyDiv w:val="1"/>
      <w:marLeft w:val="0"/>
      <w:marRight w:val="0"/>
      <w:marTop w:val="0"/>
      <w:marBottom w:val="0"/>
      <w:divBdr>
        <w:top w:val="none" w:sz="0" w:space="0" w:color="auto"/>
        <w:left w:val="none" w:sz="0" w:space="0" w:color="auto"/>
        <w:bottom w:val="none" w:sz="0" w:space="0" w:color="auto"/>
        <w:right w:val="none" w:sz="0" w:space="0" w:color="auto"/>
      </w:divBdr>
    </w:div>
    <w:div w:id="745808905">
      <w:bodyDiv w:val="1"/>
      <w:marLeft w:val="0"/>
      <w:marRight w:val="0"/>
      <w:marTop w:val="0"/>
      <w:marBottom w:val="0"/>
      <w:divBdr>
        <w:top w:val="none" w:sz="0" w:space="0" w:color="auto"/>
        <w:left w:val="none" w:sz="0" w:space="0" w:color="auto"/>
        <w:bottom w:val="none" w:sz="0" w:space="0" w:color="auto"/>
        <w:right w:val="none" w:sz="0" w:space="0" w:color="auto"/>
      </w:divBdr>
    </w:div>
    <w:div w:id="746608044">
      <w:bodyDiv w:val="1"/>
      <w:marLeft w:val="0"/>
      <w:marRight w:val="0"/>
      <w:marTop w:val="0"/>
      <w:marBottom w:val="0"/>
      <w:divBdr>
        <w:top w:val="none" w:sz="0" w:space="0" w:color="auto"/>
        <w:left w:val="none" w:sz="0" w:space="0" w:color="auto"/>
        <w:bottom w:val="none" w:sz="0" w:space="0" w:color="auto"/>
        <w:right w:val="none" w:sz="0" w:space="0" w:color="auto"/>
      </w:divBdr>
    </w:div>
    <w:div w:id="747461164">
      <w:bodyDiv w:val="1"/>
      <w:marLeft w:val="0"/>
      <w:marRight w:val="0"/>
      <w:marTop w:val="0"/>
      <w:marBottom w:val="0"/>
      <w:divBdr>
        <w:top w:val="none" w:sz="0" w:space="0" w:color="auto"/>
        <w:left w:val="none" w:sz="0" w:space="0" w:color="auto"/>
        <w:bottom w:val="none" w:sz="0" w:space="0" w:color="auto"/>
        <w:right w:val="none" w:sz="0" w:space="0" w:color="auto"/>
      </w:divBdr>
    </w:div>
    <w:div w:id="747653009">
      <w:bodyDiv w:val="1"/>
      <w:marLeft w:val="0"/>
      <w:marRight w:val="0"/>
      <w:marTop w:val="0"/>
      <w:marBottom w:val="0"/>
      <w:divBdr>
        <w:top w:val="none" w:sz="0" w:space="0" w:color="auto"/>
        <w:left w:val="none" w:sz="0" w:space="0" w:color="auto"/>
        <w:bottom w:val="none" w:sz="0" w:space="0" w:color="auto"/>
        <w:right w:val="none" w:sz="0" w:space="0" w:color="auto"/>
      </w:divBdr>
    </w:div>
    <w:div w:id="748229679">
      <w:bodyDiv w:val="1"/>
      <w:marLeft w:val="0"/>
      <w:marRight w:val="0"/>
      <w:marTop w:val="0"/>
      <w:marBottom w:val="0"/>
      <w:divBdr>
        <w:top w:val="none" w:sz="0" w:space="0" w:color="auto"/>
        <w:left w:val="none" w:sz="0" w:space="0" w:color="auto"/>
        <w:bottom w:val="none" w:sz="0" w:space="0" w:color="auto"/>
        <w:right w:val="none" w:sz="0" w:space="0" w:color="auto"/>
      </w:divBdr>
    </w:div>
    <w:div w:id="749228977">
      <w:bodyDiv w:val="1"/>
      <w:marLeft w:val="0"/>
      <w:marRight w:val="0"/>
      <w:marTop w:val="0"/>
      <w:marBottom w:val="0"/>
      <w:divBdr>
        <w:top w:val="none" w:sz="0" w:space="0" w:color="auto"/>
        <w:left w:val="none" w:sz="0" w:space="0" w:color="auto"/>
        <w:bottom w:val="none" w:sz="0" w:space="0" w:color="auto"/>
        <w:right w:val="none" w:sz="0" w:space="0" w:color="auto"/>
      </w:divBdr>
    </w:div>
    <w:div w:id="750002496">
      <w:bodyDiv w:val="1"/>
      <w:marLeft w:val="0"/>
      <w:marRight w:val="0"/>
      <w:marTop w:val="0"/>
      <w:marBottom w:val="0"/>
      <w:divBdr>
        <w:top w:val="none" w:sz="0" w:space="0" w:color="auto"/>
        <w:left w:val="none" w:sz="0" w:space="0" w:color="auto"/>
        <w:bottom w:val="none" w:sz="0" w:space="0" w:color="auto"/>
        <w:right w:val="none" w:sz="0" w:space="0" w:color="auto"/>
      </w:divBdr>
    </w:div>
    <w:div w:id="750128274">
      <w:bodyDiv w:val="1"/>
      <w:marLeft w:val="0"/>
      <w:marRight w:val="0"/>
      <w:marTop w:val="0"/>
      <w:marBottom w:val="0"/>
      <w:divBdr>
        <w:top w:val="none" w:sz="0" w:space="0" w:color="auto"/>
        <w:left w:val="none" w:sz="0" w:space="0" w:color="auto"/>
        <w:bottom w:val="none" w:sz="0" w:space="0" w:color="auto"/>
        <w:right w:val="none" w:sz="0" w:space="0" w:color="auto"/>
      </w:divBdr>
    </w:div>
    <w:div w:id="750858927">
      <w:bodyDiv w:val="1"/>
      <w:marLeft w:val="0"/>
      <w:marRight w:val="0"/>
      <w:marTop w:val="0"/>
      <w:marBottom w:val="0"/>
      <w:divBdr>
        <w:top w:val="none" w:sz="0" w:space="0" w:color="auto"/>
        <w:left w:val="none" w:sz="0" w:space="0" w:color="auto"/>
        <w:bottom w:val="none" w:sz="0" w:space="0" w:color="auto"/>
        <w:right w:val="none" w:sz="0" w:space="0" w:color="auto"/>
      </w:divBdr>
    </w:div>
    <w:div w:id="750933549">
      <w:bodyDiv w:val="1"/>
      <w:marLeft w:val="0"/>
      <w:marRight w:val="0"/>
      <w:marTop w:val="0"/>
      <w:marBottom w:val="0"/>
      <w:divBdr>
        <w:top w:val="none" w:sz="0" w:space="0" w:color="auto"/>
        <w:left w:val="none" w:sz="0" w:space="0" w:color="auto"/>
        <w:bottom w:val="none" w:sz="0" w:space="0" w:color="auto"/>
        <w:right w:val="none" w:sz="0" w:space="0" w:color="auto"/>
      </w:divBdr>
    </w:div>
    <w:div w:id="751008399">
      <w:bodyDiv w:val="1"/>
      <w:marLeft w:val="0"/>
      <w:marRight w:val="0"/>
      <w:marTop w:val="0"/>
      <w:marBottom w:val="0"/>
      <w:divBdr>
        <w:top w:val="none" w:sz="0" w:space="0" w:color="auto"/>
        <w:left w:val="none" w:sz="0" w:space="0" w:color="auto"/>
        <w:bottom w:val="none" w:sz="0" w:space="0" w:color="auto"/>
        <w:right w:val="none" w:sz="0" w:space="0" w:color="auto"/>
      </w:divBdr>
    </w:div>
    <w:div w:id="751900298">
      <w:bodyDiv w:val="1"/>
      <w:marLeft w:val="0"/>
      <w:marRight w:val="0"/>
      <w:marTop w:val="0"/>
      <w:marBottom w:val="0"/>
      <w:divBdr>
        <w:top w:val="none" w:sz="0" w:space="0" w:color="auto"/>
        <w:left w:val="none" w:sz="0" w:space="0" w:color="auto"/>
        <w:bottom w:val="none" w:sz="0" w:space="0" w:color="auto"/>
        <w:right w:val="none" w:sz="0" w:space="0" w:color="auto"/>
      </w:divBdr>
    </w:div>
    <w:div w:id="753479094">
      <w:bodyDiv w:val="1"/>
      <w:marLeft w:val="0"/>
      <w:marRight w:val="0"/>
      <w:marTop w:val="0"/>
      <w:marBottom w:val="0"/>
      <w:divBdr>
        <w:top w:val="none" w:sz="0" w:space="0" w:color="auto"/>
        <w:left w:val="none" w:sz="0" w:space="0" w:color="auto"/>
        <w:bottom w:val="none" w:sz="0" w:space="0" w:color="auto"/>
        <w:right w:val="none" w:sz="0" w:space="0" w:color="auto"/>
      </w:divBdr>
    </w:div>
    <w:div w:id="753551536">
      <w:bodyDiv w:val="1"/>
      <w:marLeft w:val="0"/>
      <w:marRight w:val="0"/>
      <w:marTop w:val="0"/>
      <w:marBottom w:val="0"/>
      <w:divBdr>
        <w:top w:val="none" w:sz="0" w:space="0" w:color="auto"/>
        <w:left w:val="none" w:sz="0" w:space="0" w:color="auto"/>
        <w:bottom w:val="none" w:sz="0" w:space="0" w:color="auto"/>
        <w:right w:val="none" w:sz="0" w:space="0" w:color="auto"/>
      </w:divBdr>
    </w:div>
    <w:div w:id="753861645">
      <w:bodyDiv w:val="1"/>
      <w:marLeft w:val="0"/>
      <w:marRight w:val="0"/>
      <w:marTop w:val="0"/>
      <w:marBottom w:val="0"/>
      <w:divBdr>
        <w:top w:val="none" w:sz="0" w:space="0" w:color="auto"/>
        <w:left w:val="none" w:sz="0" w:space="0" w:color="auto"/>
        <w:bottom w:val="none" w:sz="0" w:space="0" w:color="auto"/>
        <w:right w:val="none" w:sz="0" w:space="0" w:color="auto"/>
      </w:divBdr>
    </w:div>
    <w:div w:id="755245176">
      <w:bodyDiv w:val="1"/>
      <w:marLeft w:val="0"/>
      <w:marRight w:val="0"/>
      <w:marTop w:val="0"/>
      <w:marBottom w:val="0"/>
      <w:divBdr>
        <w:top w:val="none" w:sz="0" w:space="0" w:color="auto"/>
        <w:left w:val="none" w:sz="0" w:space="0" w:color="auto"/>
        <w:bottom w:val="none" w:sz="0" w:space="0" w:color="auto"/>
        <w:right w:val="none" w:sz="0" w:space="0" w:color="auto"/>
      </w:divBdr>
    </w:div>
    <w:div w:id="755442178">
      <w:bodyDiv w:val="1"/>
      <w:marLeft w:val="0"/>
      <w:marRight w:val="0"/>
      <w:marTop w:val="0"/>
      <w:marBottom w:val="0"/>
      <w:divBdr>
        <w:top w:val="none" w:sz="0" w:space="0" w:color="auto"/>
        <w:left w:val="none" w:sz="0" w:space="0" w:color="auto"/>
        <w:bottom w:val="none" w:sz="0" w:space="0" w:color="auto"/>
        <w:right w:val="none" w:sz="0" w:space="0" w:color="auto"/>
      </w:divBdr>
    </w:div>
    <w:div w:id="758135255">
      <w:bodyDiv w:val="1"/>
      <w:marLeft w:val="0"/>
      <w:marRight w:val="0"/>
      <w:marTop w:val="0"/>
      <w:marBottom w:val="0"/>
      <w:divBdr>
        <w:top w:val="none" w:sz="0" w:space="0" w:color="auto"/>
        <w:left w:val="none" w:sz="0" w:space="0" w:color="auto"/>
        <w:bottom w:val="none" w:sz="0" w:space="0" w:color="auto"/>
        <w:right w:val="none" w:sz="0" w:space="0" w:color="auto"/>
      </w:divBdr>
    </w:div>
    <w:div w:id="758715247">
      <w:bodyDiv w:val="1"/>
      <w:marLeft w:val="0"/>
      <w:marRight w:val="0"/>
      <w:marTop w:val="0"/>
      <w:marBottom w:val="0"/>
      <w:divBdr>
        <w:top w:val="none" w:sz="0" w:space="0" w:color="auto"/>
        <w:left w:val="none" w:sz="0" w:space="0" w:color="auto"/>
        <w:bottom w:val="none" w:sz="0" w:space="0" w:color="auto"/>
        <w:right w:val="none" w:sz="0" w:space="0" w:color="auto"/>
      </w:divBdr>
    </w:div>
    <w:div w:id="759521242">
      <w:bodyDiv w:val="1"/>
      <w:marLeft w:val="0"/>
      <w:marRight w:val="0"/>
      <w:marTop w:val="0"/>
      <w:marBottom w:val="0"/>
      <w:divBdr>
        <w:top w:val="none" w:sz="0" w:space="0" w:color="auto"/>
        <w:left w:val="none" w:sz="0" w:space="0" w:color="auto"/>
        <w:bottom w:val="none" w:sz="0" w:space="0" w:color="auto"/>
        <w:right w:val="none" w:sz="0" w:space="0" w:color="auto"/>
      </w:divBdr>
    </w:div>
    <w:div w:id="760105568">
      <w:bodyDiv w:val="1"/>
      <w:marLeft w:val="0"/>
      <w:marRight w:val="0"/>
      <w:marTop w:val="0"/>
      <w:marBottom w:val="0"/>
      <w:divBdr>
        <w:top w:val="none" w:sz="0" w:space="0" w:color="auto"/>
        <w:left w:val="none" w:sz="0" w:space="0" w:color="auto"/>
        <w:bottom w:val="none" w:sz="0" w:space="0" w:color="auto"/>
        <w:right w:val="none" w:sz="0" w:space="0" w:color="auto"/>
      </w:divBdr>
    </w:div>
    <w:div w:id="760681196">
      <w:bodyDiv w:val="1"/>
      <w:marLeft w:val="0"/>
      <w:marRight w:val="0"/>
      <w:marTop w:val="0"/>
      <w:marBottom w:val="0"/>
      <w:divBdr>
        <w:top w:val="none" w:sz="0" w:space="0" w:color="auto"/>
        <w:left w:val="none" w:sz="0" w:space="0" w:color="auto"/>
        <w:bottom w:val="none" w:sz="0" w:space="0" w:color="auto"/>
        <w:right w:val="none" w:sz="0" w:space="0" w:color="auto"/>
      </w:divBdr>
    </w:div>
    <w:div w:id="763066794">
      <w:bodyDiv w:val="1"/>
      <w:marLeft w:val="0"/>
      <w:marRight w:val="0"/>
      <w:marTop w:val="0"/>
      <w:marBottom w:val="0"/>
      <w:divBdr>
        <w:top w:val="none" w:sz="0" w:space="0" w:color="auto"/>
        <w:left w:val="none" w:sz="0" w:space="0" w:color="auto"/>
        <w:bottom w:val="none" w:sz="0" w:space="0" w:color="auto"/>
        <w:right w:val="none" w:sz="0" w:space="0" w:color="auto"/>
      </w:divBdr>
    </w:div>
    <w:div w:id="763646402">
      <w:bodyDiv w:val="1"/>
      <w:marLeft w:val="0"/>
      <w:marRight w:val="0"/>
      <w:marTop w:val="0"/>
      <w:marBottom w:val="0"/>
      <w:divBdr>
        <w:top w:val="none" w:sz="0" w:space="0" w:color="auto"/>
        <w:left w:val="none" w:sz="0" w:space="0" w:color="auto"/>
        <w:bottom w:val="none" w:sz="0" w:space="0" w:color="auto"/>
        <w:right w:val="none" w:sz="0" w:space="0" w:color="auto"/>
      </w:divBdr>
    </w:div>
    <w:div w:id="764884235">
      <w:bodyDiv w:val="1"/>
      <w:marLeft w:val="0"/>
      <w:marRight w:val="0"/>
      <w:marTop w:val="0"/>
      <w:marBottom w:val="0"/>
      <w:divBdr>
        <w:top w:val="none" w:sz="0" w:space="0" w:color="auto"/>
        <w:left w:val="none" w:sz="0" w:space="0" w:color="auto"/>
        <w:bottom w:val="none" w:sz="0" w:space="0" w:color="auto"/>
        <w:right w:val="none" w:sz="0" w:space="0" w:color="auto"/>
      </w:divBdr>
    </w:div>
    <w:div w:id="764960044">
      <w:bodyDiv w:val="1"/>
      <w:marLeft w:val="0"/>
      <w:marRight w:val="0"/>
      <w:marTop w:val="0"/>
      <w:marBottom w:val="0"/>
      <w:divBdr>
        <w:top w:val="none" w:sz="0" w:space="0" w:color="auto"/>
        <w:left w:val="none" w:sz="0" w:space="0" w:color="auto"/>
        <w:bottom w:val="none" w:sz="0" w:space="0" w:color="auto"/>
        <w:right w:val="none" w:sz="0" w:space="0" w:color="auto"/>
      </w:divBdr>
    </w:div>
    <w:div w:id="766117156">
      <w:bodyDiv w:val="1"/>
      <w:marLeft w:val="0"/>
      <w:marRight w:val="0"/>
      <w:marTop w:val="0"/>
      <w:marBottom w:val="0"/>
      <w:divBdr>
        <w:top w:val="none" w:sz="0" w:space="0" w:color="auto"/>
        <w:left w:val="none" w:sz="0" w:space="0" w:color="auto"/>
        <w:bottom w:val="none" w:sz="0" w:space="0" w:color="auto"/>
        <w:right w:val="none" w:sz="0" w:space="0" w:color="auto"/>
      </w:divBdr>
    </w:div>
    <w:div w:id="766585647">
      <w:bodyDiv w:val="1"/>
      <w:marLeft w:val="0"/>
      <w:marRight w:val="0"/>
      <w:marTop w:val="0"/>
      <w:marBottom w:val="0"/>
      <w:divBdr>
        <w:top w:val="none" w:sz="0" w:space="0" w:color="auto"/>
        <w:left w:val="none" w:sz="0" w:space="0" w:color="auto"/>
        <w:bottom w:val="none" w:sz="0" w:space="0" w:color="auto"/>
        <w:right w:val="none" w:sz="0" w:space="0" w:color="auto"/>
      </w:divBdr>
    </w:div>
    <w:div w:id="768231744">
      <w:bodyDiv w:val="1"/>
      <w:marLeft w:val="0"/>
      <w:marRight w:val="0"/>
      <w:marTop w:val="0"/>
      <w:marBottom w:val="0"/>
      <w:divBdr>
        <w:top w:val="none" w:sz="0" w:space="0" w:color="auto"/>
        <w:left w:val="none" w:sz="0" w:space="0" w:color="auto"/>
        <w:bottom w:val="none" w:sz="0" w:space="0" w:color="auto"/>
        <w:right w:val="none" w:sz="0" w:space="0" w:color="auto"/>
      </w:divBdr>
    </w:div>
    <w:div w:id="768625039">
      <w:bodyDiv w:val="1"/>
      <w:marLeft w:val="0"/>
      <w:marRight w:val="0"/>
      <w:marTop w:val="0"/>
      <w:marBottom w:val="0"/>
      <w:divBdr>
        <w:top w:val="none" w:sz="0" w:space="0" w:color="auto"/>
        <w:left w:val="none" w:sz="0" w:space="0" w:color="auto"/>
        <w:bottom w:val="none" w:sz="0" w:space="0" w:color="auto"/>
        <w:right w:val="none" w:sz="0" w:space="0" w:color="auto"/>
      </w:divBdr>
    </w:div>
    <w:div w:id="769664426">
      <w:bodyDiv w:val="1"/>
      <w:marLeft w:val="0"/>
      <w:marRight w:val="0"/>
      <w:marTop w:val="0"/>
      <w:marBottom w:val="0"/>
      <w:divBdr>
        <w:top w:val="none" w:sz="0" w:space="0" w:color="auto"/>
        <w:left w:val="none" w:sz="0" w:space="0" w:color="auto"/>
        <w:bottom w:val="none" w:sz="0" w:space="0" w:color="auto"/>
        <w:right w:val="none" w:sz="0" w:space="0" w:color="auto"/>
      </w:divBdr>
    </w:div>
    <w:div w:id="769738312">
      <w:bodyDiv w:val="1"/>
      <w:marLeft w:val="0"/>
      <w:marRight w:val="0"/>
      <w:marTop w:val="0"/>
      <w:marBottom w:val="0"/>
      <w:divBdr>
        <w:top w:val="none" w:sz="0" w:space="0" w:color="auto"/>
        <w:left w:val="none" w:sz="0" w:space="0" w:color="auto"/>
        <w:bottom w:val="none" w:sz="0" w:space="0" w:color="auto"/>
        <w:right w:val="none" w:sz="0" w:space="0" w:color="auto"/>
      </w:divBdr>
    </w:div>
    <w:div w:id="770931320">
      <w:bodyDiv w:val="1"/>
      <w:marLeft w:val="0"/>
      <w:marRight w:val="0"/>
      <w:marTop w:val="0"/>
      <w:marBottom w:val="0"/>
      <w:divBdr>
        <w:top w:val="none" w:sz="0" w:space="0" w:color="auto"/>
        <w:left w:val="none" w:sz="0" w:space="0" w:color="auto"/>
        <w:bottom w:val="none" w:sz="0" w:space="0" w:color="auto"/>
        <w:right w:val="none" w:sz="0" w:space="0" w:color="auto"/>
      </w:divBdr>
    </w:div>
    <w:div w:id="771509316">
      <w:bodyDiv w:val="1"/>
      <w:marLeft w:val="0"/>
      <w:marRight w:val="0"/>
      <w:marTop w:val="0"/>
      <w:marBottom w:val="0"/>
      <w:divBdr>
        <w:top w:val="none" w:sz="0" w:space="0" w:color="auto"/>
        <w:left w:val="none" w:sz="0" w:space="0" w:color="auto"/>
        <w:bottom w:val="none" w:sz="0" w:space="0" w:color="auto"/>
        <w:right w:val="none" w:sz="0" w:space="0" w:color="auto"/>
      </w:divBdr>
    </w:div>
    <w:div w:id="772748106">
      <w:bodyDiv w:val="1"/>
      <w:marLeft w:val="0"/>
      <w:marRight w:val="0"/>
      <w:marTop w:val="0"/>
      <w:marBottom w:val="0"/>
      <w:divBdr>
        <w:top w:val="none" w:sz="0" w:space="0" w:color="auto"/>
        <w:left w:val="none" w:sz="0" w:space="0" w:color="auto"/>
        <w:bottom w:val="none" w:sz="0" w:space="0" w:color="auto"/>
        <w:right w:val="none" w:sz="0" w:space="0" w:color="auto"/>
      </w:divBdr>
    </w:div>
    <w:div w:id="775641054">
      <w:bodyDiv w:val="1"/>
      <w:marLeft w:val="0"/>
      <w:marRight w:val="0"/>
      <w:marTop w:val="0"/>
      <w:marBottom w:val="0"/>
      <w:divBdr>
        <w:top w:val="none" w:sz="0" w:space="0" w:color="auto"/>
        <w:left w:val="none" w:sz="0" w:space="0" w:color="auto"/>
        <w:bottom w:val="none" w:sz="0" w:space="0" w:color="auto"/>
        <w:right w:val="none" w:sz="0" w:space="0" w:color="auto"/>
      </w:divBdr>
    </w:div>
    <w:div w:id="778062543">
      <w:bodyDiv w:val="1"/>
      <w:marLeft w:val="0"/>
      <w:marRight w:val="0"/>
      <w:marTop w:val="0"/>
      <w:marBottom w:val="0"/>
      <w:divBdr>
        <w:top w:val="none" w:sz="0" w:space="0" w:color="auto"/>
        <w:left w:val="none" w:sz="0" w:space="0" w:color="auto"/>
        <w:bottom w:val="none" w:sz="0" w:space="0" w:color="auto"/>
        <w:right w:val="none" w:sz="0" w:space="0" w:color="auto"/>
      </w:divBdr>
    </w:div>
    <w:div w:id="778067188">
      <w:bodyDiv w:val="1"/>
      <w:marLeft w:val="0"/>
      <w:marRight w:val="0"/>
      <w:marTop w:val="0"/>
      <w:marBottom w:val="0"/>
      <w:divBdr>
        <w:top w:val="none" w:sz="0" w:space="0" w:color="auto"/>
        <w:left w:val="none" w:sz="0" w:space="0" w:color="auto"/>
        <w:bottom w:val="none" w:sz="0" w:space="0" w:color="auto"/>
        <w:right w:val="none" w:sz="0" w:space="0" w:color="auto"/>
      </w:divBdr>
    </w:div>
    <w:div w:id="778255981">
      <w:bodyDiv w:val="1"/>
      <w:marLeft w:val="0"/>
      <w:marRight w:val="0"/>
      <w:marTop w:val="0"/>
      <w:marBottom w:val="0"/>
      <w:divBdr>
        <w:top w:val="none" w:sz="0" w:space="0" w:color="auto"/>
        <w:left w:val="none" w:sz="0" w:space="0" w:color="auto"/>
        <w:bottom w:val="none" w:sz="0" w:space="0" w:color="auto"/>
        <w:right w:val="none" w:sz="0" w:space="0" w:color="auto"/>
      </w:divBdr>
    </w:div>
    <w:div w:id="778328930">
      <w:bodyDiv w:val="1"/>
      <w:marLeft w:val="0"/>
      <w:marRight w:val="0"/>
      <w:marTop w:val="0"/>
      <w:marBottom w:val="0"/>
      <w:divBdr>
        <w:top w:val="none" w:sz="0" w:space="0" w:color="auto"/>
        <w:left w:val="none" w:sz="0" w:space="0" w:color="auto"/>
        <w:bottom w:val="none" w:sz="0" w:space="0" w:color="auto"/>
        <w:right w:val="none" w:sz="0" w:space="0" w:color="auto"/>
      </w:divBdr>
    </w:div>
    <w:div w:id="780299709">
      <w:bodyDiv w:val="1"/>
      <w:marLeft w:val="0"/>
      <w:marRight w:val="0"/>
      <w:marTop w:val="0"/>
      <w:marBottom w:val="0"/>
      <w:divBdr>
        <w:top w:val="none" w:sz="0" w:space="0" w:color="auto"/>
        <w:left w:val="none" w:sz="0" w:space="0" w:color="auto"/>
        <w:bottom w:val="none" w:sz="0" w:space="0" w:color="auto"/>
        <w:right w:val="none" w:sz="0" w:space="0" w:color="auto"/>
      </w:divBdr>
    </w:div>
    <w:div w:id="780957783">
      <w:bodyDiv w:val="1"/>
      <w:marLeft w:val="0"/>
      <w:marRight w:val="0"/>
      <w:marTop w:val="0"/>
      <w:marBottom w:val="0"/>
      <w:divBdr>
        <w:top w:val="none" w:sz="0" w:space="0" w:color="auto"/>
        <w:left w:val="none" w:sz="0" w:space="0" w:color="auto"/>
        <w:bottom w:val="none" w:sz="0" w:space="0" w:color="auto"/>
        <w:right w:val="none" w:sz="0" w:space="0" w:color="auto"/>
      </w:divBdr>
    </w:div>
    <w:div w:id="781068970">
      <w:bodyDiv w:val="1"/>
      <w:marLeft w:val="0"/>
      <w:marRight w:val="0"/>
      <w:marTop w:val="0"/>
      <w:marBottom w:val="0"/>
      <w:divBdr>
        <w:top w:val="none" w:sz="0" w:space="0" w:color="auto"/>
        <w:left w:val="none" w:sz="0" w:space="0" w:color="auto"/>
        <w:bottom w:val="none" w:sz="0" w:space="0" w:color="auto"/>
        <w:right w:val="none" w:sz="0" w:space="0" w:color="auto"/>
      </w:divBdr>
    </w:div>
    <w:div w:id="782306283">
      <w:bodyDiv w:val="1"/>
      <w:marLeft w:val="0"/>
      <w:marRight w:val="0"/>
      <w:marTop w:val="0"/>
      <w:marBottom w:val="0"/>
      <w:divBdr>
        <w:top w:val="none" w:sz="0" w:space="0" w:color="auto"/>
        <w:left w:val="none" w:sz="0" w:space="0" w:color="auto"/>
        <w:bottom w:val="none" w:sz="0" w:space="0" w:color="auto"/>
        <w:right w:val="none" w:sz="0" w:space="0" w:color="auto"/>
      </w:divBdr>
    </w:div>
    <w:div w:id="784467716">
      <w:bodyDiv w:val="1"/>
      <w:marLeft w:val="0"/>
      <w:marRight w:val="0"/>
      <w:marTop w:val="0"/>
      <w:marBottom w:val="0"/>
      <w:divBdr>
        <w:top w:val="none" w:sz="0" w:space="0" w:color="auto"/>
        <w:left w:val="none" w:sz="0" w:space="0" w:color="auto"/>
        <w:bottom w:val="none" w:sz="0" w:space="0" w:color="auto"/>
        <w:right w:val="none" w:sz="0" w:space="0" w:color="auto"/>
      </w:divBdr>
    </w:div>
    <w:div w:id="785463584">
      <w:bodyDiv w:val="1"/>
      <w:marLeft w:val="0"/>
      <w:marRight w:val="0"/>
      <w:marTop w:val="0"/>
      <w:marBottom w:val="0"/>
      <w:divBdr>
        <w:top w:val="none" w:sz="0" w:space="0" w:color="auto"/>
        <w:left w:val="none" w:sz="0" w:space="0" w:color="auto"/>
        <w:bottom w:val="none" w:sz="0" w:space="0" w:color="auto"/>
        <w:right w:val="none" w:sz="0" w:space="0" w:color="auto"/>
      </w:divBdr>
    </w:div>
    <w:div w:id="787239861">
      <w:bodyDiv w:val="1"/>
      <w:marLeft w:val="0"/>
      <w:marRight w:val="0"/>
      <w:marTop w:val="0"/>
      <w:marBottom w:val="0"/>
      <w:divBdr>
        <w:top w:val="none" w:sz="0" w:space="0" w:color="auto"/>
        <w:left w:val="none" w:sz="0" w:space="0" w:color="auto"/>
        <w:bottom w:val="none" w:sz="0" w:space="0" w:color="auto"/>
        <w:right w:val="none" w:sz="0" w:space="0" w:color="auto"/>
      </w:divBdr>
    </w:div>
    <w:div w:id="788940019">
      <w:bodyDiv w:val="1"/>
      <w:marLeft w:val="0"/>
      <w:marRight w:val="0"/>
      <w:marTop w:val="0"/>
      <w:marBottom w:val="0"/>
      <w:divBdr>
        <w:top w:val="none" w:sz="0" w:space="0" w:color="auto"/>
        <w:left w:val="none" w:sz="0" w:space="0" w:color="auto"/>
        <w:bottom w:val="none" w:sz="0" w:space="0" w:color="auto"/>
        <w:right w:val="none" w:sz="0" w:space="0" w:color="auto"/>
      </w:divBdr>
    </w:div>
    <w:div w:id="789280972">
      <w:bodyDiv w:val="1"/>
      <w:marLeft w:val="0"/>
      <w:marRight w:val="0"/>
      <w:marTop w:val="0"/>
      <w:marBottom w:val="0"/>
      <w:divBdr>
        <w:top w:val="none" w:sz="0" w:space="0" w:color="auto"/>
        <w:left w:val="none" w:sz="0" w:space="0" w:color="auto"/>
        <w:bottom w:val="none" w:sz="0" w:space="0" w:color="auto"/>
        <w:right w:val="none" w:sz="0" w:space="0" w:color="auto"/>
      </w:divBdr>
    </w:div>
    <w:div w:id="789321862">
      <w:bodyDiv w:val="1"/>
      <w:marLeft w:val="0"/>
      <w:marRight w:val="0"/>
      <w:marTop w:val="0"/>
      <w:marBottom w:val="0"/>
      <w:divBdr>
        <w:top w:val="none" w:sz="0" w:space="0" w:color="auto"/>
        <w:left w:val="none" w:sz="0" w:space="0" w:color="auto"/>
        <w:bottom w:val="none" w:sz="0" w:space="0" w:color="auto"/>
        <w:right w:val="none" w:sz="0" w:space="0" w:color="auto"/>
      </w:divBdr>
    </w:div>
    <w:div w:id="792289566">
      <w:bodyDiv w:val="1"/>
      <w:marLeft w:val="0"/>
      <w:marRight w:val="0"/>
      <w:marTop w:val="0"/>
      <w:marBottom w:val="0"/>
      <w:divBdr>
        <w:top w:val="none" w:sz="0" w:space="0" w:color="auto"/>
        <w:left w:val="none" w:sz="0" w:space="0" w:color="auto"/>
        <w:bottom w:val="none" w:sz="0" w:space="0" w:color="auto"/>
        <w:right w:val="none" w:sz="0" w:space="0" w:color="auto"/>
      </w:divBdr>
    </w:div>
    <w:div w:id="792600275">
      <w:bodyDiv w:val="1"/>
      <w:marLeft w:val="0"/>
      <w:marRight w:val="0"/>
      <w:marTop w:val="0"/>
      <w:marBottom w:val="0"/>
      <w:divBdr>
        <w:top w:val="none" w:sz="0" w:space="0" w:color="auto"/>
        <w:left w:val="none" w:sz="0" w:space="0" w:color="auto"/>
        <w:bottom w:val="none" w:sz="0" w:space="0" w:color="auto"/>
        <w:right w:val="none" w:sz="0" w:space="0" w:color="auto"/>
      </w:divBdr>
    </w:div>
    <w:div w:id="792677366">
      <w:bodyDiv w:val="1"/>
      <w:marLeft w:val="0"/>
      <w:marRight w:val="0"/>
      <w:marTop w:val="0"/>
      <w:marBottom w:val="0"/>
      <w:divBdr>
        <w:top w:val="none" w:sz="0" w:space="0" w:color="auto"/>
        <w:left w:val="none" w:sz="0" w:space="0" w:color="auto"/>
        <w:bottom w:val="none" w:sz="0" w:space="0" w:color="auto"/>
        <w:right w:val="none" w:sz="0" w:space="0" w:color="auto"/>
      </w:divBdr>
    </w:div>
    <w:div w:id="793670693">
      <w:bodyDiv w:val="1"/>
      <w:marLeft w:val="0"/>
      <w:marRight w:val="0"/>
      <w:marTop w:val="0"/>
      <w:marBottom w:val="0"/>
      <w:divBdr>
        <w:top w:val="none" w:sz="0" w:space="0" w:color="auto"/>
        <w:left w:val="none" w:sz="0" w:space="0" w:color="auto"/>
        <w:bottom w:val="none" w:sz="0" w:space="0" w:color="auto"/>
        <w:right w:val="none" w:sz="0" w:space="0" w:color="auto"/>
      </w:divBdr>
    </w:div>
    <w:div w:id="794060397">
      <w:bodyDiv w:val="1"/>
      <w:marLeft w:val="0"/>
      <w:marRight w:val="0"/>
      <w:marTop w:val="0"/>
      <w:marBottom w:val="0"/>
      <w:divBdr>
        <w:top w:val="none" w:sz="0" w:space="0" w:color="auto"/>
        <w:left w:val="none" w:sz="0" w:space="0" w:color="auto"/>
        <w:bottom w:val="none" w:sz="0" w:space="0" w:color="auto"/>
        <w:right w:val="none" w:sz="0" w:space="0" w:color="auto"/>
      </w:divBdr>
    </w:div>
    <w:div w:id="795804696">
      <w:bodyDiv w:val="1"/>
      <w:marLeft w:val="0"/>
      <w:marRight w:val="0"/>
      <w:marTop w:val="0"/>
      <w:marBottom w:val="0"/>
      <w:divBdr>
        <w:top w:val="none" w:sz="0" w:space="0" w:color="auto"/>
        <w:left w:val="none" w:sz="0" w:space="0" w:color="auto"/>
        <w:bottom w:val="none" w:sz="0" w:space="0" w:color="auto"/>
        <w:right w:val="none" w:sz="0" w:space="0" w:color="auto"/>
      </w:divBdr>
    </w:div>
    <w:div w:id="795834947">
      <w:bodyDiv w:val="1"/>
      <w:marLeft w:val="0"/>
      <w:marRight w:val="0"/>
      <w:marTop w:val="0"/>
      <w:marBottom w:val="0"/>
      <w:divBdr>
        <w:top w:val="none" w:sz="0" w:space="0" w:color="auto"/>
        <w:left w:val="none" w:sz="0" w:space="0" w:color="auto"/>
        <w:bottom w:val="none" w:sz="0" w:space="0" w:color="auto"/>
        <w:right w:val="none" w:sz="0" w:space="0" w:color="auto"/>
      </w:divBdr>
    </w:div>
    <w:div w:id="796412711">
      <w:bodyDiv w:val="1"/>
      <w:marLeft w:val="0"/>
      <w:marRight w:val="0"/>
      <w:marTop w:val="0"/>
      <w:marBottom w:val="0"/>
      <w:divBdr>
        <w:top w:val="none" w:sz="0" w:space="0" w:color="auto"/>
        <w:left w:val="none" w:sz="0" w:space="0" w:color="auto"/>
        <w:bottom w:val="none" w:sz="0" w:space="0" w:color="auto"/>
        <w:right w:val="none" w:sz="0" w:space="0" w:color="auto"/>
      </w:divBdr>
    </w:div>
    <w:div w:id="796949732">
      <w:bodyDiv w:val="1"/>
      <w:marLeft w:val="0"/>
      <w:marRight w:val="0"/>
      <w:marTop w:val="0"/>
      <w:marBottom w:val="0"/>
      <w:divBdr>
        <w:top w:val="none" w:sz="0" w:space="0" w:color="auto"/>
        <w:left w:val="none" w:sz="0" w:space="0" w:color="auto"/>
        <w:bottom w:val="none" w:sz="0" w:space="0" w:color="auto"/>
        <w:right w:val="none" w:sz="0" w:space="0" w:color="auto"/>
      </w:divBdr>
    </w:div>
    <w:div w:id="797382857">
      <w:bodyDiv w:val="1"/>
      <w:marLeft w:val="0"/>
      <w:marRight w:val="0"/>
      <w:marTop w:val="0"/>
      <w:marBottom w:val="0"/>
      <w:divBdr>
        <w:top w:val="none" w:sz="0" w:space="0" w:color="auto"/>
        <w:left w:val="none" w:sz="0" w:space="0" w:color="auto"/>
        <w:bottom w:val="none" w:sz="0" w:space="0" w:color="auto"/>
        <w:right w:val="none" w:sz="0" w:space="0" w:color="auto"/>
      </w:divBdr>
    </w:div>
    <w:div w:id="797650654">
      <w:bodyDiv w:val="1"/>
      <w:marLeft w:val="0"/>
      <w:marRight w:val="0"/>
      <w:marTop w:val="0"/>
      <w:marBottom w:val="0"/>
      <w:divBdr>
        <w:top w:val="none" w:sz="0" w:space="0" w:color="auto"/>
        <w:left w:val="none" w:sz="0" w:space="0" w:color="auto"/>
        <w:bottom w:val="none" w:sz="0" w:space="0" w:color="auto"/>
        <w:right w:val="none" w:sz="0" w:space="0" w:color="auto"/>
      </w:divBdr>
    </w:div>
    <w:div w:id="798033918">
      <w:bodyDiv w:val="1"/>
      <w:marLeft w:val="0"/>
      <w:marRight w:val="0"/>
      <w:marTop w:val="0"/>
      <w:marBottom w:val="0"/>
      <w:divBdr>
        <w:top w:val="none" w:sz="0" w:space="0" w:color="auto"/>
        <w:left w:val="none" w:sz="0" w:space="0" w:color="auto"/>
        <w:bottom w:val="none" w:sz="0" w:space="0" w:color="auto"/>
        <w:right w:val="none" w:sz="0" w:space="0" w:color="auto"/>
      </w:divBdr>
    </w:div>
    <w:div w:id="798186409">
      <w:bodyDiv w:val="1"/>
      <w:marLeft w:val="0"/>
      <w:marRight w:val="0"/>
      <w:marTop w:val="0"/>
      <w:marBottom w:val="0"/>
      <w:divBdr>
        <w:top w:val="none" w:sz="0" w:space="0" w:color="auto"/>
        <w:left w:val="none" w:sz="0" w:space="0" w:color="auto"/>
        <w:bottom w:val="none" w:sz="0" w:space="0" w:color="auto"/>
        <w:right w:val="none" w:sz="0" w:space="0" w:color="auto"/>
      </w:divBdr>
    </w:div>
    <w:div w:id="798718432">
      <w:bodyDiv w:val="1"/>
      <w:marLeft w:val="0"/>
      <w:marRight w:val="0"/>
      <w:marTop w:val="0"/>
      <w:marBottom w:val="0"/>
      <w:divBdr>
        <w:top w:val="none" w:sz="0" w:space="0" w:color="auto"/>
        <w:left w:val="none" w:sz="0" w:space="0" w:color="auto"/>
        <w:bottom w:val="none" w:sz="0" w:space="0" w:color="auto"/>
        <w:right w:val="none" w:sz="0" w:space="0" w:color="auto"/>
      </w:divBdr>
    </w:div>
    <w:div w:id="799419042">
      <w:bodyDiv w:val="1"/>
      <w:marLeft w:val="0"/>
      <w:marRight w:val="0"/>
      <w:marTop w:val="0"/>
      <w:marBottom w:val="0"/>
      <w:divBdr>
        <w:top w:val="none" w:sz="0" w:space="0" w:color="auto"/>
        <w:left w:val="none" w:sz="0" w:space="0" w:color="auto"/>
        <w:bottom w:val="none" w:sz="0" w:space="0" w:color="auto"/>
        <w:right w:val="none" w:sz="0" w:space="0" w:color="auto"/>
      </w:divBdr>
    </w:div>
    <w:div w:id="800146913">
      <w:bodyDiv w:val="1"/>
      <w:marLeft w:val="0"/>
      <w:marRight w:val="0"/>
      <w:marTop w:val="0"/>
      <w:marBottom w:val="0"/>
      <w:divBdr>
        <w:top w:val="none" w:sz="0" w:space="0" w:color="auto"/>
        <w:left w:val="none" w:sz="0" w:space="0" w:color="auto"/>
        <w:bottom w:val="none" w:sz="0" w:space="0" w:color="auto"/>
        <w:right w:val="none" w:sz="0" w:space="0" w:color="auto"/>
      </w:divBdr>
    </w:div>
    <w:div w:id="800465835">
      <w:bodyDiv w:val="1"/>
      <w:marLeft w:val="0"/>
      <w:marRight w:val="0"/>
      <w:marTop w:val="0"/>
      <w:marBottom w:val="0"/>
      <w:divBdr>
        <w:top w:val="none" w:sz="0" w:space="0" w:color="auto"/>
        <w:left w:val="none" w:sz="0" w:space="0" w:color="auto"/>
        <w:bottom w:val="none" w:sz="0" w:space="0" w:color="auto"/>
        <w:right w:val="none" w:sz="0" w:space="0" w:color="auto"/>
      </w:divBdr>
    </w:div>
    <w:div w:id="801650696">
      <w:bodyDiv w:val="1"/>
      <w:marLeft w:val="0"/>
      <w:marRight w:val="0"/>
      <w:marTop w:val="0"/>
      <w:marBottom w:val="0"/>
      <w:divBdr>
        <w:top w:val="none" w:sz="0" w:space="0" w:color="auto"/>
        <w:left w:val="none" w:sz="0" w:space="0" w:color="auto"/>
        <w:bottom w:val="none" w:sz="0" w:space="0" w:color="auto"/>
        <w:right w:val="none" w:sz="0" w:space="0" w:color="auto"/>
      </w:divBdr>
    </w:div>
    <w:div w:id="801770397">
      <w:bodyDiv w:val="1"/>
      <w:marLeft w:val="0"/>
      <w:marRight w:val="0"/>
      <w:marTop w:val="0"/>
      <w:marBottom w:val="0"/>
      <w:divBdr>
        <w:top w:val="none" w:sz="0" w:space="0" w:color="auto"/>
        <w:left w:val="none" w:sz="0" w:space="0" w:color="auto"/>
        <w:bottom w:val="none" w:sz="0" w:space="0" w:color="auto"/>
        <w:right w:val="none" w:sz="0" w:space="0" w:color="auto"/>
      </w:divBdr>
    </w:div>
    <w:div w:id="805005093">
      <w:bodyDiv w:val="1"/>
      <w:marLeft w:val="0"/>
      <w:marRight w:val="0"/>
      <w:marTop w:val="0"/>
      <w:marBottom w:val="0"/>
      <w:divBdr>
        <w:top w:val="none" w:sz="0" w:space="0" w:color="auto"/>
        <w:left w:val="none" w:sz="0" w:space="0" w:color="auto"/>
        <w:bottom w:val="none" w:sz="0" w:space="0" w:color="auto"/>
        <w:right w:val="none" w:sz="0" w:space="0" w:color="auto"/>
      </w:divBdr>
    </w:div>
    <w:div w:id="805927220">
      <w:bodyDiv w:val="1"/>
      <w:marLeft w:val="0"/>
      <w:marRight w:val="0"/>
      <w:marTop w:val="0"/>
      <w:marBottom w:val="0"/>
      <w:divBdr>
        <w:top w:val="none" w:sz="0" w:space="0" w:color="auto"/>
        <w:left w:val="none" w:sz="0" w:space="0" w:color="auto"/>
        <w:bottom w:val="none" w:sz="0" w:space="0" w:color="auto"/>
        <w:right w:val="none" w:sz="0" w:space="0" w:color="auto"/>
      </w:divBdr>
    </w:div>
    <w:div w:id="806314201">
      <w:bodyDiv w:val="1"/>
      <w:marLeft w:val="0"/>
      <w:marRight w:val="0"/>
      <w:marTop w:val="0"/>
      <w:marBottom w:val="0"/>
      <w:divBdr>
        <w:top w:val="none" w:sz="0" w:space="0" w:color="auto"/>
        <w:left w:val="none" w:sz="0" w:space="0" w:color="auto"/>
        <w:bottom w:val="none" w:sz="0" w:space="0" w:color="auto"/>
        <w:right w:val="none" w:sz="0" w:space="0" w:color="auto"/>
      </w:divBdr>
    </w:div>
    <w:div w:id="808324843">
      <w:bodyDiv w:val="1"/>
      <w:marLeft w:val="0"/>
      <w:marRight w:val="0"/>
      <w:marTop w:val="0"/>
      <w:marBottom w:val="0"/>
      <w:divBdr>
        <w:top w:val="none" w:sz="0" w:space="0" w:color="auto"/>
        <w:left w:val="none" w:sz="0" w:space="0" w:color="auto"/>
        <w:bottom w:val="none" w:sz="0" w:space="0" w:color="auto"/>
        <w:right w:val="none" w:sz="0" w:space="0" w:color="auto"/>
      </w:divBdr>
    </w:div>
    <w:div w:id="808670986">
      <w:bodyDiv w:val="1"/>
      <w:marLeft w:val="0"/>
      <w:marRight w:val="0"/>
      <w:marTop w:val="0"/>
      <w:marBottom w:val="0"/>
      <w:divBdr>
        <w:top w:val="none" w:sz="0" w:space="0" w:color="auto"/>
        <w:left w:val="none" w:sz="0" w:space="0" w:color="auto"/>
        <w:bottom w:val="none" w:sz="0" w:space="0" w:color="auto"/>
        <w:right w:val="none" w:sz="0" w:space="0" w:color="auto"/>
      </w:divBdr>
    </w:div>
    <w:div w:id="808740806">
      <w:bodyDiv w:val="1"/>
      <w:marLeft w:val="0"/>
      <w:marRight w:val="0"/>
      <w:marTop w:val="0"/>
      <w:marBottom w:val="0"/>
      <w:divBdr>
        <w:top w:val="none" w:sz="0" w:space="0" w:color="auto"/>
        <w:left w:val="none" w:sz="0" w:space="0" w:color="auto"/>
        <w:bottom w:val="none" w:sz="0" w:space="0" w:color="auto"/>
        <w:right w:val="none" w:sz="0" w:space="0" w:color="auto"/>
      </w:divBdr>
    </w:div>
    <w:div w:id="809395943">
      <w:bodyDiv w:val="1"/>
      <w:marLeft w:val="0"/>
      <w:marRight w:val="0"/>
      <w:marTop w:val="0"/>
      <w:marBottom w:val="0"/>
      <w:divBdr>
        <w:top w:val="none" w:sz="0" w:space="0" w:color="auto"/>
        <w:left w:val="none" w:sz="0" w:space="0" w:color="auto"/>
        <w:bottom w:val="none" w:sz="0" w:space="0" w:color="auto"/>
        <w:right w:val="none" w:sz="0" w:space="0" w:color="auto"/>
      </w:divBdr>
    </w:div>
    <w:div w:id="810169325">
      <w:bodyDiv w:val="1"/>
      <w:marLeft w:val="0"/>
      <w:marRight w:val="0"/>
      <w:marTop w:val="0"/>
      <w:marBottom w:val="0"/>
      <w:divBdr>
        <w:top w:val="none" w:sz="0" w:space="0" w:color="auto"/>
        <w:left w:val="none" w:sz="0" w:space="0" w:color="auto"/>
        <w:bottom w:val="none" w:sz="0" w:space="0" w:color="auto"/>
        <w:right w:val="none" w:sz="0" w:space="0" w:color="auto"/>
      </w:divBdr>
    </w:div>
    <w:div w:id="813372200">
      <w:bodyDiv w:val="1"/>
      <w:marLeft w:val="0"/>
      <w:marRight w:val="0"/>
      <w:marTop w:val="0"/>
      <w:marBottom w:val="0"/>
      <w:divBdr>
        <w:top w:val="none" w:sz="0" w:space="0" w:color="auto"/>
        <w:left w:val="none" w:sz="0" w:space="0" w:color="auto"/>
        <w:bottom w:val="none" w:sz="0" w:space="0" w:color="auto"/>
        <w:right w:val="none" w:sz="0" w:space="0" w:color="auto"/>
      </w:divBdr>
    </w:div>
    <w:div w:id="813914908">
      <w:bodyDiv w:val="1"/>
      <w:marLeft w:val="0"/>
      <w:marRight w:val="0"/>
      <w:marTop w:val="0"/>
      <w:marBottom w:val="0"/>
      <w:divBdr>
        <w:top w:val="none" w:sz="0" w:space="0" w:color="auto"/>
        <w:left w:val="none" w:sz="0" w:space="0" w:color="auto"/>
        <w:bottom w:val="none" w:sz="0" w:space="0" w:color="auto"/>
        <w:right w:val="none" w:sz="0" w:space="0" w:color="auto"/>
      </w:divBdr>
    </w:div>
    <w:div w:id="814614331">
      <w:bodyDiv w:val="1"/>
      <w:marLeft w:val="0"/>
      <w:marRight w:val="0"/>
      <w:marTop w:val="0"/>
      <w:marBottom w:val="0"/>
      <w:divBdr>
        <w:top w:val="none" w:sz="0" w:space="0" w:color="auto"/>
        <w:left w:val="none" w:sz="0" w:space="0" w:color="auto"/>
        <w:bottom w:val="none" w:sz="0" w:space="0" w:color="auto"/>
        <w:right w:val="none" w:sz="0" w:space="0" w:color="auto"/>
      </w:divBdr>
    </w:div>
    <w:div w:id="814757020">
      <w:bodyDiv w:val="1"/>
      <w:marLeft w:val="0"/>
      <w:marRight w:val="0"/>
      <w:marTop w:val="0"/>
      <w:marBottom w:val="0"/>
      <w:divBdr>
        <w:top w:val="none" w:sz="0" w:space="0" w:color="auto"/>
        <w:left w:val="none" w:sz="0" w:space="0" w:color="auto"/>
        <w:bottom w:val="none" w:sz="0" w:space="0" w:color="auto"/>
        <w:right w:val="none" w:sz="0" w:space="0" w:color="auto"/>
      </w:divBdr>
    </w:div>
    <w:div w:id="814879618">
      <w:bodyDiv w:val="1"/>
      <w:marLeft w:val="0"/>
      <w:marRight w:val="0"/>
      <w:marTop w:val="0"/>
      <w:marBottom w:val="0"/>
      <w:divBdr>
        <w:top w:val="none" w:sz="0" w:space="0" w:color="auto"/>
        <w:left w:val="none" w:sz="0" w:space="0" w:color="auto"/>
        <w:bottom w:val="none" w:sz="0" w:space="0" w:color="auto"/>
        <w:right w:val="none" w:sz="0" w:space="0" w:color="auto"/>
      </w:divBdr>
    </w:div>
    <w:div w:id="815993624">
      <w:bodyDiv w:val="1"/>
      <w:marLeft w:val="0"/>
      <w:marRight w:val="0"/>
      <w:marTop w:val="0"/>
      <w:marBottom w:val="0"/>
      <w:divBdr>
        <w:top w:val="none" w:sz="0" w:space="0" w:color="auto"/>
        <w:left w:val="none" w:sz="0" w:space="0" w:color="auto"/>
        <w:bottom w:val="none" w:sz="0" w:space="0" w:color="auto"/>
        <w:right w:val="none" w:sz="0" w:space="0" w:color="auto"/>
      </w:divBdr>
    </w:div>
    <w:div w:id="820000741">
      <w:bodyDiv w:val="1"/>
      <w:marLeft w:val="0"/>
      <w:marRight w:val="0"/>
      <w:marTop w:val="0"/>
      <w:marBottom w:val="0"/>
      <w:divBdr>
        <w:top w:val="none" w:sz="0" w:space="0" w:color="auto"/>
        <w:left w:val="none" w:sz="0" w:space="0" w:color="auto"/>
        <w:bottom w:val="none" w:sz="0" w:space="0" w:color="auto"/>
        <w:right w:val="none" w:sz="0" w:space="0" w:color="auto"/>
      </w:divBdr>
    </w:div>
    <w:div w:id="820198793">
      <w:bodyDiv w:val="1"/>
      <w:marLeft w:val="0"/>
      <w:marRight w:val="0"/>
      <w:marTop w:val="0"/>
      <w:marBottom w:val="0"/>
      <w:divBdr>
        <w:top w:val="none" w:sz="0" w:space="0" w:color="auto"/>
        <w:left w:val="none" w:sz="0" w:space="0" w:color="auto"/>
        <w:bottom w:val="none" w:sz="0" w:space="0" w:color="auto"/>
        <w:right w:val="none" w:sz="0" w:space="0" w:color="auto"/>
      </w:divBdr>
    </w:div>
    <w:div w:id="820273273">
      <w:bodyDiv w:val="1"/>
      <w:marLeft w:val="0"/>
      <w:marRight w:val="0"/>
      <w:marTop w:val="0"/>
      <w:marBottom w:val="0"/>
      <w:divBdr>
        <w:top w:val="none" w:sz="0" w:space="0" w:color="auto"/>
        <w:left w:val="none" w:sz="0" w:space="0" w:color="auto"/>
        <w:bottom w:val="none" w:sz="0" w:space="0" w:color="auto"/>
        <w:right w:val="none" w:sz="0" w:space="0" w:color="auto"/>
      </w:divBdr>
    </w:div>
    <w:div w:id="821044420">
      <w:bodyDiv w:val="1"/>
      <w:marLeft w:val="0"/>
      <w:marRight w:val="0"/>
      <w:marTop w:val="0"/>
      <w:marBottom w:val="0"/>
      <w:divBdr>
        <w:top w:val="none" w:sz="0" w:space="0" w:color="auto"/>
        <w:left w:val="none" w:sz="0" w:space="0" w:color="auto"/>
        <w:bottom w:val="none" w:sz="0" w:space="0" w:color="auto"/>
        <w:right w:val="none" w:sz="0" w:space="0" w:color="auto"/>
      </w:divBdr>
    </w:div>
    <w:div w:id="821431916">
      <w:bodyDiv w:val="1"/>
      <w:marLeft w:val="0"/>
      <w:marRight w:val="0"/>
      <w:marTop w:val="0"/>
      <w:marBottom w:val="0"/>
      <w:divBdr>
        <w:top w:val="none" w:sz="0" w:space="0" w:color="auto"/>
        <w:left w:val="none" w:sz="0" w:space="0" w:color="auto"/>
        <w:bottom w:val="none" w:sz="0" w:space="0" w:color="auto"/>
        <w:right w:val="none" w:sz="0" w:space="0" w:color="auto"/>
      </w:divBdr>
    </w:div>
    <w:div w:id="821847965">
      <w:bodyDiv w:val="1"/>
      <w:marLeft w:val="0"/>
      <w:marRight w:val="0"/>
      <w:marTop w:val="0"/>
      <w:marBottom w:val="0"/>
      <w:divBdr>
        <w:top w:val="none" w:sz="0" w:space="0" w:color="auto"/>
        <w:left w:val="none" w:sz="0" w:space="0" w:color="auto"/>
        <w:bottom w:val="none" w:sz="0" w:space="0" w:color="auto"/>
        <w:right w:val="none" w:sz="0" w:space="0" w:color="auto"/>
      </w:divBdr>
    </w:div>
    <w:div w:id="822282647">
      <w:bodyDiv w:val="1"/>
      <w:marLeft w:val="0"/>
      <w:marRight w:val="0"/>
      <w:marTop w:val="0"/>
      <w:marBottom w:val="0"/>
      <w:divBdr>
        <w:top w:val="none" w:sz="0" w:space="0" w:color="auto"/>
        <w:left w:val="none" w:sz="0" w:space="0" w:color="auto"/>
        <w:bottom w:val="none" w:sz="0" w:space="0" w:color="auto"/>
        <w:right w:val="none" w:sz="0" w:space="0" w:color="auto"/>
      </w:divBdr>
    </w:div>
    <w:div w:id="824782777">
      <w:bodyDiv w:val="1"/>
      <w:marLeft w:val="0"/>
      <w:marRight w:val="0"/>
      <w:marTop w:val="0"/>
      <w:marBottom w:val="0"/>
      <w:divBdr>
        <w:top w:val="none" w:sz="0" w:space="0" w:color="auto"/>
        <w:left w:val="none" w:sz="0" w:space="0" w:color="auto"/>
        <w:bottom w:val="none" w:sz="0" w:space="0" w:color="auto"/>
        <w:right w:val="none" w:sz="0" w:space="0" w:color="auto"/>
      </w:divBdr>
    </w:div>
    <w:div w:id="824858533">
      <w:bodyDiv w:val="1"/>
      <w:marLeft w:val="0"/>
      <w:marRight w:val="0"/>
      <w:marTop w:val="0"/>
      <w:marBottom w:val="0"/>
      <w:divBdr>
        <w:top w:val="none" w:sz="0" w:space="0" w:color="auto"/>
        <w:left w:val="none" w:sz="0" w:space="0" w:color="auto"/>
        <w:bottom w:val="none" w:sz="0" w:space="0" w:color="auto"/>
        <w:right w:val="none" w:sz="0" w:space="0" w:color="auto"/>
      </w:divBdr>
    </w:div>
    <w:div w:id="825166883">
      <w:bodyDiv w:val="1"/>
      <w:marLeft w:val="0"/>
      <w:marRight w:val="0"/>
      <w:marTop w:val="0"/>
      <w:marBottom w:val="0"/>
      <w:divBdr>
        <w:top w:val="none" w:sz="0" w:space="0" w:color="auto"/>
        <w:left w:val="none" w:sz="0" w:space="0" w:color="auto"/>
        <w:bottom w:val="none" w:sz="0" w:space="0" w:color="auto"/>
        <w:right w:val="none" w:sz="0" w:space="0" w:color="auto"/>
      </w:divBdr>
    </w:div>
    <w:div w:id="825779951">
      <w:bodyDiv w:val="1"/>
      <w:marLeft w:val="0"/>
      <w:marRight w:val="0"/>
      <w:marTop w:val="0"/>
      <w:marBottom w:val="0"/>
      <w:divBdr>
        <w:top w:val="none" w:sz="0" w:space="0" w:color="auto"/>
        <w:left w:val="none" w:sz="0" w:space="0" w:color="auto"/>
        <w:bottom w:val="none" w:sz="0" w:space="0" w:color="auto"/>
        <w:right w:val="none" w:sz="0" w:space="0" w:color="auto"/>
      </w:divBdr>
    </w:div>
    <w:div w:id="829251621">
      <w:bodyDiv w:val="1"/>
      <w:marLeft w:val="0"/>
      <w:marRight w:val="0"/>
      <w:marTop w:val="0"/>
      <w:marBottom w:val="0"/>
      <w:divBdr>
        <w:top w:val="none" w:sz="0" w:space="0" w:color="auto"/>
        <w:left w:val="none" w:sz="0" w:space="0" w:color="auto"/>
        <w:bottom w:val="none" w:sz="0" w:space="0" w:color="auto"/>
        <w:right w:val="none" w:sz="0" w:space="0" w:color="auto"/>
      </w:divBdr>
    </w:div>
    <w:div w:id="830026262">
      <w:bodyDiv w:val="1"/>
      <w:marLeft w:val="0"/>
      <w:marRight w:val="0"/>
      <w:marTop w:val="0"/>
      <w:marBottom w:val="0"/>
      <w:divBdr>
        <w:top w:val="none" w:sz="0" w:space="0" w:color="auto"/>
        <w:left w:val="none" w:sz="0" w:space="0" w:color="auto"/>
        <w:bottom w:val="none" w:sz="0" w:space="0" w:color="auto"/>
        <w:right w:val="none" w:sz="0" w:space="0" w:color="auto"/>
      </w:divBdr>
    </w:div>
    <w:div w:id="830368777">
      <w:bodyDiv w:val="1"/>
      <w:marLeft w:val="0"/>
      <w:marRight w:val="0"/>
      <w:marTop w:val="0"/>
      <w:marBottom w:val="0"/>
      <w:divBdr>
        <w:top w:val="none" w:sz="0" w:space="0" w:color="auto"/>
        <w:left w:val="none" w:sz="0" w:space="0" w:color="auto"/>
        <w:bottom w:val="none" w:sz="0" w:space="0" w:color="auto"/>
        <w:right w:val="none" w:sz="0" w:space="0" w:color="auto"/>
      </w:divBdr>
    </w:div>
    <w:div w:id="830565298">
      <w:bodyDiv w:val="1"/>
      <w:marLeft w:val="0"/>
      <w:marRight w:val="0"/>
      <w:marTop w:val="0"/>
      <w:marBottom w:val="0"/>
      <w:divBdr>
        <w:top w:val="none" w:sz="0" w:space="0" w:color="auto"/>
        <w:left w:val="none" w:sz="0" w:space="0" w:color="auto"/>
        <w:bottom w:val="none" w:sz="0" w:space="0" w:color="auto"/>
        <w:right w:val="none" w:sz="0" w:space="0" w:color="auto"/>
      </w:divBdr>
    </w:div>
    <w:div w:id="830872010">
      <w:bodyDiv w:val="1"/>
      <w:marLeft w:val="0"/>
      <w:marRight w:val="0"/>
      <w:marTop w:val="0"/>
      <w:marBottom w:val="0"/>
      <w:divBdr>
        <w:top w:val="none" w:sz="0" w:space="0" w:color="auto"/>
        <w:left w:val="none" w:sz="0" w:space="0" w:color="auto"/>
        <w:bottom w:val="none" w:sz="0" w:space="0" w:color="auto"/>
        <w:right w:val="none" w:sz="0" w:space="0" w:color="auto"/>
      </w:divBdr>
    </w:div>
    <w:div w:id="831216427">
      <w:bodyDiv w:val="1"/>
      <w:marLeft w:val="0"/>
      <w:marRight w:val="0"/>
      <w:marTop w:val="0"/>
      <w:marBottom w:val="0"/>
      <w:divBdr>
        <w:top w:val="none" w:sz="0" w:space="0" w:color="auto"/>
        <w:left w:val="none" w:sz="0" w:space="0" w:color="auto"/>
        <w:bottom w:val="none" w:sz="0" w:space="0" w:color="auto"/>
        <w:right w:val="none" w:sz="0" w:space="0" w:color="auto"/>
      </w:divBdr>
    </w:div>
    <w:div w:id="831680246">
      <w:bodyDiv w:val="1"/>
      <w:marLeft w:val="0"/>
      <w:marRight w:val="0"/>
      <w:marTop w:val="0"/>
      <w:marBottom w:val="0"/>
      <w:divBdr>
        <w:top w:val="none" w:sz="0" w:space="0" w:color="auto"/>
        <w:left w:val="none" w:sz="0" w:space="0" w:color="auto"/>
        <w:bottom w:val="none" w:sz="0" w:space="0" w:color="auto"/>
        <w:right w:val="none" w:sz="0" w:space="0" w:color="auto"/>
      </w:divBdr>
    </w:div>
    <w:div w:id="831797153">
      <w:bodyDiv w:val="1"/>
      <w:marLeft w:val="0"/>
      <w:marRight w:val="0"/>
      <w:marTop w:val="0"/>
      <w:marBottom w:val="0"/>
      <w:divBdr>
        <w:top w:val="none" w:sz="0" w:space="0" w:color="auto"/>
        <w:left w:val="none" w:sz="0" w:space="0" w:color="auto"/>
        <w:bottom w:val="none" w:sz="0" w:space="0" w:color="auto"/>
        <w:right w:val="none" w:sz="0" w:space="0" w:color="auto"/>
      </w:divBdr>
    </w:div>
    <w:div w:id="831869562">
      <w:bodyDiv w:val="1"/>
      <w:marLeft w:val="0"/>
      <w:marRight w:val="0"/>
      <w:marTop w:val="0"/>
      <w:marBottom w:val="0"/>
      <w:divBdr>
        <w:top w:val="none" w:sz="0" w:space="0" w:color="auto"/>
        <w:left w:val="none" w:sz="0" w:space="0" w:color="auto"/>
        <w:bottom w:val="none" w:sz="0" w:space="0" w:color="auto"/>
        <w:right w:val="none" w:sz="0" w:space="0" w:color="auto"/>
      </w:divBdr>
    </w:div>
    <w:div w:id="831917449">
      <w:bodyDiv w:val="1"/>
      <w:marLeft w:val="0"/>
      <w:marRight w:val="0"/>
      <w:marTop w:val="0"/>
      <w:marBottom w:val="0"/>
      <w:divBdr>
        <w:top w:val="none" w:sz="0" w:space="0" w:color="auto"/>
        <w:left w:val="none" w:sz="0" w:space="0" w:color="auto"/>
        <w:bottom w:val="none" w:sz="0" w:space="0" w:color="auto"/>
        <w:right w:val="none" w:sz="0" w:space="0" w:color="auto"/>
      </w:divBdr>
    </w:div>
    <w:div w:id="833301493">
      <w:bodyDiv w:val="1"/>
      <w:marLeft w:val="0"/>
      <w:marRight w:val="0"/>
      <w:marTop w:val="0"/>
      <w:marBottom w:val="0"/>
      <w:divBdr>
        <w:top w:val="none" w:sz="0" w:space="0" w:color="auto"/>
        <w:left w:val="none" w:sz="0" w:space="0" w:color="auto"/>
        <w:bottom w:val="none" w:sz="0" w:space="0" w:color="auto"/>
        <w:right w:val="none" w:sz="0" w:space="0" w:color="auto"/>
      </w:divBdr>
    </w:div>
    <w:div w:id="834104562">
      <w:bodyDiv w:val="1"/>
      <w:marLeft w:val="0"/>
      <w:marRight w:val="0"/>
      <w:marTop w:val="0"/>
      <w:marBottom w:val="0"/>
      <w:divBdr>
        <w:top w:val="none" w:sz="0" w:space="0" w:color="auto"/>
        <w:left w:val="none" w:sz="0" w:space="0" w:color="auto"/>
        <w:bottom w:val="none" w:sz="0" w:space="0" w:color="auto"/>
        <w:right w:val="none" w:sz="0" w:space="0" w:color="auto"/>
      </w:divBdr>
    </w:div>
    <w:div w:id="834498241">
      <w:bodyDiv w:val="1"/>
      <w:marLeft w:val="0"/>
      <w:marRight w:val="0"/>
      <w:marTop w:val="0"/>
      <w:marBottom w:val="0"/>
      <w:divBdr>
        <w:top w:val="none" w:sz="0" w:space="0" w:color="auto"/>
        <w:left w:val="none" w:sz="0" w:space="0" w:color="auto"/>
        <w:bottom w:val="none" w:sz="0" w:space="0" w:color="auto"/>
        <w:right w:val="none" w:sz="0" w:space="0" w:color="auto"/>
      </w:divBdr>
    </w:div>
    <w:div w:id="836458376">
      <w:bodyDiv w:val="1"/>
      <w:marLeft w:val="0"/>
      <w:marRight w:val="0"/>
      <w:marTop w:val="0"/>
      <w:marBottom w:val="0"/>
      <w:divBdr>
        <w:top w:val="none" w:sz="0" w:space="0" w:color="auto"/>
        <w:left w:val="none" w:sz="0" w:space="0" w:color="auto"/>
        <w:bottom w:val="none" w:sz="0" w:space="0" w:color="auto"/>
        <w:right w:val="none" w:sz="0" w:space="0" w:color="auto"/>
      </w:divBdr>
    </w:div>
    <w:div w:id="836650403">
      <w:bodyDiv w:val="1"/>
      <w:marLeft w:val="0"/>
      <w:marRight w:val="0"/>
      <w:marTop w:val="0"/>
      <w:marBottom w:val="0"/>
      <w:divBdr>
        <w:top w:val="none" w:sz="0" w:space="0" w:color="auto"/>
        <w:left w:val="none" w:sz="0" w:space="0" w:color="auto"/>
        <w:bottom w:val="none" w:sz="0" w:space="0" w:color="auto"/>
        <w:right w:val="none" w:sz="0" w:space="0" w:color="auto"/>
      </w:divBdr>
    </w:div>
    <w:div w:id="837304748">
      <w:bodyDiv w:val="1"/>
      <w:marLeft w:val="0"/>
      <w:marRight w:val="0"/>
      <w:marTop w:val="0"/>
      <w:marBottom w:val="0"/>
      <w:divBdr>
        <w:top w:val="none" w:sz="0" w:space="0" w:color="auto"/>
        <w:left w:val="none" w:sz="0" w:space="0" w:color="auto"/>
        <w:bottom w:val="none" w:sz="0" w:space="0" w:color="auto"/>
        <w:right w:val="none" w:sz="0" w:space="0" w:color="auto"/>
      </w:divBdr>
    </w:div>
    <w:div w:id="838152014">
      <w:bodyDiv w:val="1"/>
      <w:marLeft w:val="0"/>
      <w:marRight w:val="0"/>
      <w:marTop w:val="0"/>
      <w:marBottom w:val="0"/>
      <w:divBdr>
        <w:top w:val="none" w:sz="0" w:space="0" w:color="auto"/>
        <w:left w:val="none" w:sz="0" w:space="0" w:color="auto"/>
        <w:bottom w:val="none" w:sz="0" w:space="0" w:color="auto"/>
        <w:right w:val="none" w:sz="0" w:space="0" w:color="auto"/>
      </w:divBdr>
    </w:div>
    <w:div w:id="838350892">
      <w:bodyDiv w:val="1"/>
      <w:marLeft w:val="0"/>
      <w:marRight w:val="0"/>
      <w:marTop w:val="0"/>
      <w:marBottom w:val="0"/>
      <w:divBdr>
        <w:top w:val="none" w:sz="0" w:space="0" w:color="auto"/>
        <w:left w:val="none" w:sz="0" w:space="0" w:color="auto"/>
        <w:bottom w:val="none" w:sz="0" w:space="0" w:color="auto"/>
        <w:right w:val="none" w:sz="0" w:space="0" w:color="auto"/>
      </w:divBdr>
    </w:div>
    <w:div w:id="840193567">
      <w:bodyDiv w:val="1"/>
      <w:marLeft w:val="0"/>
      <w:marRight w:val="0"/>
      <w:marTop w:val="0"/>
      <w:marBottom w:val="0"/>
      <w:divBdr>
        <w:top w:val="none" w:sz="0" w:space="0" w:color="auto"/>
        <w:left w:val="none" w:sz="0" w:space="0" w:color="auto"/>
        <w:bottom w:val="none" w:sz="0" w:space="0" w:color="auto"/>
        <w:right w:val="none" w:sz="0" w:space="0" w:color="auto"/>
      </w:divBdr>
    </w:div>
    <w:div w:id="840202383">
      <w:bodyDiv w:val="1"/>
      <w:marLeft w:val="0"/>
      <w:marRight w:val="0"/>
      <w:marTop w:val="0"/>
      <w:marBottom w:val="0"/>
      <w:divBdr>
        <w:top w:val="none" w:sz="0" w:space="0" w:color="auto"/>
        <w:left w:val="none" w:sz="0" w:space="0" w:color="auto"/>
        <w:bottom w:val="none" w:sz="0" w:space="0" w:color="auto"/>
        <w:right w:val="none" w:sz="0" w:space="0" w:color="auto"/>
      </w:divBdr>
    </w:div>
    <w:div w:id="840434741">
      <w:bodyDiv w:val="1"/>
      <w:marLeft w:val="0"/>
      <w:marRight w:val="0"/>
      <w:marTop w:val="0"/>
      <w:marBottom w:val="0"/>
      <w:divBdr>
        <w:top w:val="none" w:sz="0" w:space="0" w:color="auto"/>
        <w:left w:val="none" w:sz="0" w:space="0" w:color="auto"/>
        <w:bottom w:val="none" w:sz="0" w:space="0" w:color="auto"/>
        <w:right w:val="none" w:sz="0" w:space="0" w:color="auto"/>
      </w:divBdr>
    </w:div>
    <w:div w:id="840587189">
      <w:bodyDiv w:val="1"/>
      <w:marLeft w:val="0"/>
      <w:marRight w:val="0"/>
      <w:marTop w:val="0"/>
      <w:marBottom w:val="0"/>
      <w:divBdr>
        <w:top w:val="none" w:sz="0" w:space="0" w:color="auto"/>
        <w:left w:val="none" w:sz="0" w:space="0" w:color="auto"/>
        <w:bottom w:val="none" w:sz="0" w:space="0" w:color="auto"/>
        <w:right w:val="none" w:sz="0" w:space="0" w:color="auto"/>
      </w:divBdr>
    </w:div>
    <w:div w:id="840588185">
      <w:bodyDiv w:val="1"/>
      <w:marLeft w:val="0"/>
      <w:marRight w:val="0"/>
      <w:marTop w:val="0"/>
      <w:marBottom w:val="0"/>
      <w:divBdr>
        <w:top w:val="none" w:sz="0" w:space="0" w:color="auto"/>
        <w:left w:val="none" w:sz="0" w:space="0" w:color="auto"/>
        <w:bottom w:val="none" w:sz="0" w:space="0" w:color="auto"/>
        <w:right w:val="none" w:sz="0" w:space="0" w:color="auto"/>
      </w:divBdr>
    </w:div>
    <w:div w:id="841120561">
      <w:bodyDiv w:val="1"/>
      <w:marLeft w:val="0"/>
      <w:marRight w:val="0"/>
      <w:marTop w:val="0"/>
      <w:marBottom w:val="0"/>
      <w:divBdr>
        <w:top w:val="none" w:sz="0" w:space="0" w:color="auto"/>
        <w:left w:val="none" w:sz="0" w:space="0" w:color="auto"/>
        <w:bottom w:val="none" w:sz="0" w:space="0" w:color="auto"/>
        <w:right w:val="none" w:sz="0" w:space="0" w:color="auto"/>
      </w:divBdr>
    </w:div>
    <w:div w:id="842741914">
      <w:bodyDiv w:val="1"/>
      <w:marLeft w:val="0"/>
      <w:marRight w:val="0"/>
      <w:marTop w:val="0"/>
      <w:marBottom w:val="0"/>
      <w:divBdr>
        <w:top w:val="none" w:sz="0" w:space="0" w:color="auto"/>
        <w:left w:val="none" w:sz="0" w:space="0" w:color="auto"/>
        <w:bottom w:val="none" w:sz="0" w:space="0" w:color="auto"/>
        <w:right w:val="none" w:sz="0" w:space="0" w:color="auto"/>
      </w:divBdr>
    </w:div>
    <w:div w:id="843858028">
      <w:bodyDiv w:val="1"/>
      <w:marLeft w:val="0"/>
      <w:marRight w:val="0"/>
      <w:marTop w:val="0"/>
      <w:marBottom w:val="0"/>
      <w:divBdr>
        <w:top w:val="none" w:sz="0" w:space="0" w:color="auto"/>
        <w:left w:val="none" w:sz="0" w:space="0" w:color="auto"/>
        <w:bottom w:val="none" w:sz="0" w:space="0" w:color="auto"/>
        <w:right w:val="none" w:sz="0" w:space="0" w:color="auto"/>
      </w:divBdr>
    </w:div>
    <w:div w:id="844132597">
      <w:bodyDiv w:val="1"/>
      <w:marLeft w:val="0"/>
      <w:marRight w:val="0"/>
      <w:marTop w:val="0"/>
      <w:marBottom w:val="0"/>
      <w:divBdr>
        <w:top w:val="none" w:sz="0" w:space="0" w:color="auto"/>
        <w:left w:val="none" w:sz="0" w:space="0" w:color="auto"/>
        <w:bottom w:val="none" w:sz="0" w:space="0" w:color="auto"/>
        <w:right w:val="none" w:sz="0" w:space="0" w:color="auto"/>
      </w:divBdr>
    </w:div>
    <w:div w:id="847713713">
      <w:bodyDiv w:val="1"/>
      <w:marLeft w:val="0"/>
      <w:marRight w:val="0"/>
      <w:marTop w:val="0"/>
      <w:marBottom w:val="0"/>
      <w:divBdr>
        <w:top w:val="none" w:sz="0" w:space="0" w:color="auto"/>
        <w:left w:val="none" w:sz="0" w:space="0" w:color="auto"/>
        <w:bottom w:val="none" w:sz="0" w:space="0" w:color="auto"/>
        <w:right w:val="none" w:sz="0" w:space="0" w:color="auto"/>
      </w:divBdr>
    </w:div>
    <w:div w:id="848177489">
      <w:bodyDiv w:val="1"/>
      <w:marLeft w:val="0"/>
      <w:marRight w:val="0"/>
      <w:marTop w:val="0"/>
      <w:marBottom w:val="0"/>
      <w:divBdr>
        <w:top w:val="none" w:sz="0" w:space="0" w:color="auto"/>
        <w:left w:val="none" w:sz="0" w:space="0" w:color="auto"/>
        <w:bottom w:val="none" w:sz="0" w:space="0" w:color="auto"/>
        <w:right w:val="none" w:sz="0" w:space="0" w:color="auto"/>
      </w:divBdr>
    </w:div>
    <w:div w:id="849567122">
      <w:bodyDiv w:val="1"/>
      <w:marLeft w:val="0"/>
      <w:marRight w:val="0"/>
      <w:marTop w:val="0"/>
      <w:marBottom w:val="0"/>
      <w:divBdr>
        <w:top w:val="none" w:sz="0" w:space="0" w:color="auto"/>
        <w:left w:val="none" w:sz="0" w:space="0" w:color="auto"/>
        <w:bottom w:val="none" w:sz="0" w:space="0" w:color="auto"/>
        <w:right w:val="none" w:sz="0" w:space="0" w:color="auto"/>
      </w:divBdr>
    </w:div>
    <w:div w:id="849805499">
      <w:bodyDiv w:val="1"/>
      <w:marLeft w:val="0"/>
      <w:marRight w:val="0"/>
      <w:marTop w:val="0"/>
      <w:marBottom w:val="0"/>
      <w:divBdr>
        <w:top w:val="none" w:sz="0" w:space="0" w:color="auto"/>
        <w:left w:val="none" w:sz="0" w:space="0" w:color="auto"/>
        <w:bottom w:val="none" w:sz="0" w:space="0" w:color="auto"/>
        <w:right w:val="none" w:sz="0" w:space="0" w:color="auto"/>
      </w:divBdr>
    </w:div>
    <w:div w:id="851069826">
      <w:bodyDiv w:val="1"/>
      <w:marLeft w:val="0"/>
      <w:marRight w:val="0"/>
      <w:marTop w:val="0"/>
      <w:marBottom w:val="0"/>
      <w:divBdr>
        <w:top w:val="none" w:sz="0" w:space="0" w:color="auto"/>
        <w:left w:val="none" w:sz="0" w:space="0" w:color="auto"/>
        <w:bottom w:val="none" w:sz="0" w:space="0" w:color="auto"/>
        <w:right w:val="none" w:sz="0" w:space="0" w:color="auto"/>
      </w:divBdr>
    </w:div>
    <w:div w:id="851722425">
      <w:bodyDiv w:val="1"/>
      <w:marLeft w:val="0"/>
      <w:marRight w:val="0"/>
      <w:marTop w:val="0"/>
      <w:marBottom w:val="0"/>
      <w:divBdr>
        <w:top w:val="none" w:sz="0" w:space="0" w:color="auto"/>
        <w:left w:val="none" w:sz="0" w:space="0" w:color="auto"/>
        <w:bottom w:val="none" w:sz="0" w:space="0" w:color="auto"/>
        <w:right w:val="none" w:sz="0" w:space="0" w:color="auto"/>
      </w:divBdr>
    </w:div>
    <w:div w:id="851843743">
      <w:bodyDiv w:val="1"/>
      <w:marLeft w:val="0"/>
      <w:marRight w:val="0"/>
      <w:marTop w:val="0"/>
      <w:marBottom w:val="0"/>
      <w:divBdr>
        <w:top w:val="none" w:sz="0" w:space="0" w:color="auto"/>
        <w:left w:val="none" w:sz="0" w:space="0" w:color="auto"/>
        <w:bottom w:val="none" w:sz="0" w:space="0" w:color="auto"/>
        <w:right w:val="none" w:sz="0" w:space="0" w:color="auto"/>
      </w:divBdr>
    </w:div>
    <w:div w:id="852915884">
      <w:bodyDiv w:val="1"/>
      <w:marLeft w:val="0"/>
      <w:marRight w:val="0"/>
      <w:marTop w:val="0"/>
      <w:marBottom w:val="0"/>
      <w:divBdr>
        <w:top w:val="none" w:sz="0" w:space="0" w:color="auto"/>
        <w:left w:val="none" w:sz="0" w:space="0" w:color="auto"/>
        <w:bottom w:val="none" w:sz="0" w:space="0" w:color="auto"/>
        <w:right w:val="none" w:sz="0" w:space="0" w:color="auto"/>
      </w:divBdr>
    </w:div>
    <w:div w:id="854655864">
      <w:bodyDiv w:val="1"/>
      <w:marLeft w:val="0"/>
      <w:marRight w:val="0"/>
      <w:marTop w:val="0"/>
      <w:marBottom w:val="0"/>
      <w:divBdr>
        <w:top w:val="none" w:sz="0" w:space="0" w:color="auto"/>
        <w:left w:val="none" w:sz="0" w:space="0" w:color="auto"/>
        <w:bottom w:val="none" w:sz="0" w:space="0" w:color="auto"/>
        <w:right w:val="none" w:sz="0" w:space="0" w:color="auto"/>
      </w:divBdr>
    </w:div>
    <w:div w:id="855459609">
      <w:bodyDiv w:val="1"/>
      <w:marLeft w:val="0"/>
      <w:marRight w:val="0"/>
      <w:marTop w:val="0"/>
      <w:marBottom w:val="0"/>
      <w:divBdr>
        <w:top w:val="none" w:sz="0" w:space="0" w:color="auto"/>
        <w:left w:val="none" w:sz="0" w:space="0" w:color="auto"/>
        <w:bottom w:val="none" w:sz="0" w:space="0" w:color="auto"/>
        <w:right w:val="none" w:sz="0" w:space="0" w:color="auto"/>
      </w:divBdr>
    </w:div>
    <w:div w:id="857281514">
      <w:bodyDiv w:val="1"/>
      <w:marLeft w:val="0"/>
      <w:marRight w:val="0"/>
      <w:marTop w:val="0"/>
      <w:marBottom w:val="0"/>
      <w:divBdr>
        <w:top w:val="none" w:sz="0" w:space="0" w:color="auto"/>
        <w:left w:val="none" w:sz="0" w:space="0" w:color="auto"/>
        <w:bottom w:val="none" w:sz="0" w:space="0" w:color="auto"/>
        <w:right w:val="none" w:sz="0" w:space="0" w:color="auto"/>
      </w:divBdr>
    </w:div>
    <w:div w:id="858006821">
      <w:bodyDiv w:val="1"/>
      <w:marLeft w:val="0"/>
      <w:marRight w:val="0"/>
      <w:marTop w:val="0"/>
      <w:marBottom w:val="0"/>
      <w:divBdr>
        <w:top w:val="none" w:sz="0" w:space="0" w:color="auto"/>
        <w:left w:val="none" w:sz="0" w:space="0" w:color="auto"/>
        <w:bottom w:val="none" w:sz="0" w:space="0" w:color="auto"/>
        <w:right w:val="none" w:sz="0" w:space="0" w:color="auto"/>
      </w:divBdr>
    </w:div>
    <w:div w:id="860626710">
      <w:bodyDiv w:val="1"/>
      <w:marLeft w:val="0"/>
      <w:marRight w:val="0"/>
      <w:marTop w:val="0"/>
      <w:marBottom w:val="0"/>
      <w:divBdr>
        <w:top w:val="none" w:sz="0" w:space="0" w:color="auto"/>
        <w:left w:val="none" w:sz="0" w:space="0" w:color="auto"/>
        <w:bottom w:val="none" w:sz="0" w:space="0" w:color="auto"/>
        <w:right w:val="none" w:sz="0" w:space="0" w:color="auto"/>
      </w:divBdr>
    </w:div>
    <w:div w:id="861357868">
      <w:bodyDiv w:val="1"/>
      <w:marLeft w:val="0"/>
      <w:marRight w:val="0"/>
      <w:marTop w:val="0"/>
      <w:marBottom w:val="0"/>
      <w:divBdr>
        <w:top w:val="none" w:sz="0" w:space="0" w:color="auto"/>
        <w:left w:val="none" w:sz="0" w:space="0" w:color="auto"/>
        <w:bottom w:val="none" w:sz="0" w:space="0" w:color="auto"/>
        <w:right w:val="none" w:sz="0" w:space="0" w:color="auto"/>
      </w:divBdr>
    </w:div>
    <w:div w:id="862783738">
      <w:bodyDiv w:val="1"/>
      <w:marLeft w:val="0"/>
      <w:marRight w:val="0"/>
      <w:marTop w:val="0"/>
      <w:marBottom w:val="0"/>
      <w:divBdr>
        <w:top w:val="none" w:sz="0" w:space="0" w:color="auto"/>
        <w:left w:val="none" w:sz="0" w:space="0" w:color="auto"/>
        <w:bottom w:val="none" w:sz="0" w:space="0" w:color="auto"/>
        <w:right w:val="none" w:sz="0" w:space="0" w:color="auto"/>
      </w:divBdr>
    </w:div>
    <w:div w:id="863329786">
      <w:bodyDiv w:val="1"/>
      <w:marLeft w:val="0"/>
      <w:marRight w:val="0"/>
      <w:marTop w:val="0"/>
      <w:marBottom w:val="0"/>
      <w:divBdr>
        <w:top w:val="none" w:sz="0" w:space="0" w:color="auto"/>
        <w:left w:val="none" w:sz="0" w:space="0" w:color="auto"/>
        <w:bottom w:val="none" w:sz="0" w:space="0" w:color="auto"/>
        <w:right w:val="none" w:sz="0" w:space="0" w:color="auto"/>
      </w:divBdr>
    </w:div>
    <w:div w:id="863788688">
      <w:bodyDiv w:val="1"/>
      <w:marLeft w:val="0"/>
      <w:marRight w:val="0"/>
      <w:marTop w:val="0"/>
      <w:marBottom w:val="0"/>
      <w:divBdr>
        <w:top w:val="none" w:sz="0" w:space="0" w:color="auto"/>
        <w:left w:val="none" w:sz="0" w:space="0" w:color="auto"/>
        <w:bottom w:val="none" w:sz="0" w:space="0" w:color="auto"/>
        <w:right w:val="none" w:sz="0" w:space="0" w:color="auto"/>
      </w:divBdr>
    </w:div>
    <w:div w:id="864755095">
      <w:bodyDiv w:val="1"/>
      <w:marLeft w:val="0"/>
      <w:marRight w:val="0"/>
      <w:marTop w:val="0"/>
      <w:marBottom w:val="0"/>
      <w:divBdr>
        <w:top w:val="none" w:sz="0" w:space="0" w:color="auto"/>
        <w:left w:val="none" w:sz="0" w:space="0" w:color="auto"/>
        <w:bottom w:val="none" w:sz="0" w:space="0" w:color="auto"/>
        <w:right w:val="none" w:sz="0" w:space="0" w:color="auto"/>
      </w:divBdr>
    </w:div>
    <w:div w:id="865027506">
      <w:bodyDiv w:val="1"/>
      <w:marLeft w:val="0"/>
      <w:marRight w:val="0"/>
      <w:marTop w:val="0"/>
      <w:marBottom w:val="0"/>
      <w:divBdr>
        <w:top w:val="none" w:sz="0" w:space="0" w:color="auto"/>
        <w:left w:val="none" w:sz="0" w:space="0" w:color="auto"/>
        <w:bottom w:val="none" w:sz="0" w:space="0" w:color="auto"/>
        <w:right w:val="none" w:sz="0" w:space="0" w:color="auto"/>
      </w:divBdr>
    </w:div>
    <w:div w:id="866136986">
      <w:bodyDiv w:val="1"/>
      <w:marLeft w:val="0"/>
      <w:marRight w:val="0"/>
      <w:marTop w:val="0"/>
      <w:marBottom w:val="0"/>
      <w:divBdr>
        <w:top w:val="none" w:sz="0" w:space="0" w:color="auto"/>
        <w:left w:val="none" w:sz="0" w:space="0" w:color="auto"/>
        <w:bottom w:val="none" w:sz="0" w:space="0" w:color="auto"/>
        <w:right w:val="none" w:sz="0" w:space="0" w:color="auto"/>
      </w:divBdr>
    </w:div>
    <w:div w:id="866412058">
      <w:bodyDiv w:val="1"/>
      <w:marLeft w:val="0"/>
      <w:marRight w:val="0"/>
      <w:marTop w:val="0"/>
      <w:marBottom w:val="0"/>
      <w:divBdr>
        <w:top w:val="none" w:sz="0" w:space="0" w:color="auto"/>
        <w:left w:val="none" w:sz="0" w:space="0" w:color="auto"/>
        <w:bottom w:val="none" w:sz="0" w:space="0" w:color="auto"/>
        <w:right w:val="none" w:sz="0" w:space="0" w:color="auto"/>
      </w:divBdr>
    </w:div>
    <w:div w:id="867332501">
      <w:bodyDiv w:val="1"/>
      <w:marLeft w:val="0"/>
      <w:marRight w:val="0"/>
      <w:marTop w:val="0"/>
      <w:marBottom w:val="0"/>
      <w:divBdr>
        <w:top w:val="none" w:sz="0" w:space="0" w:color="auto"/>
        <w:left w:val="none" w:sz="0" w:space="0" w:color="auto"/>
        <w:bottom w:val="none" w:sz="0" w:space="0" w:color="auto"/>
        <w:right w:val="none" w:sz="0" w:space="0" w:color="auto"/>
      </w:divBdr>
    </w:div>
    <w:div w:id="868879624">
      <w:bodyDiv w:val="1"/>
      <w:marLeft w:val="0"/>
      <w:marRight w:val="0"/>
      <w:marTop w:val="0"/>
      <w:marBottom w:val="0"/>
      <w:divBdr>
        <w:top w:val="none" w:sz="0" w:space="0" w:color="auto"/>
        <w:left w:val="none" w:sz="0" w:space="0" w:color="auto"/>
        <w:bottom w:val="none" w:sz="0" w:space="0" w:color="auto"/>
        <w:right w:val="none" w:sz="0" w:space="0" w:color="auto"/>
      </w:divBdr>
    </w:div>
    <w:div w:id="869338536">
      <w:bodyDiv w:val="1"/>
      <w:marLeft w:val="0"/>
      <w:marRight w:val="0"/>
      <w:marTop w:val="0"/>
      <w:marBottom w:val="0"/>
      <w:divBdr>
        <w:top w:val="none" w:sz="0" w:space="0" w:color="auto"/>
        <w:left w:val="none" w:sz="0" w:space="0" w:color="auto"/>
        <w:bottom w:val="none" w:sz="0" w:space="0" w:color="auto"/>
        <w:right w:val="none" w:sz="0" w:space="0" w:color="auto"/>
      </w:divBdr>
    </w:div>
    <w:div w:id="869415389">
      <w:bodyDiv w:val="1"/>
      <w:marLeft w:val="0"/>
      <w:marRight w:val="0"/>
      <w:marTop w:val="0"/>
      <w:marBottom w:val="0"/>
      <w:divBdr>
        <w:top w:val="none" w:sz="0" w:space="0" w:color="auto"/>
        <w:left w:val="none" w:sz="0" w:space="0" w:color="auto"/>
        <w:bottom w:val="none" w:sz="0" w:space="0" w:color="auto"/>
        <w:right w:val="none" w:sz="0" w:space="0" w:color="auto"/>
      </w:divBdr>
    </w:div>
    <w:div w:id="870342113">
      <w:bodyDiv w:val="1"/>
      <w:marLeft w:val="0"/>
      <w:marRight w:val="0"/>
      <w:marTop w:val="0"/>
      <w:marBottom w:val="0"/>
      <w:divBdr>
        <w:top w:val="none" w:sz="0" w:space="0" w:color="auto"/>
        <w:left w:val="none" w:sz="0" w:space="0" w:color="auto"/>
        <w:bottom w:val="none" w:sz="0" w:space="0" w:color="auto"/>
        <w:right w:val="none" w:sz="0" w:space="0" w:color="auto"/>
      </w:divBdr>
    </w:div>
    <w:div w:id="871772068">
      <w:bodyDiv w:val="1"/>
      <w:marLeft w:val="0"/>
      <w:marRight w:val="0"/>
      <w:marTop w:val="0"/>
      <w:marBottom w:val="0"/>
      <w:divBdr>
        <w:top w:val="none" w:sz="0" w:space="0" w:color="auto"/>
        <w:left w:val="none" w:sz="0" w:space="0" w:color="auto"/>
        <w:bottom w:val="none" w:sz="0" w:space="0" w:color="auto"/>
        <w:right w:val="none" w:sz="0" w:space="0" w:color="auto"/>
      </w:divBdr>
    </w:div>
    <w:div w:id="871847927">
      <w:bodyDiv w:val="1"/>
      <w:marLeft w:val="0"/>
      <w:marRight w:val="0"/>
      <w:marTop w:val="0"/>
      <w:marBottom w:val="0"/>
      <w:divBdr>
        <w:top w:val="none" w:sz="0" w:space="0" w:color="auto"/>
        <w:left w:val="none" w:sz="0" w:space="0" w:color="auto"/>
        <w:bottom w:val="none" w:sz="0" w:space="0" w:color="auto"/>
        <w:right w:val="none" w:sz="0" w:space="0" w:color="auto"/>
      </w:divBdr>
    </w:div>
    <w:div w:id="873082857">
      <w:bodyDiv w:val="1"/>
      <w:marLeft w:val="0"/>
      <w:marRight w:val="0"/>
      <w:marTop w:val="0"/>
      <w:marBottom w:val="0"/>
      <w:divBdr>
        <w:top w:val="none" w:sz="0" w:space="0" w:color="auto"/>
        <w:left w:val="none" w:sz="0" w:space="0" w:color="auto"/>
        <w:bottom w:val="none" w:sz="0" w:space="0" w:color="auto"/>
        <w:right w:val="none" w:sz="0" w:space="0" w:color="auto"/>
      </w:divBdr>
    </w:div>
    <w:div w:id="874804870">
      <w:bodyDiv w:val="1"/>
      <w:marLeft w:val="0"/>
      <w:marRight w:val="0"/>
      <w:marTop w:val="0"/>
      <w:marBottom w:val="0"/>
      <w:divBdr>
        <w:top w:val="none" w:sz="0" w:space="0" w:color="auto"/>
        <w:left w:val="none" w:sz="0" w:space="0" w:color="auto"/>
        <w:bottom w:val="none" w:sz="0" w:space="0" w:color="auto"/>
        <w:right w:val="none" w:sz="0" w:space="0" w:color="auto"/>
      </w:divBdr>
    </w:div>
    <w:div w:id="875654535">
      <w:bodyDiv w:val="1"/>
      <w:marLeft w:val="0"/>
      <w:marRight w:val="0"/>
      <w:marTop w:val="0"/>
      <w:marBottom w:val="0"/>
      <w:divBdr>
        <w:top w:val="none" w:sz="0" w:space="0" w:color="auto"/>
        <w:left w:val="none" w:sz="0" w:space="0" w:color="auto"/>
        <w:bottom w:val="none" w:sz="0" w:space="0" w:color="auto"/>
        <w:right w:val="none" w:sz="0" w:space="0" w:color="auto"/>
      </w:divBdr>
    </w:div>
    <w:div w:id="875771289">
      <w:bodyDiv w:val="1"/>
      <w:marLeft w:val="0"/>
      <w:marRight w:val="0"/>
      <w:marTop w:val="0"/>
      <w:marBottom w:val="0"/>
      <w:divBdr>
        <w:top w:val="none" w:sz="0" w:space="0" w:color="auto"/>
        <w:left w:val="none" w:sz="0" w:space="0" w:color="auto"/>
        <w:bottom w:val="none" w:sz="0" w:space="0" w:color="auto"/>
        <w:right w:val="none" w:sz="0" w:space="0" w:color="auto"/>
      </w:divBdr>
    </w:div>
    <w:div w:id="877157456">
      <w:bodyDiv w:val="1"/>
      <w:marLeft w:val="0"/>
      <w:marRight w:val="0"/>
      <w:marTop w:val="0"/>
      <w:marBottom w:val="0"/>
      <w:divBdr>
        <w:top w:val="none" w:sz="0" w:space="0" w:color="auto"/>
        <w:left w:val="none" w:sz="0" w:space="0" w:color="auto"/>
        <w:bottom w:val="none" w:sz="0" w:space="0" w:color="auto"/>
        <w:right w:val="none" w:sz="0" w:space="0" w:color="auto"/>
      </w:divBdr>
    </w:div>
    <w:div w:id="877594705">
      <w:bodyDiv w:val="1"/>
      <w:marLeft w:val="0"/>
      <w:marRight w:val="0"/>
      <w:marTop w:val="0"/>
      <w:marBottom w:val="0"/>
      <w:divBdr>
        <w:top w:val="none" w:sz="0" w:space="0" w:color="auto"/>
        <w:left w:val="none" w:sz="0" w:space="0" w:color="auto"/>
        <w:bottom w:val="none" w:sz="0" w:space="0" w:color="auto"/>
        <w:right w:val="none" w:sz="0" w:space="0" w:color="auto"/>
      </w:divBdr>
    </w:div>
    <w:div w:id="880283351">
      <w:bodyDiv w:val="1"/>
      <w:marLeft w:val="0"/>
      <w:marRight w:val="0"/>
      <w:marTop w:val="0"/>
      <w:marBottom w:val="0"/>
      <w:divBdr>
        <w:top w:val="none" w:sz="0" w:space="0" w:color="auto"/>
        <w:left w:val="none" w:sz="0" w:space="0" w:color="auto"/>
        <w:bottom w:val="none" w:sz="0" w:space="0" w:color="auto"/>
        <w:right w:val="none" w:sz="0" w:space="0" w:color="auto"/>
      </w:divBdr>
    </w:div>
    <w:div w:id="880826724">
      <w:bodyDiv w:val="1"/>
      <w:marLeft w:val="0"/>
      <w:marRight w:val="0"/>
      <w:marTop w:val="0"/>
      <w:marBottom w:val="0"/>
      <w:divBdr>
        <w:top w:val="none" w:sz="0" w:space="0" w:color="auto"/>
        <w:left w:val="none" w:sz="0" w:space="0" w:color="auto"/>
        <w:bottom w:val="none" w:sz="0" w:space="0" w:color="auto"/>
        <w:right w:val="none" w:sz="0" w:space="0" w:color="auto"/>
      </w:divBdr>
    </w:div>
    <w:div w:id="882597395">
      <w:bodyDiv w:val="1"/>
      <w:marLeft w:val="0"/>
      <w:marRight w:val="0"/>
      <w:marTop w:val="0"/>
      <w:marBottom w:val="0"/>
      <w:divBdr>
        <w:top w:val="none" w:sz="0" w:space="0" w:color="auto"/>
        <w:left w:val="none" w:sz="0" w:space="0" w:color="auto"/>
        <w:bottom w:val="none" w:sz="0" w:space="0" w:color="auto"/>
        <w:right w:val="none" w:sz="0" w:space="0" w:color="auto"/>
      </w:divBdr>
    </w:div>
    <w:div w:id="882788366">
      <w:bodyDiv w:val="1"/>
      <w:marLeft w:val="0"/>
      <w:marRight w:val="0"/>
      <w:marTop w:val="0"/>
      <w:marBottom w:val="0"/>
      <w:divBdr>
        <w:top w:val="none" w:sz="0" w:space="0" w:color="auto"/>
        <w:left w:val="none" w:sz="0" w:space="0" w:color="auto"/>
        <w:bottom w:val="none" w:sz="0" w:space="0" w:color="auto"/>
        <w:right w:val="none" w:sz="0" w:space="0" w:color="auto"/>
      </w:divBdr>
    </w:div>
    <w:div w:id="884294263">
      <w:bodyDiv w:val="1"/>
      <w:marLeft w:val="0"/>
      <w:marRight w:val="0"/>
      <w:marTop w:val="0"/>
      <w:marBottom w:val="0"/>
      <w:divBdr>
        <w:top w:val="none" w:sz="0" w:space="0" w:color="auto"/>
        <w:left w:val="none" w:sz="0" w:space="0" w:color="auto"/>
        <w:bottom w:val="none" w:sz="0" w:space="0" w:color="auto"/>
        <w:right w:val="none" w:sz="0" w:space="0" w:color="auto"/>
      </w:divBdr>
    </w:div>
    <w:div w:id="884685321">
      <w:bodyDiv w:val="1"/>
      <w:marLeft w:val="0"/>
      <w:marRight w:val="0"/>
      <w:marTop w:val="0"/>
      <w:marBottom w:val="0"/>
      <w:divBdr>
        <w:top w:val="none" w:sz="0" w:space="0" w:color="auto"/>
        <w:left w:val="none" w:sz="0" w:space="0" w:color="auto"/>
        <w:bottom w:val="none" w:sz="0" w:space="0" w:color="auto"/>
        <w:right w:val="none" w:sz="0" w:space="0" w:color="auto"/>
      </w:divBdr>
    </w:div>
    <w:div w:id="886572185">
      <w:bodyDiv w:val="1"/>
      <w:marLeft w:val="0"/>
      <w:marRight w:val="0"/>
      <w:marTop w:val="0"/>
      <w:marBottom w:val="0"/>
      <w:divBdr>
        <w:top w:val="none" w:sz="0" w:space="0" w:color="auto"/>
        <w:left w:val="none" w:sz="0" w:space="0" w:color="auto"/>
        <w:bottom w:val="none" w:sz="0" w:space="0" w:color="auto"/>
        <w:right w:val="none" w:sz="0" w:space="0" w:color="auto"/>
      </w:divBdr>
    </w:div>
    <w:div w:id="887836432">
      <w:bodyDiv w:val="1"/>
      <w:marLeft w:val="0"/>
      <w:marRight w:val="0"/>
      <w:marTop w:val="0"/>
      <w:marBottom w:val="0"/>
      <w:divBdr>
        <w:top w:val="none" w:sz="0" w:space="0" w:color="auto"/>
        <w:left w:val="none" w:sz="0" w:space="0" w:color="auto"/>
        <w:bottom w:val="none" w:sz="0" w:space="0" w:color="auto"/>
        <w:right w:val="none" w:sz="0" w:space="0" w:color="auto"/>
      </w:divBdr>
    </w:div>
    <w:div w:id="887911715">
      <w:bodyDiv w:val="1"/>
      <w:marLeft w:val="0"/>
      <w:marRight w:val="0"/>
      <w:marTop w:val="0"/>
      <w:marBottom w:val="0"/>
      <w:divBdr>
        <w:top w:val="none" w:sz="0" w:space="0" w:color="auto"/>
        <w:left w:val="none" w:sz="0" w:space="0" w:color="auto"/>
        <w:bottom w:val="none" w:sz="0" w:space="0" w:color="auto"/>
        <w:right w:val="none" w:sz="0" w:space="0" w:color="auto"/>
      </w:divBdr>
    </w:div>
    <w:div w:id="888415792">
      <w:bodyDiv w:val="1"/>
      <w:marLeft w:val="0"/>
      <w:marRight w:val="0"/>
      <w:marTop w:val="0"/>
      <w:marBottom w:val="0"/>
      <w:divBdr>
        <w:top w:val="none" w:sz="0" w:space="0" w:color="auto"/>
        <w:left w:val="none" w:sz="0" w:space="0" w:color="auto"/>
        <w:bottom w:val="none" w:sz="0" w:space="0" w:color="auto"/>
        <w:right w:val="none" w:sz="0" w:space="0" w:color="auto"/>
      </w:divBdr>
    </w:div>
    <w:div w:id="889346322">
      <w:bodyDiv w:val="1"/>
      <w:marLeft w:val="0"/>
      <w:marRight w:val="0"/>
      <w:marTop w:val="0"/>
      <w:marBottom w:val="0"/>
      <w:divBdr>
        <w:top w:val="none" w:sz="0" w:space="0" w:color="auto"/>
        <w:left w:val="none" w:sz="0" w:space="0" w:color="auto"/>
        <w:bottom w:val="none" w:sz="0" w:space="0" w:color="auto"/>
        <w:right w:val="none" w:sz="0" w:space="0" w:color="auto"/>
      </w:divBdr>
    </w:div>
    <w:div w:id="889726551">
      <w:bodyDiv w:val="1"/>
      <w:marLeft w:val="0"/>
      <w:marRight w:val="0"/>
      <w:marTop w:val="0"/>
      <w:marBottom w:val="0"/>
      <w:divBdr>
        <w:top w:val="none" w:sz="0" w:space="0" w:color="auto"/>
        <w:left w:val="none" w:sz="0" w:space="0" w:color="auto"/>
        <w:bottom w:val="none" w:sz="0" w:space="0" w:color="auto"/>
        <w:right w:val="none" w:sz="0" w:space="0" w:color="auto"/>
      </w:divBdr>
    </w:div>
    <w:div w:id="890923289">
      <w:bodyDiv w:val="1"/>
      <w:marLeft w:val="0"/>
      <w:marRight w:val="0"/>
      <w:marTop w:val="0"/>
      <w:marBottom w:val="0"/>
      <w:divBdr>
        <w:top w:val="none" w:sz="0" w:space="0" w:color="auto"/>
        <w:left w:val="none" w:sz="0" w:space="0" w:color="auto"/>
        <w:bottom w:val="none" w:sz="0" w:space="0" w:color="auto"/>
        <w:right w:val="none" w:sz="0" w:space="0" w:color="auto"/>
      </w:divBdr>
    </w:div>
    <w:div w:id="892496944">
      <w:bodyDiv w:val="1"/>
      <w:marLeft w:val="0"/>
      <w:marRight w:val="0"/>
      <w:marTop w:val="0"/>
      <w:marBottom w:val="0"/>
      <w:divBdr>
        <w:top w:val="none" w:sz="0" w:space="0" w:color="auto"/>
        <w:left w:val="none" w:sz="0" w:space="0" w:color="auto"/>
        <w:bottom w:val="none" w:sz="0" w:space="0" w:color="auto"/>
        <w:right w:val="none" w:sz="0" w:space="0" w:color="auto"/>
      </w:divBdr>
    </w:div>
    <w:div w:id="893198271">
      <w:bodyDiv w:val="1"/>
      <w:marLeft w:val="0"/>
      <w:marRight w:val="0"/>
      <w:marTop w:val="0"/>
      <w:marBottom w:val="0"/>
      <w:divBdr>
        <w:top w:val="none" w:sz="0" w:space="0" w:color="auto"/>
        <w:left w:val="none" w:sz="0" w:space="0" w:color="auto"/>
        <w:bottom w:val="none" w:sz="0" w:space="0" w:color="auto"/>
        <w:right w:val="none" w:sz="0" w:space="0" w:color="auto"/>
      </w:divBdr>
    </w:div>
    <w:div w:id="895243753">
      <w:bodyDiv w:val="1"/>
      <w:marLeft w:val="0"/>
      <w:marRight w:val="0"/>
      <w:marTop w:val="0"/>
      <w:marBottom w:val="0"/>
      <w:divBdr>
        <w:top w:val="none" w:sz="0" w:space="0" w:color="auto"/>
        <w:left w:val="none" w:sz="0" w:space="0" w:color="auto"/>
        <w:bottom w:val="none" w:sz="0" w:space="0" w:color="auto"/>
        <w:right w:val="none" w:sz="0" w:space="0" w:color="auto"/>
      </w:divBdr>
    </w:div>
    <w:div w:id="895899701">
      <w:bodyDiv w:val="1"/>
      <w:marLeft w:val="0"/>
      <w:marRight w:val="0"/>
      <w:marTop w:val="0"/>
      <w:marBottom w:val="0"/>
      <w:divBdr>
        <w:top w:val="none" w:sz="0" w:space="0" w:color="auto"/>
        <w:left w:val="none" w:sz="0" w:space="0" w:color="auto"/>
        <w:bottom w:val="none" w:sz="0" w:space="0" w:color="auto"/>
        <w:right w:val="none" w:sz="0" w:space="0" w:color="auto"/>
      </w:divBdr>
    </w:div>
    <w:div w:id="897210720">
      <w:bodyDiv w:val="1"/>
      <w:marLeft w:val="0"/>
      <w:marRight w:val="0"/>
      <w:marTop w:val="0"/>
      <w:marBottom w:val="0"/>
      <w:divBdr>
        <w:top w:val="none" w:sz="0" w:space="0" w:color="auto"/>
        <w:left w:val="none" w:sz="0" w:space="0" w:color="auto"/>
        <w:bottom w:val="none" w:sz="0" w:space="0" w:color="auto"/>
        <w:right w:val="none" w:sz="0" w:space="0" w:color="auto"/>
      </w:divBdr>
    </w:div>
    <w:div w:id="897398705">
      <w:bodyDiv w:val="1"/>
      <w:marLeft w:val="0"/>
      <w:marRight w:val="0"/>
      <w:marTop w:val="0"/>
      <w:marBottom w:val="0"/>
      <w:divBdr>
        <w:top w:val="none" w:sz="0" w:space="0" w:color="auto"/>
        <w:left w:val="none" w:sz="0" w:space="0" w:color="auto"/>
        <w:bottom w:val="none" w:sz="0" w:space="0" w:color="auto"/>
        <w:right w:val="none" w:sz="0" w:space="0" w:color="auto"/>
      </w:divBdr>
    </w:div>
    <w:div w:id="897470697">
      <w:bodyDiv w:val="1"/>
      <w:marLeft w:val="0"/>
      <w:marRight w:val="0"/>
      <w:marTop w:val="0"/>
      <w:marBottom w:val="0"/>
      <w:divBdr>
        <w:top w:val="none" w:sz="0" w:space="0" w:color="auto"/>
        <w:left w:val="none" w:sz="0" w:space="0" w:color="auto"/>
        <w:bottom w:val="none" w:sz="0" w:space="0" w:color="auto"/>
        <w:right w:val="none" w:sz="0" w:space="0" w:color="auto"/>
      </w:divBdr>
    </w:div>
    <w:div w:id="897977587">
      <w:bodyDiv w:val="1"/>
      <w:marLeft w:val="0"/>
      <w:marRight w:val="0"/>
      <w:marTop w:val="0"/>
      <w:marBottom w:val="0"/>
      <w:divBdr>
        <w:top w:val="none" w:sz="0" w:space="0" w:color="auto"/>
        <w:left w:val="none" w:sz="0" w:space="0" w:color="auto"/>
        <w:bottom w:val="none" w:sz="0" w:space="0" w:color="auto"/>
        <w:right w:val="none" w:sz="0" w:space="0" w:color="auto"/>
      </w:divBdr>
    </w:div>
    <w:div w:id="898201286">
      <w:bodyDiv w:val="1"/>
      <w:marLeft w:val="0"/>
      <w:marRight w:val="0"/>
      <w:marTop w:val="0"/>
      <w:marBottom w:val="0"/>
      <w:divBdr>
        <w:top w:val="none" w:sz="0" w:space="0" w:color="auto"/>
        <w:left w:val="none" w:sz="0" w:space="0" w:color="auto"/>
        <w:bottom w:val="none" w:sz="0" w:space="0" w:color="auto"/>
        <w:right w:val="none" w:sz="0" w:space="0" w:color="auto"/>
      </w:divBdr>
    </w:div>
    <w:div w:id="898588270">
      <w:bodyDiv w:val="1"/>
      <w:marLeft w:val="0"/>
      <w:marRight w:val="0"/>
      <w:marTop w:val="0"/>
      <w:marBottom w:val="0"/>
      <w:divBdr>
        <w:top w:val="none" w:sz="0" w:space="0" w:color="auto"/>
        <w:left w:val="none" w:sz="0" w:space="0" w:color="auto"/>
        <w:bottom w:val="none" w:sz="0" w:space="0" w:color="auto"/>
        <w:right w:val="none" w:sz="0" w:space="0" w:color="auto"/>
      </w:divBdr>
    </w:div>
    <w:div w:id="898632142">
      <w:bodyDiv w:val="1"/>
      <w:marLeft w:val="0"/>
      <w:marRight w:val="0"/>
      <w:marTop w:val="0"/>
      <w:marBottom w:val="0"/>
      <w:divBdr>
        <w:top w:val="none" w:sz="0" w:space="0" w:color="auto"/>
        <w:left w:val="none" w:sz="0" w:space="0" w:color="auto"/>
        <w:bottom w:val="none" w:sz="0" w:space="0" w:color="auto"/>
        <w:right w:val="none" w:sz="0" w:space="0" w:color="auto"/>
      </w:divBdr>
    </w:div>
    <w:div w:id="898905407">
      <w:bodyDiv w:val="1"/>
      <w:marLeft w:val="0"/>
      <w:marRight w:val="0"/>
      <w:marTop w:val="0"/>
      <w:marBottom w:val="0"/>
      <w:divBdr>
        <w:top w:val="none" w:sz="0" w:space="0" w:color="auto"/>
        <w:left w:val="none" w:sz="0" w:space="0" w:color="auto"/>
        <w:bottom w:val="none" w:sz="0" w:space="0" w:color="auto"/>
        <w:right w:val="none" w:sz="0" w:space="0" w:color="auto"/>
      </w:divBdr>
    </w:div>
    <w:div w:id="899169231">
      <w:bodyDiv w:val="1"/>
      <w:marLeft w:val="0"/>
      <w:marRight w:val="0"/>
      <w:marTop w:val="0"/>
      <w:marBottom w:val="0"/>
      <w:divBdr>
        <w:top w:val="none" w:sz="0" w:space="0" w:color="auto"/>
        <w:left w:val="none" w:sz="0" w:space="0" w:color="auto"/>
        <w:bottom w:val="none" w:sz="0" w:space="0" w:color="auto"/>
        <w:right w:val="none" w:sz="0" w:space="0" w:color="auto"/>
      </w:divBdr>
    </w:div>
    <w:div w:id="899635052">
      <w:bodyDiv w:val="1"/>
      <w:marLeft w:val="0"/>
      <w:marRight w:val="0"/>
      <w:marTop w:val="0"/>
      <w:marBottom w:val="0"/>
      <w:divBdr>
        <w:top w:val="none" w:sz="0" w:space="0" w:color="auto"/>
        <w:left w:val="none" w:sz="0" w:space="0" w:color="auto"/>
        <w:bottom w:val="none" w:sz="0" w:space="0" w:color="auto"/>
        <w:right w:val="none" w:sz="0" w:space="0" w:color="auto"/>
      </w:divBdr>
    </w:div>
    <w:div w:id="899710493">
      <w:bodyDiv w:val="1"/>
      <w:marLeft w:val="0"/>
      <w:marRight w:val="0"/>
      <w:marTop w:val="0"/>
      <w:marBottom w:val="0"/>
      <w:divBdr>
        <w:top w:val="none" w:sz="0" w:space="0" w:color="auto"/>
        <w:left w:val="none" w:sz="0" w:space="0" w:color="auto"/>
        <w:bottom w:val="none" w:sz="0" w:space="0" w:color="auto"/>
        <w:right w:val="none" w:sz="0" w:space="0" w:color="auto"/>
      </w:divBdr>
    </w:div>
    <w:div w:id="900022742">
      <w:bodyDiv w:val="1"/>
      <w:marLeft w:val="0"/>
      <w:marRight w:val="0"/>
      <w:marTop w:val="0"/>
      <w:marBottom w:val="0"/>
      <w:divBdr>
        <w:top w:val="none" w:sz="0" w:space="0" w:color="auto"/>
        <w:left w:val="none" w:sz="0" w:space="0" w:color="auto"/>
        <w:bottom w:val="none" w:sz="0" w:space="0" w:color="auto"/>
        <w:right w:val="none" w:sz="0" w:space="0" w:color="auto"/>
      </w:divBdr>
    </w:div>
    <w:div w:id="901721190">
      <w:bodyDiv w:val="1"/>
      <w:marLeft w:val="0"/>
      <w:marRight w:val="0"/>
      <w:marTop w:val="0"/>
      <w:marBottom w:val="0"/>
      <w:divBdr>
        <w:top w:val="none" w:sz="0" w:space="0" w:color="auto"/>
        <w:left w:val="none" w:sz="0" w:space="0" w:color="auto"/>
        <w:bottom w:val="none" w:sz="0" w:space="0" w:color="auto"/>
        <w:right w:val="none" w:sz="0" w:space="0" w:color="auto"/>
      </w:divBdr>
    </w:div>
    <w:div w:id="902060039">
      <w:bodyDiv w:val="1"/>
      <w:marLeft w:val="0"/>
      <w:marRight w:val="0"/>
      <w:marTop w:val="0"/>
      <w:marBottom w:val="0"/>
      <w:divBdr>
        <w:top w:val="none" w:sz="0" w:space="0" w:color="auto"/>
        <w:left w:val="none" w:sz="0" w:space="0" w:color="auto"/>
        <w:bottom w:val="none" w:sz="0" w:space="0" w:color="auto"/>
        <w:right w:val="none" w:sz="0" w:space="0" w:color="auto"/>
      </w:divBdr>
    </w:div>
    <w:div w:id="902642778">
      <w:bodyDiv w:val="1"/>
      <w:marLeft w:val="0"/>
      <w:marRight w:val="0"/>
      <w:marTop w:val="0"/>
      <w:marBottom w:val="0"/>
      <w:divBdr>
        <w:top w:val="none" w:sz="0" w:space="0" w:color="auto"/>
        <w:left w:val="none" w:sz="0" w:space="0" w:color="auto"/>
        <w:bottom w:val="none" w:sz="0" w:space="0" w:color="auto"/>
        <w:right w:val="none" w:sz="0" w:space="0" w:color="auto"/>
      </w:divBdr>
    </w:div>
    <w:div w:id="903098735">
      <w:bodyDiv w:val="1"/>
      <w:marLeft w:val="0"/>
      <w:marRight w:val="0"/>
      <w:marTop w:val="0"/>
      <w:marBottom w:val="0"/>
      <w:divBdr>
        <w:top w:val="none" w:sz="0" w:space="0" w:color="auto"/>
        <w:left w:val="none" w:sz="0" w:space="0" w:color="auto"/>
        <w:bottom w:val="none" w:sz="0" w:space="0" w:color="auto"/>
        <w:right w:val="none" w:sz="0" w:space="0" w:color="auto"/>
      </w:divBdr>
    </w:div>
    <w:div w:id="904684524">
      <w:bodyDiv w:val="1"/>
      <w:marLeft w:val="0"/>
      <w:marRight w:val="0"/>
      <w:marTop w:val="0"/>
      <w:marBottom w:val="0"/>
      <w:divBdr>
        <w:top w:val="none" w:sz="0" w:space="0" w:color="auto"/>
        <w:left w:val="none" w:sz="0" w:space="0" w:color="auto"/>
        <w:bottom w:val="none" w:sz="0" w:space="0" w:color="auto"/>
        <w:right w:val="none" w:sz="0" w:space="0" w:color="auto"/>
      </w:divBdr>
    </w:div>
    <w:div w:id="904922060">
      <w:bodyDiv w:val="1"/>
      <w:marLeft w:val="0"/>
      <w:marRight w:val="0"/>
      <w:marTop w:val="0"/>
      <w:marBottom w:val="0"/>
      <w:divBdr>
        <w:top w:val="none" w:sz="0" w:space="0" w:color="auto"/>
        <w:left w:val="none" w:sz="0" w:space="0" w:color="auto"/>
        <w:bottom w:val="none" w:sz="0" w:space="0" w:color="auto"/>
        <w:right w:val="none" w:sz="0" w:space="0" w:color="auto"/>
      </w:divBdr>
    </w:div>
    <w:div w:id="905452218">
      <w:bodyDiv w:val="1"/>
      <w:marLeft w:val="0"/>
      <w:marRight w:val="0"/>
      <w:marTop w:val="0"/>
      <w:marBottom w:val="0"/>
      <w:divBdr>
        <w:top w:val="none" w:sz="0" w:space="0" w:color="auto"/>
        <w:left w:val="none" w:sz="0" w:space="0" w:color="auto"/>
        <w:bottom w:val="none" w:sz="0" w:space="0" w:color="auto"/>
        <w:right w:val="none" w:sz="0" w:space="0" w:color="auto"/>
      </w:divBdr>
    </w:div>
    <w:div w:id="907229002">
      <w:bodyDiv w:val="1"/>
      <w:marLeft w:val="0"/>
      <w:marRight w:val="0"/>
      <w:marTop w:val="0"/>
      <w:marBottom w:val="0"/>
      <w:divBdr>
        <w:top w:val="none" w:sz="0" w:space="0" w:color="auto"/>
        <w:left w:val="none" w:sz="0" w:space="0" w:color="auto"/>
        <w:bottom w:val="none" w:sz="0" w:space="0" w:color="auto"/>
        <w:right w:val="none" w:sz="0" w:space="0" w:color="auto"/>
      </w:divBdr>
    </w:div>
    <w:div w:id="908735058">
      <w:bodyDiv w:val="1"/>
      <w:marLeft w:val="0"/>
      <w:marRight w:val="0"/>
      <w:marTop w:val="0"/>
      <w:marBottom w:val="0"/>
      <w:divBdr>
        <w:top w:val="none" w:sz="0" w:space="0" w:color="auto"/>
        <w:left w:val="none" w:sz="0" w:space="0" w:color="auto"/>
        <w:bottom w:val="none" w:sz="0" w:space="0" w:color="auto"/>
        <w:right w:val="none" w:sz="0" w:space="0" w:color="auto"/>
      </w:divBdr>
    </w:div>
    <w:div w:id="908880502">
      <w:bodyDiv w:val="1"/>
      <w:marLeft w:val="0"/>
      <w:marRight w:val="0"/>
      <w:marTop w:val="0"/>
      <w:marBottom w:val="0"/>
      <w:divBdr>
        <w:top w:val="none" w:sz="0" w:space="0" w:color="auto"/>
        <w:left w:val="none" w:sz="0" w:space="0" w:color="auto"/>
        <w:bottom w:val="none" w:sz="0" w:space="0" w:color="auto"/>
        <w:right w:val="none" w:sz="0" w:space="0" w:color="auto"/>
      </w:divBdr>
    </w:div>
    <w:div w:id="910164466">
      <w:bodyDiv w:val="1"/>
      <w:marLeft w:val="0"/>
      <w:marRight w:val="0"/>
      <w:marTop w:val="0"/>
      <w:marBottom w:val="0"/>
      <w:divBdr>
        <w:top w:val="none" w:sz="0" w:space="0" w:color="auto"/>
        <w:left w:val="none" w:sz="0" w:space="0" w:color="auto"/>
        <w:bottom w:val="none" w:sz="0" w:space="0" w:color="auto"/>
        <w:right w:val="none" w:sz="0" w:space="0" w:color="auto"/>
      </w:divBdr>
    </w:div>
    <w:div w:id="910316248">
      <w:bodyDiv w:val="1"/>
      <w:marLeft w:val="0"/>
      <w:marRight w:val="0"/>
      <w:marTop w:val="0"/>
      <w:marBottom w:val="0"/>
      <w:divBdr>
        <w:top w:val="none" w:sz="0" w:space="0" w:color="auto"/>
        <w:left w:val="none" w:sz="0" w:space="0" w:color="auto"/>
        <w:bottom w:val="none" w:sz="0" w:space="0" w:color="auto"/>
        <w:right w:val="none" w:sz="0" w:space="0" w:color="auto"/>
      </w:divBdr>
    </w:div>
    <w:div w:id="913050435">
      <w:bodyDiv w:val="1"/>
      <w:marLeft w:val="0"/>
      <w:marRight w:val="0"/>
      <w:marTop w:val="0"/>
      <w:marBottom w:val="0"/>
      <w:divBdr>
        <w:top w:val="none" w:sz="0" w:space="0" w:color="auto"/>
        <w:left w:val="none" w:sz="0" w:space="0" w:color="auto"/>
        <w:bottom w:val="none" w:sz="0" w:space="0" w:color="auto"/>
        <w:right w:val="none" w:sz="0" w:space="0" w:color="auto"/>
      </w:divBdr>
    </w:div>
    <w:div w:id="913708568">
      <w:bodyDiv w:val="1"/>
      <w:marLeft w:val="0"/>
      <w:marRight w:val="0"/>
      <w:marTop w:val="0"/>
      <w:marBottom w:val="0"/>
      <w:divBdr>
        <w:top w:val="none" w:sz="0" w:space="0" w:color="auto"/>
        <w:left w:val="none" w:sz="0" w:space="0" w:color="auto"/>
        <w:bottom w:val="none" w:sz="0" w:space="0" w:color="auto"/>
        <w:right w:val="none" w:sz="0" w:space="0" w:color="auto"/>
      </w:divBdr>
    </w:div>
    <w:div w:id="916137188">
      <w:bodyDiv w:val="1"/>
      <w:marLeft w:val="0"/>
      <w:marRight w:val="0"/>
      <w:marTop w:val="0"/>
      <w:marBottom w:val="0"/>
      <w:divBdr>
        <w:top w:val="none" w:sz="0" w:space="0" w:color="auto"/>
        <w:left w:val="none" w:sz="0" w:space="0" w:color="auto"/>
        <w:bottom w:val="none" w:sz="0" w:space="0" w:color="auto"/>
        <w:right w:val="none" w:sz="0" w:space="0" w:color="auto"/>
      </w:divBdr>
    </w:div>
    <w:div w:id="916594213">
      <w:bodyDiv w:val="1"/>
      <w:marLeft w:val="0"/>
      <w:marRight w:val="0"/>
      <w:marTop w:val="0"/>
      <w:marBottom w:val="0"/>
      <w:divBdr>
        <w:top w:val="none" w:sz="0" w:space="0" w:color="auto"/>
        <w:left w:val="none" w:sz="0" w:space="0" w:color="auto"/>
        <w:bottom w:val="none" w:sz="0" w:space="0" w:color="auto"/>
        <w:right w:val="none" w:sz="0" w:space="0" w:color="auto"/>
      </w:divBdr>
    </w:div>
    <w:div w:id="917404409">
      <w:bodyDiv w:val="1"/>
      <w:marLeft w:val="0"/>
      <w:marRight w:val="0"/>
      <w:marTop w:val="0"/>
      <w:marBottom w:val="0"/>
      <w:divBdr>
        <w:top w:val="none" w:sz="0" w:space="0" w:color="auto"/>
        <w:left w:val="none" w:sz="0" w:space="0" w:color="auto"/>
        <w:bottom w:val="none" w:sz="0" w:space="0" w:color="auto"/>
        <w:right w:val="none" w:sz="0" w:space="0" w:color="auto"/>
      </w:divBdr>
    </w:div>
    <w:div w:id="917710095">
      <w:bodyDiv w:val="1"/>
      <w:marLeft w:val="0"/>
      <w:marRight w:val="0"/>
      <w:marTop w:val="0"/>
      <w:marBottom w:val="0"/>
      <w:divBdr>
        <w:top w:val="none" w:sz="0" w:space="0" w:color="auto"/>
        <w:left w:val="none" w:sz="0" w:space="0" w:color="auto"/>
        <w:bottom w:val="none" w:sz="0" w:space="0" w:color="auto"/>
        <w:right w:val="none" w:sz="0" w:space="0" w:color="auto"/>
      </w:divBdr>
    </w:div>
    <w:div w:id="919603508">
      <w:bodyDiv w:val="1"/>
      <w:marLeft w:val="0"/>
      <w:marRight w:val="0"/>
      <w:marTop w:val="0"/>
      <w:marBottom w:val="0"/>
      <w:divBdr>
        <w:top w:val="none" w:sz="0" w:space="0" w:color="auto"/>
        <w:left w:val="none" w:sz="0" w:space="0" w:color="auto"/>
        <w:bottom w:val="none" w:sz="0" w:space="0" w:color="auto"/>
        <w:right w:val="none" w:sz="0" w:space="0" w:color="auto"/>
      </w:divBdr>
    </w:div>
    <w:div w:id="919680486">
      <w:bodyDiv w:val="1"/>
      <w:marLeft w:val="0"/>
      <w:marRight w:val="0"/>
      <w:marTop w:val="0"/>
      <w:marBottom w:val="0"/>
      <w:divBdr>
        <w:top w:val="none" w:sz="0" w:space="0" w:color="auto"/>
        <w:left w:val="none" w:sz="0" w:space="0" w:color="auto"/>
        <w:bottom w:val="none" w:sz="0" w:space="0" w:color="auto"/>
        <w:right w:val="none" w:sz="0" w:space="0" w:color="auto"/>
      </w:divBdr>
    </w:div>
    <w:div w:id="920607217">
      <w:bodyDiv w:val="1"/>
      <w:marLeft w:val="0"/>
      <w:marRight w:val="0"/>
      <w:marTop w:val="0"/>
      <w:marBottom w:val="0"/>
      <w:divBdr>
        <w:top w:val="none" w:sz="0" w:space="0" w:color="auto"/>
        <w:left w:val="none" w:sz="0" w:space="0" w:color="auto"/>
        <w:bottom w:val="none" w:sz="0" w:space="0" w:color="auto"/>
        <w:right w:val="none" w:sz="0" w:space="0" w:color="auto"/>
      </w:divBdr>
    </w:div>
    <w:div w:id="920943757">
      <w:bodyDiv w:val="1"/>
      <w:marLeft w:val="0"/>
      <w:marRight w:val="0"/>
      <w:marTop w:val="0"/>
      <w:marBottom w:val="0"/>
      <w:divBdr>
        <w:top w:val="none" w:sz="0" w:space="0" w:color="auto"/>
        <w:left w:val="none" w:sz="0" w:space="0" w:color="auto"/>
        <w:bottom w:val="none" w:sz="0" w:space="0" w:color="auto"/>
        <w:right w:val="none" w:sz="0" w:space="0" w:color="auto"/>
      </w:divBdr>
    </w:div>
    <w:div w:id="921108818">
      <w:bodyDiv w:val="1"/>
      <w:marLeft w:val="0"/>
      <w:marRight w:val="0"/>
      <w:marTop w:val="0"/>
      <w:marBottom w:val="0"/>
      <w:divBdr>
        <w:top w:val="none" w:sz="0" w:space="0" w:color="auto"/>
        <w:left w:val="none" w:sz="0" w:space="0" w:color="auto"/>
        <w:bottom w:val="none" w:sz="0" w:space="0" w:color="auto"/>
        <w:right w:val="none" w:sz="0" w:space="0" w:color="auto"/>
      </w:divBdr>
    </w:div>
    <w:div w:id="921529288">
      <w:bodyDiv w:val="1"/>
      <w:marLeft w:val="0"/>
      <w:marRight w:val="0"/>
      <w:marTop w:val="0"/>
      <w:marBottom w:val="0"/>
      <w:divBdr>
        <w:top w:val="none" w:sz="0" w:space="0" w:color="auto"/>
        <w:left w:val="none" w:sz="0" w:space="0" w:color="auto"/>
        <w:bottom w:val="none" w:sz="0" w:space="0" w:color="auto"/>
        <w:right w:val="none" w:sz="0" w:space="0" w:color="auto"/>
      </w:divBdr>
    </w:div>
    <w:div w:id="921833915">
      <w:bodyDiv w:val="1"/>
      <w:marLeft w:val="0"/>
      <w:marRight w:val="0"/>
      <w:marTop w:val="0"/>
      <w:marBottom w:val="0"/>
      <w:divBdr>
        <w:top w:val="none" w:sz="0" w:space="0" w:color="auto"/>
        <w:left w:val="none" w:sz="0" w:space="0" w:color="auto"/>
        <w:bottom w:val="none" w:sz="0" w:space="0" w:color="auto"/>
        <w:right w:val="none" w:sz="0" w:space="0" w:color="auto"/>
      </w:divBdr>
    </w:div>
    <w:div w:id="924530863">
      <w:bodyDiv w:val="1"/>
      <w:marLeft w:val="0"/>
      <w:marRight w:val="0"/>
      <w:marTop w:val="0"/>
      <w:marBottom w:val="0"/>
      <w:divBdr>
        <w:top w:val="none" w:sz="0" w:space="0" w:color="auto"/>
        <w:left w:val="none" w:sz="0" w:space="0" w:color="auto"/>
        <w:bottom w:val="none" w:sz="0" w:space="0" w:color="auto"/>
        <w:right w:val="none" w:sz="0" w:space="0" w:color="auto"/>
      </w:divBdr>
    </w:div>
    <w:div w:id="925844814">
      <w:bodyDiv w:val="1"/>
      <w:marLeft w:val="0"/>
      <w:marRight w:val="0"/>
      <w:marTop w:val="0"/>
      <w:marBottom w:val="0"/>
      <w:divBdr>
        <w:top w:val="none" w:sz="0" w:space="0" w:color="auto"/>
        <w:left w:val="none" w:sz="0" w:space="0" w:color="auto"/>
        <w:bottom w:val="none" w:sz="0" w:space="0" w:color="auto"/>
        <w:right w:val="none" w:sz="0" w:space="0" w:color="auto"/>
      </w:divBdr>
    </w:div>
    <w:div w:id="926692659">
      <w:bodyDiv w:val="1"/>
      <w:marLeft w:val="0"/>
      <w:marRight w:val="0"/>
      <w:marTop w:val="0"/>
      <w:marBottom w:val="0"/>
      <w:divBdr>
        <w:top w:val="none" w:sz="0" w:space="0" w:color="auto"/>
        <w:left w:val="none" w:sz="0" w:space="0" w:color="auto"/>
        <w:bottom w:val="none" w:sz="0" w:space="0" w:color="auto"/>
        <w:right w:val="none" w:sz="0" w:space="0" w:color="auto"/>
      </w:divBdr>
    </w:div>
    <w:div w:id="927036844">
      <w:bodyDiv w:val="1"/>
      <w:marLeft w:val="0"/>
      <w:marRight w:val="0"/>
      <w:marTop w:val="0"/>
      <w:marBottom w:val="0"/>
      <w:divBdr>
        <w:top w:val="none" w:sz="0" w:space="0" w:color="auto"/>
        <w:left w:val="none" w:sz="0" w:space="0" w:color="auto"/>
        <w:bottom w:val="none" w:sz="0" w:space="0" w:color="auto"/>
        <w:right w:val="none" w:sz="0" w:space="0" w:color="auto"/>
      </w:divBdr>
    </w:div>
    <w:div w:id="928079046">
      <w:bodyDiv w:val="1"/>
      <w:marLeft w:val="0"/>
      <w:marRight w:val="0"/>
      <w:marTop w:val="0"/>
      <w:marBottom w:val="0"/>
      <w:divBdr>
        <w:top w:val="none" w:sz="0" w:space="0" w:color="auto"/>
        <w:left w:val="none" w:sz="0" w:space="0" w:color="auto"/>
        <w:bottom w:val="none" w:sz="0" w:space="0" w:color="auto"/>
        <w:right w:val="none" w:sz="0" w:space="0" w:color="auto"/>
      </w:divBdr>
    </w:div>
    <w:div w:id="928583941">
      <w:bodyDiv w:val="1"/>
      <w:marLeft w:val="0"/>
      <w:marRight w:val="0"/>
      <w:marTop w:val="0"/>
      <w:marBottom w:val="0"/>
      <w:divBdr>
        <w:top w:val="none" w:sz="0" w:space="0" w:color="auto"/>
        <w:left w:val="none" w:sz="0" w:space="0" w:color="auto"/>
        <w:bottom w:val="none" w:sz="0" w:space="0" w:color="auto"/>
        <w:right w:val="none" w:sz="0" w:space="0" w:color="auto"/>
      </w:divBdr>
    </w:div>
    <w:div w:id="928856589">
      <w:bodyDiv w:val="1"/>
      <w:marLeft w:val="0"/>
      <w:marRight w:val="0"/>
      <w:marTop w:val="0"/>
      <w:marBottom w:val="0"/>
      <w:divBdr>
        <w:top w:val="none" w:sz="0" w:space="0" w:color="auto"/>
        <w:left w:val="none" w:sz="0" w:space="0" w:color="auto"/>
        <w:bottom w:val="none" w:sz="0" w:space="0" w:color="auto"/>
        <w:right w:val="none" w:sz="0" w:space="0" w:color="auto"/>
      </w:divBdr>
    </w:div>
    <w:div w:id="928931695">
      <w:bodyDiv w:val="1"/>
      <w:marLeft w:val="0"/>
      <w:marRight w:val="0"/>
      <w:marTop w:val="0"/>
      <w:marBottom w:val="0"/>
      <w:divBdr>
        <w:top w:val="none" w:sz="0" w:space="0" w:color="auto"/>
        <w:left w:val="none" w:sz="0" w:space="0" w:color="auto"/>
        <w:bottom w:val="none" w:sz="0" w:space="0" w:color="auto"/>
        <w:right w:val="none" w:sz="0" w:space="0" w:color="auto"/>
      </w:divBdr>
    </w:div>
    <w:div w:id="929046282">
      <w:bodyDiv w:val="1"/>
      <w:marLeft w:val="0"/>
      <w:marRight w:val="0"/>
      <w:marTop w:val="0"/>
      <w:marBottom w:val="0"/>
      <w:divBdr>
        <w:top w:val="none" w:sz="0" w:space="0" w:color="auto"/>
        <w:left w:val="none" w:sz="0" w:space="0" w:color="auto"/>
        <w:bottom w:val="none" w:sz="0" w:space="0" w:color="auto"/>
        <w:right w:val="none" w:sz="0" w:space="0" w:color="auto"/>
      </w:divBdr>
    </w:div>
    <w:div w:id="929586571">
      <w:bodyDiv w:val="1"/>
      <w:marLeft w:val="0"/>
      <w:marRight w:val="0"/>
      <w:marTop w:val="0"/>
      <w:marBottom w:val="0"/>
      <w:divBdr>
        <w:top w:val="none" w:sz="0" w:space="0" w:color="auto"/>
        <w:left w:val="none" w:sz="0" w:space="0" w:color="auto"/>
        <w:bottom w:val="none" w:sz="0" w:space="0" w:color="auto"/>
        <w:right w:val="none" w:sz="0" w:space="0" w:color="auto"/>
      </w:divBdr>
    </w:div>
    <w:div w:id="930159806">
      <w:bodyDiv w:val="1"/>
      <w:marLeft w:val="0"/>
      <w:marRight w:val="0"/>
      <w:marTop w:val="0"/>
      <w:marBottom w:val="0"/>
      <w:divBdr>
        <w:top w:val="none" w:sz="0" w:space="0" w:color="auto"/>
        <w:left w:val="none" w:sz="0" w:space="0" w:color="auto"/>
        <w:bottom w:val="none" w:sz="0" w:space="0" w:color="auto"/>
        <w:right w:val="none" w:sz="0" w:space="0" w:color="auto"/>
      </w:divBdr>
    </w:div>
    <w:div w:id="932250002">
      <w:bodyDiv w:val="1"/>
      <w:marLeft w:val="0"/>
      <w:marRight w:val="0"/>
      <w:marTop w:val="0"/>
      <w:marBottom w:val="0"/>
      <w:divBdr>
        <w:top w:val="none" w:sz="0" w:space="0" w:color="auto"/>
        <w:left w:val="none" w:sz="0" w:space="0" w:color="auto"/>
        <w:bottom w:val="none" w:sz="0" w:space="0" w:color="auto"/>
        <w:right w:val="none" w:sz="0" w:space="0" w:color="auto"/>
      </w:divBdr>
    </w:div>
    <w:div w:id="932275036">
      <w:bodyDiv w:val="1"/>
      <w:marLeft w:val="0"/>
      <w:marRight w:val="0"/>
      <w:marTop w:val="0"/>
      <w:marBottom w:val="0"/>
      <w:divBdr>
        <w:top w:val="none" w:sz="0" w:space="0" w:color="auto"/>
        <w:left w:val="none" w:sz="0" w:space="0" w:color="auto"/>
        <w:bottom w:val="none" w:sz="0" w:space="0" w:color="auto"/>
        <w:right w:val="none" w:sz="0" w:space="0" w:color="auto"/>
      </w:divBdr>
    </w:div>
    <w:div w:id="932513705">
      <w:bodyDiv w:val="1"/>
      <w:marLeft w:val="0"/>
      <w:marRight w:val="0"/>
      <w:marTop w:val="0"/>
      <w:marBottom w:val="0"/>
      <w:divBdr>
        <w:top w:val="none" w:sz="0" w:space="0" w:color="auto"/>
        <w:left w:val="none" w:sz="0" w:space="0" w:color="auto"/>
        <w:bottom w:val="none" w:sz="0" w:space="0" w:color="auto"/>
        <w:right w:val="none" w:sz="0" w:space="0" w:color="auto"/>
      </w:divBdr>
    </w:div>
    <w:div w:id="932519824">
      <w:bodyDiv w:val="1"/>
      <w:marLeft w:val="0"/>
      <w:marRight w:val="0"/>
      <w:marTop w:val="0"/>
      <w:marBottom w:val="0"/>
      <w:divBdr>
        <w:top w:val="none" w:sz="0" w:space="0" w:color="auto"/>
        <w:left w:val="none" w:sz="0" w:space="0" w:color="auto"/>
        <w:bottom w:val="none" w:sz="0" w:space="0" w:color="auto"/>
        <w:right w:val="none" w:sz="0" w:space="0" w:color="auto"/>
      </w:divBdr>
    </w:div>
    <w:div w:id="933055139">
      <w:bodyDiv w:val="1"/>
      <w:marLeft w:val="0"/>
      <w:marRight w:val="0"/>
      <w:marTop w:val="0"/>
      <w:marBottom w:val="0"/>
      <w:divBdr>
        <w:top w:val="none" w:sz="0" w:space="0" w:color="auto"/>
        <w:left w:val="none" w:sz="0" w:space="0" w:color="auto"/>
        <w:bottom w:val="none" w:sz="0" w:space="0" w:color="auto"/>
        <w:right w:val="none" w:sz="0" w:space="0" w:color="auto"/>
      </w:divBdr>
    </w:div>
    <w:div w:id="933129072">
      <w:bodyDiv w:val="1"/>
      <w:marLeft w:val="0"/>
      <w:marRight w:val="0"/>
      <w:marTop w:val="0"/>
      <w:marBottom w:val="0"/>
      <w:divBdr>
        <w:top w:val="none" w:sz="0" w:space="0" w:color="auto"/>
        <w:left w:val="none" w:sz="0" w:space="0" w:color="auto"/>
        <w:bottom w:val="none" w:sz="0" w:space="0" w:color="auto"/>
        <w:right w:val="none" w:sz="0" w:space="0" w:color="auto"/>
      </w:divBdr>
    </w:div>
    <w:div w:id="933784968">
      <w:bodyDiv w:val="1"/>
      <w:marLeft w:val="0"/>
      <w:marRight w:val="0"/>
      <w:marTop w:val="0"/>
      <w:marBottom w:val="0"/>
      <w:divBdr>
        <w:top w:val="none" w:sz="0" w:space="0" w:color="auto"/>
        <w:left w:val="none" w:sz="0" w:space="0" w:color="auto"/>
        <w:bottom w:val="none" w:sz="0" w:space="0" w:color="auto"/>
        <w:right w:val="none" w:sz="0" w:space="0" w:color="auto"/>
      </w:divBdr>
    </w:div>
    <w:div w:id="934093897">
      <w:bodyDiv w:val="1"/>
      <w:marLeft w:val="0"/>
      <w:marRight w:val="0"/>
      <w:marTop w:val="0"/>
      <w:marBottom w:val="0"/>
      <w:divBdr>
        <w:top w:val="none" w:sz="0" w:space="0" w:color="auto"/>
        <w:left w:val="none" w:sz="0" w:space="0" w:color="auto"/>
        <w:bottom w:val="none" w:sz="0" w:space="0" w:color="auto"/>
        <w:right w:val="none" w:sz="0" w:space="0" w:color="auto"/>
      </w:divBdr>
    </w:div>
    <w:div w:id="934215875">
      <w:bodyDiv w:val="1"/>
      <w:marLeft w:val="0"/>
      <w:marRight w:val="0"/>
      <w:marTop w:val="0"/>
      <w:marBottom w:val="0"/>
      <w:divBdr>
        <w:top w:val="none" w:sz="0" w:space="0" w:color="auto"/>
        <w:left w:val="none" w:sz="0" w:space="0" w:color="auto"/>
        <w:bottom w:val="none" w:sz="0" w:space="0" w:color="auto"/>
        <w:right w:val="none" w:sz="0" w:space="0" w:color="auto"/>
      </w:divBdr>
    </w:div>
    <w:div w:id="934362309">
      <w:bodyDiv w:val="1"/>
      <w:marLeft w:val="0"/>
      <w:marRight w:val="0"/>
      <w:marTop w:val="0"/>
      <w:marBottom w:val="0"/>
      <w:divBdr>
        <w:top w:val="none" w:sz="0" w:space="0" w:color="auto"/>
        <w:left w:val="none" w:sz="0" w:space="0" w:color="auto"/>
        <w:bottom w:val="none" w:sz="0" w:space="0" w:color="auto"/>
        <w:right w:val="none" w:sz="0" w:space="0" w:color="auto"/>
      </w:divBdr>
    </w:div>
    <w:div w:id="936017693">
      <w:bodyDiv w:val="1"/>
      <w:marLeft w:val="0"/>
      <w:marRight w:val="0"/>
      <w:marTop w:val="0"/>
      <w:marBottom w:val="0"/>
      <w:divBdr>
        <w:top w:val="none" w:sz="0" w:space="0" w:color="auto"/>
        <w:left w:val="none" w:sz="0" w:space="0" w:color="auto"/>
        <w:bottom w:val="none" w:sz="0" w:space="0" w:color="auto"/>
        <w:right w:val="none" w:sz="0" w:space="0" w:color="auto"/>
      </w:divBdr>
    </w:div>
    <w:div w:id="936714121">
      <w:bodyDiv w:val="1"/>
      <w:marLeft w:val="0"/>
      <w:marRight w:val="0"/>
      <w:marTop w:val="0"/>
      <w:marBottom w:val="0"/>
      <w:divBdr>
        <w:top w:val="none" w:sz="0" w:space="0" w:color="auto"/>
        <w:left w:val="none" w:sz="0" w:space="0" w:color="auto"/>
        <w:bottom w:val="none" w:sz="0" w:space="0" w:color="auto"/>
        <w:right w:val="none" w:sz="0" w:space="0" w:color="auto"/>
      </w:divBdr>
    </w:div>
    <w:div w:id="937712235">
      <w:bodyDiv w:val="1"/>
      <w:marLeft w:val="0"/>
      <w:marRight w:val="0"/>
      <w:marTop w:val="0"/>
      <w:marBottom w:val="0"/>
      <w:divBdr>
        <w:top w:val="none" w:sz="0" w:space="0" w:color="auto"/>
        <w:left w:val="none" w:sz="0" w:space="0" w:color="auto"/>
        <w:bottom w:val="none" w:sz="0" w:space="0" w:color="auto"/>
        <w:right w:val="none" w:sz="0" w:space="0" w:color="auto"/>
      </w:divBdr>
    </w:div>
    <w:div w:id="937715545">
      <w:bodyDiv w:val="1"/>
      <w:marLeft w:val="0"/>
      <w:marRight w:val="0"/>
      <w:marTop w:val="0"/>
      <w:marBottom w:val="0"/>
      <w:divBdr>
        <w:top w:val="none" w:sz="0" w:space="0" w:color="auto"/>
        <w:left w:val="none" w:sz="0" w:space="0" w:color="auto"/>
        <w:bottom w:val="none" w:sz="0" w:space="0" w:color="auto"/>
        <w:right w:val="none" w:sz="0" w:space="0" w:color="auto"/>
      </w:divBdr>
    </w:div>
    <w:div w:id="938174141">
      <w:bodyDiv w:val="1"/>
      <w:marLeft w:val="0"/>
      <w:marRight w:val="0"/>
      <w:marTop w:val="0"/>
      <w:marBottom w:val="0"/>
      <w:divBdr>
        <w:top w:val="none" w:sz="0" w:space="0" w:color="auto"/>
        <w:left w:val="none" w:sz="0" w:space="0" w:color="auto"/>
        <w:bottom w:val="none" w:sz="0" w:space="0" w:color="auto"/>
        <w:right w:val="none" w:sz="0" w:space="0" w:color="auto"/>
      </w:divBdr>
    </w:div>
    <w:div w:id="938414567">
      <w:bodyDiv w:val="1"/>
      <w:marLeft w:val="0"/>
      <w:marRight w:val="0"/>
      <w:marTop w:val="0"/>
      <w:marBottom w:val="0"/>
      <w:divBdr>
        <w:top w:val="none" w:sz="0" w:space="0" w:color="auto"/>
        <w:left w:val="none" w:sz="0" w:space="0" w:color="auto"/>
        <w:bottom w:val="none" w:sz="0" w:space="0" w:color="auto"/>
        <w:right w:val="none" w:sz="0" w:space="0" w:color="auto"/>
      </w:divBdr>
    </w:div>
    <w:div w:id="941649845">
      <w:bodyDiv w:val="1"/>
      <w:marLeft w:val="0"/>
      <w:marRight w:val="0"/>
      <w:marTop w:val="0"/>
      <w:marBottom w:val="0"/>
      <w:divBdr>
        <w:top w:val="none" w:sz="0" w:space="0" w:color="auto"/>
        <w:left w:val="none" w:sz="0" w:space="0" w:color="auto"/>
        <w:bottom w:val="none" w:sz="0" w:space="0" w:color="auto"/>
        <w:right w:val="none" w:sz="0" w:space="0" w:color="auto"/>
      </w:divBdr>
    </w:div>
    <w:div w:id="941688200">
      <w:bodyDiv w:val="1"/>
      <w:marLeft w:val="0"/>
      <w:marRight w:val="0"/>
      <w:marTop w:val="0"/>
      <w:marBottom w:val="0"/>
      <w:divBdr>
        <w:top w:val="none" w:sz="0" w:space="0" w:color="auto"/>
        <w:left w:val="none" w:sz="0" w:space="0" w:color="auto"/>
        <w:bottom w:val="none" w:sz="0" w:space="0" w:color="auto"/>
        <w:right w:val="none" w:sz="0" w:space="0" w:color="auto"/>
      </w:divBdr>
    </w:div>
    <w:div w:id="941760275">
      <w:bodyDiv w:val="1"/>
      <w:marLeft w:val="0"/>
      <w:marRight w:val="0"/>
      <w:marTop w:val="0"/>
      <w:marBottom w:val="0"/>
      <w:divBdr>
        <w:top w:val="none" w:sz="0" w:space="0" w:color="auto"/>
        <w:left w:val="none" w:sz="0" w:space="0" w:color="auto"/>
        <w:bottom w:val="none" w:sz="0" w:space="0" w:color="auto"/>
        <w:right w:val="none" w:sz="0" w:space="0" w:color="auto"/>
      </w:divBdr>
    </w:div>
    <w:div w:id="941958769">
      <w:bodyDiv w:val="1"/>
      <w:marLeft w:val="0"/>
      <w:marRight w:val="0"/>
      <w:marTop w:val="0"/>
      <w:marBottom w:val="0"/>
      <w:divBdr>
        <w:top w:val="none" w:sz="0" w:space="0" w:color="auto"/>
        <w:left w:val="none" w:sz="0" w:space="0" w:color="auto"/>
        <w:bottom w:val="none" w:sz="0" w:space="0" w:color="auto"/>
        <w:right w:val="none" w:sz="0" w:space="0" w:color="auto"/>
      </w:divBdr>
    </w:div>
    <w:div w:id="942689324">
      <w:bodyDiv w:val="1"/>
      <w:marLeft w:val="0"/>
      <w:marRight w:val="0"/>
      <w:marTop w:val="0"/>
      <w:marBottom w:val="0"/>
      <w:divBdr>
        <w:top w:val="none" w:sz="0" w:space="0" w:color="auto"/>
        <w:left w:val="none" w:sz="0" w:space="0" w:color="auto"/>
        <w:bottom w:val="none" w:sz="0" w:space="0" w:color="auto"/>
        <w:right w:val="none" w:sz="0" w:space="0" w:color="auto"/>
      </w:divBdr>
    </w:div>
    <w:div w:id="943074957">
      <w:bodyDiv w:val="1"/>
      <w:marLeft w:val="0"/>
      <w:marRight w:val="0"/>
      <w:marTop w:val="0"/>
      <w:marBottom w:val="0"/>
      <w:divBdr>
        <w:top w:val="none" w:sz="0" w:space="0" w:color="auto"/>
        <w:left w:val="none" w:sz="0" w:space="0" w:color="auto"/>
        <w:bottom w:val="none" w:sz="0" w:space="0" w:color="auto"/>
        <w:right w:val="none" w:sz="0" w:space="0" w:color="auto"/>
      </w:divBdr>
    </w:div>
    <w:div w:id="943456778">
      <w:bodyDiv w:val="1"/>
      <w:marLeft w:val="0"/>
      <w:marRight w:val="0"/>
      <w:marTop w:val="0"/>
      <w:marBottom w:val="0"/>
      <w:divBdr>
        <w:top w:val="none" w:sz="0" w:space="0" w:color="auto"/>
        <w:left w:val="none" w:sz="0" w:space="0" w:color="auto"/>
        <w:bottom w:val="none" w:sz="0" w:space="0" w:color="auto"/>
        <w:right w:val="none" w:sz="0" w:space="0" w:color="auto"/>
      </w:divBdr>
    </w:div>
    <w:div w:id="944263881">
      <w:bodyDiv w:val="1"/>
      <w:marLeft w:val="0"/>
      <w:marRight w:val="0"/>
      <w:marTop w:val="0"/>
      <w:marBottom w:val="0"/>
      <w:divBdr>
        <w:top w:val="none" w:sz="0" w:space="0" w:color="auto"/>
        <w:left w:val="none" w:sz="0" w:space="0" w:color="auto"/>
        <w:bottom w:val="none" w:sz="0" w:space="0" w:color="auto"/>
        <w:right w:val="none" w:sz="0" w:space="0" w:color="auto"/>
      </w:divBdr>
    </w:div>
    <w:div w:id="944270483">
      <w:bodyDiv w:val="1"/>
      <w:marLeft w:val="0"/>
      <w:marRight w:val="0"/>
      <w:marTop w:val="0"/>
      <w:marBottom w:val="0"/>
      <w:divBdr>
        <w:top w:val="none" w:sz="0" w:space="0" w:color="auto"/>
        <w:left w:val="none" w:sz="0" w:space="0" w:color="auto"/>
        <w:bottom w:val="none" w:sz="0" w:space="0" w:color="auto"/>
        <w:right w:val="none" w:sz="0" w:space="0" w:color="auto"/>
      </w:divBdr>
    </w:div>
    <w:div w:id="944968145">
      <w:bodyDiv w:val="1"/>
      <w:marLeft w:val="0"/>
      <w:marRight w:val="0"/>
      <w:marTop w:val="0"/>
      <w:marBottom w:val="0"/>
      <w:divBdr>
        <w:top w:val="none" w:sz="0" w:space="0" w:color="auto"/>
        <w:left w:val="none" w:sz="0" w:space="0" w:color="auto"/>
        <w:bottom w:val="none" w:sz="0" w:space="0" w:color="auto"/>
        <w:right w:val="none" w:sz="0" w:space="0" w:color="auto"/>
      </w:divBdr>
    </w:div>
    <w:div w:id="946037465">
      <w:bodyDiv w:val="1"/>
      <w:marLeft w:val="0"/>
      <w:marRight w:val="0"/>
      <w:marTop w:val="0"/>
      <w:marBottom w:val="0"/>
      <w:divBdr>
        <w:top w:val="none" w:sz="0" w:space="0" w:color="auto"/>
        <w:left w:val="none" w:sz="0" w:space="0" w:color="auto"/>
        <w:bottom w:val="none" w:sz="0" w:space="0" w:color="auto"/>
        <w:right w:val="none" w:sz="0" w:space="0" w:color="auto"/>
      </w:divBdr>
    </w:div>
    <w:div w:id="947546303">
      <w:bodyDiv w:val="1"/>
      <w:marLeft w:val="0"/>
      <w:marRight w:val="0"/>
      <w:marTop w:val="0"/>
      <w:marBottom w:val="0"/>
      <w:divBdr>
        <w:top w:val="none" w:sz="0" w:space="0" w:color="auto"/>
        <w:left w:val="none" w:sz="0" w:space="0" w:color="auto"/>
        <w:bottom w:val="none" w:sz="0" w:space="0" w:color="auto"/>
        <w:right w:val="none" w:sz="0" w:space="0" w:color="auto"/>
      </w:divBdr>
    </w:div>
    <w:div w:id="948511374">
      <w:bodyDiv w:val="1"/>
      <w:marLeft w:val="0"/>
      <w:marRight w:val="0"/>
      <w:marTop w:val="0"/>
      <w:marBottom w:val="0"/>
      <w:divBdr>
        <w:top w:val="none" w:sz="0" w:space="0" w:color="auto"/>
        <w:left w:val="none" w:sz="0" w:space="0" w:color="auto"/>
        <w:bottom w:val="none" w:sz="0" w:space="0" w:color="auto"/>
        <w:right w:val="none" w:sz="0" w:space="0" w:color="auto"/>
      </w:divBdr>
    </w:div>
    <w:div w:id="950746955">
      <w:bodyDiv w:val="1"/>
      <w:marLeft w:val="0"/>
      <w:marRight w:val="0"/>
      <w:marTop w:val="0"/>
      <w:marBottom w:val="0"/>
      <w:divBdr>
        <w:top w:val="none" w:sz="0" w:space="0" w:color="auto"/>
        <w:left w:val="none" w:sz="0" w:space="0" w:color="auto"/>
        <w:bottom w:val="none" w:sz="0" w:space="0" w:color="auto"/>
        <w:right w:val="none" w:sz="0" w:space="0" w:color="auto"/>
      </w:divBdr>
    </w:div>
    <w:div w:id="951476843">
      <w:bodyDiv w:val="1"/>
      <w:marLeft w:val="0"/>
      <w:marRight w:val="0"/>
      <w:marTop w:val="0"/>
      <w:marBottom w:val="0"/>
      <w:divBdr>
        <w:top w:val="none" w:sz="0" w:space="0" w:color="auto"/>
        <w:left w:val="none" w:sz="0" w:space="0" w:color="auto"/>
        <w:bottom w:val="none" w:sz="0" w:space="0" w:color="auto"/>
        <w:right w:val="none" w:sz="0" w:space="0" w:color="auto"/>
      </w:divBdr>
    </w:div>
    <w:div w:id="951863755">
      <w:bodyDiv w:val="1"/>
      <w:marLeft w:val="0"/>
      <w:marRight w:val="0"/>
      <w:marTop w:val="0"/>
      <w:marBottom w:val="0"/>
      <w:divBdr>
        <w:top w:val="none" w:sz="0" w:space="0" w:color="auto"/>
        <w:left w:val="none" w:sz="0" w:space="0" w:color="auto"/>
        <w:bottom w:val="none" w:sz="0" w:space="0" w:color="auto"/>
        <w:right w:val="none" w:sz="0" w:space="0" w:color="auto"/>
      </w:divBdr>
    </w:div>
    <w:div w:id="952712927">
      <w:bodyDiv w:val="1"/>
      <w:marLeft w:val="0"/>
      <w:marRight w:val="0"/>
      <w:marTop w:val="0"/>
      <w:marBottom w:val="0"/>
      <w:divBdr>
        <w:top w:val="none" w:sz="0" w:space="0" w:color="auto"/>
        <w:left w:val="none" w:sz="0" w:space="0" w:color="auto"/>
        <w:bottom w:val="none" w:sz="0" w:space="0" w:color="auto"/>
        <w:right w:val="none" w:sz="0" w:space="0" w:color="auto"/>
      </w:divBdr>
    </w:div>
    <w:div w:id="955989057">
      <w:bodyDiv w:val="1"/>
      <w:marLeft w:val="0"/>
      <w:marRight w:val="0"/>
      <w:marTop w:val="0"/>
      <w:marBottom w:val="0"/>
      <w:divBdr>
        <w:top w:val="none" w:sz="0" w:space="0" w:color="auto"/>
        <w:left w:val="none" w:sz="0" w:space="0" w:color="auto"/>
        <w:bottom w:val="none" w:sz="0" w:space="0" w:color="auto"/>
        <w:right w:val="none" w:sz="0" w:space="0" w:color="auto"/>
      </w:divBdr>
    </w:div>
    <w:div w:id="956331672">
      <w:bodyDiv w:val="1"/>
      <w:marLeft w:val="0"/>
      <w:marRight w:val="0"/>
      <w:marTop w:val="0"/>
      <w:marBottom w:val="0"/>
      <w:divBdr>
        <w:top w:val="none" w:sz="0" w:space="0" w:color="auto"/>
        <w:left w:val="none" w:sz="0" w:space="0" w:color="auto"/>
        <w:bottom w:val="none" w:sz="0" w:space="0" w:color="auto"/>
        <w:right w:val="none" w:sz="0" w:space="0" w:color="auto"/>
      </w:divBdr>
    </w:div>
    <w:div w:id="956983982">
      <w:bodyDiv w:val="1"/>
      <w:marLeft w:val="0"/>
      <w:marRight w:val="0"/>
      <w:marTop w:val="0"/>
      <w:marBottom w:val="0"/>
      <w:divBdr>
        <w:top w:val="none" w:sz="0" w:space="0" w:color="auto"/>
        <w:left w:val="none" w:sz="0" w:space="0" w:color="auto"/>
        <w:bottom w:val="none" w:sz="0" w:space="0" w:color="auto"/>
        <w:right w:val="none" w:sz="0" w:space="0" w:color="auto"/>
      </w:divBdr>
    </w:div>
    <w:div w:id="958336923">
      <w:bodyDiv w:val="1"/>
      <w:marLeft w:val="0"/>
      <w:marRight w:val="0"/>
      <w:marTop w:val="0"/>
      <w:marBottom w:val="0"/>
      <w:divBdr>
        <w:top w:val="none" w:sz="0" w:space="0" w:color="auto"/>
        <w:left w:val="none" w:sz="0" w:space="0" w:color="auto"/>
        <w:bottom w:val="none" w:sz="0" w:space="0" w:color="auto"/>
        <w:right w:val="none" w:sz="0" w:space="0" w:color="auto"/>
      </w:divBdr>
    </w:div>
    <w:div w:id="958607344">
      <w:bodyDiv w:val="1"/>
      <w:marLeft w:val="0"/>
      <w:marRight w:val="0"/>
      <w:marTop w:val="0"/>
      <w:marBottom w:val="0"/>
      <w:divBdr>
        <w:top w:val="none" w:sz="0" w:space="0" w:color="auto"/>
        <w:left w:val="none" w:sz="0" w:space="0" w:color="auto"/>
        <w:bottom w:val="none" w:sz="0" w:space="0" w:color="auto"/>
        <w:right w:val="none" w:sz="0" w:space="0" w:color="auto"/>
      </w:divBdr>
    </w:div>
    <w:div w:id="960064935">
      <w:bodyDiv w:val="1"/>
      <w:marLeft w:val="0"/>
      <w:marRight w:val="0"/>
      <w:marTop w:val="0"/>
      <w:marBottom w:val="0"/>
      <w:divBdr>
        <w:top w:val="none" w:sz="0" w:space="0" w:color="auto"/>
        <w:left w:val="none" w:sz="0" w:space="0" w:color="auto"/>
        <w:bottom w:val="none" w:sz="0" w:space="0" w:color="auto"/>
        <w:right w:val="none" w:sz="0" w:space="0" w:color="auto"/>
      </w:divBdr>
    </w:div>
    <w:div w:id="960114966">
      <w:bodyDiv w:val="1"/>
      <w:marLeft w:val="0"/>
      <w:marRight w:val="0"/>
      <w:marTop w:val="0"/>
      <w:marBottom w:val="0"/>
      <w:divBdr>
        <w:top w:val="none" w:sz="0" w:space="0" w:color="auto"/>
        <w:left w:val="none" w:sz="0" w:space="0" w:color="auto"/>
        <w:bottom w:val="none" w:sz="0" w:space="0" w:color="auto"/>
        <w:right w:val="none" w:sz="0" w:space="0" w:color="auto"/>
      </w:divBdr>
    </w:div>
    <w:div w:id="961497503">
      <w:bodyDiv w:val="1"/>
      <w:marLeft w:val="0"/>
      <w:marRight w:val="0"/>
      <w:marTop w:val="0"/>
      <w:marBottom w:val="0"/>
      <w:divBdr>
        <w:top w:val="none" w:sz="0" w:space="0" w:color="auto"/>
        <w:left w:val="none" w:sz="0" w:space="0" w:color="auto"/>
        <w:bottom w:val="none" w:sz="0" w:space="0" w:color="auto"/>
        <w:right w:val="none" w:sz="0" w:space="0" w:color="auto"/>
      </w:divBdr>
    </w:div>
    <w:div w:id="961955116">
      <w:bodyDiv w:val="1"/>
      <w:marLeft w:val="0"/>
      <w:marRight w:val="0"/>
      <w:marTop w:val="0"/>
      <w:marBottom w:val="0"/>
      <w:divBdr>
        <w:top w:val="none" w:sz="0" w:space="0" w:color="auto"/>
        <w:left w:val="none" w:sz="0" w:space="0" w:color="auto"/>
        <w:bottom w:val="none" w:sz="0" w:space="0" w:color="auto"/>
        <w:right w:val="none" w:sz="0" w:space="0" w:color="auto"/>
      </w:divBdr>
    </w:div>
    <w:div w:id="962032183">
      <w:bodyDiv w:val="1"/>
      <w:marLeft w:val="0"/>
      <w:marRight w:val="0"/>
      <w:marTop w:val="0"/>
      <w:marBottom w:val="0"/>
      <w:divBdr>
        <w:top w:val="none" w:sz="0" w:space="0" w:color="auto"/>
        <w:left w:val="none" w:sz="0" w:space="0" w:color="auto"/>
        <w:bottom w:val="none" w:sz="0" w:space="0" w:color="auto"/>
        <w:right w:val="none" w:sz="0" w:space="0" w:color="auto"/>
      </w:divBdr>
    </w:div>
    <w:div w:id="963541878">
      <w:bodyDiv w:val="1"/>
      <w:marLeft w:val="0"/>
      <w:marRight w:val="0"/>
      <w:marTop w:val="0"/>
      <w:marBottom w:val="0"/>
      <w:divBdr>
        <w:top w:val="none" w:sz="0" w:space="0" w:color="auto"/>
        <w:left w:val="none" w:sz="0" w:space="0" w:color="auto"/>
        <w:bottom w:val="none" w:sz="0" w:space="0" w:color="auto"/>
        <w:right w:val="none" w:sz="0" w:space="0" w:color="auto"/>
      </w:divBdr>
    </w:div>
    <w:div w:id="965896054">
      <w:bodyDiv w:val="1"/>
      <w:marLeft w:val="0"/>
      <w:marRight w:val="0"/>
      <w:marTop w:val="0"/>
      <w:marBottom w:val="0"/>
      <w:divBdr>
        <w:top w:val="none" w:sz="0" w:space="0" w:color="auto"/>
        <w:left w:val="none" w:sz="0" w:space="0" w:color="auto"/>
        <w:bottom w:val="none" w:sz="0" w:space="0" w:color="auto"/>
        <w:right w:val="none" w:sz="0" w:space="0" w:color="auto"/>
      </w:divBdr>
    </w:div>
    <w:div w:id="966617783">
      <w:bodyDiv w:val="1"/>
      <w:marLeft w:val="0"/>
      <w:marRight w:val="0"/>
      <w:marTop w:val="0"/>
      <w:marBottom w:val="0"/>
      <w:divBdr>
        <w:top w:val="none" w:sz="0" w:space="0" w:color="auto"/>
        <w:left w:val="none" w:sz="0" w:space="0" w:color="auto"/>
        <w:bottom w:val="none" w:sz="0" w:space="0" w:color="auto"/>
        <w:right w:val="none" w:sz="0" w:space="0" w:color="auto"/>
      </w:divBdr>
    </w:div>
    <w:div w:id="966816947">
      <w:bodyDiv w:val="1"/>
      <w:marLeft w:val="0"/>
      <w:marRight w:val="0"/>
      <w:marTop w:val="0"/>
      <w:marBottom w:val="0"/>
      <w:divBdr>
        <w:top w:val="none" w:sz="0" w:space="0" w:color="auto"/>
        <w:left w:val="none" w:sz="0" w:space="0" w:color="auto"/>
        <w:bottom w:val="none" w:sz="0" w:space="0" w:color="auto"/>
        <w:right w:val="none" w:sz="0" w:space="0" w:color="auto"/>
      </w:divBdr>
    </w:div>
    <w:div w:id="968172273">
      <w:bodyDiv w:val="1"/>
      <w:marLeft w:val="0"/>
      <w:marRight w:val="0"/>
      <w:marTop w:val="0"/>
      <w:marBottom w:val="0"/>
      <w:divBdr>
        <w:top w:val="none" w:sz="0" w:space="0" w:color="auto"/>
        <w:left w:val="none" w:sz="0" w:space="0" w:color="auto"/>
        <w:bottom w:val="none" w:sz="0" w:space="0" w:color="auto"/>
        <w:right w:val="none" w:sz="0" w:space="0" w:color="auto"/>
      </w:divBdr>
    </w:div>
    <w:div w:id="969088277">
      <w:bodyDiv w:val="1"/>
      <w:marLeft w:val="0"/>
      <w:marRight w:val="0"/>
      <w:marTop w:val="0"/>
      <w:marBottom w:val="0"/>
      <w:divBdr>
        <w:top w:val="none" w:sz="0" w:space="0" w:color="auto"/>
        <w:left w:val="none" w:sz="0" w:space="0" w:color="auto"/>
        <w:bottom w:val="none" w:sz="0" w:space="0" w:color="auto"/>
        <w:right w:val="none" w:sz="0" w:space="0" w:color="auto"/>
      </w:divBdr>
    </w:div>
    <w:div w:id="970749772">
      <w:bodyDiv w:val="1"/>
      <w:marLeft w:val="0"/>
      <w:marRight w:val="0"/>
      <w:marTop w:val="0"/>
      <w:marBottom w:val="0"/>
      <w:divBdr>
        <w:top w:val="none" w:sz="0" w:space="0" w:color="auto"/>
        <w:left w:val="none" w:sz="0" w:space="0" w:color="auto"/>
        <w:bottom w:val="none" w:sz="0" w:space="0" w:color="auto"/>
        <w:right w:val="none" w:sz="0" w:space="0" w:color="auto"/>
      </w:divBdr>
    </w:div>
    <w:div w:id="972950072">
      <w:bodyDiv w:val="1"/>
      <w:marLeft w:val="0"/>
      <w:marRight w:val="0"/>
      <w:marTop w:val="0"/>
      <w:marBottom w:val="0"/>
      <w:divBdr>
        <w:top w:val="none" w:sz="0" w:space="0" w:color="auto"/>
        <w:left w:val="none" w:sz="0" w:space="0" w:color="auto"/>
        <w:bottom w:val="none" w:sz="0" w:space="0" w:color="auto"/>
        <w:right w:val="none" w:sz="0" w:space="0" w:color="auto"/>
      </w:divBdr>
    </w:div>
    <w:div w:id="973754106">
      <w:bodyDiv w:val="1"/>
      <w:marLeft w:val="0"/>
      <w:marRight w:val="0"/>
      <w:marTop w:val="0"/>
      <w:marBottom w:val="0"/>
      <w:divBdr>
        <w:top w:val="none" w:sz="0" w:space="0" w:color="auto"/>
        <w:left w:val="none" w:sz="0" w:space="0" w:color="auto"/>
        <w:bottom w:val="none" w:sz="0" w:space="0" w:color="auto"/>
        <w:right w:val="none" w:sz="0" w:space="0" w:color="auto"/>
      </w:divBdr>
    </w:div>
    <w:div w:id="973944849">
      <w:bodyDiv w:val="1"/>
      <w:marLeft w:val="0"/>
      <w:marRight w:val="0"/>
      <w:marTop w:val="0"/>
      <w:marBottom w:val="0"/>
      <w:divBdr>
        <w:top w:val="none" w:sz="0" w:space="0" w:color="auto"/>
        <w:left w:val="none" w:sz="0" w:space="0" w:color="auto"/>
        <w:bottom w:val="none" w:sz="0" w:space="0" w:color="auto"/>
        <w:right w:val="none" w:sz="0" w:space="0" w:color="auto"/>
      </w:divBdr>
    </w:div>
    <w:div w:id="975645896">
      <w:bodyDiv w:val="1"/>
      <w:marLeft w:val="0"/>
      <w:marRight w:val="0"/>
      <w:marTop w:val="0"/>
      <w:marBottom w:val="0"/>
      <w:divBdr>
        <w:top w:val="none" w:sz="0" w:space="0" w:color="auto"/>
        <w:left w:val="none" w:sz="0" w:space="0" w:color="auto"/>
        <w:bottom w:val="none" w:sz="0" w:space="0" w:color="auto"/>
        <w:right w:val="none" w:sz="0" w:space="0" w:color="auto"/>
      </w:divBdr>
    </w:div>
    <w:div w:id="975717848">
      <w:bodyDiv w:val="1"/>
      <w:marLeft w:val="0"/>
      <w:marRight w:val="0"/>
      <w:marTop w:val="0"/>
      <w:marBottom w:val="0"/>
      <w:divBdr>
        <w:top w:val="none" w:sz="0" w:space="0" w:color="auto"/>
        <w:left w:val="none" w:sz="0" w:space="0" w:color="auto"/>
        <w:bottom w:val="none" w:sz="0" w:space="0" w:color="auto"/>
        <w:right w:val="none" w:sz="0" w:space="0" w:color="auto"/>
      </w:divBdr>
    </w:div>
    <w:div w:id="976177681">
      <w:bodyDiv w:val="1"/>
      <w:marLeft w:val="0"/>
      <w:marRight w:val="0"/>
      <w:marTop w:val="0"/>
      <w:marBottom w:val="0"/>
      <w:divBdr>
        <w:top w:val="none" w:sz="0" w:space="0" w:color="auto"/>
        <w:left w:val="none" w:sz="0" w:space="0" w:color="auto"/>
        <w:bottom w:val="none" w:sz="0" w:space="0" w:color="auto"/>
        <w:right w:val="none" w:sz="0" w:space="0" w:color="auto"/>
      </w:divBdr>
    </w:div>
    <w:div w:id="976954690">
      <w:bodyDiv w:val="1"/>
      <w:marLeft w:val="0"/>
      <w:marRight w:val="0"/>
      <w:marTop w:val="0"/>
      <w:marBottom w:val="0"/>
      <w:divBdr>
        <w:top w:val="none" w:sz="0" w:space="0" w:color="auto"/>
        <w:left w:val="none" w:sz="0" w:space="0" w:color="auto"/>
        <w:bottom w:val="none" w:sz="0" w:space="0" w:color="auto"/>
        <w:right w:val="none" w:sz="0" w:space="0" w:color="auto"/>
      </w:divBdr>
    </w:div>
    <w:div w:id="977686508">
      <w:bodyDiv w:val="1"/>
      <w:marLeft w:val="0"/>
      <w:marRight w:val="0"/>
      <w:marTop w:val="0"/>
      <w:marBottom w:val="0"/>
      <w:divBdr>
        <w:top w:val="none" w:sz="0" w:space="0" w:color="auto"/>
        <w:left w:val="none" w:sz="0" w:space="0" w:color="auto"/>
        <w:bottom w:val="none" w:sz="0" w:space="0" w:color="auto"/>
        <w:right w:val="none" w:sz="0" w:space="0" w:color="auto"/>
      </w:divBdr>
    </w:div>
    <w:div w:id="979924945">
      <w:bodyDiv w:val="1"/>
      <w:marLeft w:val="0"/>
      <w:marRight w:val="0"/>
      <w:marTop w:val="0"/>
      <w:marBottom w:val="0"/>
      <w:divBdr>
        <w:top w:val="none" w:sz="0" w:space="0" w:color="auto"/>
        <w:left w:val="none" w:sz="0" w:space="0" w:color="auto"/>
        <w:bottom w:val="none" w:sz="0" w:space="0" w:color="auto"/>
        <w:right w:val="none" w:sz="0" w:space="0" w:color="auto"/>
      </w:divBdr>
    </w:div>
    <w:div w:id="980615921">
      <w:bodyDiv w:val="1"/>
      <w:marLeft w:val="0"/>
      <w:marRight w:val="0"/>
      <w:marTop w:val="0"/>
      <w:marBottom w:val="0"/>
      <w:divBdr>
        <w:top w:val="none" w:sz="0" w:space="0" w:color="auto"/>
        <w:left w:val="none" w:sz="0" w:space="0" w:color="auto"/>
        <w:bottom w:val="none" w:sz="0" w:space="0" w:color="auto"/>
        <w:right w:val="none" w:sz="0" w:space="0" w:color="auto"/>
      </w:divBdr>
    </w:div>
    <w:div w:id="980770349">
      <w:bodyDiv w:val="1"/>
      <w:marLeft w:val="0"/>
      <w:marRight w:val="0"/>
      <w:marTop w:val="0"/>
      <w:marBottom w:val="0"/>
      <w:divBdr>
        <w:top w:val="none" w:sz="0" w:space="0" w:color="auto"/>
        <w:left w:val="none" w:sz="0" w:space="0" w:color="auto"/>
        <w:bottom w:val="none" w:sz="0" w:space="0" w:color="auto"/>
        <w:right w:val="none" w:sz="0" w:space="0" w:color="auto"/>
      </w:divBdr>
    </w:div>
    <w:div w:id="980967210">
      <w:bodyDiv w:val="1"/>
      <w:marLeft w:val="0"/>
      <w:marRight w:val="0"/>
      <w:marTop w:val="0"/>
      <w:marBottom w:val="0"/>
      <w:divBdr>
        <w:top w:val="none" w:sz="0" w:space="0" w:color="auto"/>
        <w:left w:val="none" w:sz="0" w:space="0" w:color="auto"/>
        <w:bottom w:val="none" w:sz="0" w:space="0" w:color="auto"/>
        <w:right w:val="none" w:sz="0" w:space="0" w:color="auto"/>
      </w:divBdr>
    </w:div>
    <w:div w:id="981083656">
      <w:bodyDiv w:val="1"/>
      <w:marLeft w:val="0"/>
      <w:marRight w:val="0"/>
      <w:marTop w:val="0"/>
      <w:marBottom w:val="0"/>
      <w:divBdr>
        <w:top w:val="none" w:sz="0" w:space="0" w:color="auto"/>
        <w:left w:val="none" w:sz="0" w:space="0" w:color="auto"/>
        <w:bottom w:val="none" w:sz="0" w:space="0" w:color="auto"/>
        <w:right w:val="none" w:sz="0" w:space="0" w:color="auto"/>
      </w:divBdr>
    </w:div>
    <w:div w:id="981425267">
      <w:bodyDiv w:val="1"/>
      <w:marLeft w:val="0"/>
      <w:marRight w:val="0"/>
      <w:marTop w:val="0"/>
      <w:marBottom w:val="0"/>
      <w:divBdr>
        <w:top w:val="none" w:sz="0" w:space="0" w:color="auto"/>
        <w:left w:val="none" w:sz="0" w:space="0" w:color="auto"/>
        <w:bottom w:val="none" w:sz="0" w:space="0" w:color="auto"/>
        <w:right w:val="none" w:sz="0" w:space="0" w:color="auto"/>
      </w:divBdr>
    </w:div>
    <w:div w:id="984315441">
      <w:bodyDiv w:val="1"/>
      <w:marLeft w:val="0"/>
      <w:marRight w:val="0"/>
      <w:marTop w:val="0"/>
      <w:marBottom w:val="0"/>
      <w:divBdr>
        <w:top w:val="none" w:sz="0" w:space="0" w:color="auto"/>
        <w:left w:val="none" w:sz="0" w:space="0" w:color="auto"/>
        <w:bottom w:val="none" w:sz="0" w:space="0" w:color="auto"/>
        <w:right w:val="none" w:sz="0" w:space="0" w:color="auto"/>
      </w:divBdr>
    </w:div>
    <w:div w:id="987779520">
      <w:bodyDiv w:val="1"/>
      <w:marLeft w:val="0"/>
      <w:marRight w:val="0"/>
      <w:marTop w:val="0"/>
      <w:marBottom w:val="0"/>
      <w:divBdr>
        <w:top w:val="none" w:sz="0" w:space="0" w:color="auto"/>
        <w:left w:val="none" w:sz="0" w:space="0" w:color="auto"/>
        <w:bottom w:val="none" w:sz="0" w:space="0" w:color="auto"/>
        <w:right w:val="none" w:sz="0" w:space="0" w:color="auto"/>
      </w:divBdr>
    </w:div>
    <w:div w:id="987828963">
      <w:bodyDiv w:val="1"/>
      <w:marLeft w:val="0"/>
      <w:marRight w:val="0"/>
      <w:marTop w:val="0"/>
      <w:marBottom w:val="0"/>
      <w:divBdr>
        <w:top w:val="none" w:sz="0" w:space="0" w:color="auto"/>
        <w:left w:val="none" w:sz="0" w:space="0" w:color="auto"/>
        <w:bottom w:val="none" w:sz="0" w:space="0" w:color="auto"/>
        <w:right w:val="none" w:sz="0" w:space="0" w:color="auto"/>
      </w:divBdr>
    </w:div>
    <w:div w:id="989484732">
      <w:bodyDiv w:val="1"/>
      <w:marLeft w:val="0"/>
      <w:marRight w:val="0"/>
      <w:marTop w:val="0"/>
      <w:marBottom w:val="0"/>
      <w:divBdr>
        <w:top w:val="none" w:sz="0" w:space="0" w:color="auto"/>
        <w:left w:val="none" w:sz="0" w:space="0" w:color="auto"/>
        <w:bottom w:val="none" w:sz="0" w:space="0" w:color="auto"/>
        <w:right w:val="none" w:sz="0" w:space="0" w:color="auto"/>
      </w:divBdr>
    </w:div>
    <w:div w:id="990788023">
      <w:bodyDiv w:val="1"/>
      <w:marLeft w:val="0"/>
      <w:marRight w:val="0"/>
      <w:marTop w:val="0"/>
      <w:marBottom w:val="0"/>
      <w:divBdr>
        <w:top w:val="none" w:sz="0" w:space="0" w:color="auto"/>
        <w:left w:val="none" w:sz="0" w:space="0" w:color="auto"/>
        <w:bottom w:val="none" w:sz="0" w:space="0" w:color="auto"/>
        <w:right w:val="none" w:sz="0" w:space="0" w:color="auto"/>
      </w:divBdr>
    </w:div>
    <w:div w:id="991376363">
      <w:bodyDiv w:val="1"/>
      <w:marLeft w:val="0"/>
      <w:marRight w:val="0"/>
      <w:marTop w:val="0"/>
      <w:marBottom w:val="0"/>
      <w:divBdr>
        <w:top w:val="none" w:sz="0" w:space="0" w:color="auto"/>
        <w:left w:val="none" w:sz="0" w:space="0" w:color="auto"/>
        <w:bottom w:val="none" w:sz="0" w:space="0" w:color="auto"/>
        <w:right w:val="none" w:sz="0" w:space="0" w:color="auto"/>
      </w:divBdr>
    </w:div>
    <w:div w:id="991719382">
      <w:bodyDiv w:val="1"/>
      <w:marLeft w:val="0"/>
      <w:marRight w:val="0"/>
      <w:marTop w:val="0"/>
      <w:marBottom w:val="0"/>
      <w:divBdr>
        <w:top w:val="none" w:sz="0" w:space="0" w:color="auto"/>
        <w:left w:val="none" w:sz="0" w:space="0" w:color="auto"/>
        <w:bottom w:val="none" w:sz="0" w:space="0" w:color="auto"/>
        <w:right w:val="none" w:sz="0" w:space="0" w:color="auto"/>
      </w:divBdr>
    </w:div>
    <w:div w:id="992292648">
      <w:bodyDiv w:val="1"/>
      <w:marLeft w:val="0"/>
      <w:marRight w:val="0"/>
      <w:marTop w:val="0"/>
      <w:marBottom w:val="0"/>
      <w:divBdr>
        <w:top w:val="none" w:sz="0" w:space="0" w:color="auto"/>
        <w:left w:val="none" w:sz="0" w:space="0" w:color="auto"/>
        <w:bottom w:val="none" w:sz="0" w:space="0" w:color="auto"/>
        <w:right w:val="none" w:sz="0" w:space="0" w:color="auto"/>
      </w:divBdr>
    </w:div>
    <w:div w:id="994262187">
      <w:bodyDiv w:val="1"/>
      <w:marLeft w:val="0"/>
      <w:marRight w:val="0"/>
      <w:marTop w:val="0"/>
      <w:marBottom w:val="0"/>
      <w:divBdr>
        <w:top w:val="none" w:sz="0" w:space="0" w:color="auto"/>
        <w:left w:val="none" w:sz="0" w:space="0" w:color="auto"/>
        <w:bottom w:val="none" w:sz="0" w:space="0" w:color="auto"/>
        <w:right w:val="none" w:sz="0" w:space="0" w:color="auto"/>
      </w:divBdr>
    </w:div>
    <w:div w:id="995913313">
      <w:bodyDiv w:val="1"/>
      <w:marLeft w:val="0"/>
      <w:marRight w:val="0"/>
      <w:marTop w:val="0"/>
      <w:marBottom w:val="0"/>
      <w:divBdr>
        <w:top w:val="none" w:sz="0" w:space="0" w:color="auto"/>
        <w:left w:val="none" w:sz="0" w:space="0" w:color="auto"/>
        <w:bottom w:val="none" w:sz="0" w:space="0" w:color="auto"/>
        <w:right w:val="none" w:sz="0" w:space="0" w:color="auto"/>
      </w:divBdr>
    </w:div>
    <w:div w:id="997222531">
      <w:bodyDiv w:val="1"/>
      <w:marLeft w:val="0"/>
      <w:marRight w:val="0"/>
      <w:marTop w:val="0"/>
      <w:marBottom w:val="0"/>
      <w:divBdr>
        <w:top w:val="none" w:sz="0" w:space="0" w:color="auto"/>
        <w:left w:val="none" w:sz="0" w:space="0" w:color="auto"/>
        <w:bottom w:val="none" w:sz="0" w:space="0" w:color="auto"/>
        <w:right w:val="none" w:sz="0" w:space="0" w:color="auto"/>
      </w:divBdr>
    </w:div>
    <w:div w:id="998579193">
      <w:bodyDiv w:val="1"/>
      <w:marLeft w:val="0"/>
      <w:marRight w:val="0"/>
      <w:marTop w:val="0"/>
      <w:marBottom w:val="0"/>
      <w:divBdr>
        <w:top w:val="none" w:sz="0" w:space="0" w:color="auto"/>
        <w:left w:val="none" w:sz="0" w:space="0" w:color="auto"/>
        <w:bottom w:val="none" w:sz="0" w:space="0" w:color="auto"/>
        <w:right w:val="none" w:sz="0" w:space="0" w:color="auto"/>
      </w:divBdr>
    </w:div>
    <w:div w:id="999426444">
      <w:bodyDiv w:val="1"/>
      <w:marLeft w:val="0"/>
      <w:marRight w:val="0"/>
      <w:marTop w:val="0"/>
      <w:marBottom w:val="0"/>
      <w:divBdr>
        <w:top w:val="none" w:sz="0" w:space="0" w:color="auto"/>
        <w:left w:val="none" w:sz="0" w:space="0" w:color="auto"/>
        <w:bottom w:val="none" w:sz="0" w:space="0" w:color="auto"/>
        <w:right w:val="none" w:sz="0" w:space="0" w:color="auto"/>
      </w:divBdr>
    </w:div>
    <w:div w:id="1000616930">
      <w:bodyDiv w:val="1"/>
      <w:marLeft w:val="0"/>
      <w:marRight w:val="0"/>
      <w:marTop w:val="0"/>
      <w:marBottom w:val="0"/>
      <w:divBdr>
        <w:top w:val="none" w:sz="0" w:space="0" w:color="auto"/>
        <w:left w:val="none" w:sz="0" w:space="0" w:color="auto"/>
        <w:bottom w:val="none" w:sz="0" w:space="0" w:color="auto"/>
        <w:right w:val="none" w:sz="0" w:space="0" w:color="auto"/>
      </w:divBdr>
    </w:div>
    <w:div w:id="1000695937">
      <w:bodyDiv w:val="1"/>
      <w:marLeft w:val="0"/>
      <w:marRight w:val="0"/>
      <w:marTop w:val="0"/>
      <w:marBottom w:val="0"/>
      <w:divBdr>
        <w:top w:val="none" w:sz="0" w:space="0" w:color="auto"/>
        <w:left w:val="none" w:sz="0" w:space="0" w:color="auto"/>
        <w:bottom w:val="none" w:sz="0" w:space="0" w:color="auto"/>
        <w:right w:val="none" w:sz="0" w:space="0" w:color="auto"/>
      </w:divBdr>
    </w:div>
    <w:div w:id="1000816438">
      <w:bodyDiv w:val="1"/>
      <w:marLeft w:val="0"/>
      <w:marRight w:val="0"/>
      <w:marTop w:val="0"/>
      <w:marBottom w:val="0"/>
      <w:divBdr>
        <w:top w:val="none" w:sz="0" w:space="0" w:color="auto"/>
        <w:left w:val="none" w:sz="0" w:space="0" w:color="auto"/>
        <w:bottom w:val="none" w:sz="0" w:space="0" w:color="auto"/>
        <w:right w:val="none" w:sz="0" w:space="0" w:color="auto"/>
      </w:divBdr>
    </w:div>
    <w:div w:id="1002245407">
      <w:bodyDiv w:val="1"/>
      <w:marLeft w:val="0"/>
      <w:marRight w:val="0"/>
      <w:marTop w:val="0"/>
      <w:marBottom w:val="0"/>
      <w:divBdr>
        <w:top w:val="none" w:sz="0" w:space="0" w:color="auto"/>
        <w:left w:val="none" w:sz="0" w:space="0" w:color="auto"/>
        <w:bottom w:val="none" w:sz="0" w:space="0" w:color="auto"/>
        <w:right w:val="none" w:sz="0" w:space="0" w:color="auto"/>
      </w:divBdr>
    </w:div>
    <w:div w:id="1002587213">
      <w:bodyDiv w:val="1"/>
      <w:marLeft w:val="0"/>
      <w:marRight w:val="0"/>
      <w:marTop w:val="0"/>
      <w:marBottom w:val="0"/>
      <w:divBdr>
        <w:top w:val="none" w:sz="0" w:space="0" w:color="auto"/>
        <w:left w:val="none" w:sz="0" w:space="0" w:color="auto"/>
        <w:bottom w:val="none" w:sz="0" w:space="0" w:color="auto"/>
        <w:right w:val="none" w:sz="0" w:space="0" w:color="auto"/>
      </w:divBdr>
    </w:div>
    <w:div w:id="1003553511">
      <w:bodyDiv w:val="1"/>
      <w:marLeft w:val="0"/>
      <w:marRight w:val="0"/>
      <w:marTop w:val="0"/>
      <w:marBottom w:val="0"/>
      <w:divBdr>
        <w:top w:val="none" w:sz="0" w:space="0" w:color="auto"/>
        <w:left w:val="none" w:sz="0" w:space="0" w:color="auto"/>
        <w:bottom w:val="none" w:sz="0" w:space="0" w:color="auto"/>
        <w:right w:val="none" w:sz="0" w:space="0" w:color="auto"/>
      </w:divBdr>
    </w:div>
    <w:div w:id="1006514098">
      <w:bodyDiv w:val="1"/>
      <w:marLeft w:val="0"/>
      <w:marRight w:val="0"/>
      <w:marTop w:val="0"/>
      <w:marBottom w:val="0"/>
      <w:divBdr>
        <w:top w:val="none" w:sz="0" w:space="0" w:color="auto"/>
        <w:left w:val="none" w:sz="0" w:space="0" w:color="auto"/>
        <w:bottom w:val="none" w:sz="0" w:space="0" w:color="auto"/>
        <w:right w:val="none" w:sz="0" w:space="0" w:color="auto"/>
      </w:divBdr>
    </w:div>
    <w:div w:id="1008487034">
      <w:bodyDiv w:val="1"/>
      <w:marLeft w:val="0"/>
      <w:marRight w:val="0"/>
      <w:marTop w:val="0"/>
      <w:marBottom w:val="0"/>
      <w:divBdr>
        <w:top w:val="none" w:sz="0" w:space="0" w:color="auto"/>
        <w:left w:val="none" w:sz="0" w:space="0" w:color="auto"/>
        <w:bottom w:val="none" w:sz="0" w:space="0" w:color="auto"/>
        <w:right w:val="none" w:sz="0" w:space="0" w:color="auto"/>
      </w:divBdr>
    </w:div>
    <w:div w:id="1008757059">
      <w:bodyDiv w:val="1"/>
      <w:marLeft w:val="0"/>
      <w:marRight w:val="0"/>
      <w:marTop w:val="0"/>
      <w:marBottom w:val="0"/>
      <w:divBdr>
        <w:top w:val="none" w:sz="0" w:space="0" w:color="auto"/>
        <w:left w:val="none" w:sz="0" w:space="0" w:color="auto"/>
        <w:bottom w:val="none" w:sz="0" w:space="0" w:color="auto"/>
        <w:right w:val="none" w:sz="0" w:space="0" w:color="auto"/>
      </w:divBdr>
    </w:div>
    <w:div w:id="1010059183">
      <w:bodyDiv w:val="1"/>
      <w:marLeft w:val="0"/>
      <w:marRight w:val="0"/>
      <w:marTop w:val="0"/>
      <w:marBottom w:val="0"/>
      <w:divBdr>
        <w:top w:val="none" w:sz="0" w:space="0" w:color="auto"/>
        <w:left w:val="none" w:sz="0" w:space="0" w:color="auto"/>
        <w:bottom w:val="none" w:sz="0" w:space="0" w:color="auto"/>
        <w:right w:val="none" w:sz="0" w:space="0" w:color="auto"/>
      </w:divBdr>
    </w:div>
    <w:div w:id="1010106410">
      <w:bodyDiv w:val="1"/>
      <w:marLeft w:val="0"/>
      <w:marRight w:val="0"/>
      <w:marTop w:val="0"/>
      <w:marBottom w:val="0"/>
      <w:divBdr>
        <w:top w:val="none" w:sz="0" w:space="0" w:color="auto"/>
        <w:left w:val="none" w:sz="0" w:space="0" w:color="auto"/>
        <w:bottom w:val="none" w:sz="0" w:space="0" w:color="auto"/>
        <w:right w:val="none" w:sz="0" w:space="0" w:color="auto"/>
      </w:divBdr>
    </w:div>
    <w:div w:id="1010567434">
      <w:bodyDiv w:val="1"/>
      <w:marLeft w:val="0"/>
      <w:marRight w:val="0"/>
      <w:marTop w:val="0"/>
      <w:marBottom w:val="0"/>
      <w:divBdr>
        <w:top w:val="none" w:sz="0" w:space="0" w:color="auto"/>
        <w:left w:val="none" w:sz="0" w:space="0" w:color="auto"/>
        <w:bottom w:val="none" w:sz="0" w:space="0" w:color="auto"/>
        <w:right w:val="none" w:sz="0" w:space="0" w:color="auto"/>
      </w:divBdr>
    </w:div>
    <w:div w:id="1011225064">
      <w:bodyDiv w:val="1"/>
      <w:marLeft w:val="0"/>
      <w:marRight w:val="0"/>
      <w:marTop w:val="0"/>
      <w:marBottom w:val="0"/>
      <w:divBdr>
        <w:top w:val="none" w:sz="0" w:space="0" w:color="auto"/>
        <w:left w:val="none" w:sz="0" w:space="0" w:color="auto"/>
        <w:bottom w:val="none" w:sz="0" w:space="0" w:color="auto"/>
        <w:right w:val="none" w:sz="0" w:space="0" w:color="auto"/>
      </w:divBdr>
    </w:div>
    <w:div w:id="1011876289">
      <w:bodyDiv w:val="1"/>
      <w:marLeft w:val="0"/>
      <w:marRight w:val="0"/>
      <w:marTop w:val="0"/>
      <w:marBottom w:val="0"/>
      <w:divBdr>
        <w:top w:val="none" w:sz="0" w:space="0" w:color="auto"/>
        <w:left w:val="none" w:sz="0" w:space="0" w:color="auto"/>
        <w:bottom w:val="none" w:sz="0" w:space="0" w:color="auto"/>
        <w:right w:val="none" w:sz="0" w:space="0" w:color="auto"/>
      </w:divBdr>
    </w:div>
    <w:div w:id="1012994366">
      <w:bodyDiv w:val="1"/>
      <w:marLeft w:val="0"/>
      <w:marRight w:val="0"/>
      <w:marTop w:val="0"/>
      <w:marBottom w:val="0"/>
      <w:divBdr>
        <w:top w:val="none" w:sz="0" w:space="0" w:color="auto"/>
        <w:left w:val="none" w:sz="0" w:space="0" w:color="auto"/>
        <w:bottom w:val="none" w:sz="0" w:space="0" w:color="auto"/>
        <w:right w:val="none" w:sz="0" w:space="0" w:color="auto"/>
      </w:divBdr>
    </w:div>
    <w:div w:id="1013530666">
      <w:bodyDiv w:val="1"/>
      <w:marLeft w:val="0"/>
      <w:marRight w:val="0"/>
      <w:marTop w:val="0"/>
      <w:marBottom w:val="0"/>
      <w:divBdr>
        <w:top w:val="none" w:sz="0" w:space="0" w:color="auto"/>
        <w:left w:val="none" w:sz="0" w:space="0" w:color="auto"/>
        <w:bottom w:val="none" w:sz="0" w:space="0" w:color="auto"/>
        <w:right w:val="none" w:sz="0" w:space="0" w:color="auto"/>
      </w:divBdr>
    </w:div>
    <w:div w:id="1013874000">
      <w:bodyDiv w:val="1"/>
      <w:marLeft w:val="0"/>
      <w:marRight w:val="0"/>
      <w:marTop w:val="0"/>
      <w:marBottom w:val="0"/>
      <w:divBdr>
        <w:top w:val="none" w:sz="0" w:space="0" w:color="auto"/>
        <w:left w:val="none" w:sz="0" w:space="0" w:color="auto"/>
        <w:bottom w:val="none" w:sz="0" w:space="0" w:color="auto"/>
        <w:right w:val="none" w:sz="0" w:space="0" w:color="auto"/>
      </w:divBdr>
    </w:div>
    <w:div w:id="1015114137">
      <w:bodyDiv w:val="1"/>
      <w:marLeft w:val="0"/>
      <w:marRight w:val="0"/>
      <w:marTop w:val="0"/>
      <w:marBottom w:val="0"/>
      <w:divBdr>
        <w:top w:val="none" w:sz="0" w:space="0" w:color="auto"/>
        <w:left w:val="none" w:sz="0" w:space="0" w:color="auto"/>
        <w:bottom w:val="none" w:sz="0" w:space="0" w:color="auto"/>
        <w:right w:val="none" w:sz="0" w:space="0" w:color="auto"/>
      </w:divBdr>
    </w:div>
    <w:div w:id="1015377884">
      <w:bodyDiv w:val="1"/>
      <w:marLeft w:val="0"/>
      <w:marRight w:val="0"/>
      <w:marTop w:val="0"/>
      <w:marBottom w:val="0"/>
      <w:divBdr>
        <w:top w:val="none" w:sz="0" w:space="0" w:color="auto"/>
        <w:left w:val="none" w:sz="0" w:space="0" w:color="auto"/>
        <w:bottom w:val="none" w:sz="0" w:space="0" w:color="auto"/>
        <w:right w:val="none" w:sz="0" w:space="0" w:color="auto"/>
      </w:divBdr>
    </w:div>
    <w:div w:id="1016149254">
      <w:bodyDiv w:val="1"/>
      <w:marLeft w:val="0"/>
      <w:marRight w:val="0"/>
      <w:marTop w:val="0"/>
      <w:marBottom w:val="0"/>
      <w:divBdr>
        <w:top w:val="none" w:sz="0" w:space="0" w:color="auto"/>
        <w:left w:val="none" w:sz="0" w:space="0" w:color="auto"/>
        <w:bottom w:val="none" w:sz="0" w:space="0" w:color="auto"/>
        <w:right w:val="none" w:sz="0" w:space="0" w:color="auto"/>
      </w:divBdr>
    </w:div>
    <w:div w:id="1016998631">
      <w:bodyDiv w:val="1"/>
      <w:marLeft w:val="0"/>
      <w:marRight w:val="0"/>
      <w:marTop w:val="0"/>
      <w:marBottom w:val="0"/>
      <w:divBdr>
        <w:top w:val="none" w:sz="0" w:space="0" w:color="auto"/>
        <w:left w:val="none" w:sz="0" w:space="0" w:color="auto"/>
        <w:bottom w:val="none" w:sz="0" w:space="0" w:color="auto"/>
        <w:right w:val="none" w:sz="0" w:space="0" w:color="auto"/>
      </w:divBdr>
    </w:div>
    <w:div w:id="1019045654">
      <w:bodyDiv w:val="1"/>
      <w:marLeft w:val="0"/>
      <w:marRight w:val="0"/>
      <w:marTop w:val="0"/>
      <w:marBottom w:val="0"/>
      <w:divBdr>
        <w:top w:val="none" w:sz="0" w:space="0" w:color="auto"/>
        <w:left w:val="none" w:sz="0" w:space="0" w:color="auto"/>
        <w:bottom w:val="none" w:sz="0" w:space="0" w:color="auto"/>
        <w:right w:val="none" w:sz="0" w:space="0" w:color="auto"/>
      </w:divBdr>
    </w:div>
    <w:div w:id="1019313399">
      <w:bodyDiv w:val="1"/>
      <w:marLeft w:val="0"/>
      <w:marRight w:val="0"/>
      <w:marTop w:val="0"/>
      <w:marBottom w:val="0"/>
      <w:divBdr>
        <w:top w:val="none" w:sz="0" w:space="0" w:color="auto"/>
        <w:left w:val="none" w:sz="0" w:space="0" w:color="auto"/>
        <w:bottom w:val="none" w:sz="0" w:space="0" w:color="auto"/>
        <w:right w:val="none" w:sz="0" w:space="0" w:color="auto"/>
      </w:divBdr>
    </w:div>
    <w:div w:id="1019313752">
      <w:bodyDiv w:val="1"/>
      <w:marLeft w:val="0"/>
      <w:marRight w:val="0"/>
      <w:marTop w:val="0"/>
      <w:marBottom w:val="0"/>
      <w:divBdr>
        <w:top w:val="none" w:sz="0" w:space="0" w:color="auto"/>
        <w:left w:val="none" w:sz="0" w:space="0" w:color="auto"/>
        <w:bottom w:val="none" w:sz="0" w:space="0" w:color="auto"/>
        <w:right w:val="none" w:sz="0" w:space="0" w:color="auto"/>
      </w:divBdr>
    </w:div>
    <w:div w:id="1019696564">
      <w:bodyDiv w:val="1"/>
      <w:marLeft w:val="0"/>
      <w:marRight w:val="0"/>
      <w:marTop w:val="0"/>
      <w:marBottom w:val="0"/>
      <w:divBdr>
        <w:top w:val="none" w:sz="0" w:space="0" w:color="auto"/>
        <w:left w:val="none" w:sz="0" w:space="0" w:color="auto"/>
        <w:bottom w:val="none" w:sz="0" w:space="0" w:color="auto"/>
        <w:right w:val="none" w:sz="0" w:space="0" w:color="auto"/>
      </w:divBdr>
    </w:div>
    <w:div w:id="1020401057">
      <w:bodyDiv w:val="1"/>
      <w:marLeft w:val="0"/>
      <w:marRight w:val="0"/>
      <w:marTop w:val="0"/>
      <w:marBottom w:val="0"/>
      <w:divBdr>
        <w:top w:val="none" w:sz="0" w:space="0" w:color="auto"/>
        <w:left w:val="none" w:sz="0" w:space="0" w:color="auto"/>
        <w:bottom w:val="none" w:sz="0" w:space="0" w:color="auto"/>
        <w:right w:val="none" w:sz="0" w:space="0" w:color="auto"/>
      </w:divBdr>
    </w:div>
    <w:div w:id="1020815891">
      <w:bodyDiv w:val="1"/>
      <w:marLeft w:val="0"/>
      <w:marRight w:val="0"/>
      <w:marTop w:val="0"/>
      <w:marBottom w:val="0"/>
      <w:divBdr>
        <w:top w:val="none" w:sz="0" w:space="0" w:color="auto"/>
        <w:left w:val="none" w:sz="0" w:space="0" w:color="auto"/>
        <w:bottom w:val="none" w:sz="0" w:space="0" w:color="auto"/>
        <w:right w:val="none" w:sz="0" w:space="0" w:color="auto"/>
      </w:divBdr>
    </w:div>
    <w:div w:id="1020818389">
      <w:bodyDiv w:val="1"/>
      <w:marLeft w:val="0"/>
      <w:marRight w:val="0"/>
      <w:marTop w:val="0"/>
      <w:marBottom w:val="0"/>
      <w:divBdr>
        <w:top w:val="none" w:sz="0" w:space="0" w:color="auto"/>
        <w:left w:val="none" w:sz="0" w:space="0" w:color="auto"/>
        <w:bottom w:val="none" w:sz="0" w:space="0" w:color="auto"/>
        <w:right w:val="none" w:sz="0" w:space="0" w:color="auto"/>
      </w:divBdr>
    </w:div>
    <w:div w:id="1021273612">
      <w:bodyDiv w:val="1"/>
      <w:marLeft w:val="0"/>
      <w:marRight w:val="0"/>
      <w:marTop w:val="0"/>
      <w:marBottom w:val="0"/>
      <w:divBdr>
        <w:top w:val="none" w:sz="0" w:space="0" w:color="auto"/>
        <w:left w:val="none" w:sz="0" w:space="0" w:color="auto"/>
        <w:bottom w:val="none" w:sz="0" w:space="0" w:color="auto"/>
        <w:right w:val="none" w:sz="0" w:space="0" w:color="auto"/>
      </w:divBdr>
    </w:div>
    <w:div w:id="1022055800">
      <w:bodyDiv w:val="1"/>
      <w:marLeft w:val="0"/>
      <w:marRight w:val="0"/>
      <w:marTop w:val="0"/>
      <w:marBottom w:val="0"/>
      <w:divBdr>
        <w:top w:val="none" w:sz="0" w:space="0" w:color="auto"/>
        <w:left w:val="none" w:sz="0" w:space="0" w:color="auto"/>
        <w:bottom w:val="none" w:sz="0" w:space="0" w:color="auto"/>
        <w:right w:val="none" w:sz="0" w:space="0" w:color="auto"/>
      </w:divBdr>
    </w:div>
    <w:div w:id="1023433984">
      <w:bodyDiv w:val="1"/>
      <w:marLeft w:val="0"/>
      <w:marRight w:val="0"/>
      <w:marTop w:val="0"/>
      <w:marBottom w:val="0"/>
      <w:divBdr>
        <w:top w:val="none" w:sz="0" w:space="0" w:color="auto"/>
        <w:left w:val="none" w:sz="0" w:space="0" w:color="auto"/>
        <w:bottom w:val="none" w:sz="0" w:space="0" w:color="auto"/>
        <w:right w:val="none" w:sz="0" w:space="0" w:color="auto"/>
      </w:divBdr>
    </w:div>
    <w:div w:id="1023627912">
      <w:bodyDiv w:val="1"/>
      <w:marLeft w:val="0"/>
      <w:marRight w:val="0"/>
      <w:marTop w:val="0"/>
      <w:marBottom w:val="0"/>
      <w:divBdr>
        <w:top w:val="none" w:sz="0" w:space="0" w:color="auto"/>
        <w:left w:val="none" w:sz="0" w:space="0" w:color="auto"/>
        <w:bottom w:val="none" w:sz="0" w:space="0" w:color="auto"/>
        <w:right w:val="none" w:sz="0" w:space="0" w:color="auto"/>
      </w:divBdr>
    </w:div>
    <w:div w:id="1023744934">
      <w:bodyDiv w:val="1"/>
      <w:marLeft w:val="0"/>
      <w:marRight w:val="0"/>
      <w:marTop w:val="0"/>
      <w:marBottom w:val="0"/>
      <w:divBdr>
        <w:top w:val="none" w:sz="0" w:space="0" w:color="auto"/>
        <w:left w:val="none" w:sz="0" w:space="0" w:color="auto"/>
        <w:bottom w:val="none" w:sz="0" w:space="0" w:color="auto"/>
        <w:right w:val="none" w:sz="0" w:space="0" w:color="auto"/>
      </w:divBdr>
    </w:div>
    <w:div w:id="1025205011">
      <w:bodyDiv w:val="1"/>
      <w:marLeft w:val="0"/>
      <w:marRight w:val="0"/>
      <w:marTop w:val="0"/>
      <w:marBottom w:val="0"/>
      <w:divBdr>
        <w:top w:val="none" w:sz="0" w:space="0" w:color="auto"/>
        <w:left w:val="none" w:sz="0" w:space="0" w:color="auto"/>
        <w:bottom w:val="none" w:sz="0" w:space="0" w:color="auto"/>
        <w:right w:val="none" w:sz="0" w:space="0" w:color="auto"/>
      </w:divBdr>
    </w:div>
    <w:div w:id="1025209811">
      <w:bodyDiv w:val="1"/>
      <w:marLeft w:val="0"/>
      <w:marRight w:val="0"/>
      <w:marTop w:val="0"/>
      <w:marBottom w:val="0"/>
      <w:divBdr>
        <w:top w:val="none" w:sz="0" w:space="0" w:color="auto"/>
        <w:left w:val="none" w:sz="0" w:space="0" w:color="auto"/>
        <w:bottom w:val="none" w:sz="0" w:space="0" w:color="auto"/>
        <w:right w:val="none" w:sz="0" w:space="0" w:color="auto"/>
      </w:divBdr>
    </w:div>
    <w:div w:id="1025981167">
      <w:bodyDiv w:val="1"/>
      <w:marLeft w:val="0"/>
      <w:marRight w:val="0"/>
      <w:marTop w:val="0"/>
      <w:marBottom w:val="0"/>
      <w:divBdr>
        <w:top w:val="none" w:sz="0" w:space="0" w:color="auto"/>
        <w:left w:val="none" w:sz="0" w:space="0" w:color="auto"/>
        <w:bottom w:val="none" w:sz="0" w:space="0" w:color="auto"/>
        <w:right w:val="none" w:sz="0" w:space="0" w:color="auto"/>
      </w:divBdr>
    </w:div>
    <w:div w:id="1025981819">
      <w:bodyDiv w:val="1"/>
      <w:marLeft w:val="0"/>
      <w:marRight w:val="0"/>
      <w:marTop w:val="0"/>
      <w:marBottom w:val="0"/>
      <w:divBdr>
        <w:top w:val="none" w:sz="0" w:space="0" w:color="auto"/>
        <w:left w:val="none" w:sz="0" w:space="0" w:color="auto"/>
        <w:bottom w:val="none" w:sz="0" w:space="0" w:color="auto"/>
        <w:right w:val="none" w:sz="0" w:space="0" w:color="auto"/>
      </w:divBdr>
    </w:div>
    <w:div w:id="1026562727">
      <w:bodyDiv w:val="1"/>
      <w:marLeft w:val="0"/>
      <w:marRight w:val="0"/>
      <w:marTop w:val="0"/>
      <w:marBottom w:val="0"/>
      <w:divBdr>
        <w:top w:val="none" w:sz="0" w:space="0" w:color="auto"/>
        <w:left w:val="none" w:sz="0" w:space="0" w:color="auto"/>
        <w:bottom w:val="none" w:sz="0" w:space="0" w:color="auto"/>
        <w:right w:val="none" w:sz="0" w:space="0" w:color="auto"/>
      </w:divBdr>
    </w:div>
    <w:div w:id="1028524307">
      <w:bodyDiv w:val="1"/>
      <w:marLeft w:val="0"/>
      <w:marRight w:val="0"/>
      <w:marTop w:val="0"/>
      <w:marBottom w:val="0"/>
      <w:divBdr>
        <w:top w:val="none" w:sz="0" w:space="0" w:color="auto"/>
        <w:left w:val="none" w:sz="0" w:space="0" w:color="auto"/>
        <w:bottom w:val="none" w:sz="0" w:space="0" w:color="auto"/>
        <w:right w:val="none" w:sz="0" w:space="0" w:color="auto"/>
      </w:divBdr>
    </w:div>
    <w:div w:id="1029330461">
      <w:bodyDiv w:val="1"/>
      <w:marLeft w:val="0"/>
      <w:marRight w:val="0"/>
      <w:marTop w:val="0"/>
      <w:marBottom w:val="0"/>
      <w:divBdr>
        <w:top w:val="none" w:sz="0" w:space="0" w:color="auto"/>
        <w:left w:val="none" w:sz="0" w:space="0" w:color="auto"/>
        <w:bottom w:val="none" w:sz="0" w:space="0" w:color="auto"/>
        <w:right w:val="none" w:sz="0" w:space="0" w:color="auto"/>
      </w:divBdr>
    </w:div>
    <w:div w:id="1029844041">
      <w:bodyDiv w:val="1"/>
      <w:marLeft w:val="0"/>
      <w:marRight w:val="0"/>
      <w:marTop w:val="0"/>
      <w:marBottom w:val="0"/>
      <w:divBdr>
        <w:top w:val="none" w:sz="0" w:space="0" w:color="auto"/>
        <w:left w:val="none" w:sz="0" w:space="0" w:color="auto"/>
        <w:bottom w:val="none" w:sz="0" w:space="0" w:color="auto"/>
        <w:right w:val="none" w:sz="0" w:space="0" w:color="auto"/>
      </w:divBdr>
    </w:div>
    <w:div w:id="1030495046">
      <w:bodyDiv w:val="1"/>
      <w:marLeft w:val="0"/>
      <w:marRight w:val="0"/>
      <w:marTop w:val="0"/>
      <w:marBottom w:val="0"/>
      <w:divBdr>
        <w:top w:val="none" w:sz="0" w:space="0" w:color="auto"/>
        <w:left w:val="none" w:sz="0" w:space="0" w:color="auto"/>
        <w:bottom w:val="none" w:sz="0" w:space="0" w:color="auto"/>
        <w:right w:val="none" w:sz="0" w:space="0" w:color="auto"/>
      </w:divBdr>
    </w:div>
    <w:div w:id="1030648893">
      <w:bodyDiv w:val="1"/>
      <w:marLeft w:val="0"/>
      <w:marRight w:val="0"/>
      <w:marTop w:val="0"/>
      <w:marBottom w:val="0"/>
      <w:divBdr>
        <w:top w:val="none" w:sz="0" w:space="0" w:color="auto"/>
        <w:left w:val="none" w:sz="0" w:space="0" w:color="auto"/>
        <w:bottom w:val="none" w:sz="0" w:space="0" w:color="auto"/>
        <w:right w:val="none" w:sz="0" w:space="0" w:color="auto"/>
      </w:divBdr>
    </w:div>
    <w:div w:id="1031299435">
      <w:bodyDiv w:val="1"/>
      <w:marLeft w:val="0"/>
      <w:marRight w:val="0"/>
      <w:marTop w:val="0"/>
      <w:marBottom w:val="0"/>
      <w:divBdr>
        <w:top w:val="none" w:sz="0" w:space="0" w:color="auto"/>
        <w:left w:val="none" w:sz="0" w:space="0" w:color="auto"/>
        <w:bottom w:val="none" w:sz="0" w:space="0" w:color="auto"/>
        <w:right w:val="none" w:sz="0" w:space="0" w:color="auto"/>
      </w:divBdr>
    </w:div>
    <w:div w:id="1031564998">
      <w:bodyDiv w:val="1"/>
      <w:marLeft w:val="0"/>
      <w:marRight w:val="0"/>
      <w:marTop w:val="0"/>
      <w:marBottom w:val="0"/>
      <w:divBdr>
        <w:top w:val="none" w:sz="0" w:space="0" w:color="auto"/>
        <w:left w:val="none" w:sz="0" w:space="0" w:color="auto"/>
        <w:bottom w:val="none" w:sz="0" w:space="0" w:color="auto"/>
        <w:right w:val="none" w:sz="0" w:space="0" w:color="auto"/>
      </w:divBdr>
    </w:div>
    <w:div w:id="1031687356">
      <w:bodyDiv w:val="1"/>
      <w:marLeft w:val="0"/>
      <w:marRight w:val="0"/>
      <w:marTop w:val="0"/>
      <w:marBottom w:val="0"/>
      <w:divBdr>
        <w:top w:val="none" w:sz="0" w:space="0" w:color="auto"/>
        <w:left w:val="none" w:sz="0" w:space="0" w:color="auto"/>
        <w:bottom w:val="none" w:sz="0" w:space="0" w:color="auto"/>
        <w:right w:val="none" w:sz="0" w:space="0" w:color="auto"/>
      </w:divBdr>
    </w:div>
    <w:div w:id="1031877686">
      <w:bodyDiv w:val="1"/>
      <w:marLeft w:val="0"/>
      <w:marRight w:val="0"/>
      <w:marTop w:val="0"/>
      <w:marBottom w:val="0"/>
      <w:divBdr>
        <w:top w:val="none" w:sz="0" w:space="0" w:color="auto"/>
        <w:left w:val="none" w:sz="0" w:space="0" w:color="auto"/>
        <w:bottom w:val="none" w:sz="0" w:space="0" w:color="auto"/>
        <w:right w:val="none" w:sz="0" w:space="0" w:color="auto"/>
      </w:divBdr>
    </w:div>
    <w:div w:id="1032655062">
      <w:bodyDiv w:val="1"/>
      <w:marLeft w:val="0"/>
      <w:marRight w:val="0"/>
      <w:marTop w:val="0"/>
      <w:marBottom w:val="0"/>
      <w:divBdr>
        <w:top w:val="none" w:sz="0" w:space="0" w:color="auto"/>
        <w:left w:val="none" w:sz="0" w:space="0" w:color="auto"/>
        <w:bottom w:val="none" w:sz="0" w:space="0" w:color="auto"/>
        <w:right w:val="none" w:sz="0" w:space="0" w:color="auto"/>
      </w:divBdr>
    </w:div>
    <w:div w:id="1033110636">
      <w:bodyDiv w:val="1"/>
      <w:marLeft w:val="0"/>
      <w:marRight w:val="0"/>
      <w:marTop w:val="0"/>
      <w:marBottom w:val="0"/>
      <w:divBdr>
        <w:top w:val="none" w:sz="0" w:space="0" w:color="auto"/>
        <w:left w:val="none" w:sz="0" w:space="0" w:color="auto"/>
        <w:bottom w:val="none" w:sz="0" w:space="0" w:color="auto"/>
        <w:right w:val="none" w:sz="0" w:space="0" w:color="auto"/>
      </w:divBdr>
    </w:div>
    <w:div w:id="1033458732">
      <w:bodyDiv w:val="1"/>
      <w:marLeft w:val="0"/>
      <w:marRight w:val="0"/>
      <w:marTop w:val="0"/>
      <w:marBottom w:val="0"/>
      <w:divBdr>
        <w:top w:val="none" w:sz="0" w:space="0" w:color="auto"/>
        <w:left w:val="none" w:sz="0" w:space="0" w:color="auto"/>
        <w:bottom w:val="none" w:sz="0" w:space="0" w:color="auto"/>
        <w:right w:val="none" w:sz="0" w:space="0" w:color="auto"/>
      </w:divBdr>
    </w:div>
    <w:div w:id="1033963666">
      <w:bodyDiv w:val="1"/>
      <w:marLeft w:val="0"/>
      <w:marRight w:val="0"/>
      <w:marTop w:val="0"/>
      <w:marBottom w:val="0"/>
      <w:divBdr>
        <w:top w:val="none" w:sz="0" w:space="0" w:color="auto"/>
        <w:left w:val="none" w:sz="0" w:space="0" w:color="auto"/>
        <w:bottom w:val="none" w:sz="0" w:space="0" w:color="auto"/>
        <w:right w:val="none" w:sz="0" w:space="0" w:color="auto"/>
      </w:divBdr>
    </w:div>
    <w:div w:id="1036004060">
      <w:bodyDiv w:val="1"/>
      <w:marLeft w:val="0"/>
      <w:marRight w:val="0"/>
      <w:marTop w:val="0"/>
      <w:marBottom w:val="0"/>
      <w:divBdr>
        <w:top w:val="none" w:sz="0" w:space="0" w:color="auto"/>
        <w:left w:val="none" w:sz="0" w:space="0" w:color="auto"/>
        <w:bottom w:val="none" w:sz="0" w:space="0" w:color="auto"/>
        <w:right w:val="none" w:sz="0" w:space="0" w:color="auto"/>
      </w:divBdr>
    </w:div>
    <w:div w:id="1036195177">
      <w:bodyDiv w:val="1"/>
      <w:marLeft w:val="0"/>
      <w:marRight w:val="0"/>
      <w:marTop w:val="0"/>
      <w:marBottom w:val="0"/>
      <w:divBdr>
        <w:top w:val="none" w:sz="0" w:space="0" w:color="auto"/>
        <w:left w:val="none" w:sz="0" w:space="0" w:color="auto"/>
        <w:bottom w:val="none" w:sz="0" w:space="0" w:color="auto"/>
        <w:right w:val="none" w:sz="0" w:space="0" w:color="auto"/>
      </w:divBdr>
    </w:div>
    <w:div w:id="1036731917">
      <w:bodyDiv w:val="1"/>
      <w:marLeft w:val="0"/>
      <w:marRight w:val="0"/>
      <w:marTop w:val="0"/>
      <w:marBottom w:val="0"/>
      <w:divBdr>
        <w:top w:val="none" w:sz="0" w:space="0" w:color="auto"/>
        <w:left w:val="none" w:sz="0" w:space="0" w:color="auto"/>
        <w:bottom w:val="none" w:sz="0" w:space="0" w:color="auto"/>
        <w:right w:val="none" w:sz="0" w:space="0" w:color="auto"/>
      </w:divBdr>
    </w:div>
    <w:div w:id="1038314939">
      <w:bodyDiv w:val="1"/>
      <w:marLeft w:val="0"/>
      <w:marRight w:val="0"/>
      <w:marTop w:val="0"/>
      <w:marBottom w:val="0"/>
      <w:divBdr>
        <w:top w:val="none" w:sz="0" w:space="0" w:color="auto"/>
        <w:left w:val="none" w:sz="0" w:space="0" w:color="auto"/>
        <w:bottom w:val="none" w:sz="0" w:space="0" w:color="auto"/>
        <w:right w:val="none" w:sz="0" w:space="0" w:color="auto"/>
      </w:divBdr>
    </w:div>
    <w:div w:id="1038899782">
      <w:bodyDiv w:val="1"/>
      <w:marLeft w:val="0"/>
      <w:marRight w:val="0"/>
      <w:marTop w:val="0"/>
      <w:marBottom w:val="0"/>
      <w:divBdr>
        <w:top w:val="none" w:sz="0" w:space="0" w:color="auto"/>
        <w:left w:val="none" w:sz="0" w:space="0" w:color="auto"/>
        <w:bottom w:val="none" w:sz="0" w:space="0" w:color="auto"/>
        <w:right w:val="none" w:sz="0" w:space="0" w:color="auto"/>
      </w:divBdr>
    </w:div>
    <w:div w:id="1041129157">
      <w:bodyDiv w:val="1"/>
      <w:marLeft w:val="0"/>
      <w:marRight w:val="0"/>
      <w:marTop w:val="0"/>
      <w:marBottom w:val="0"/>
      <w:divBdr>
        <w:top w:val="none" w:sz="0" w:space="0" w:color="auto"/>
        <w:left w:val="none" w:sz="0" w:space="0" w:color="auto"/>
        <w:bottom w:val="none" w:sz="0" w:space="0" w:color="auto"/>
        <w:right w:val="none" w:sz="0" w:space="0" w:color="auto"/>
      </w:divBdr>
    </w:div>
    <w:div w:id="1041319988">
      <w:bodyDiv w:val="1"/>
      <w:marLeft w:val="0"/>
      <w:marRight w:val="0"/>
      <w:marTop w:val="0"/>
      <w:marBottom w:val="0"/>
      <w:divBdr>
        <w:top w:val="none" w:sz="0" w:space="0" w:color="auto"/>
        <w:left w:val="none" w:sz="0" w:space="0" w:color="auto"/>
        <w:bottom w:val="none" w:sz="0" w:space="0" w:color="auto"/>
        <w:right w:val="none" w:sz="0" w:space="0" w:color="auto"/>
      </w:divBdr>
    </w:div>
    <w:div w:id="1042747197">
      <w:bodyDiv w:val="1"/>
      <w:marLeft w:val="0"/>
      <w:marRight w:val="0"/>
      <w:marTop w:val="0"/>
      <w:marBottom w:val="0"/>
      <w:divBdr>
        <w:top w:val="none" w:sz="0" w:space="0" w:color="auto"/>
        <w:left w:val="none" w:sz="0" w:space="0" w:color="auto"/>
        <w:bottom w:val="none" w:sz="0" w:space="0" w:color="auto"/>
        <w:right w:val="none" w:sz="0" w:space="0" w:color="auto"/>
      </w:divBdr>
    </w:div>
    <w:div w:id="1044983981">
      <w:bodyDiv w:val="1"/>
      <w:marLeft w:val="0"/>
      <w:marRight w:val="0"/>
      <w:marTop w:val="0"/>
      <w:marBottom w:val="0"/>
      <w:divBdr>
        <w:top w:val="none" w:sz="0" w:space="0" w:color="auto"/>
        <w:left w:val="none" w:sz="0" w:space="0" w:color="auto"/>
        <w:bottom w:val="none" w:sz="0" w:space="0" w:color="auto"/>
        <w:right w:val="none" w:sz="0" w:space="0" w:color="auto"/>
      </w:divBdr>
    </w:div>
    <w:div w:id="1045642911">
      <w:bodyDiv w:val="1"/>
      <w:marLeft w:val="0"/>
      <w:marRight w:val="0"/>
      <w:marTop w:val="0"/>
      <w:marBottom w:val="0"/>
      <w:divBdr>
        <w:top w:val="none" w:sz="0" w:space="0" w:color="auto"/>
        <w:left w:val="none" w:sz="0" w:space="0" w:color="auto"/>
        <w:bottom w:val="none" w:sz="0" w:space="0" w:color="auto"/>
        <w:right w:val="none" w:sz="0" w:space="0" w:color="auto"/>
      </w:divBdr>
    </w:div>
    <w:div w:id="1048652078">
      <w:bodyDiv w:val="1"/>
      <w:marLeft w:val="0"/>
      <w:marRight w:val="0"/>
      <w:marTop w:val="0"/>
      <w:marBottom w:val="0"/>
      <w:divBdr>
        <w:top w:val="none" w:sz="0" w:space="0" w:color="auto"/>
        <w:left w:val="none" w:sz="0" w:space="0" w:color="auto"/>
        <w:bottom w:val="none" w:sz="0" w:space="0" w:color="auto"/>
        <w:right w:val="none" w:sz="0" w:space="0" w:color="auto"/>
      </w:divBdr>
    </w:div>
    <w:div w:id="1049035377">
      <w:bodyDiv w:val="1"/>
      <w:marLeft w:val="0"/>
      <w:marRight w:val="0"/>
      <w:marTop w:val="0"/>
      <w:marBottom w:val="0"/>
      <w:divBdr>
        <w:top w:val="none" w:sz="0" w:space="0" w:color="auto"/>
        <w:left w:val="none" w:sz="0" w:space="0" w:color="auto"/>
        <w:bottom w:val="none" w:sz="0" w:space="0" w:color="auto"/>
        <w:right w:val="none" w:sz="0" w:space="0" w:color="auto"/>
      </w:divBdr>
    </w:div>
    <w:div w:id="1049037425">
      <w:bodyDiv w:val="1"/>
      <w:marLeft w:val="0"/>
      <w:marRight w:val="0"/>
      <w:marTop w:val="0"/>
      <w:marBottom w:val="0"/>
      <w:divBdr>
        <w:top w:val="none" w:sz="0" w:space="0" w:color="auto"/>
        <w:left w:val="none" w:sz="0" w:space="0" w:color="auto"/>
        <w:bottom w:val="none" w:sz="0" w:space="0" w:color="auto"/>
        <w:right w:val="none" w:sz="0" w:space="0" w:color="auto"/>
      </w:divBdr>
    </w:div>
    <w:div w:id="1053164130">
      <w:bodyDiv w:val="1"/>
      <w:marLeft w:val="0"/>
      <w:marRight w:val="0"/>
      <w:marTop w:val="0"/>
      <w:marBottom w:val="0"/>
      <w:divBdr>
        <w:top w:val="none" w:sz="0" w:space="0" w:color="auto"/>
        <w:left w:val="none" w:sz="0" w:space="0" w:color="auto"/>
        <w:bottom w:val="none" w:sz="0" w:space="0" w:color="auto"/>
        <w:right w:val="none" w:sz="0" w:space="0" w:color="auto"/>
      </w:divBdr>
    </w:div>
    <w:div w:id="1053777440">
      <w:bodyDiv w:val="1"/>
      <w:marLeft w:val="0"/>
      <w:marRight w:val="0"/>
      <w:marTop w:val="0"/>
      <w:marBottom w:val="0"/>
      <w:divBdr>
        <w:top w:val="none" w:sz="0" w:space="0" w:color="auto"/>
        <w:left w:val="none" w:sz="0" w:space="0" w:color="auto"/>
        <w:bottom w:val="none" w:sz="0" w:space="0" w:color="auto"/>
        <w:right w:val="none" w:sz="0" w:space="0" w:color="auto"/>
      </w:divBdr>
    </w:div>
    <w:div w:id="1055084648">
      <w:bodyDiv w:val="1"/>
      <w:marLeft w:val="0"/>
      <w:marRight w:val="0"/>
      <w:marTop w:val="0"/>
      <w:marBottom w:val="0"/>
      <w:divBdr>
        <w:top w:val="none" w:sz="0" w:space="0" w:color="auto"/>
        <w:left w:val="none" w:sz="0" w:space="0" w:color="auto"/>
        <w:bottom w:val="none" w:sz="0" w:space="0" w:color="auto"/>
        <w:right w:val="none" w:sz="0" w:space="0" w:color="auto"/>
      </w:divBdr>
    </w:div>
    <w:div w:id="1057244048">
      <w:bodyDiv w:val="1"/>
      <w:marLeft w:val="0"/>
      <w:marRight w:val="0"/>
      <w:marTop w:val="0"/>
      <w:marBottom w:val="0"/>
      <w:divBdr>
        <w:top w:val="none" w:sz="0" w:space="0" w:color="auto"/>
        <w:left w:val="none" w:sz="0" w:space="0" w:color="auto"/>
        <w:bottom w:val="none" w:sz="0" w:space="0" w:color="auto"/>
        <w:right w:val="none" w:sz="0" w:space="0" w:color="auto"/>
      </w:divBdr>
    </w:div>
    <w:div w:id="1057972901">
      <w:bodyDiv w:val="1"/>
      <w:marLeft w:val="0"/>
      <w:marRight w:val="0"/>
      <w:marTop w:val="0"/>
      <w:marBottom w:val="0"/>
      <w:divBdr>
        <w:top w:val="none" w:sz="0" w:space="0" w:color="auto"/>
        <w:left w:val="none" w:sz="0" w:space="0" w:color="auto"/>
        <w:bottom w:val="none" w:sz="0" w:space="0" w:color="auto"/>
        <w:right w:val="none" w:sz="0" w:space="0" w:color="auto"/>
      </w:divBdr>
    </w:div>
    <w:div w:id="1060635769">
      <w:bodyDiv w:val="1"/>
      <w:marLeft w:val="0"/>
      <w:marRight w:val="0"/>
      <w:marTop w:val="0"/>
      <w:marBottom w:val="0"/>
      <w:divBdr>
        <w:top w:val="none" w:sz="0" w:space="0" w:color="auto"/>
        <w:left w:val="none" w:sz="0" w:space="0" w:color="auto"/>
        <w:bottom w:val="none" w:sz="0" w:space="0" w:color="auto"/>
        <w:right w:val="none" w:sz="0" w:space="0" w:color="auto"/>
      </w:divBdr>
    </w:div>
    <w:div w:id="1060976506">
      <w:bodyDiv w:val="1"/>
      <w:marLeft w:val="0"/>
      <w:marRight w:val="0"/>
      <w:marTop w:val="0"/>
      <w:marBottom w:val="0"/>
      <w:divBdr>
        <w:top w:val="none" w:sz="0" w:space="0" w:color="auto"/>
        <w:left w:val="none" w:sz="0" w:space="0" w:color="auto"/>
        <w:bottom w:val="none" w:sz="0" w:space="0" w:color="auto"/>
        <w:right w:val="none" w:sz="0" w:space="0" w:color="auto"/>
      </w:divBdr>
    </w:div>
    <w:div w:id="1062093369">
      <w:bodyDiv w:val="1"/>
      <w:marLeft w:val="0"/>
      <w:marRight w:val="0"/>
      <w:marTop w:val="0"/>
      <w:marBottom w:val="0"/>
      <w:divBdr>
        <w:top w:val="none" w:sz="0" w:space="0" w:color="auto"/>
        <w:left w:val="none" w:sz="0" w:space="0" w:color="auto"/>
        <w:bottom w:val="none" w:sz="0" w:space="0" w:color="auto"/>
        <w:right w:val="none" w:sz="0" w:space="0" w:color="auto"/>
      </w:divBdr>
    </w:div>
    <w:div w:id="1062171666">
      <w:bodyDiv w:val="1"/>
      <w:marLeft w:val="0"/>
      <w:marRight w:val="0"/>
      <w:marTop w:val="0"/>
      <w:marBottom w:val="0"/>
      <w:divBdr>
        <w:top w:val="none" w:sz="0" w:space="0" w:color="auto"/>
        <w:left w:val="none" w:sz="0" w:space="0" w:color="auto"/>
        <w:bottom w:val="none" w:sz="0" w:space="0" w:color="auto"/>
        <w:right w:val="none" w:sz="0" w:space="0" w:color="auto"/>
      </w:divBdr>
    </w:div>
    <w:div w:id="1062870972">
      <w:bodyDiv w:val="1"/>
      <w:marLeft w:val="0"/>
      <w:marRight w:val="0"/>
      <w:marTop w:val="0"/>
      <w:marBottom w:val="0"/>
      <w:divBdr>
        <w:top w:val="none" w:sz="0" w:space="0" w:color="auto"/>
        <w:left w:val="none" w:sz="0" w:space="0" w:color="auto"/>
        <w:bottom w:val="none" w:sz="0" w:space="0" w:color="auto"/>
        <w:right w:val="none" w:sz="0" w:space="0" w:color="auto"/>
      </w:divBdr>
    </w:div>
    <w:div w:id="1063335052">
      <w:bodyDiv w:val="1"/>
      <w:marLeft w:val="0"/>
      <w:marRight w:val="0"/>
      <w:marTop w:val="0"/>
      <w:marBottom w:val="0"/>
      <w:divBdr>
        <w:top w:val="none" w:sz="0" w:space="0" w:color="auto"/>
        <w:left w:val="none" w:sz="0" w:space="0" w:color="auto"/>
        <w:bottom w:val="none" w:sz="0" w:space="0" w:color="auto"/>
        <w:right w:val="none" w:sz="0" w:space="0" w:color="auto"/>
      </w:divBdr>
    </w:div>
    <w:div w:id="1064108633">
      <w:bodyDiv w:val="1"/>
      <w:marLeft w:val="0"/>
      <w:marRight w:val="0"/>
      <w:marTop w:val="0"/>
      <w:marBottom w:val="0"/>
      <w:divBdr>
        <w:top w:val="none" w:sz="0" w:space="0" w:color="auto"/>
        <w:left w:val="none" w:sz="0" w:space="0" w:color="auto"/>
        <w:bottom w:val="none" w:sz="0" w:space="0" w:color="auto"/>
        <w:right w:val="none" w:sz="0" w:space="0" w:color="auto"/>
      </w:divBdr>
    </w:div>
    <w:div w:id="1064137483">
      <w:bodyDiv w:val="1"/>
      <w:marLeft w:val="0"/>
      <w:marRight w:val="0"/>
      <w:marTop w:val="0"/>
      <w:marBottom w:val="0"/>
      <w:divBdr>
        <w:top w:val="none" w:sz="0" w:space="0" w:color="auto"/>
        <w:left w:val="none" w:sz="0" w:space="0" w:color="auto"/>
        <w:bottom w:val="none" w:sz="0" w:space="0" w:color="auto"/>
        <w:right w:val="none" w:sz="0" w:space="0" w:color="auto"/>
      </w:divBdr>
    </w:div>
    <w:div w:id="1066032684">
      <w:bodyDiv w:val="1"/>
      <w:marLeft w:val="0"/>
      <w:marRight w:val="0"/>
      <w:marTop w:val="0"/>
      <w:marBottom w:val="0"/>
      <w:divBdr>
        <w:top w:val="none" w:sz="0" w:space="0" w:color="auto"/>
        <w:left w:val="none" w:sz="0" w:space="0" w:color="auto"/>
        <w:bottom w:val="none" w:sz="0" w:space="0" w:color="auto"/>
        <w:right w:val="none" w:sz="0" w:space="0" w:color="auto"/>
      </w:divBdr>
    </w:div>
    <w:div w:id="1066298357">
      <w:bodyDiv w:val="1"/>
      <w:marLeft w:val="0"/>
      <w:marRight w:val="0"/>
      <w:marTop w:val="0"/>
      <w:marBottom w:val="0"/>
      <w:divBdr>
        <w:top w:val="none" w:sz="0" w:space="0" w:color="auto"/>
        <w:left w:val="none" w:sz="0" w:space="0" w:color="auto"/>
        <w:bottom w:val="none" w:sz="0" w:space="0" w:color="auto"/>
        <w:right w:val="none" w:sz="0" w:space="0" w:color="auto"/>
      </w:divBdr>
    </w:div>
    <w:div w:id="1066688689">
      <w:bodyDiv w:val="1"/>
      <w:marLeft w:val="0"/>
      <w:marRight w:val="0"/>
      <w:marTop w:val="0"/>
      <w:marBottom w:val="0"/>
      <w:divBdr>
        <w:top w:val="none" w:sz="0" w:space="0" w:color="auto"/>
        <w:left w:val="none" w:sz="0" w:space="0" w:color="auto"/>
        <w:bottom w:val="none" w:sz="0" w:space="0" w:color="auto"/>
        <w:right w:val="none" w:sz="0" w:space="0" w:color="auto"/>
      </w:divBdr>
    </w:div>
    <w:div w:id="1067610998">
      <w:bodyDiv w:val="1"/>
      <w:marLeft w:val="0"/>
      <w:marRight w:val="0"/>
      <w:marTop w:val="0"/>
      <w:marBottom w:val="0"/>
      <w:divBdr>
        <w:top w:val="none" w:sz="0" w:space="0" w:color="auto"/>
        <w:left w:val="none" w:sz="0" w:space="0" w:color="auto"/>
        <w:bottom w:val="none" w:sz="0" w:space="0" w:color="auto"/>
        <w:right w:val="none" w:sz="0" w:space="0" w:color="auto"/>
      </w:divBdr>
    </w:div>
    <w:div w:id="1067648731">
      <w:bodyDiv w:val="1"/>
      <w:marLeft w:val="0"/>
      <w:marRight w:val="0"/>
      <w:marTop w:val="0"/>
      <w:marBottom w:val="0"/>
      <w:divBdr>
        <w:top w:val="none" w:sz="0" w:space="0" w:color="auto"/>
        <w:left w:val="none" w:sz="0" w:space="0" w:color="auto"/>
        <w:bottom w:val="none" w:sz="0" w:space="0" w:color="auto"/>
        <w:right w:val="none" w:sz="0" w:space="0" w:color="auto"/>
      </w:divBdr>
    </w:div>
    <w:div w:id="1069185053">
      <w:bodyDiv w:val="1"/>
      <w:marLeft w:val="0"/>
      <w:marRight w:val="0"/>
      <w:marTop w:val="0"/>
      <w:marBottom w:val="0"/>
      <w:divBdr>
        <w:top w:val="none" w:sz="0" w:space="0" w:color="auto"/>
        <w:left w:val="none" w:sz="0" w:space="0" w:color="auto"/>
        <w:bottom w:val="none" w:sz="0" w:space="0" w:color="auto"/>
        <w:right w:val="none" w:sz="0" w:space="0" w:color="auto"/>
      </w:divBdr>
    </w:div>
    <w:div w:id="1069423844">
      <w:bodyDiv w:val="1"/>
      <w:marLeft w:val="0"/>
      <w:marRight w:val="0"/>
      <w:marTop w:val="0"/>
      <w:marBottom w:val="0"/>
      <w:divBdr>
        <w:top w:val="none" w:sz="0" w:space="0" w:color="auto"/>
        <w:left w:val="none" w:sz="0" w:space="0" w:color="auto"/>
        <w:bottom w:val="none" w:sz="0" w:space="0" w:color="auto"/>
        <w:right w:val="none" w:sz="0" w:space="0" w:color="auto"/>
      </w:divBdr>
    </w:div>
    <w:div w:id="1069813805">
      <w:bodyDiv w:val="1"/>
      <w:marLeft w:val="0"/>
      <w:marRight w:val="0"/>
      <w:marTop w:val="0"/>
      <w:marBottom w:val="0"/>
      <w:divBdr>
        <w:top w:val="none" w:sz="0" w:space="0" w:color="auto"/>
        <w:left w:val="none" w:sz="0" w:space="0" w:color="auto"/>
        <w:bottom w:val="none" w:sz="0" w:space="0" w:color="auto"/>
        <w:right w:val="none" w:sz="0" w:space="0" w:color="auto"/>
      </w:divBdr>
    </w:div>
    <w:div w:id="1071344071">
      <w:bodyDiv w:val="1"/>
      <w:marLeft w:val="0"/>
      <w:marRight w:val="0"/>
      <w:marTop w:val="0"/>
      <w:marBottom w:val="0"/>
      <w:divBdr>
        <w:top w:val="none" w:sz="0" w:space="0" w:color="auto"/>
        <w:left w:val="none" w:sz="0" w:space="0" w:color="auto"/>
        <w:bottom w:val="none" w:sz="0" w:space="0" w:color="auto"/>
        <w:right w:val="none" w:sz="0" w:space="0" w:color="auto"/>
      </w:divBdr>
    </w:div>
    <w:div w:id="1073546339">
      <w:bodyDiv w:val="1"/>
      <w:marLeft w:val="0"/>
      <w:marRight w:val="0"/>
      <w:marTop w:val="0"/>
      <w:marBottom w:val="0"/>
      <w:divBdr>
        <w:top w:val="none" w:sz="0" w:space="0" w:color="auto"/>
        <w:left w:val="none" w:sz="0" w:space="0" w:color="auto"/>
        <w:bottom w:val="none" w:sz="0" w:space="0" w:color="auto"/>
        <w:right w:val="none" w:sz="0" w:space="0" w:color="auto"/>
      </w:divBdr>
    </w:div>
    <w:div w:id="1073695625">
      <w:bodyDiv w:val="1"/>
      <w:marLeft w:val="0"/>
      <w:marRight w:val="0"/>
      <w:marTop w:val="0"/>
      <w:marBottom w:val="0"/>
      <w:divBdr>
        <w:top w:val="none" w:sz="0" w:space="0" w:color="auto"/>
        <w:left w:val="none" w:sz="0" w:space="0" w:color="auto"/>
        <w:bottom w:val="none" w:sz="0" w:space="0" w:color="auto"/>
        <w:right w:val="none" w:sz="0" w:space="0" w:color="auto"/>
      </w:divBdr>
    </w:div>
    <w:div w:id="1073747007">
      <w:bodyDiv w:val="1"/>
      <w:marLeft w:val="0"/>
      <w:marRight w:val="0"/>
      <w:marTop w:val="0"/>
      <w:marBottom w:val="0"/>
      <w:divBdr>
        <w:top w:val="none" w:sz="0" w:space="0" w:color="auto"/>
        <w:left w:val="none" w:sz="0" w:space="0" w:color="auto"/>
        <w:bottom w:val="none" w:sz="0" w:space="0" w:color="auto"/>
        <w:right w:val="none" w:sz="0" w:space="0" w:color="auto"/>
      </w:divBdr>
    </w:div>
    <w:div w:id="1074402258">
      <w:bodyDiv w:val="1"/>
      <w:marLeft w:val="0"/>
      <w:marRight w:val="0"/>
      <w:marTop w:val="0"/>
      <w:marBottom w:val="0"/>
      <w:divBdr>
        <w:top w:val="none" w:sz="0" w:space="0" w:color="auto"/>
        <w:left w:val="none" w:sz="0" w:space="0" w:color="auto"/>
        <w:bottom w:val="none" w:sz="0" w:space="0" w:color="auto"/>
        <w:right w:val="none" w:sz="0" w:space="0" w:color="auto"/>
      </w:divBdr>
    </w:div>
    <w:div w:id="1074816438">
      <w:bodyDiv w:val="1"/>
      <w:marLeft w:val="0"/>
      <w:marRight w:val="0"/>
      <w:marTop w:val="0"/>
      <w:marBottom w:val="0"/>
      <w:divBdr>
        <w:top w:val="none" w:sz="0" w:space="0" w:color="auto"/>
        <w:left w:val="none" w:sz="0" w:space="0" w:color="auto"/>
        <w:bottom w:val="none" w:sz="0" w:space="0" w:color="auto"/>
        <w:right w:val="none" w:sz="0" w:space="0" w:color="auto"/>
      </w:divBdr>
    </w:div>
    <w:div w:id="1074863592">
      <w:bodyDiv w:val="1"/>
      <w:marLeft w:val="0"/>
      <w:marRight w:val="0"/>
      <w:marTop w:val="0"/>
      <w:marBottom w:val="0"/>
      <w:divBdr>
        <w:top w:val="none" w:sz="0" w:space="0" w:color="auto"/>
        <w:left w:val="none" w:sz="0" w:space="0" w:color="auto"/>
        <w:bottom w:val="none" w:sz="0" w:space="0" w:color="auto"/>
        <w:right w:val="none" w:sz="0" w:space="0" w:color="auto"/>
      </w:divBdr>
    </w:div>
    <w:div w:id="1076127068">
      <w:bodyDiv w:val="1"/>
      <w:marLeft w:val="0"/>
      <w:marRight w:val="0"/>
      <w:marTop w:val="0"/>
      <w:marBottom w:val="0"/>
      <w:divBdr>
        <w:top w:val="none" w:sz="0" w:space="0" w:color="auto"/>
        <w:left w:val="none" w:sz="0" w:space="0" w:color="auto"/>
        <w:bottom w:val="none" w:sz="0" w:space="0" w:color="auto"/>
        <w:right w:val="none" w:sz="0" w:space="0" w:color="auto"/>
      </w:divBdr>
    </w:div>
    <w:div w:id="1078138311">
      <w:bodyDiv w:val="1"/>
      <w:marLeft w:val="0"/>
      <w:marRight w:val="0"/>
      <w:marTop w:val="0"/>
      <w:marBottom w:val="0"/>
      <w:divBdr>
        <w:top w:val="none" w:sz="0" w:space="0" w:color="auto"/>
        <w:left w:val="none" w:sz="0" w:space="0" w:color="auto"/>
        <w:bottom w:val="none" w:sz="0" w:space="0" w:color="auto"/>
        <w:right w:val="none" w:sz="0" w:space="0" w:color="auto"/>
      </w:divBdr>
    </w:div>
    <w:div w:id="1078551801">
      <w:bodyDiv w:val="1"/>
      <w:marLeft w:val="0"/>
      <w:marRight w:val="0"/>
      <w:marTop w:val="0"/>
      <w:marBottom w:val="0"/>
      <w:divBdr>
        <w:top w:val="none" w:sz="0" w:space="0" w:color="auto"/>
        <w:left w:val="none" w:sz="0" w:space="0" w:color="auto"/>
        <w:bottom w:val="none" w:sz="0" w:space="0" w:color="auto"/>
        <w:right w:val="none" w:sz="0" w:space="0" w:color="auto"/>
      </w:divBdr>
    </w:div>
    <w:div w:id="1079987091">
      <w:bodyDiv w:val="1"/>
      <w:marLeft w:val="0"/>
      <w:marRight w:val="0"/>
      <w:marTop w:val="0"/>
      <w:marBottom w:val="0"/>
      <w:divBdr>
        <w:top w:val="none" w:sz="0" w:space="0" w:color="auto"/>
        <w:left w:val="none" w:sz="0" w:space="0" w:color="auto"/>
        <w:bottom w:val="none" w:sz="0" w:space="0" w:color="auto"/>
        <w:right w:val="none" w:sz="0" w:space="0" w:color="auto"/>
      </w:divBdr>
    </w:div>
    <w:div w:id="1083144986">
      <w:bodyDiv w:val="1"/>
      <w:marLeft w:val="0"/>
      <w:marRight w:val="0"/>
      <w:marTop w:val="0"/>
      <w:marBottom w:val="0"/>
      <w:divBdr>
        <w:top w:val="none" w:sz="0" w:space="0" w:color="auto"/>
        <w:left w:val="none" w:sz="0" w:space="0" w:color="auto"/>
        <w:bottom w:val="none" w:sz="0" w:space="0" w:color="auto"/>
        <w:right w:val="none" w:sz="0" w:space="0" w:color="auto"/>
      </w:divBdr>
    </w:div>
    <w:div w:id="1085423166">
      <w:bodyDiv w:val="1"/>
      <w:marLeft w:val="0"/>
      <w:marRight w:val="0"/>
      <w:marTop w:val="0"/>
      <w:marBottom w:val="0"/>
      <w:divBdr>
        <w:top w:val="none" w:sz="0" w:space="0" w:color="auto"/>
        <w:left w:val="none" w:sz="0" w:space="0" w:color="auto"/>
        <w:bottom w:val="none" w:sz="0" w:space="0" w:color="auto"/>
        <w:right w:val="none" w:sz="0" w:space="0" w:color="auto"/>
      </w:divBdr>
    </w:div>
    <w:div w:id="1086538696">
      <w:bodyDiv w:val="1"/>
      <w:marLeft w:val="0"/>
      <w:marRight w:val="0"/>
      <w:marTop w:val="0"/>
      <w:marBottom w:val="0"/>
      <w:divBdr>
        <w:top w:val="none" w:sz="0" w:space="0" w:color="auto"/>
        <w:left w:val="none" w:sz="0" w:space="0" w:color="auto"/>
        <w:bottom w:val="none" w:sz="0" w:space="0" w:color="auto"/>
        <w:right w:val="none" w:sz="0" w:space="0" w:color="auto"/>
      </w:divBdr>
    </w:div>
    <w:div w:id="1087967657">
      <w:bodyDiv w:val="1"/>
      <w:marLeft w:val="0"/>
      <w:marRight w:val="0"/>
      <w:marTop w:val="0"/>
      <w:marBottom w:val="0"/>
      <w:divBdr>
        <w:top w:val="none" w:sz="0" w:space="0" w:color="auto"/>
        <w:left w:val="none" w:sz="0" w:space="0" w:color="auto"/>
        <w:bottom w:val="none" w:sz="0" w:space="0" w:color="auto"/>
        <w:right w:val="none" w:sz="0" w:space="0" w:color="auto"/>
      </w:divBdr>
    </w:div>
    <w:div w:id="1088771944">
      <w:bodyDiv w:val="1"/>
      <w:marLeft w:val="0"/>
      <w:marRight w:val="0"/>
      <w:marTop w:val="0"/>
      <w:marBottom w:val="0"/>
      <w:divBdr>
        <w:top w:val="none" w:sz="0" w:space="0" w:color="auto"/>
        <w:left w:val="none" w:sz="0" w:space="0" w:color="auto"/>
        <w:bottom w:val="none" w:sz="0" w:space="0" w:color="auto"/>
        <w:right w:val="none" w:sz="0" w:space="0" w:color="auto"/>
      </w:divBdr>
    </w:div>
    <w:div w:id="1090657410">
      <w:bodyDiv w:val="1"/>
      <w:marLeft w:val="0"/>
      <w:marRight w:val="0"/>
      <w:marTop w:val="0"/>
      <w:marBottom w:val="0"/>
      <w:divBdr>
        <w:top w:val="none" w:sz="0" w:space="0" w:color="auto"/>
        <w:left w:val="none" w:sz="0" w:space="0" w:color="auto"/>
        <w:bottom w:val="none" w:sz="0" w:space="0" w:color="auto"/>
        <w:right w:val="none" w:sz="0" w:space="0" w:color="auto"/>
      </w:divBdr>
    </w:div>
    <w:div w:id="1091048335">
      <w:bodyDiv w:val="1"/>
      <w:marLeft w:val="0"/>
      <w:marRight w:val="0"/>
      <w:marTop w:val="0"/>
      <w:marBottom w:val="0"/>
      <w:divBdr>
        <w:top w:val="none" w:sz="0" w:space="0" w:color="auto"/>
        <w:left w:val="none" w:sz="0" w:space="0" w:color="auto"/>
        <w:bottom w:val="none" w:sz="0" w:space="0" w:color="auto"/>
        <w:right w:val="none" w:sz="0" w:space="0" w:color="auto"/>
      </w:divBdr>
    </w:div>
    <w:div w:id="1092119983">
      <w:bodyDiv w:val="1"/>
      <w:marLeft w:val="0"/>
      <w:marRight w:val="0"/>
      <w:marTop w:val="0"/>
      <w:marBottom w:val="0"/>
      <w:divBdr>
        <w:top w:val="none" w:sz="0" w:space="0" w:color="auto"/>
        <w:left w:val="none" w:sz="0" w:space="0" w:color="auto"/>
        <w:bottom w:val="none" w:sz="0" w:space="0" w:color="auto"/>
        <w:right w:val="none" w:sz="0" w:space="0" w:color="auto"/>
      </w:divBdr>
    </w:div>
    <w:div w:id="1092312443">
      <w:bodyDiv w:val="1"/>
      <w:marLeft w:val="0"/>
      <w:marRight w:val="0"/>
      <w:marTop w:val="0"/>
      <w:marBottom w:val="0"/>
      <w:divBdr>
        <w:top w:val="none" w:sz="0" w:space="0" w:color="auto"/>
        <w:left w:val="none" w:sz="0" w:space="0" w:color="auto"/>
        <w:bottom w:val="none" w:sz="0" w:space="0" w:color="auto"/>
        <w:right w:val="none" w:sz="0" w:space="0" w:color="auto"/>
      </w:divBdr>
    </w:div>
    <w:div w:id="1092970877">
      <w:bodyDiv w:val="1"/>
      <w:marLeft w:val="0"/>
      <w:marRight w:val="0"/>
      <w:marTop w:val="0"/>
      <w:marBottom w:val="0"/>
      <w:divBdr>
        <w:top w:val="none" w:sz="0" w:space="0" w:color="auto"/>
        <w:left w:val="none" w:sz="0" w:space="0" w:color="auto"/>
        <w:bottom w:val="none" w:sz="0" w:space="0" w:color="auto"/>
        <w:right w:val="none" w:sz="0" w:space="0" w:color="auto"/>
      </w:divBdr>
    </w:div>
    <w:div w:id="1093474050">
      <w:bodyDiv w:val="1"/>
      <w:marLeft w:val="0"/>
      <w:marRight w:val="0"/>
      <w:marTop w:val="0"/>
      <w:marBottom w:val="0"/>
      <w:divBdr>
        <w:top w:val="none" w:sz="0" w:space="0" w:color="auto"/>
        <w:left w:val="none" w:sz="0" w:space="0" w:color="auto"/>
        <w:bottom w:val="none" w:sz="0" w:space="0" w:color="auto"/>
        <w:right w:val="none" w:sz="0" w:space="0" w:color="auto"/>
      </w:divBdr>
    </w:div>
    <w:div w:id="1094135447">
      <w:bodyDiv w:val="1"/>
      <w:marLeft w:val="0"/>
      <w:marRight w:val="0"/>
      <w:marTop w:val="0"/>
      <w:marBottom w:val="0"/>
      <w:divBdr>
        <w:top w:val="none" w:sz="0" w:space="0" w:color="auto"/>
        <w:left w:val="none" w:sz="0" w:space="0" w:color="auto"/>
        <w:bottom w:val="none" w:sz="0" w:space="0" w:color="auto"/>
        <w:right w:val="none" w:sz="0" w:space="0" w:color="auto"/>
      </w:divBdr>
    </w:div>
    <w:div w:id="1095517177">
      <w:bodyDiv w:val="1"/>
      <w:marLeft w:val="0"/>
      <w:marRight w:val="0"/>
      <w:marTop w:val="0"/>
      <w:marBottom w:val="0"/>
      <w:divBdr>
        <w:top w:val="none" w:sz="0" w:space="0" w:color="auto"/>
        <w:left w:val="none" w:sz="0" w:space="0" w:color="auto"/>
        <w:bottom w:val="none" w:sz="0" w:space="0" w:color="auto"/>
        <w:right w:val="none" w:sz="0" w:space="0" w:color="auto"/>
      </w:divBdr>
    </w:div>
    <w:div w:id="1096174196">
      <w:bodyDiv w:val="1"/>
      <w:marLeft w:val="0"/>
      <w:marRight w:val="0"/>
      <w:marTop w:val="0"/>
      <w:marBottom w:val="0"/>
      <w:divBdr>
        <w:top w:val="none" w:sz="0" w:space="0" w:color="auto"/>
        <w:left w:val="none" w:sz="0" w:space="0" w:color="auto"/>
        <w:bottom w:val="none" w:sz="0" w:space="0" w:color="auto"/>
        <w:right w:val="none" w:sz="0" w:space="0" w:color="auto"/>
      </w:divBdr>
    </w:div>
    <w:div w:id="1096905016">
      <w:bodyDiv w:val="1"/>
      <w:marLeft w:val="0"/>
      <w:marRight w:val="0"/>
      <w:marTop w:val="0"/>
      <w:marBottom w:val="0"/>
      <w:divBdr>
        <w:top w:val="none" w:sz="0" w:space="0" w:color="auto"/>
        <w:left w:val="none" w:sz="0" w:space="0" w:color="auto"/>
        <w:bottom w:val="none" w:sz="0" w:space="0" w:color="auto"/>
        <w:right w:val="none" w:sz="0" w:space="0" w:color="auto"/>
      </w:divBdr>
    </w:div>
    <w:div w:id="1099065466">
      <w:bodyDiv w:val="1"/>
      <w:marLeft w:val="0"/>
      <w:marRight w:val="0"/>
      <w:marTop w:val="0"/>
      <w:marBottom w:val="0"/>
      <w:divBdr>
        <w:top w:val="none" w:sz="0" w:space="0" w:color="auto"/>
        <w:left w:val="none" w:sz="0" w:space="0" w:color="auto"/>
        <w:bottom w:val="none" w:sz="0" w:space="0" w:color="auto"/>
        <w:right w:val="none" w:sz="0" w:space="0" w:color="auto"/>
      </w:divBdr>
    </w:div>
    <w:div w:id="1099721631">
      <w:bodyDiv w:val="1"/>
      <w:marLeft w:val="0"/>
      <w:marRight w:val="0"/>
      <w:marTop w:val="0"/>
      <w:marBottom w:val="0"/>
      <w:divBdr>
        <w:top w:val="none" w:sz="0" w:space="0" w:color="auto"/>
        <w:left w:val="none" w:sz="0" w:space="0" w:color="auto"/>
        <w:bottom w:val="none" w:sz="0" w:space="0" w:color="auto"/>
        <w:right w:val="none" w:sz="0" w:space="0" w:color="auto"/>
      </w:divBdr>
    </w:div>
    <w:div w:id="1101299637">
      <w:bodyDiv w:val="1"/>
      <w:marLeft w:val="0"/>
      <w:marRight w:val="0"/>
      <w:marTop w:val="0"/>
      <w:marBottom w:val="0"/>
      <w:divBdr>
        <w:top w:val="none" w:sz="0" w:space="0" w:color="auto"/>
        <w:left w:val="none" w:sz="0" w:space="0" w:color="auto"/>
        <w:bottom w:val="none" w:sz="0" w:space="0" w:color="auto"/>
        <w:right w:val="none" w:sz="0" w:space="0" w:color="auto"/>
      </w:divBdr>
    </w:div>
    <w:div w:id="1101533579">
      <w:bodyDiv w:val="1"/>
      <w:marLeft w:val="0"/>
      <w:marRight w:val="0"/>
      <w:marTop w:val="0"/>
      <w:marBottom w:val="0"/>
      <w:divBdr>
        <w:top w:val="none" w:sz="0" w:space="0" w:color="auto"/>
        <w:left w:val="none" w:sz="0" w:space="0" w:color="auto"/>
        <w:bottom w:val="none" w:sz="0" w:space="0" w:color="auto"/>
        <w:right w:val="none" w:sz="0" w:space="0" w:color="auto"/>
      </w:divBdr>
    </w:div>
    <w:div w:id="1102652866">
      <w:bodyDiv w:val="1"/>
      <w:marLeft w:val="0"/>
      <w:marRight w:val="0"/>
      <w:marTop w:val="0"/>
      <w:marBottom w:val="0"/>
      <w:divBdr>
        <w:top w:val="none" w:sz="0" w:space="0" w:color="auto"/>
        <w:left w:val="none" w:sz="0" w:space="0" w:color="auto"/>
        <w:bottom w:val="none" w:sz="0" w:space="0" w:color="auto"/>
        <w:right w:val="none" w:sz="0" w:space="0" w:color="auto"/>
      </w:divBdr>
    </w:div>
    <w:div w:id="1102798682">
      <w:bodyDiv w:val="1"/>
      <w:marLeft w:val="0"/>
      <w:marRight w:val="0"/>
      <w:marTop w:val="0"/>
      <w:marBottom w:val="0"/>
      <w:divBdr>
        <w:top w:val="none" w:sz="0" w:space="0" w:color="auto"/>
        <w:left w:val="none" w:sz="0" w:space="0" w:color="auto"/>
        <w:bottom w:val="none" w:sz="0" w:space="0" w:color="auto"/>
        <w:right w:val="none" w:sz="0" w:space="0" w:color="auto"/>
      </w:divBdr>
    </w:div>
    <w:div w:id="1103108905">
      <w:bodyDiv w:val="1"/>
      <w:marLeft w:val="0"/>
      <w:marRight w:val="0"/>
      <w:marTop w:val="0"/>
      <w:marBottom w:val="0"/>
      <w:divBdr>
        <w:top w:val="none" w:sz="0" w:space="0" w:color="auto"/>
        <w:left w:val="none" w:sz="0" w:space="0" w:color="auto"/>
        <w:bottom w:val="none" w:sz="0" w:space="0" w:color="auto"/>
        <w:right w:val="none" w:sz="0" w:space="0" w:color="auto"/>
      </w:divBdr>
    </w:div>
    <w:div w:id="1103571962">
      <w:bodyDiv w:val="1"/>
      <w:marLeft w:val="0"/>
      <w:marRight w:val="0"/>
      <w:marTop w:val="0"/>
      <w:marBottom w:val="0"/>
      <w:divBdr>
        <w:top w:val="none" w:sz="0" w:space="0" w:color="auto"/>
        <w:left w:val="none" w:sz="0" w:space="0" w:color="auto"/>
        <w:bottom w:val="none" w:sz="0" w:space="0" w:color="auto"/>
        <w:right w:val="none" w:sz="0" w:space="0" w:color="auto"/>
      </w:divBdr>
    </w:div>
    <w:div w:id="1104307626">
      <w:bodyDiv w:val="1"/>
      <w:marLeft w:val="0"/>
      <w:marRight w:val="0"/>
      <w:marTop w:val="0"/>
      <w:marBottom w:val="0"/>
      <w:divBdr>
        <w:top w:val="none" w:sz="0" w:space="0" w:color="auto"/>
        <w:left w:val="none" w:sz="0" w:space="0" w:color="auto"/>
        <w:bottom w:val="none" w:sz="0" w:space="0" w:color="auto"/>
        <w:right w:val="none" w:sz="0" w:space="0" w:color="auto"/>
      </w:divBdr>
    </w:div>
    <w:div w:id="1104764099">
      <w:bodyDiv w:val="1"/>
      <w:marLeft w:val="0"/>
      <w:marRight w:val="0"/>
      <w:marTop w:val="0"/>
      <w:marBottom w:val="0"/>
      <w:divBdr>
        <w:top w:val="none" w:sz="0" w:space="0" w:color="auto"/>
        <w:left w:val="none" w:sz="0" w:space="0" w:color="auto"/>
        <w:bottom w:val="none" w:sz="0" w:space="0" w:color="auto"/>
        <w:right w:val="none" w:sz="0" w:space="0" w:color="auto"/>
      </w:divBdr>
    </w:div>
    <w:div w:id="1105153729">
      <w:bodyDiv w:val="1"/>
      <w:marLeft w:val="0"/>
      <w:marRight w:val="0"/>
      <w:marTop w:val="0"/>
      <w:marBottom w:val="0"/>
      <w:divBdr>
        <w:top w:val="none" w:sz="0" w:space="0" w:color="auto"/>
        <w:left w:val="none" w:sz="0" w:space="0" w:color="auto"/>
        <w:bottom w:val="none" w:sz="0" w:space="0" w:color="auto"/>
        <w:right w:val="none" w:sz="0" w:space="0" w:color="auto"/>
      </w:divBdr>
    </w:div>
    <w:div w:id="1105733691">
      <w:bodyDiv w:val="1"/>
      <w:marLeft w:val="0"/>
      <w:marRight w:val="0"/>
      <w:marTop w:val="0"/>
      <w:marBottom w:val="0"/>
      <w:divBdr>
        <w:top w:val="none" w:sz="0" w:space="0" w:color="auto"/>
        <w:left w:val="none" w:sz="0" w:space="0" w:color="auto"/>
        <w:bottom w:val="none" w:sz="0" w:space="0" w:color="auto"/>
        <w:right w:val="none" w:sz="0" w:space="0" w:color="auto"/>
      </w:divBdr>
    </w:div>
    <w:div w:id="1106733323">
      <w:bodyDiv w:val="1"/>
      <w:marLeft w:val="0"/>
      <w:marRight w:val="0"/>
      <w:marTop w:val="0"/>
      <w:marBottom w:val="0"/>
      <w:divBdr>
        <w:top w:val="none" w:sz="0" w:space="0" w:color="auto"/>
        <w:left w:val="none" w:sz="0" w:space="0" w:color="auto"/>
        <w:bottom w:val="none" w:sz="0" w:space="0" w:color="auto"/>
        <w:right w:val="none" w:sz="0" w:space="0" w:color="auto"/>
      </w:divBdr>
    </w:div>
    <w:div w:id="1107044016">
      <w:bodyDiv w:val="1"/>
      <w:marLeft w:val="0"/>
      <w:marRight w:val="0"/>
      <w:marTop w:val="0"/>
      <w:marBottom w:val="0"/>
      <w:divBdr>
        <w:top w:val="none" w:sz="0" w:space="0" w:color="auto"/>
        <w:left w:val="none" w:sz="0" w:space="0" w:color="auto"/>
        <w:bottom w:val="none" w:sz="0" w:space="0" w:color="auto"/>
        <w:right w:val="none" w:sz="0" w:space="0" w:color="auto"/>
      </w:divBdr>
    </w:div>
    <w:div w:id="1108891148">
      <w:bodyDiv w:val="1"/>
      <w:marLeft w:val="0"/>
      <w:marRight w:val="0"/>
      <w:marTop w:val="0"/>
      <w:marBottom w:val="0"/>
      <w:divBdr>
        <w:top w:val="none" w:sz="0" w:space="0" w:color="auto"/>
        <w:left w:val="none" w:sz="0" w:space="0" w:color="auto"/>
        <w:bottom w:val="none" w:sz="0" w:space="0" w:color="auto"/>
        <w:right w:val="none" w:sz="0" w:space="0" w:color="auto"/>
      </w:divBdr>
    </w:div>
    <w:div w:id="1109202705">
      <w:bodyDiv w:val="1"/>
      <w:marLeft w:val="0"/>
      <w:marRight w:val="0"/>
      <w:marTop w:val="0"/>
      <w:marBottom w:val="0"/>
      <w:divBdr>
        <w:top w:val="none" w:sz="0" w:space="0" w:color="auto"/>
        <w:left w:val="none" w:sz="0" w:space="0" w:color="auto"/>
        <w:bottom w:val="none" w:sz="0" w:space="0" w:color="auto"/>
        <w:right w:val="none" w:sz="0" w:space="0" w:color="auto"/>
      </w:divBdr>
    </w:div>
    <w:div w:id="1109205584">
      <w:bodyDiv w:val="1"/>
      <w:marLeft w:val="0"/>
      <w:marRight w:val="0"/>
      <w:marTop w:val="0"/>
      <w:marBottom w:val="0"/>
      <w:divBdr>
        <w:top w:val="none" w:sz="0" w:space="0" w:color="auto"/>
        <w:left w:val="none" w:sz="0" w:space="0" w:color="auto"/>
        <w:bottom w:val="none" w:sz="0" w:space="0" w:color="auto"/>
        <w:right w:val="none" w:sz="0" w:space="0" w:color="auto"/>
      </w:divBdr>
    </w:div>
    <w:div w:id="1110658446">
      <w:bodyDiv w:val="1"/>
      <w:marLeft w:val="0"/>
      <w:marRight w:val="0"/>
      <w:marTop w:val="0"/>
      <w:marBottom w:val="0"/>
      <w:divBdr>
        <w:top w:val="none" w:sz="0" w:space="0" w:color="auto"/>
        <w:left w:val="none" w:sz="0" w:space="0" w:color="auto"/>
        <w:bottom w:val="none" w:sz="0" w:space="0" w:color="auto"/>
        <w:right w:val="none" w:sz="0" w:space="0" w:color="auto"/>
      </w:divBdr>
    </w:div>
    <w:div w:id="1113524688">
      <w:bodyDiv w:val="1"/>
      <w:marLeft w:val="0"/>
      <w:marRight w:val="0"/>
      <w:marTop w:val="0"/>
      <w:marBottom w:val="0"/>
      <w:divBdr>
        <w:top w:val="none" w:sz="0" w:space="0" w:color="auto"/>
        <w:left w:val="none" w:sz="0" w:space="0" w:color="auto"/>
        <w:bottom w:val="none" w:sz="0" w:space="0" w:color="auto"/>
        <w:right w:val="none" w:sz="0" w:space="0" w:color="auto"/>
      </w:divBdr>
    </w:div>
    <w:div w:id="1114901722">
      <w:bodyDiv w:val="1"/>
      <w:marLeft w:val="0"/>
      <w:marRight w:val="0"/>
      <w:marTop w:val="0"/>
      <w:marBottom w:val="0"/>
      <w:divBdr>
        <w:top w:val="none" w:sz="0" w:space="0" w:color="auto"/>
        <w:left w:val="none" w:sz="0" w:space="0" w:color="auto"/>
        <w:bottom w:val="none" w:sz="0" w:space="0" w:color="auto"/>
        <w:right w:val="none" w:sz="0" w:space="0" w:color="auto"/>
      </w:divBdr>
    </w:div>
    <w:div w:id="1115103700">
      <w:bodyDiv w:val="1"/>
      <w:marLeft w:val="0"/>
      <w:marRight w:val="0"/>
      <w:marTop w:val="0"/>
      <w:marBottom w:val="0"/>
      <w:divBdr>
        <w:top w:val="none" w:sz="0" w:space="0" w:color="auto"/>
        <w:left w:val="none" w:sz="0" w:space="0" w:color="auto"/>
        <w:bottom w:val="none" w:sz="0" w:space="0" w:color="auto"/>
        <w:right w:val="none" w:sz="0" w:space="0" w:color="auto"/>
      </w:divBdr>
    </w:div>
    <w:div w:id="1115248132">
      <w:bodyDiv w:val="1"/>
      <w:marLeft w:val="0"/>
      <w:marRight w:val="0"/>
      <w:marTop w:val="0"/>
      <w:marBottom w:val="0"/>
      <w:divBdr>
        <w:top w:val="none" w:sz="0" w:space="0" w:color="auto"/>
        <w:left w:val="none" w:sz="0" w:space="0" w:color="auto"/>
        <w:bottom w:val="none" w:sz="0" w:space="0" w:color="auto"/>
        <w:right w:val="none" w:sz="0" w:space="0" w:color="auto"/>
      </w:divBdr>
    </w:div>
    <w:div w:id="1115562696">
      <w:bodyDiv w:val="1"/>
      <w:marLeft w:val="0"/>
      <w:marRight w:val="0"/>
      <w:marTop w:val="0"/>
      <w:marBottom w:val="0"/>
      <w:divBdr>
        <w:top w:val="none" w:sz="0" w:space="0" w:color="auto"/>
        <w:left w:val="none" w:sz="0" w:space="0" w:color="auto"/>
        <w:bottom w:val="none" w:sz="0" w:space="0" w:color="auto"/>
        <w:right w:val="none" w:sz="0" w:space="0" w:color="auto"/>
      </w:divBdr>
    </w:div>
    <w:div w:id="1116681756">
      <w:bodyDiv w:val="1"/>
      <w:marLeft w:val="0"/>
      <w:marRight w:val="0"/>
      <w:marTop w:val="0"/>
      <w:marBottom w:val="0"/>
      <w:divBdr>
        <w:top w:val="none" w:sz="0" w:space="0" w:color="auto"/>
        <w:left w:val="none" w:sz="0" w:space="0" w:color="auto"/>
        <w:bottom w:val="none" w:sz="0" w:space="0" w:color="auto"/>
        <w:right w:val="none" w:sz="0" w:space="0" w:color="auto"/>
      </w:divBdr>
    </w:div>
    <w:div w:id="1118257914">
      <w:bodyDiv w:val="1"/>
      <w:marLeft w:val="0"/>
      <w:marRight w:val="0"/>
      <w:marTop w:val="0"/>
      <w:marBottom w:val="0"/>
      <w:divBdr>
        <w:top w:val="none" w:sz="0" w:space="0" w:color="auto"/>
        <w:left w:val="none" w:sz="0" w:space="0" w:color="auto"/>
        <w:bottom w:val="none" w:sz="0" w:space="0" w:color="auto"/>
        <w:right w:val="none" w:sz="0" w:space="0" w:color="auto"/>
      </w:divBdr>
    </w:div>
    <w:div w:id="1120076154">
      <w:bodyDiv w:val="1"/>
      <w:marLeft w:val="0"/>
      <w:marRight w:val="0"/>
      <w:marTop w:val="0"/>
      <w:marBottom w:val="0"/>
      <w:divBdr>
        <w:top w:val="none" w:sz="0" w:space="0" w:color="auto"/>
        <w:left w:val="none" w:sz="0" w:space="0" w:color="auto"/>
        <w:bottom w:val="none" w:sz="0" w:space="0" w:color="auto"/>
        <w:right w:val="none" w:sz="0" w:space="0" w:color="auto"/>
      </w:divBdr>
    </w:div>
    <w:div w:id="1120418522">
      <w:bodyDiv w:val="1"/>
      <w:marLeft w:val="0"/>
      <w:marRight w:val="0"/>
      <w:marTop w:val="0"/>
      <w:marBottom w:val="0"/>
      <w:divBdr>
        <w:top w:val="none" w:sz="0" w:space="0" w:color="auto"/>
        <w:left w:val="none" w:sz="0" w:space="0" w:color="auto"/>
        <w:bottom w:val="none" w:sz="0" w:space="0" w:color="auto"/>
        <w:right w:val="none" w:sz="0" w:space="0" w:color="auto"/>
      </w:divBdr>
    </w:div>
    <w:div w:id="1121150156">
      <w:bodyDiv w:val="1"/>
      <w:marLeft w:val="0"/>
      <w:marRight w:val="0"/>
      <w:marTop w:val="0"/>
      <w:marBottom w:val="0"/>
      <w:divBdr>
        <w:top w:val="none" w:sz="0" w:space="0" w:color="auto"/>
        <w:left w:val="none" w:sz="0" w:space="0" w:color="auto"/>
        <w:bottom w:val="none" w:sz="0" w:space="0" w:color="auto"/>
        <w:right w:val="none" w:sz="0" w:space="0" w:color="auto"/>
      </w:divBdr>
    </w:div>
    <w:div w:id="1122307260">
      <w:bodyDiv w:val="1"/>
      <w:marLeft w:val="0"/>
      <w:marRight w:val="0"/>
      <w:marTop w:val="0"/>
      <w:marBottom w:val="0"/>
      <w:divBdr>
        <w:top w:val="none" w:sz="0" w:space="0" w:color="auto"/>
        <w:left w:val="none" w:sz="0" w:space="0" w:color="auto"/>
        <w:bottom w:val="none" w:sz="0" w:space="0" w:color="auto"/>
        <w:right w:val="none" w:sz="0" w:space="0" w:color="auto"/>
      </w:divBdr>
    </w:div>
    <w:div w:id="1125462087">
      <w:bodyDiv w:val="1"/>
      <w:marLeft w:val="0"/>
      <w:marRight w:val="0"/>
      <w:marTop w:val="0"/>
      <w:marBottom w:val="0"/>
      <w:divBdr>
        <w:top w:val="none" w:sz="0" w:space="0" w:color="auto"/>
        <w:left w:val="none" w:sz="0" w:space="0" w:color="auto"/>
        <w:bottom w:val="none" w:sz="0" w:space="0" w:color="auto"/>
        <w:right w:val="none" w:sz="0" w:space="0" w:color="auto"/>
      </w:divBdr>
    </w:div>
    <w:div w:id="1126044332">
      <w:bodyDiv w:val="1"/>
      <w:marLeft w:val="0"/>
      <w:marRight w:val="0"/>
      <w:marTop w:val="0"/>
      <w:marBottom w:val="0"/>
      <w:divBdr>
        <w:top w:val="none" w:sz="0" w:space="0" w:color="auto"/>
        <w:left w:val="none" w:sz="0" w:space="0" w:color="auto"/>
        <w:bottom w:val="none" w:sz="0" w:space="0" w:color="auto"/>
        <w:right w:val="none" w:sz="0" w:space="0" w:color="auto"/>
      </w:divBdr>
    </w:div>
    <w:div w:id="1126310141">
      <w:bodyDiv w:val="1"/>
      <w:marLeft w:val="0"/>
      <w:marRight w:val="0"/>
      <w:marTop w:val="0"/>
      <w:marBottom w:val="0"/>
      <w:divBdr>
        <w:top w:val="none" w:sz="0" w:space="0" w:color="auto"/>
        <w:left w:val="none" w:sz="0" w:space="0" w:color="auto"/>
        <w:bottom w:val="none" w:sz="0" w:space="0" w:color="auto"/>
        <w:right w:val="none" w:sz="0" w:space="0" w:color="auto"/>
      </w:divBdr>
    </w:div>
    <w:div w:id="1127166060">
      <w:bodyDiv w:val="1"/>
      <w:marLeft w:val="0"/>
      <w:marRight w:val="0"/>
      <w:marTop w:val="0"/>
      <w:marBottom w:val="0"/>
      <w:divBdr>
        <w:top w:val="none" w:sz="0" w:space="0" w:color="auto"/>
        <w:left w:val="none" w:sz="0" w:space="0" w:color="auto"/>
        <w:bottom w:val="none" w:sz="0" w:space="0" w:color="auto"/>
        <w:right w:val="none" w:sz="0" w:space="0" w:color="auto"/>
      </w:divBdr>
    </w:div>
    <w:div w:id="1128015126">
      <w:bodyDiv w:val="1"/>
      <w:marLeft w:val="0"/>
      <w:marRight w:val="0"/>
      <w:marTop w:val="0"/>
      <w:marBottom w:val="0"/>
      <w:divBdr>
        <w:top w:val="none" w:sz="0" w:space="0" w:color="auto"/>
        <w:left w:val="none" w:sz="0" w:space="0" w:color="auto"/>
        <w:bottom w:val="none" w:sz="0" w:space="0" w:color="auto"/>
        <w:right w:val="none" w:sz="0" w:space="0" w:color="auto"/>
      </w:divBdr>
    </w:div>
    <w:div w:id="1130442899">
      <w:bodyDiv w:val="1"/>
      <w:marLeft w:val="0"/>
      <w:marRight w:val="0"/>
      <w:marTop w:val="0"/>
      <w:marBottom w:val="0"/>
      <w:divBdr>
        <w:top w:val="none" w:sz="0" w:space="0" w:color="auto"/>
        <w:left w:val="none" w:sz="0" w:space="0" w:color="auto"/>
        <w:bottom w:val="none" w:sz="0" w:space="0" w:color="auto"/>
        <w:right w:val="none" w:sz="0" w:space="0" w:color="auto"/>
      </w:divBdr>
    </w:div>
    <w:div w:id="1131169697">
      <w:bodyDiv w:val="1"/>
      <w:marLeft w:val="0"/>
      <w:marRight w:val="0"/>
      <w:marTop w:val="0"/>
      <w:marBottom w:val="0"/>
      <w:divBdr>
        <w:top w:val="none" w:sz="0" w:space="0" w:color="auto"/>
        <w:left w:val="none" w:sz="0" w:space="0" w:color="auto"/>
        <w:bottom w:val="none" w:sz="0" w:space="0" w:color="auto"/>
        <w:right w:val="none" w:sz="0" w:space="0" w:color="auto"/>
      </w:divBdr>
    </w:div>
    <w:div w:id="1131829900">
      <w:bodyDiv w:val="1"/>
      <w:marLeft w:val="0"/>
      <w:marRight w:val="0"/>
      <w:marTop w:val="0"/>
      <w:marBottom w:val="0"/>
      <w:divBdr>
        <w:top w:val="none" w:sz="0" w:space="0" w:color="auto"/>
        <w:left w:val="none" w:sz="0" w:space="0" w:color="auto"/>
        <w:bottom w:val="none" w:sz="0" w:space="0" w:color="auto"/>
        <w:right w:val="none" w:sz="0" w:space="0" w:color="auto"/>
      </w:divBdr>
    </w:div>
    <w:div w:id="1131897586">
      <w:bodyDiv w:val="1"/>
      <w:marLeft w:val="0"/>
      <w:marRight w:val="0"/>
      <w:marTop w:val="0"/>
      <w:marBottom w:val="0"/>
      <w:divBdr>
        <w:top w:val="none" w:sz="0" w:space="0" w:color="auto"/>
        <w:left w:val="none" w:sz="0" w:space="0" w:color="auto"/>
        <w:bottom w:val="none" w:sz="0" w:space="0" w:color="auto"/>
        <w:right w:val="none" w:sz="0" w:space="0" w:color="auto"/>
      </w:divBdr>
    </w:div>
    <w:div w:id="1132558202">
      <w:bodyDiv w:val="1"/>
      <w:marLeft w:val="0"/>
      <w:marRight w:val="0"/>
      <w:marTop w:val="0"/>
      <w:marBottom w:val="0"/>
      <w:divBdr>
        <w:top w:val="none" w:sz="0" w:space="0" w:color="auto"/>
        <w:left w:val="none" w:sz="0" w:space="0" w:color="auto"/>
        <w:bottom w:val="none" w:sz="0" w:space="0" w:color="auto"/>
        <w:right w:val="none" w:sz="0" w:space="0" w:color="auto"/>
      </w:divBdr>
    </w:div>
    <w:div w:id="1132559242">
      <w:bodyDiv w:val="1"/>
      <w:marLeft w:val="0"/>
      <w:marRight w:val="0"/>
      <w:marTop w:val="0"/>
      <w:marBottom w:val="0"/>
      <w:divBdr>
        <w:top w:val="none" w:sz="0" w:space="0" w:color="auto"/>
        <w:left w:val="none" w:sz="0" w:space="0" w:color="auto"/>
        <w:bottom w:val="none" w:sz="0" w:space="0" w:color="auto"/>
        <w:right w:val="none" w:sz="0" w:space="0" w:color="auto"/>
      </w:divBdr>
    </w:div>
    <w:div w:id="1134640494">
      <w:bodyDiv w:val="1"/>
      <w:marLeft w:val="0"/>
      <w:marRight w:val="0"/>
      <w:marTop w:val="0"/>
      <w:marBottom w:val="0"/>
      <w:divBdr>
        <w:top w:val="none" w:sz="0" w:space="0" w:color="auto"/>
        <w:left w:val="none" w:sz="0" w:space="0" w:color="auto"/>
        <w:bottom w:val="none" w:sz="0" w:space="0" w:color="auto"/>
        <w:right w:val="none" w:sz="0" w:space="0" w:color="auto"/>
      </w:divBdr>
    </w:div>
    <w:div w:id="1134641052">
      <w:bodyDiv w:val="1"/>
      <w:marLeft w:val="0"/>
      <w:marRight w:val="0"/>
      <w:marTop w:val="0"/>
      <w:marBottom w:val="0"/>
      <w:divBdr>
        <w:top w:val="none" w:sz="0" w:space="0" w:color="auto"/>
        <w:left w:val="none" w:sz="0" w:space="0" w:color="auto"/>
        <w:bottom w:val="none" w:sz="0" w:space="0" w:color="auto"/>
        <w:right w:val="none" w:sz="0" w:space="0" w:color="auto"/>
      </w:divBdr>
    </w:div>
    <w:div w:id="1136609096">
      <w:bodyDiv w:val="1"/>
      <w:marLeft w:val="0"/>
      <w:marRight w:val="0"/>
      <w:marTop w:val="0"/>
      <w:marBottom w:val="0"/>
      <w:divBdr>
        <w:top w:val="none" w:sz="0" w:space="0" w:color="auto"/>
        <w:left w:val="none" w:sz="0" w:space="0" w:color="auto"/>
        <w:bottom w:val="none" w:sz="0" w:space="0" w:color="auto"/>
        <w:right w:val="none" w:sz="0" w:space="0" w:color="auto"/>
      </w:divBdr>
    </w:div>
    <w:div w:id="1140195501">
      <w:bodyDiv w:val="1"/>
      <w:marLeft w:val="0"/>
      <w:marRight w:val="0"/>
      <w:marTop w:val="0"/>
      <w:marBottom w:val="0"/>
      <w:divBdr>
        <w:top w:val="none" w:sz="0" w:space="0" w:color="auto"/>
        <w:left w:val="none" w:sz="0" w:space="0" w:color="auto"/>
        <w:bottom w:val="none" w:sz="0" w:space="0" w:color="auto"/>
        <w:right w:val="none" w:sz="0" w:space="0" w:color="auto"/>
      </w:divBdr>
    </w:div>
    <w:div w:id="1140344495">
      <w:bodyDiv w:val="1"/>
      <w:marLeft w:val="0"/>
      <w:marRight w:val="0"/>
      <w:marTop w:val="0"/>
      <w:marBottom w:val="0"/>
      <w:divBdr>
        <w:top w:val="none" w:sz="0" w:space="0" w:color="auto"/>
        <w:left w:val="none" w:sz="0" w:space="0" w:color="auto"/>
        <w:bottom w:val="none" w:sz="0" w:space="0" w:color="auto"/>
        <w:right w:val="none" w:sz="0" w:space="0" w:color="auto"/>
      </w:divBdr>
    </w:div>
    <w:div w:id="1140683094">
      <w:bodyDiv w:val="1"/>
      <w:marLeft w:val="0"/>
      <w:marRight w:val="0"/>
      <w:marTop w:val="0"/>
      <w:marBottom w:val="0"/>
      <w:divBdr>
        <w:top w:val="none" w:sz="0" w:space="0" w:color="auto"/>
        <w:left w:val="none" w:sz="0" w:space="0" w:color="auto"/>
        <w:bottom w:val="none" w:sz="0" w:space="0" w:color="auto"/>
        <w:right w:val="none" w:sz="0" w:space="0" w:color="auto"/>
      </w:divBdr>
    </w:div>
    <w:div w:id="1140685369">
      <w:bodyDiv w:val="1"/>
      <w:marLeft w:val="0"/>
      <w:marRight w:val="0"/>
      <w:marTop w:val="0"/>
      <w:marBottom w:val="0"/>
      <w:divBdr>
        <w:top w:val="none" w:sz="0" w:space="0" w:color="auto"/>
        <w:left w:val="none" w:sz="0" w:space="0" w:color="auto"/>
        <w:bottom w:val="none" w:sz="0" w:space="0" w:color="auto"/>
        <w:right w:val="none" w:sz="0" w:space="0" w:color="auto"/>
      </w:divBdr>
    </w:div>
    <w:div w:id="1141119868">
      <w:bodyDiv w:val="1"/>
      <w:marLeft w:val="0"/>
      <w:marRight w:val="0"/>
      <w:marTop w:val="0"/>
      <w:marBottom w:val="0"/>
      <w:divBdr>
        <w:top w:val="none" w:sz="0" w:space="0" w:color="auto"/>
        <w:left w:val="none" w:sz="0" w:space="0" w:color="auto"/>
        <w:bottom w:val="none" w:sz="0" w:space="0" w:color="auto"/>
        <w:right w:val="none" w:sz="0" w:space="0" w:color="auto"/>
      </w:divBdr>
    </w:div>
    <w:div w:id="1143085689">
      <w:bodyDiv w:val="1"/>
      <w:marLeft w:val="0"/>
      <w:marRight w:val="0"/>
      <w:marTop w:val="0"/>
      <w:marBottom w:val="0"/>
      <w:divBdr>
        <w:top w:val="none" w:sz="0" w:space="0" w:color="auto"/>
        <w:left w:val="none" w:sz="0" w:space="0" w:color="auto"/>
        <w:bottom w:val="none" w:sz="0" w:space="0" w:color="auto"/>
        <w:right w:val="none" w:sz="0" w:space="0" w:color="auto"/>
      </w:divBdr>
    </w:div>
    <w:div w:id="1143162731">
      <w:bodyDiv w:val="1"/>
      <w:marLeft w:val="0"/>
      <w:marRight w:val="0"/>
      <w:marTop w:val="0"/>
      <w:marBottom w:val="0"/>
      <w:divBdr>
        <w:top w:val="none" w:sz="0" w:space="0" w:color="auto"/>
        <w:left w:val="none" w:sz="0" w:space="0" w:color="auto"/>
        <w:bottom w:val="none" w:sz="0" w:space="0" w:color="auto"/>
        <w:right w:val="none" w:sz="0" w:space="0" w:color="auto"/>
      </w:divBdr>
    </w:div>
    <w:div w:id="1144354453">
      <w:bodyDiv w:val="1"/>
      <w:marLeft w:val="0"/>
      <w:marRight w:val="0"/>
      <w:marTop w:val="0"/>
      <w:marBottom w:val="0"/>
      <w:divBdr>
        <w:top w:val="none" w:sz="0" w:space="0" w:color="auto"/>
        <w:left w:val="none" w:sz="0" w:space="0" w:color="auto"/>
        <w:bottom w:val="none" w:sz="0" w:space="0" w:color="auto"/>
        <w:right w:val="none" w:sz="0" w:space="0" w:color="auto"/>
      </w:divBdr>
    </w:div>
    <w:div w:id="1144783310">
      <w:bodyDiv w:val="1"/>
      <w:marLeft w:val="0"/>
      <w:marRight w:val="0"/>
      <w:marTop w:val="0"/>
      <w:marBottom w:val="0"/>
      <w:divBdr>
        <w:top w:val="none" w:sz="0" w:space="0" w:color="auto"/>
        <w:left w:val="none" w:sz="0" w:space="0" w:color="auto"/>
        <w:bottom w:val="none" w:sz="0" w:space="0" w:color="auto"/>
        <w:right w:val="none" w:sz="0" w:space="0" w:color="auto"/>
      </w:divBdr>
    </w:div>
    <w:div w:id="1146317506">
      <w:bodyDiv w:val="1"/>
      <w:marLeft w:val="0"/>
      <w:marRight w:val="0"/>
      <w:marTop w:val="0"/>
      <w:marBottom w:val="0"/>
      <w:divBdr>
        <w:top w:val="none" w:sz="0" w:space="0" w:color="auto"/>
        <w:left w:val="none" w:sz="0" w:space="0" w:color="auto"/>
        <w:bottom w:val="none" w:sz="0" w:space="0" w:color="auto"/>
        <w:right w:val="none" w:sz="0" w:space="0" w:color="auto"/>
      </w:divBdr>
    </w:div>
    <w:div w:id="1146433524">
      <w:bodyDiv w:val="1"/>
      <w:marLeft w:val="0"/>
      <w:marRight w:val="0"/>
      <w:marTop w:val="0"/>
      <w:marBottom w:val="0"/>
      <w:divBdr>
        <w:top w:val="none" w:sz="0" w:space="0" w:color="auto"/>
        <w:left w:val="none" w:sz="0" w:space="0" w:color="auto"/>
        <w:bottom w:val="none" w:sz="0" w:space="0" w:color="auto"/>
        <w:right w:val="none" w:sz="0" w:space="0" w:color="auto"/>
      </w:divBdr>
    </w:div>
    <w:div w:id="1146631857">
      <w:bodyDiv w:val="1"/>
      <w:marLeft w:val="0"/>
      <w:marRight w:val="0"/>
      <w:marTop w:val="0"/>
      <w:marBottom w:val="0"/>
      <w:divBdr>
        <w:top w:val="none" w:sz="0" w:space="0" w:color="auto"/>
        <w:left w:val="none" w:sz="0" w:space="0" w:color="auto"/>
        <w:bottom w:val="none" w:sz="0" w:space="0" w:color="auto"/>
        <w:right w:val="none" w:sz="0" w:space="0" w:color="auto"/>
      </w:divBdr>
    </w:div>
    <w:div w:id="1147166654">
      <w:bodyDiv w:val="1"/>
      <w:marLeft w:val="0"/>
      <w:marRight w:val="0"/>
      <w:marTop w:val="0"/>
      <w:marBottom w:val="0"/>
      <w:divBdr>
        <w:top w:val="none" w:sz="0" w:space="0" w:color="auto"/>
        <w:left w:val="none" w:sz="0" w:space="0" w:color="auto"/>
        <w:bottom w:val="none" w:sz="0" w:space="0" w:color="auto"/>
        <w:right w:val="none" w:sz="0" w:space="0" w:color="auto"/>
      </w:divBdr>
    </w:div>
    <w:div w:id="1147627709">
      <w:bodyDiv w:val="1"/>
      <w:marLeft w:val="0"/>
      <w:marRight w:val="0"/>
      <w:marTop w:val="0"/>
      <w:marBottom w:val="0"/>
      <w:divBdr>
        <w:top w:val="none" w:sz="0" w:space="0" w:color="auto"/>
        <w:left w:val="none" w:sz="0" w:space="0" w:color="auto"/>
        <w:bottom w:val="none" w:sz="0" w:space="0" w:color="auto"/>
        <w:right w:val="none" w:sz="0" w:space="0" w:color="auto"/>
      </w:divBdr>
    </w:div>
    <w:div w:id="1148479723">
      <w:bodyDiv w:val="1"/>
      <w:marLeft w:val="0"/>
      <w:marRight w:val="0"/>
      <w:marTop w:val="0"/>
      <w:marBottom w:val="0"/>
      <w:divBdr>
        <w:top w:val="none" w:sz="0" w:space="0" w:color="auto"/>
        <w:left w:val="none" w:sz="0" w:space="0" w:color="auto"/>
        <w:bottom w:val="none" w:sz="0" w:space="0" w:color="auto"/>
        <w:right w:val="none" w:sz="0" w:space="0" w:color="auto"/>
      </w:divBdr>
    </w:div>
    <w:div w:id="1149176959">
      <w:bodyDiv w:val="1"/>
      <w:marLeft w:val="0"/>
      <w:marRight w:val="0"/>
      <w:marTop w:val="0"/>
      <w:marBottom w:val="0"/>
      <w:divBdr>
        <w:top w:val="none" w:sz="0" w:space="0" w:color="auto"/>
        <w:left w:val="none" w:sz="0" w:space="0" w:color="auto"/>
        <w:bottom w:val="none" w:sz="0" w:space="0" w:color="auto"/>
        <w:right w:val="none" w:sz="0" w:space="0" w:color="auto"/>
      </w:divBdr>
    </w:div>
    <w:div w:id="1152452326">
      <w:bodyDiv w:val="1"/>
      <w:marLeft w:val="0"/>
      <w:marRight w:val="0"/>
      <w:marTop w:val="0"/>
      <w:marBottom w:val="0"/>
      <w:divBdr>
        <w:top w:val="none" w:sz="0" w:space="0" w:color="auto"/>
        <w:left w:val="none" w:sz="0" w:space="0" w:color="auto"/>
        <w:bottom w:val="none" w:sz="0" w:space="0" w:color="auto"/>
        <w:right w:val="none" w:sz="0" w:space="0" w:color="auto"/>
      </w:divBdr>
    </w:div>
    <w:div w:id="1154487760">
      <w:bodyDiv w:val="1"/>
      <w:marLeft w:val="0"/>
      <w:marRight w:val="0"/>
      <w:marTop w:val="0"/>
      <w:marBottom w:val="0"/>
      <w:divBdr>
        <w:top w:val="none" w:sz="0" w:space="0" w:color="auto"/>
        <w:left w:val="none" w:sz="0" w:space="0" w:color="auto"/>
        <w:bottom w:val="none" w:sz="0" w:space="0" w:color="auto"/>
        <w:right w:val="none" w:sz="0" w:space="0" w:color="auto"/>
      </w:divBdr>
    </w:div>
    <w:div w:id="1154952738">
      <w:bodyDiv w:val="1"/>
      <w:marLeft w:val="0"/>
      <w:marRight w:val="0"/>
      <w:marTop w:val="0"/>
      <w:marBottom w:val="0"/>
      <w:divBdr>
        <w:top w:val="none" w:sz="0" w:space="0" w:color="auto"/>
        <w:left w:val="none" w:sz="0" w:space="0" w:color="auto"/>
        <w:bottom w:val="none" w:sz="0" w:space="0" w:color="auto"/>
        <w:right w:val="none" w:sz="0" w:space="0" w:color="auto"/>
      </w:divBdr>
    </w:div>
    <w:div w:id="1155872655">
      <w:bodyDiv w:val="1"/>
      <w:marLeft w:val="0"/>
      <w:marRight w:val="0"/>
      <w:marTop w:val="0"/>
      <w:marBottom w:val="0"/>
      <w:divBdr>
        <w:top w:val="none" w:sz="0" w:space="0" w:color="auto"/>
        <w:left w:val="none" w:sz="0" w:space="0" w:color="auto"/>
        <w:bottom w:val="none" w:sz="0" w:space="0" w:color="auto"/>
        <w:right w:val="none" w:sz="0" w:space="0" w:color="auto"/>
      </w:divBdr>
    </w:div>
    <w:div w:id="1155877412">
      <w:bodyDiv w:val="1"/>
      <w:marLeft w:val="0"/>
      <w:marRight w:val="0"/>
      <w:marTop w:val="0"/>
      <w:marBottom w:val="0"/>
      <w:divBdr>
        <w:top w:val="none" w:sz="0" w:space="0" w:color="auto"/>
        <w:left w:val="none" w:sz="0" w:space="0" w:color="auto"/>
        <w:bottom w:val="none" w:sz="0" w:space="0" w:color="auto"/>
        <w:right w:val="none" w:sz="0" w:space="0" w:color="auto"/>
      </w:divBdr>
    </w:div>
    <w:div w:id="1157458116">
      <w:bodyDiv w:val="1"/>
      <w:marLeft w:val="0"/>
      <w:marRight w:val="0"/>
      <w:marTop w:val="0"/>
      <w:marBottom w:val="0"/>
      <w:divBdr>
        <w:top w:val="none" w:sz="0" w:space="0" w:color="auto"/>
        <w:left w:val="none" w:sz="0" w:space="0" w:color="auto"/>
        <w:bottom w:val="none" w:sz="0" w:space="0" w:color="auto"/>
        <w:right w:val="none" w:sz="0" w:space="0" w:color="auto"/>
      </w:divBdr>
    </w:div>
    <w:div w:id="1157766936">
      <w:bodyDiv w:val="1"/>
      <w:marLeft w:val="0"/>
      <w:marRight w:val="0"/>
      <w:marTop w:val="0"/>
      <w:marBottom w:val="0"/>
      <w:divBdr>
        <w:top w:val="none" w:sz="0" w:space="0" w:color="auto"/>
        <w:left w:val="none" w:sz="0" w:space="0" w:color="auto"/>
        <w:bottom w:val="none" w:sz="0" w:space="0" w:color="auto"/>
        <w:right w:val="none" w:sz="0" w:space="0" w:color="auto"/>
      </w:divBdr>
    </w:div>
    <w:div w:id="1160004628">
      <w:bodyDiv w:val="1"/>
      <w:marLeft w:val="0"/>
      <w:marRight w:val="0"/>
      <w:marTop w:val="0"/>
      <w:marBottom w:val="0"/>
      <w:divBdr>
        <w:top w:val="none" w:sz="0" w:space="0" w:color="auto"/>
        <w:left w:val="none" w:sz="0" w:space="0" w:color="auto"/>
        <w:bottom w:val="none" w:sz="0" w:space="0" w:color="auto"/>
        <w:right w:val="none" w:sz="0" w:space="0" w:color="auto"/>
      </w:divBdr>
    </w:div>
    <w:div w:id="1160735630">
      <w:bodyDiv w:val="1"/>
      <w:marLeft w:val="0"/>
      <w:marRight w:val="0"/>
      <w:marTop w:val="0"/>
      <w:marBottom w:val="0"/>
      <w:divBdr>
        <w:top w:val="none" w:sz="0" w:space="0" w:color="auto"/>
        <w:left w:val="none" w:sz="0" w:space="0" w:color="auto"/>
        <w:bottom w:val="none" w:sz="0" w:space="0" w:color="auto"/>
        <w:right w:val="none" w:sz="0" w:space="0" w:color="auto"/>
      </w:divBdr>
    </w:div>
    <w:div w:id="1164050513">
      <w:bodyDiv w:val="1"/>
      <w:marLeft w:val="0"/>
      <w:marRight w:val="0"/>
      <w:marTop w:val="0"/>
      <w:marBottom w:val="0"/>
      <w:divBdr>
        <w:top w:val="none" w:sz="0" w:space="0" w:color="auto"/>
        <w:left w:val="none" w:sz="0" w:space="0" w:color="auto"/>
        <w:bottom w:val="none" w:sz="0" w:space="0" w:color="auto"/>
        <w:right w:val="none" w:sz="0" w:space="0" w:color="auto"/>
      </w:divBdr>
    </w:div>
    <w:div w:id="1164396193">
      <w:bodyDiv w:val="1"/>
      <w:marLeft w:val="0"/>
      <w:marRight w:val="0"/>
      <w:marTop w:val="0"/>
      <w:marBottom w:val="0"/>
      <w:divBdr>
        <w:top w:val="none" w:sz="0" w:space="0" w:color="auto"/>
        <w:left w:val="none" w:sz="0" w:space="0" w:color="auto"/>
        <w:bottom w:val="none" w:sz="0" w:space="0" w:color="auto"/>
        <w:right w:val="none" w:sz="0" w:space="0" w:color="auto"/>
      </w:divBdr>
    </w:div>
    <w:div w:id="1165314810">
      <w:bodyDiv w:val="1"/>
      <w:marLeft w:val="0"/>
      <w:marRight w:val="0"/>
      <w:marTop w:val="0"/>
      <w:marBottom w:val="0"/>
      <w:divBdr>
        <w:top w:val="none" w:sz="0" w:space="0" w:color="auto"/>
        <w:left w:val="none" w:sz="0" w:space="0" w:color="auto"/>
        <w:bottom w:val="none" w:sz="0" w:space="0" w:color="auto"/>
        <w:right w:val="none" w:sz="0" w:space="0" w:color="auto"/>
      </w:divBdr>
    </w:div>
    <w:div w:id="1168980237">
      <w:bodyDiv w:val="1"/>
      <w:marLeft w:val="0"/>
      <w:marRight w:val="0"/>
      <w:marTop w:val="0"/>
      <w:marBottom w:val="0"/>
      <w:divBdr>
        <w:top w:val="none" w:sz="0" w:space="0" w:color="auto"/>
        <w:left w:val="none" w:sz="0" w:space="0" w:color="auto"/>
        <w:bottom w:val="none" w:sz="0" w:space="0" w:color="auto"/>
        <w:right w:val="none" w:sz="0" w:space="0" w:color="auto"/>
      </w:divBdr>
    </w:div>
    <w:div w:id="1169517461">
      <w:bodyDiv w:val="1"/>
      <w:marLeft w:val="0"/>
      <w:marRight w:val="0"/>
      <w:marTop w:val="0"/>
      <w:marBottom w:val="0"/>
      <w:divBdr>
        <w:top w:val="none" w:sz="0" w:space="0" w:color="auto"/>
        <w:left w:val="none" w:sz="0" w:space="0" w:color="auto"/>
        <w:bottom w:val="none" w:sz="0" w:space="0" w:color="auto"/>
        <w:right w:val="none" w:sz="0" w:space="0" w:color="auto"/>
      </w:divBdr>
    </w:div>
    <w:div w:id="1171792056">
      <w:bodyDiv w:val="1"/>
      <w:marLeft w:val="0"/>
      <w:marRight w:val="0"/>
      <w:marTop w:val="0"/>
      <w:marBottom w:val="0"/>
      <w:divBdr>
        <w:top w:val="none" w:sz="0" w:space="0" w:color="auto"/>
        <w:left w:val="none" w:sz="0" w:space="0" w:color="auto"/>
        <w:bottom w:val="none" w:sz="0" w:space="0" w:color="auto"/>
        <w:right w:val="none" w:sz="0" w:space="0" w:color="auto"/>
      </w:divBdr>
    </w:div>
    <w:div w:id="1171872359">
      <w:bodyDiv w:val="1"/>
      <w:marLeft w:val="0"/>
      <w:marRight w:val="0"/>
      <w:marTop w:val="0"/>
      <w:marBottom w:val="0"/>
      <w:divBdr>
        <w:top w:val="none" w:sz="0" w:space="0" w:color="auto"/>
        <w:left w:val="none" w:sz="0" w:space="0" w:color="auto"/>
        <w:bottom w:val="none" w:sz="0" w:space="0" w:color="auto"/>
        <w:right w:val="none" w:sz="0" w:space="0" w:color="auto"/>
      </w:divBdr>
    </w:div>
    <w:div w:id="1174686718">
      <w:bodyDiv w:val="1"/>
      <w:marLeft w:val="0"/>
      <w:marRight w:val="0"/>
      <w:marTop w:val="0"/>
      <w:marBottom w:val="0"/>
      <w:divBdr>
        <w:top w:val="none" w:sz="0" w:space="0" w:color="auto"/>
        <w:left w:val="none" w:sz="0" w:space="0" w:color="auto"/>
        <w:bottom w:val="none" w:sz="0" w:space="0" w:color="auto"/>
        <w:right w:val="none" w:sz="0" w:space="0" w:color="auto"/>
      </w:divBdr>
    </w:div>
    <w:div w:id="1174806407">
      <w:bodyDiv w:val="1"/>
      <w:marLeft w:val="0"/>
      <w:marRight w:val="0"/>
      <w:marTop w:val="0"/>
      <w:marBottom w:val="0"/>
      <w:divBdr>
        <w:top w:val="none" w:sz="0" w:space="0" w:color="auto"/>
        <w:left w:val="none" w:sz="0" w:space="0" w:color="auto"/>
        <w:bottom w:val="none" w:sz="0" w:space="0" w:color="auto"/>
        <w:right w:val="none" w:sz="0" w:space="0" w:color="auto"/>
      </w:divBdr>
    </w:div>
    <w:div w:id="1176072375">
      <w:bodyDiv w:val="1"/>
      <w:marLeft w:val="0"/>
      <w:marRight w:val="0"/>
      <w:marTop w:val="0"/>
      <w:marBottom w:val="0"/>
      <w:divBdr>
        <w:top w:val="none" w:sz="0" w:space="0" w:color="auto"/>
        <w:left w:val="none" w:sz="0" w:space="0" w:color="auto"/>
        <w:bottom w:val="none" w:sz="0" w:space="0" w:color="auto"/>
        <w:right w:val="none" w:sz="0" w:space="0" w:color="auto"/>
      </w:divBdr>
    </w:div>
    <w:div w:id="1176962136">
      <w:bodyDiv w:val="1"/>
      <w:marLeft w:val="0"/>
      <w:marRight w:val="0"/>
      <w:marTop w:val="0"/>
      <w:marBottom w:val="0"/>
      <w:divBdr>
        <w:top w:val="none" w:sz="0" w:space="0" w:color="auto"/>
        <w:left w:val="none" w:sz="0" w:space="0" w:color="auto"/>
        <w:bottom w:val="none" w:sz="0" w:space="0" w:color="auto"/>
        <w:right w:val="none" w:sz="0" w:space="0" w:color="auto"/>
      </w:divBdr>
    </w:div>
    <w:div w:id="1177041313">
      <w:bodyDiv w:val="1"/>
      <w:marLeft w:val="0"/>
      <w:marRight w:val="0"/>
      <w:marTop w:val="0"/>
      <w:marBottom w:val="0"/>
      <w:divBdr>
        <w:top w:val="none" w:sz="0" w:space="0" w:color="auto"/>
        <w:left w:val="none" w:sz="0" w:space="0" w:color="auto"/>
        <w:bottom w:val="none" w:sz="0" w:space="0" w:color="auto"/>
        <w:right w:val="none" w:sz="0" w:space="0" w:color="auto"/>
      </w:divBdr>
    </w:div>
    <w:div w:id="1177116451">
      <w:bodyDiv w:val="1"/>
      <w:marLeft w:val="0"/>
      <w:marRight w:val="0"/>
      <w:marTop w:val="0"/>
      <w:marBottom w:val="0"/>
      <w:divBdr>
        <w:top w:val="none" w:sz="0" w:space="0" w:color="auto"/>
        <w:left w:val="none" w:sz="0" w:space="0" w:color="auto"/>
        <w:bottom w:val="none" w:sz="0" w:space="0" w:color="auto"/>
        <w:right w:val="none" w:sz="0" w:space="0" w:color="auto"/>
      </w:divBdr>
    </w:div>
    <w:div w:id="1178272607">
      <w:bodyDiv w:val="1"/>
      <w:marLeft w:val="0"/>
      <w:marRight w:val="0"/>
      <w:marTop w:val="0"/>
      <w:marBottom w:val="0"/>
      <w:divBdr>
        <w:top w:val="none" w:sz="0" w:space="0" w:color="auto"/>
        <w:left w:val="none" w:sz="0" w:space="0" w:color="auto"/>
        <w:bottom w:val="none" w:sz="0" w:space="0" w:color="auto"/>
        <w:right w:val="none" w:sz="0" w:space="0" w:color="auto"/>
      </w:divBdr>
    </w:div>
    <w:div w:id="1179730511">
      <w:bodyDiv w:val="1"/>
      <w:marLeft w:val="0"/>
      <w:marRight w:val="0"/>
      <w:marTop w:val="0"/>
      <w:marBottom w:val="0"/>
      <w:divBdr>
        <w:top w:val="none" w:sz="0" w:space="0" w:color="auto"/>
        <w:left w:val="none" w:sz="0" w:space="0" w:color="auto"/>
        <w:bottom w:val="none" w:sz="0" w:space="0" w:color="auto"/>
        <w:right w:val="none" w:sz="0" w:space="0" w:color="auto"/>
      </w:divBdr>
    </w:div>
    <w:div w:id="1180124942">
      <w:bodyDiv w:val="1"/>
      <w:marLeft w:val="0"/>
      <w:marRight w:val="0"/>
      <w:marTop w:val="0"/>
      <w:marBottom w:val="0"/>
      <w:divBdr>
        <w:top w:val="none" w:sz="0" w:space="0" w:color="auto"/>
        <w:left w:val="none" w:sz="0" w:space="0" w:color="auto"/>
        <w:bottom w:val="none" w:sz="0" w:space="0" w:color="auto"/>
        <w:right w:val="none" w:sz="0" w:space="0" w:color="auto"/>
      </w:divBdr>
    </w:div>
    <w:div w:id="1180240202">
      <w:bodyDiv w:val="1"/>
      <w:marLeft w:val="0"/>
      <w:marRight w:val="0"/>
      <w:marTop w:val="0"/>
      <w:marBottom w:val="0"/>
      <w:divBdr>
        <w:top w:val="none" w:sz="0" w:space="0" w:color="auto"/>
        <w:left w:val="none" w:sz="0" w:space="0" w:color="auto"/>
        <w:bottom w:val="none" w:sz="0" w:space="0" w:color="auto"/>
        <w:right w:val="none" w:sz="0" w:space="0" w:color="auto"/>
      </w:divBdr>
    </w:div>
    <w:div w:id="1180394223">
      <w:bodyDiv w:val="1"/>
      <w:marLeft w:val="0"/>
      <w:marRight w:val="0"/>
      <w:marTop w:val="0"/>
      <w:marBottom w:val="0"/>
      <w:divBdr>
        <w:top w:val="none" w:sz="0" w:space="0" w:color="auto"/>
        <w:left w:val="none" w:sz="0" w:space="0" w:color="auto"/>
        <w:bottom w:val="none" w:sz="0" w:space="0" w:color="auto"/>
        <w:right w:val="none" w:sz="0" w:space="0" w:color="auto"/>
      </w:divBdr>
    </w:div>
    <w:div w:id="1181117702">
      <w:bodyDiv w:val="1"/>
      <w:marLeft w:val="0"/>
      <w:marRight w:val="0"/>
      <w:marTop w:val="0"/>
      <w:marBottom w:val="0"/>
      <w:divBdr>
        <w:top w:val="none" w:sz="0" w:space="0" w:color="auto"/>
        <w:left w:val="none" w:sz="0" w:space="0" w:color="auto"/>
        <w:bottom w:val="none" w:sz="0" w:space="0" w:color="auto"/>
        <w:right w:val="none" w:sz="0" w:space="0" w:color="auto"/>
      </w:divBdr>
    </w:div>
    <w:div w:id="1184974429">
      <w:bodyDiv w:val="1"/>
      <w:marLeft w:val="0"/>
      <w:marRight w:val="0"/>
      <w:marTop w:val="0"/>
      <w:marBottom w:val="0"/>
      <w:divBdr>
        <w:top w:val="none" w:sz="0" w:space="0" w:color="auto"/>
        <w:left w:val="none" w:sz="0" w:space="0" w:color="auto"/>
        <w:bottom w:val="none" w:sz="0" w:space="0" w:color="auto"/>
        <w:right w:val="none" w:sz="0" w:space="0" w:color="auto"/>
      </w:divBdr>
    </w:div>
    <w:div w:id="1185750852">
      <w:bodyDiv w:val="1"/>
      <w:marLeft w:val="0"/>
      <w:marRight w:val="0"/>
      <w:marTop w:val="0"/>
      <w:marBottom w:val="0"/>
      <w:divBdr>
        <w:top w:val="none" w:sz="0" w:space="0" w:color="auto"/>
        <w:left w:val="none" w:sz="0" w:space="0" w:color="auto"/>
        <w:bottom w:val="none" w:sz="0" w:space="0" w:color="auto"/>
        <w:right w:val="none" w:sz="0" w:space="0" w:color="auto"/>
      </w:divBdr>
    </w:div>
    <w:div w:id="1190603726">
      <w:bodyDiv w:val="1"/>
      <w:marLeft w:val="0"/>
      <w:marRight w:val="0"/>
      <w:marTop w:val="0"/>
      <w:marBottom w:val="0"/>
      <w:divBdr>
        <w:top w:val="none" w:sz="0" w:space="0" w:color="auto"/>
        <w:left w:val="none" w:sz="0" w:space="0" w:color="auto"/>
        <w:bottom w:val="none" w:sz="0" w:space="0" w:color="auto"/>
        <w:right w:val="none" w:sz="0" w:space="0" w:color="auto"/>
      </w:divBdr>
    </w:div>
    <w:div w:id="1191188723">
      <w:bodyDiv w:val="1"/>
      <w:marLeft w:val="0"/>
      <w:marRight w:val="0"/>
      <w:marTop w:val="0"/>
      <w:marBottom w:val="0"/>
      <w:divBdr>
        <w:top w:val="none" w:sz="0" w:space="0" w:color="auto"/>
        <w:left w:val="none" w:sz="0" w:space="0" w:color="auto"/>
        <w:bottom w:val="none" w:sz="0" w:space="0" w:color="auto"/>
        <w:right w:val="none" w:sz="0" w:space="0" w:color="auto"/>
      </w:divBdr>
    </w:div>
    <w:div w:id="1191332794">
      <w:bodyDiv w:val="1"/>
      <w:marLeft w:val="0"/>
      <w:marRight w:val="0"/>
      <w:marTop w:val="0"/>
      <w:marBottom w:val="0"/>
      <w:divBdr>
        <w:top w:val="none" w:sz="0" w:space="0" w:color="auto"/>
        <w:left w:val="none" w:sz="0" w:space="0" w:color="auto"/>
        <w:bottom w:val="none" w:sz="0" w:space="0" w:color="auto"/>
        <w:right w:val="none" w:sz="0" w:space="0" w:color="auto"/>
      </w:divBdr>
    </w:div>
    <w:div w:id="1192256730">
      <w:bodyDiv w:val="1"/>
      <w:marLeft w:val="0"/>
      <w:marRight w:val="0"/>
      <w:marTop w:val="0"/>
      <w:marBottom w:val="0"/>
      <w:divBdr>
        <w:top w:val="none" w:sz="0" w:space="0" w:color="auto"/>
        <w:left w:val="none" w:sz="0" w:space="0" w:color="auto"/>
        <w:bottom w:val="none" w:sz="0" w:space="0" w:color="auto"/>
        <w:right w:val="none" w:sz="0" w:space="0" w:color="auto"/>
      </w:divBdr>
    </w:div>
    <w:div w:id="1194151847">
      <w:bodyDiv w:val="1"/>
      <w:marLeft w:val="0"/>
      <w:marRight w:val="0"/>
      <w:marTop w:val="0"/>
      <w:marBottom w:val="0"/>
      <w:divBdr>
        <w:top w:val="none" w:sz="0" w:space="0" w:color="auto"/>
        <w:left w:val="none" w:sz="0" w:space="0" w:color="auto"/>
        <w:bottom w:val="none" w:sz="0" w:space="0" w:color="auto"/>
        <w:right w:val="none" w:sz="0" w:space="0" w:color="auto"/>
      </w:divBdr>
    </w:div>
    <w:div w:id="1194223434">
      <w:bodyDiv w:val="1"/>
      <w:marLeft w:val="0"/>
      <w:marRight w:val="0"/>
      <w:marTop w:val="0"/>
      <w:marBottom w:val="0"/>
      <w:divBdr>
        <w:top w:val="none" w:sz="0" w:space="0" w:color="auto"/>
        <w:left w:val="none" w:sz="0" w:space="0" w:color="auto"/>
        <w:bottom w:val="none" w:sz="0" w:space="0" w:color="auto"/>
        <w:right w:val="none" w:sz="0" w:space="0" w:color="auto"/>
      </w:divBdr>
    </w:div>
    <w:div w:id="1194922409">
      <w:bodyDiv w:val="1"/>
      <w:marLeft w:val="0"/>
      <w:marRight w:val="0"/>
      <w:marTop w:val="0"/>
      <w:marBottom w:val="0"/>
      <w:divBdr>
        <w:top w:val="none" w:sz="0" w:space="0" w:color="auto"/>
        <w:left w:val="none" w:sz="0" w:space="0" w:color="auto"/>
        <w:bottom w:val="none" w:sz="0" w:space="0" w:color="auto"/>
        <w:right w:val="none" w:sz="0" w:space="0" w:color="auto"/>
      </w:divBdr>
    </w:div>
    <w:div w:id="1194922584">
      <w:bodyDiv w:val="1"/>
      <w:marLeft w:val="0"/>
      <w:marRight w:val="0"/>
      <w:marTop w:val="0"/>
      <w:marBottom w:val="0"/>
      <w:divBdr>
        <w:top w:val="none" w:sz="0" w:space="0" w:color="auto"/>
        <w:left w:val="none" w:sz="0" w:space="0" w:color="auto"/>
        <w:bottom w:val="none" w:sz="0" w:space="0" w:color="auto"/>
        <w:right w:val="none" w:sz="0" w:space="0" w:color="auto"/>
      </w:divBdr>
    </w:div>
    <w:div w:id="1195997215">
      <w:bodyDiv w:val="1"/>
      <w:marLeft w:val="0"/>
      <w:marRight w:val="0"/>
      <w:marTop w:val="0"/>
      <w:marBottom w:val="0"/>
      <w:divBdr>
        <w:top w:val="none" w:sz="0" w:space="0" w:color="auto"/>
        <w:left w:val="none" w:sz="0" w:space="0" w:color="auto"/>
        <w:bottom w:val="none" w:sz="0" w:space="0" w:color="auto"/>
        <w:right w:val="none" w:sz="0" w:space="0" w:color="auto"/>
      </w:divBdr>
    </w:div>
    <w:div w:id="1196232324">
      <w:bodyDiv w:val="1"/>
      <w:marLeft w:val="0"/>
      <w:marRight w:val="0"/>
      <w:marTop w:val="0"/>
      <w:marBottom w:val="0"/>
      <w:divBdr>
        <w:top w:val="none" w:sz="0" w:space="0" w:color="auto"/>
        <w:left w:val="none" w:sz="0" w:space="0" w:color="auto"/>
        <w:bottom w:val="none" w:sz="0" w:space="0" w:color="auto"/>
        <w:right w:val="none" w:sz="0" w:space="0" w:color="auto"/>
      </w:divBdr>
    </w:div>
    <w:div w:id="1196306913">
      <w:bodyDiv w:val="1"/>
      <w:marLeft w:val="0"/>
      <w:marRight w:val="0"/>
      <w:marTop w:val="0"/>
      <w:marBottom w:val="0"/>
      <w:divBdr>
        <w:top w:val="none" w:sz="0" w:space="0" w:color="auto"/>
        <w:left w:val="none" w:sz="0" w:space="0" w:color="auto"/>
        <w:bottom w:val="none" w:sz="0" w:space="0" w:color="auto"/>
        <w:right w:val="none" w:sz="0" w:space="0" w:color="auto"/>
      </w:divBdr>
    </w:div>
    <w:div w:id="1196389718">
      <w:bodyDiv w:val="1"/>
      <w:marLeft w:val="0"/>
      <w:marRight w:val="0"/>
      <w:marTop w:val="0"/>
      <w:marBottom w:val="0"/>
      <w:divBdr>
        <w:top w:val="none" w:sz="0" w:space="0" w:color="auto"/>
        <w:left w:val="none" w:sz="0" w:space="0" w:color="auto"/>
        <w:bottom w:val="none" w:sz="0" w:space="0" w:color="auto"/>
        <w:right w:val="none" w:sz="0" w:space="0" w:color="auto"/>
      </w:divBdr>
    </w:div>
    <w:div w:id="1196498935">
      <w:bodyDiv w:val="1"/>
      <w:marLeft w:val="0"/>
      <w:marRight w:val="0"/>
      <w:marTop w:val="0"/>
      <w:marBottom w:val="0"/>
      <w:divBdr>
        <w:top w:val="none" w:sz="0" w:space="0" w:color="auto"/>
        <w:left w:val="none" w:sz="0" w:space="0" w:color="auto"/>
        <w:bottom w:val="none" w:sz="0" w:space="0" w:color="auto"/>
        <w:right w:val="none" w:sz="0" w:space="0" w:color="auto"/>
      </w:divBdr>
    </w:div>
    <w:div w:id="1196850046">
      <w:bodyDiv w:val="1"/>
      <w:marLeft w:val="0"/>
      <w:marRight w:val="0"/>
      <w:marTop w:val="0"/>
      <w:marBottom w:val="0"/>
      <w:divBdr>
        <w:top w:val="none" w:sz="0" w:space="0" w:color="auto"/>
        <w:left w:val="none" w:sz="0" w:space="0" w:color="auto"/>
        <w:bottom w:val="none" w:sz="0" w:space="0" w:color="auto"/>
        <w:right w:val="none" w:sz="0" w:space="0" w:color="auto"/>
      </w:divBdr>
    </w:div>
    <w:div w:id="1203400176">
      <w:bodyDiv w:val="1"/>
      <w:marLeft w:val="0"/>
      <w:marRight w:val="0"/>
      <w:marTop w:val="0"/>
      <w:marBottom w:val="0"/>
      <w:divBdr>
        <w:top w:val="none" w:sz="0" w:space="0" w:color="auto"/>
        <w:left w:val="none" w:sz="0" w:space="0" w:color="auto"/>
        <w:bottom w:val="none" w:sz="0" w:space="0" w:color="auto"/>
        <w:right w:val="none" w:sz="0" w:space="0" w:color="auto"/>
      </w:divBdr>
    </w:div>
    <w:div w:id="1203706628">
      <w:bodyDiv w:val="1"/>
      <w:marLeft w:val="0"/>
      <w:marRight w:val="0"/>
      <w:marTop w:val="0"/>
      <w:marBottom w:val="0"/>
      <w:divBdr>
        <w:top w:val="none" w:sz="0" w:space="0" w:color="auto"/>
        <w:left w:val="none" w:sz="0" w:space="0" w:color="auto"/>
        <w:bottom w:val="none" w:sz="0" w:space="0" w:color="auto"/>
        <w:right w:val="none" w:sz="0" w:space="0" w:color="auto"/>
      </w:divBdr>
    </w:div>
    <w:div w:id="1203831889">
      <w:bodyDiv w:val="1"/>
      <w:marLeft w:val="0"/>
      <w:marRight w:val="0"/>
      <w:marTop w:val="0"/>
      <w:marBottom w:val="0"/>
      <w:divBdr>
        <w:top w:val="none" w:sz="0" w:space="0" w:color="auto"/>
        <w:left w:val="none" w:sz="0" w:space="0" w:color="auto"/>
        <w:bottom w:val="none" w:sz="0" w:space="0" w:color="auto"/>
        <w:right w:val="none" w:sz="0" w:space="0" w:color="auto"/>
      </w:divBdr>
    </w:div>
    <w:div w:id="1204295442">
      <w:bodyDiv w:val="1"/>
      <w:marLeft w:val="0"/>
      <w:marRight w:val="0"/>
      <w:marTop w:val="0"/>
      <w:marBottom w:val="0"/>
      <w:divBdr>
        <w:top w:val="none" w:sz="0" w:space="0" w:color="auto"/>
        <w:left w:val="none" w:sz="0" w:space="0" w:color="auto"/>
        <w:bottom w:val="none" w:sz="0" w:space="0" w:color="auto"/>
        <w:right w:val="none" w:sz="0" w:space="0" w:color="auto"/>
      </w:divBdr>
    </w:div>
    <w:div w:id="1205143859">
      <w:bodyDiv w:val="1"/>
      <w:marLeft w:val="0"/>
      <w:marRight w:val="0"/>
      <w:marTop w:val="0"/>
      <w:marBottom w:val="0"/>
      <w:divBdr>
        <w:top w:val="none" w:sz="0" w:space="0" w:color="auto"/>
        <w:left w:val="none" w:sz="0" w:space="0" w:color="auto"/>
        <w:bottom w:val="none" w:sz="0" w:space="0" w:color="auto"/>
        <w:right w:val="none" w:sz="0" w:space="0" w:color="auto"/>
      </w:divBdr>
    </w:div>
    <w:div w:id="1205211841">
      <w:bodyDiv w:val="1"/>
      <w:marLeft w:val="0"/>
      <w:marRight w:val="0"/>
      <w:marTop w:val="0"/>
      <w:marBottom w:val="0"/>
      <w:divBdr>
        <w:top w:val="none" w:sz="0" w:space="0" w:color="auto"/>
        <w:left w:val="none" w:sz="0" w:space="0" w:color="auto"/>
        <w:bottom w:val="none" w:sz="0" w:space="0" w:color="auto"/>
        <w:right w:val="none" w:sz="0" w:space="0" w:color="auto"/>
      </w:divBdr>
    </w:div>
    <w:div w:id="1208297018">
      <w:bodyDiv w:val="1"/>
      <w:marLeft w:val="0"/>
      <w:marRight w:val="0"/>
      <w:marTop w:val="0"/>
      <w:marBottom w:val="0"/>
      <w:divBdr>
        <w:top w:val="none" w:sz="0" w:space="0" w:color="auto"/>
        <w:left w:val="none" w:sz="0" w:space="0" w:color="auto"/>
        <w:bottom w:val="none" w:sz="0" w:space="0" w:color="auto"/>
        <w:right w:val="none" w:sz="0" w:space="0" w:color="auto"/>
      </w:divBdr>
    </w:div>
    <w:div w:id="1209490567">
      <w:bodyDiv w:val="1"/>
      <w:marLeft w:val="0"/>
      <w:marRight w:val="0"/>
      <w:marTop w:val="0"/>
      <w:marBottom w:val="0"/>
      <w:divBdr>
        <w:top w:val="none" w:sz="0" w:space="0" w:color="auto"/>
        <w:left w:val="none" w:sz="0" w:space="0" w:color="auto"/>
        <w:bottom w:val="none" w:sz="0" w:space="0" w:color="auto"/>
        <w:right w:val="none" w:sz="0" w:space="0" w:color="auto"/>
      </w:divBdr>
    </w:div>
    <w:div w:id="1209493785">
      <w:bodyDiv w:val="1"/>
      <w:marLeft w:val="0"/>
      <w:marRight w:val="0"/>
      <w:marTop w:val="0"/>
      <w:marBottom w:val="0"/>
      <w:divBdr>
        <w:top w:val="none" w:sz="0" w:space="0" w:color="auto"/>
        <w:left w:val="none" w:sz="0" w:space="0" w:color="auto"/>
        <w:bottom w:val="none" w:sz="0" w:space="0" w:color="auto"/>
        <w:right w:val="none" w:sz="0" w:space="0" w:color="auto"/>
      </w:divBdr>
    </w:div>
    <w:div w:id="1209562243">
      <w:bodyDiv w:val="1"/>
      <w:marLeft w:val="0"/>
      <w:marRight w:val="0"/>
      <w:marTop w:val="0"/>
      <w:marBottom w:val="0"/>
      <w:divBdr>
        <w:top w:val="none" w:sz="0" w:space="0" w:color="auto"/>
        <w:left w:val="none" w:sz="0" w:space="0" w:color="auto"/>
        <w:bottom w:val="none" w:sz="0" w:space="0" w:color="auto"/>
        <w:right w:val="none" w:sz="0" w:space="0" w:color="auto"/>
      </w:divBdr>
    </w:div>
    <w:div w:id="1211917815">
      <w:bodyDiv w:val="1"/>
      <w:marLeft w:val="0"/>
      <w:marRight w:val="0"/>
      <w:marTop w:val="0"/>
      <w:marBottom w:val="0"/>
      <w:divBdr>
        <w:top w:val="none" w:sz="0" w:space="0" w:color="auto"/>
        <w:left w:val="none" w:sz="0" w:space="0" w:color="auto"/>
        <w:bottom w:val="none" w:sz="0" w:space="0" w:color="auto"/>
        <w:right w:val="none" w:sz="0" w:space="0" w:color="auto"/>
      </w:divBdr>
    </w:div>
    <w:div w:id="1213419004">
      <w:bodyDiv w:val="1"/>
      <w:marLeft w:val="0"/>
      <w:marRight w:val="0"/>
      <w:marTop w:val="0"/>
      <w:marBottom w:val="0"/>
      <w:divBdr>
        <w:top w:val="none" w:sz="0" w:space="0" w:color="auto"/>
        <w:left w:val="none" w:sz="0" w:space="0" w:color="auto"/>
        <w:bottom w:val="none" w:sz="0" w:space="0" w:color="auto"/>
        <w:right w:val="none" w:sz="0" w:space="0" w:color="auto"/>
      </w:divBdr>
    </w:div>
    <w:div w:id="1213882889">
      <w:bodyDiv w:val="1"/>
      <w:marLeft w:val="0"/>
      <w:marRight w:val="0"/>
      <w:marTop w:val="0"/>
      <w:marBottom w:val="0"/>
      <w:divBdr>
        <w:top w:val="none" w:sz="0" w:space="0" w:color="auto"/>
        <w:left w:val="none" w:sz="0" w:space="0" w:color="auto"/>
        <w:bottom w:val="none" w:sz="0" w:space="0" w:color="auto"/>
        <w:right w:val="none" w:sz="0" w:space="0" w:color="auto"/>
      </w:divBdr>
    </w:div>
    <w:div w:id="1214539573">
      <w:bodyDiv w:val="1"/>
      <w:marLeft w:val="0"/>
      <w:marRight w:val="0"/>
      <w:marTop w:val="0"/>
      <w:marBottom w:val="0"/>
      <w:divBdr>
        <w:top w:val="none" w:sz="0" w:space="0" w:color="auto"/>
        <w:left w:val="none" w:sz="0" w:space="0" w:color="auto"/>
        <w:bottom w:val="none" w:sz="0" w:space="0" w:color="auto"/>
        <w:right w:val="none" w:sz="0" w:space="0" w:color="auto"/>
      </w:divBdr>
    </w:div>
    <w:div w:id="1215193829">
      <w:bodyDiv w:val="1"/>
      <w:marLeft w:val="0"/>
      <w:marRight w:val="0"/>
      <w:marTop w:val="0"/>
      <w:marBottom w:val="0"/>
      <w:divBdr>
        <w:top w:val="none" w:sz="0" w:space="0" w:color="auto"/>
        <w:left w:val="none" w:sz="0" w:space="0" w:color="auto"/>
        <w:bottom w:val="none" w:sz="0" w:space="0" w:color="auto"/>
        <w:right w:val="none" w:sz="0" w:space="0" w:color="auto"/>
      </w:divBdr>
    </w:div>
    <w:div w:id="1215659947">
      <w:bodyDiv w:val="1"/>
      <w:marLeft w:val="0"/>
      <w:marRight w:val="0"/>
      <w:marTop w:val="0"/>
      <w:marBottom w:val="0"/>
      <w:divBdr>
        <w:top w:val="none" w:sz="0" w:space="0" w:color="auto"/>
        <w:left w:val="none" w:sz="0" w:space="0" w:color="auto"/>
        <w:bottom w:val="none" w:sz="0" w:space="0" w:color="auto"/>
        <w:right w:val="none" w:sz="0" w:space="0" w:color="auto"/>
      </w:divBdr>
    </w:div>
    <w:div w:id="1216506695">
      <w:bodyDiv w:val="1"/>
      <w:marLeft w:val="0"/>
      <w:marRight w:val="0"/>
      <w:marTop w:val="0"/>
      <w:marBottom w:val="0"/>
      <w:divBdr>
        <w:top w:val="none" w:sz="0" w:space="0" w:color="auto"/>
        <w:left w:val="none" w:sz="0" w:space="0" w:color="auto"/>
        <w:bottom w:val="none" w:sz="0" w:space="0" w:color="auto"/>
        <w:right w:val="none" w:sz="0" w:space="0" w:color="auto"/>
      </w:divBdr>
    </w:div>
    <w:div w:id="1218127106">
      <w:bodyDiv w:val="1"/>
      <w:marLeft w:val="0"/>
      <w:marRight w:val="0"/>
      <w:marTop w:val="0"/>
      <w:marBottom w:val="0"/>
      <w:divBdr>
        <w:top w:val="none" w:sz="0" w:space="0" w:color="auto"/>
        <w:left w:val="none" w:sz="0" w:space="0" w:color="auto"/>
        <w:bottom w:val="none" w:sz="0" w:space="0" w:color="auto"/>
        <w:right w:val="none" w:sz="0" w:space="0" w:color="auto"/>
      </w:divBdr>
    </w:div>
    <w:div w:id="1219323277">
      <w:bodyDiv w:val="1"/>
      <w:marLeft w:val="0"/>
      <w:marRight w:val="0"/>
      <w:marTop w:val="0"/>
      <w:marBottom w:val="0"/>
      <w:divBdr>
        <w:top w:val="none" w:sz="0" w:space="0" w:color="auto"/>
        <w:left w:val="none" w:sz="0" w:space="0" w:color="auto"/>
        <w:bottom w:val="none" w:sz="0" w:space="0" w:color="auto"/>
        <w:right w:val="none" w:sz="0" w:space="0" w:color="auto"/>
      </w:divBdr>
    </w:div>
    <w:div w:id="1220439811">
      <w:bodyDiv w:val="1"/>
      <w:marLeft w:val="0"/>
      <w:marRight w:val="0"/>
      <w:marTop w:val="0"/>
      <w:marBottom w:val="0"/>
      <w:divBdr>
        <w:top w:val="none" w:sz="0" w:space="0" w:color="auto"/>
        <w:left w:val="none" w:sz="0" w:space="0" w:color="auto"/>
        <w:bottom w:val="none" w:sz="0" w:space="0" w:color="auto"/>
        <w:right w:val="none" w:sz="0" w:space="0" w:color="auto"/>
      </w:divBdr>
    </w:div>
    <w:div w:id="1220704597">
      <w:bodyDiv w:val="1"/>
      <w:marLeft w:val="0"/>
      <w:marRight w:val="0"/>
      <w:marTop w:val="0"/>
      <w:marBottom w:val="0"/>
      <w:divBdr>
        <w:top w:val="none" w:sz="0" w:space="0" w:color="auto"/>
        <w:left w:val="none" w:sz="0" w:space="0" w:color="auto"/>
        <w:bottom w:val="none" w:sz="0" w:space="0" w:color="auto"/>
        <w:right w:val="none" w:sz="0" w:space="0" w:color="auto"/>
      </w:divBdr>
    </w:div>
    <w:div w:id="1221864453">
      <w:bodyDiv w:val="1"/>
      <w:marLeft w:val="0"/>
      <w:marRight w:val="0"/>
      <w:marTop w:val="0"/>
      <w:marBottom w:val="0"/>
      <w:divBdr>
        <w:top w:val="none" w:sz="0" w:space="0" w:color="auto"/>
        <w:left w:val="none" w:sz="0" w:space="0" w:color="auto"/>
        <w:bottom w:val="none" w:sz="0" w:space="0" w:color="auto"/>
        <w:right w:val="none" w:sz="0" w:space="0" w:color="auto"/>
      </w:divBdr>
    </w:div>
    <w:div w:id="1222600827">
      <w:bodyDiv w:val="1"/>
      <w:marLeft w:val="0"/>
      <w:marRight w:val="0"/>
      <w:marTop w:val="0"/>
      <w:marBottom w:val="0"/>
      <w:divBdr>
        <w:top w:val="none" w:sz="0" w:space="0" w:color="auto"/>
        <w:left w:val="none" w:sz="0" w:space="0" w:color="auto"/>
        <w:bottom w:val="none" w:sz="0" w:space="0" w:color="auto"/>
        <w:right w:val="none" w:sz="0" w:space="0" w:color="auto"/>
      </w:divBdr>
    </w:div>
    <w:div w:id="1223101668">
      <w:bodyDiv w:val="1"/>
      <w:marLeft w:val="0"/>
      <w:marRight w:val="0"/>
      <w:marTop w:val="0"/>
      <w:marBottom w:val="0"/>
      <w:divBdr>
        <w:top w:val="none" w:sz="0" w:space="0" w:color="auto"/>
        <w:left w:val="none" w:sz="0" w:space="0" w:color="auto"/>
        <w:bottom w:val="none" w:sz="0" w:space="0" w:color="auto"/>
        <w:right w:val="none" w:sz="0" w:space="0" w:color="auto"/>
      </w:divBdr>
    </w:div>
    <w:div w:id="1223520323">
      <w:bodyDiv w:val="1"/>
      <w:marLeft w:val="0"/>
      <w:marRight w:val="0"/>
      <w:marTop w:val="0"/>
      <w:marBottom w:val="0"/>
      <w:divBdr>
        <w:top w:val="none" w:sz="0" w:space="0" w:color="auto"/>
        <w:left w:val="none" w:sz="0" w:space="0" w:color="auto"/>
        <w:bottom w:val="none" w:sz="0" w:space="0" w:color="auto"/>
        <w:right w:val="none" w:sz="0" w:space="0" w:color="auto"/>
      </w:divBdr>
    </w:div>
    <w:div w:id="1226182249">
      <w:bodyDiv w:val="1"/>
      <w:marLeft w:val="0"/>
      <w:marRight w:val="0"/>
      <w:marTop w:val="0"/>
      <w:marBottom w:val="0"/>
      <w:divBdr>
        <w:top w:val="none" w:sz="0" w:space="0" w:color="auto"/>
        <w:left w:val="none" w:sz="0" w:space="0" w:color="auto"/>
        <w:bottom w:val="none" w:sz="0" w:space="0" w:color="auto"/>
        <w:right w:val="none" w:sz="0" w:space="0" w:color="auto"/>
      </w:divBdr>
    </w:div>
    <w:div w:id="1226914312">
      <w:bodyDiv w:val="1"/>
      <w:marLeft w:val="0"/>
      <w:marRight w:val="0"/>
      <w:marTop w:val="0"/>
      <w:marBottom w:val="0"/>
      <w:divBdr>
        <w:top w:val="none" w:sz="0" w:space="0" w:color="auto"/>
        <w:left w:val="none" w:sz="0" w:space="0" w:color="auto"/>
        <w:bottom w:val="none" w:sz="0" w:space="0" w:color="auto"/>
        <w:right w:val="none" w:sz="0" w:space="0" w:color="auto"/>
      </w:divBdr>
    </w:div>
    <w:div w:id="1226985809">
      <w:bodyDiv w:val="1"/>
      <w:marLeft w:val="0"/>
      <w:marRight w:val="0"/>
      <w:marTop w:val="0"/>
      <w:marBottom w:val="0"/>
      <w:divBdr>
        <w:top w:val="none" w:sz="0" w:space="0" w:color="auto"/>
        <w:left w:val="none" w:sz="0" w:space="0" w:color="auto"/>
        <w:bottom w:val="none" w:sz="0" w:space="0" w:color="auto"/>
        <w:right w:val="none" w:sz="0" w:space="0" w:color="auto"/>
      </w:divBdr>
    </w:div>
    <w:div w:id="1227911752">
      <w:bodyDiv w:val="1"/>
      <w:marLeft w:val="0"/>
      <w:marRight w:val="0"/>
      <w:marTop w:val="0"/>
      <w:marBottom w:val="0"/>
      <w:divBdr>
        <w:top w:val="none" w:sz="0" w:space="0" w:color="auto"/>
        <w:left w:val="none" w:sz="0" w:space="0" w:color="auto"/>
        <w:bottom w:val="none" w:sz="0" w:space="0" w:color="auto"/>
        <w:right w:val="none" w:sz="0" w:space="0" w:color="auto"/>
      </w:divBdr>
    </w:div>
    <w:div w:id="1228151204">
      <w:bodyDiv w:val="1"/>
      <w:marLeft w:val="0"/>
      <w:marRight w:val="0"/>
      <w:marTop w:val="0"/>
      <w:marBottom w:val="0"/>
      <w:divBdr>
        <w:top w:val="none" w:sz="0" w:space="0" w:color="auto"/>
        <w:left w:val="none" w:sz="0" w:space="0" w:color="auto"/>
        <w:bottom w:val="none" w:sz="0" w:space="0" w:color="auto"/>
        <w:right w:val="none" w:sz="0" w:space="0" w:color="auto"/>
      </w:divBdr>
    </w:div>
    <w:div w:id="1229267302">
      <w:bodyDiv w:val="1"/>
      <w:marLeft w:val="0"/>
      <w:marRight w:val="0"/>
      <w:marTop w:val="0"/>
      <w:marBottom w:val="0"/>
      <w:divBdr>
        <w:top w:val="none" w:sz="0" w:space="0" w:color="auto"/>
        <w:left w:val="none" w:sz="0" w:space="0" w:color="auto"/>
        <w:bottom w:val="none" w:sz="0" w:space="0" w:color="auto"/>
        <w:right w:val="none" w:sz="0" w:space="0" w:color="auto"/>
      </w:divBdr>
    </w:div>
    <w:div w:id="1229456840">
      <w:bodyDiv w:val="1"/>
      <w:marLeft w:val="0"/>
      <w:marRight w:val="0"/>
      <w:marTop w:val="0"/>
      <w:marBottom w:val="0"/>
      <w:divBdr>
        <w:top w:val="none" w:sz="0" w:space="0" w:color="auto"/>
        <w:left w:val="none" w:sz="0" w:space="0" w:color="auto"/>
        <w:bottom w:val="none" w:sz="0" w:space="0" w:color="auto"/>
        <w:right w:val="none" w:sz="0" w:space="0" w:color="auto"/>
      </w:divBdr>
    </w:div>
    <w:div w:id="1230191553">
      <w:bodyDiv w:val="1"/>
      <w:marLeft w:val="0"/>
      <w:marRight w:val="0"/>
      <w:marTop w:val="0"/>
      <w:marBottom w:val="0"/>
      <w:divBdr>
        <w:top w:val="none" w:sz="0" w:space="0" w:color="auto"/>
        <w:left w:val="none" w:sz="0" w:space="0" w:color="auto"/>
        <w:bottom w:val="none" w:sz="0" w:space="0" w:color="auto"/>
        <w:right w:val="none" w:sz="0" w:space="0" w:color="auto"/>
      </w:divBdr>
    </w:div>
    <w:div w:id="1230918244">
      <w:bodyDiv w:val="1"/>
      <w:marLeft w:val="0"/>
      <w:marRight w:val="0"/>
      <w:marTop w:val="0"/>
      <w:marBottom w:val="0"/>
      <w:divBdr>
        <w:top w:val="none" w:sz="0" w:space="0" w:color="auto"/>
        <w:left w:val="none" w:sz="0" w:space="0" w:color="auto"/>
        <w:bottom w:val="none" w:sz="0" w:space="0" w:color="auto"/>
        <w:right w:val="none" w:sz="0" w:space="0" w:color="auto"/>
      </w:divBdr>
    </w:div>
    <w:div w:id="1231649099">
      <w:bodyDiv w:val="1"/>
      <w:marLeft w:val="0"/>
      <w:marRight w:val="0"/>
      <w:marTop w:val="0"/>
      <w:marBottom w:val="0"/>
      <w:divBdr>
        <w:top w:val="none" w:sz="0" w:space="0" w:color="auto"/>
        <w:left w:val="none" w:sz="0" w:space="0" w:color="auto"/>
        <w:bottom w:val="none" w:sz="0" w:space="0" w:color="auto"/>
        <w:right w:val="none" w:sz="0" w:space="0" w:color="auto"/>
      </w:divBdr>
    </w:div>
    <w:div w:id="1232420587">
      <w:bodyDiv w:val="1"/>
      <w:marLeft w:val="0"/>
      <w:marRight w:val="0"/>
      <w:marTop w:val="0"/>
      <w:marBottom w:val="0"/>
      <w:divBdr>
        <w:top w:val="none" w:sz="0" w:space="0" w:color="auto"/>
        <w:left w:val="none" w:sz="0" w:space="0" w:color="auto"/>
        <w:bottom w:val="none" w:sz="0" w:space="0" w:color="auto"/>
        <w:right w:val="none" w:sz="0" w:space="0" w:color="auto"/>
      </w:divBdr>
    </w:div>
    <w:div w:id="1232427212">
      <w:bodyDiv w:val="1"/>
      <w:marLeft w:val="0"/>
      <w:marRight w:val="0"/>
      <w:marTop w:val="0"/>
      <w:marBottom w:val="0"/>
      <w:divBdr>
        <w:top w:val="none" w:sz="0" w:space="0" w:color="auto"/>
        <w:left w:val="none" w:sz="0" w:space="0" w:color="auto"/>
        <w:bottom w:val="none" w:sz="0" w:space="0" w:color="auto"/>
        <w:right w:val="none" w:sz="0" w:space="0" w:color="auto"/>
      </w:divBdr>
    </w:div>
    <w:div w:id="1232695723">
      <w:bodyDiv w:val="1"/>
      <w:marLeft w:val="0"/>
      <w:marRight w:val="0"/>
      <w:marTop w:val="0"/>
      <w:marBottom w:val="0"/>
      <w:divBdr>
        <w:top w:val="none" w:sz="0" w:space="0" w:color="auto"/>
        <w:left w:val="none" w:sz="0" w:space="0" w:color="auto"/>
        <w:bottom w:val="none" w:sz="0" w:space="0" w:color="auto"/>
        <w:right w:val="none" w:sz="0" w:space="0" w:color="auto"/>
      </w:divBdr>
    </w:div>
    <w:div w:id="1233467867">
      <w:bodyDiv w:val="1"/>
      <w:marLeft w:val="0"/>
      <w:marRight w:val="0"/>
      <w:marTop w:val="0"/>
      <w:marBottom w:val="0"/>
      <w:divBdr>
        <w:top w:val="none" w:sz="0" w:space="0" w:color="auto"/>
        <w:left w:val="none" w:sz="0" w:space="0" w:color="auto"/>
        <w:bottom w:val="none" w:sz="0" w:space="0" w:color="auto"/>
        <w:right w:val="none" w:sz="0" w:space="0" w:color="auto"/>
      </w:divBdr>
    </w:div>
    <w:div w:id="1235625005">
      <w:bodyDiv w:val="1"/>
      <w:marLeft w:val="0"/>
      <w:marRight w:val="0"/>
      <w:marTop w:val="0"/>
      <w:marBottom w:val="0"/>
      <w:divBdr>
        <w:top w:val="none" w:sz="0" w:space="0" w:color="auto"/>
        <w:left w:val="none" w:sz="0" w:space="0" w:color="auto"/>
        <w:bottom w:val="none" w:sz="0" w:space="0" w:color="auto"/>
        <w:right w:val="none" w:sz="0" w:space="0" w:color="auto"/>
      </w:divBdr>
    </w:div>
    <w:div w:id="1235628897">
      <w:bodyDiv w:val="1"/>
      <w:marLeft w:val="0"/>
      <w:marRight w:val="0"/>
      <w:marTop w:val="0"/>
      <w:marBottom w:val="0"/>
      <w:divBdr>
        <w:top w:val="none" w:sz="0" w:space="0" w:color="auto"/>
        <w:left w:val="none" w:sz="0" w:space="0" w:color="auto"/>
        <w:bottom w:val="none" w:sz="0" w:space="0" w:color="auto"/>
        <w:right w:val="none" w:sz="0" w:space="0" w:color="auto"/>
      </w:divBdr>
    </w:div>
    <w:div w:id="1235699521">
      <w:bodyDiv w:val="1"/>
      <w:marLeft w:val="0"/>
      <w:marRight w:val="0"/>
      <w:marTop w:val="0"/>
      <w:marBottom w:val="0"/>
      <w:divBdr>
        <w:top w:val="none" w:sz="0" w:space="0" w:color="auto"/>
        <w:left w:val="none" w:sz="0" w:space="0" w:color="auto"/>
        <w:bottom w:val="none" w:sz="0" w:space="0" w:color="auto"/>
        <w:right w:val="none" w:sz="0" w:space="0" w:color="auto"/>
      </w:divBdr>
    </w:div>
    <w:div w:id="1235816932">
      <w:bodyDiv w:val="1"/>
      <w:marLeft w:val="0"/>
      <w:marRight w:val="0"/>
      <w:marTop w:val="0"/>
      <w:marBottom w:val="0"/>
      <w:divBdr>
        <w:top w:val="none" w:sz="0" w:space="0" w:color="auto"/>
        <w:left w:val="none" w:sz="0" w:space="0" w:color="auto"/>
        <w:bottom w:val="none" w:sz="0" w:space="0" w:color="auto"/>
        <w:right w:val="none" w:sz="0" w:space="0" w:color="auto"/>
      </w:divBdr>
    </w:div>
    <w:div w:id="1236938781">
      <w:bodyDiv w:val="1"/>
      <w:marLeft w:val="0"/>
      <w:marRight w:val="0"/>
      <w:marTop w:val="0"/>
      <w:marBottom w:val="0"/>
      <w:divBdr>
        <w:top w:val="none" w:sz="0" w:space="0" w:color="auto"/>
        <w:left w:val="none" w:sz="0" w:space="0" w:color="auto"/>
        <w:bottom w:val="none" w:sz="0" w:space="0" w:color="auto"/>
        <w:right w:val="none" w:sz="0" w:space="0" w:color="auto"/>
      </w:divBdr>
    </w:div>
    <w:div w:id="1239366119">
      <w:bodyDiv w:val="1"/>
      <w:marLeft w:val="0"/>
      <w:marRight w:val="0"/>
      <w:marTop w:val="0"/>
      <w:marBottom w:val="0"/>
      <w:divBdr>
        <w:top w:val="none" w:sz="0" w:space="0" w:color="auto"/>
        <w:left w:val="none" w:sz="0" w:space="0" w:color="auto"/>
        <w:bottom w:val="none" w:sz="0" w:space="0" w:color="auto"/>
        <w:right w:val="none" w:sz="0" w:space="0" w:color="auto"/>
      </w:divBdr>
    </w:div>
    <w:div w:id="1239436856">
      <w:bodyDiv w:val="1"/>
      <w:marLeft w:val="0"/>
      <w:marRight w:val="0"/>
      <w:marTop w:val="0"/>
      <w:marBottom w:val="0"/>
      <w:divBdr>
        <w:top w:val="none" w:sz="0" w:space="0" w:color="auto"/>
        <w:left w:val="none" w:sz="0" w:space="0" w:color="auto"/>
        <w:bottom w:val="none" w:sz="0" w:space="0" w:color="auto"/>
        <w:right w:val="none" w:sz="0" w:space="0" w:color="auto"/>
      </w:divBdr>
    </w:div>
    <w:div w:id="1239904410">
      <w:bodyDiv w:val="1"/>
      <w:marLeft w:val="0"/>
      <w:marRight w:val="0"/>
      <w:marTop w:val="0"/>
      <w:marBottom w:val="0"/>
      <w:divBdr>
        <w:top w:val="none" w:sz="0" w:space="0" w:color="auto"/>
        <w:left w:val="none" w:sz="0" w:space="0" w:color="auto"/>
        <w:bottom w:val="none" w:sz="0" w:space="0" w:color="auto"/>
        <w:right w:val="none" w:sz="0" w:space="0" w:color="auto"/>
      </w:divBdr>
    </w:div>
    <w:div w:id="1240335461">
      <w:bodyDiv w:val="1"/>
      <w:marLeft w:val="0"/>
      <w:marRight w:val="0"/>
      <w:marTop w:val="0"/>
      <w:marBottom w:val="0"/>
      <w:divBdr>
        <w:top w:val="none" w:sz="0" w:space="0" w:color="auto"/>
        <w:left w:val="none" w:sz="0" w:space="0" w:color="auto"/>
        <w:bottom w:val="none" w:sz="0" w:space="0" w:color="auto"/>
        <w:right w:val="none" w:sz="0" w:space="0" w:color="auto"/>
      </w:divBdr>
    </w:div>
    <w:div w:id="1240864080">
      <w:bodyDiv w:val="1"/>
      <w:marLeft w:val="0"/>
      <w:marRight w:val="0"/>
      <w:marTop w:val="0"/>
      <w:marBottom w:val="0"/>
      <w:divBdr>
        <w:top w:val="none" w:sz="0" w:space="0" w:color="auto"/>
        <w:left w:val="none" w:sz="0" w:space="0" w:color="auto"/>
        <w:bottom w:val="none" w:sz="0" w:space="0" w:color="auto"/>
        <w:right w:val="none" w:sz="0" w:space="0" w:color="auto"/>
      </w:divBdr>
    </w:div>
    <w:div w:id="1241017191">
      <w:bodyDiv w:val="1"/>
      <w:marLeft w:val="0"/>
      <w:marRight w:val="0"/>
      <w:marTop w:val="0"/>
      <w:marBottom w:val="0"/>
      <w:divBdr>
        <w:top w:val="none" w:sz="0" w:space="0" w:color="auto"/>
        <w:left w:val="none" w:sz="0" w:space="0" w:color="auto"/>
        <w:bottom w:val="none" w:sz="0" w:space="0" w:color="auto"/>
        <w:right w:val="none" w:sz="0" w:space="0" w:color="auto"/>
      </w:divBdr>
    </w:div>
    <w:div w:id="1241132437">
      <w:bodyDiv w:val="1"/>
      <w:marLeft w:val="0"/>
      <w:marRight w:val="0"/>
      <w:marTop w:val="0"/>
      <w:marBottom w:val="0"/>
      <w:divBdr>
        <w:top w:val="none" w:sz="0" w:space="0" w:color="auto"/>
        <w:left w:val="none" w:sz="0" w:space="0" w:color="auto"/>
        <w:bottom w:val="none" w:sz="0" w:space="0" w:color="auto"/>
        <w:right w:val="none" w:sz="0" w:space="0" w:color="auto"/>
      </w:divBdr>
    </w:div>
    <w:div w:id="1241326500">
      <w:bodyDiv w:val="1"/>
      <w:marLeft w:val="0"/>
      <w:marRight w:val="0"/>
      <w:marTop w:val="0"/>
      <w:marBottom w:val="0"/>
      <w:divBdr>
        <w:top w:val="none" w:sz="0" w:space="0" w:color="auto"/>
        <w:left w:val="none" w:sz="0" w:space="0" w:color="auto"/>
        <w:bottom w:val="none" w:sz="0" w:space="0" w:color="auto"/>
        <w:right w:val="none" w:sz="0" w:space="0" w:color="auto"/>
      </w:divBdr>
    </w:div>
    <w:div w:id="1241717764">
      <w:bodyDiv w:val="1"/>
      <w:marLeft w:val="0"/>
      <w:marRight w:val="0"/>
      <w:marTop w:val="0"/>
      <w:marBottom w:val="0"/>
      <w:divBdr>
        <w:top w:val="none" w:sz="0" w:space="0" w:color="auto"/>
        <w:left w:val="none" w:sz="0" w:space="0" w:color="auto"/>
        <w:bottom w:val="none" w:sz="0" w:space="0" w:color="auto"/>
        <w:right w:val="none" w:sz="0" w:space="0" w:color="auto"/>
      </w:divBdr>
    </w:div>
    <w:div w:id="1242175293">
      <w:bodyDiv w:val="1"/>
      <w:marLeft w:val="0"/>
      <w:marRight w:val="0"/>
      <w:marTop w:val="0"/>
      <w:marBottom w:val="0"/>
      <w:divBdr>
        <w:top w:val="none" w:sz="0" w:space="0" w:color="auto"/>
        <w:left w:val="none" w:sz="0" w:space="0" w:color="auto"/>
        <w:bottom w:val="none" w:sz="0" w:space="0" w:color="auto"/>
        <w:right w:val="none" w:sz="0" w:space="0" w:color="auto"/>
      </w:divBdr>
    </w:div>
    <w:div w:id="1244291016">
      <w:bodyDiv w:val="1"/>
      <w:marLeft w:val="0"/>
      <w:marRight w:val="0"/>
      <w:marTop w:val="0"/>
      <w:marBottom w:val="0"/>
      <w:divBdr>
        <w:top w:val="none" w:sz="0" w:space="0" w:color="auto"/>
        <w:left w:val="none" w:sz="0" w:space="0" w:color="auto"/>
        <w:bottom w:val="none" w:sz="0" w:space="0" w:color="auto"/>
        <w:right w:val="none" w:sz="0" w:space="0" w:color="auto"/>
      </w:divBdr>
    </w:div>
    <w:div w:id="1244529375">
      <w:bodyDiv w:val="1"/>
      <w:marLeft w:val="0"/>
      <w:marRight w:val="0"/>
      <w:marTop w:val="0"/>
      <w:marBottom w:val="0"/>
      <w:divBdr>
        <w:top w:val="none" w:sz="0" w:space="0" w:color="auto"/>
        <w:left w:val="none" w:sz="0" w:space="0" w:color="auto"/>
        <w:bottom w:val="none" w:sz="0" w:space="0" w:color="auto"/>
        <w:right w:val="none" w:sz="0" w:space="0" w:color="auto"/>
      </w:divBdr>
    </w:div>
    <w:div w:id="1245645666">
      <w:bodyDiv w:val="1"/>
      <w:marLeft w:val="0"/>
      <w:marRight w:val="0"/>
      <w:marTop w:val="0"/>
      <w:marBottom w:val="0"/>
      <w:divBdr>
        <w:top w:val="none" w:sz="0" w:space="0" w:color="auto"/>
        <w:left w:val="none" w:sz="0" w:space="0" w:color="auto"/>
        <w:bottom w:val="none" w:sz="0" w:space="0" w:color="auto"/>
        <w:right w:val="none" w:sz="0" w:space="0" w:color="auto"/>
      </w:divBdr>
    </w:div>
    <w:div w:id="1246525991">
      <w:bodyDiv w:val="1"/>
      <w:marLeft w:val="0"/>
      <w:marRight w:val="0"/>
      <w:marTop w:val="0"/>
      <w:marBottom w:val="0"/>
      <w:divBdr>
        <w:top w:val="none" w:sz="0" w:space="0" w:color="auto"/>
        <w:left w:val="none" w:sz="0" w:space="0" w:color="auto"/>
        <w:bottom w:val="none" w:sz="0" w:space="0" w:color="auto"/>
        <w:right w:val="none" w:sz="0" w:space="0" w:color="auto"/>
      </w:divBdr>
    </w:div>
    <w:div w:id="1247960501">
      <w:bodyDiv w:val="1"/>
      <w:marLeft w:val="0"/>
      <w:marRight w:val="0"/>
      <w:marTop w:val="0"/>
      <w:marBottom w:val="0"/>
      <w:divBdr>
        <w:top w:val="none" w:sz="0" w:space="0" w:color="auto"/>
        <w:left w:val="none" w:sz="0" w:space="0" w:color="auto"/>
        <w:bottom w:val="none" w:sz="0" w:space="0" w:color="auto"/>
        <w:right w:val="none" w:sz="0" w:space="0" w:color="auto"/>
      </w:divBdr>
    </w:div>
    <w:div w:id="1248732341">
      <w:bodyDiv w:val="1"/>
      <w:marLeft w:val="0"/>
      <w:marRight w:val="0"/>
      <w:marTop w:val="0"/>
      <w:marBottom w:val="0"/>
      <w:divBdr>
        <w:top w:val="none" w:sz="0" w:space="0" w:color="auto"/>
        <w:left w:val="none" w:sz="0" w:space="0" w:color="auto"/>
        <w:bottom w:val="none" w:sz="0" w:space="0" w:color="auto"/>
        <w:right w:val="none" w:sz="0" w:space="0" w:color="auto"/>
      </w:divBdr>
    </w:div>
    <w:div w:id="1248884211">
      <w:bodyDiv w:val="1"/>
      <w:marLeft w:val="0"/>
      <w:marRight w:val="0"/>
      <w:marTop w:val="0"/>
      <w:marBottom w:val="0"/>
      <w:divBdr>
        <w:top w:val="none" w:sz="0" w:space="0" w:color="auto"/>
        <w:left w:val="none" w:sz="0" w:space="0" w:color="auto"/>
        <w:bottom w:val="none" w:sz="0" w:space="0" w:color="auto"/>
        <w:right w:val="none" w:sz="0" w:space="0" w:color="auto"/>
      </w:divBdr>
    </w:div>
    <w:div w:id="1249120415">
      <w:bodyDiv w:val="1"/>
      <w:marLeft w:val="0"/>
      <w:marRight w:val="0"/>
      <w:marTop w:val="0"/>
      <w:marBottom w:val="0"/>
      <w:divBdr>
        <w:top w:val="none" w:sz="0" w:space="0" w:color="auto"/>
        <w:left w:val="none" w:sz="0" w:space="0" w:color="auto"/>
        <w:bottom w:val="none" w:sz="0" w:space="0" w:color="auto"/>
        <w:right w:val="none" w:sz="0" w:space="0" w:color="auto"/>
      </w:divBdr>
    </w:div>
    <w:div w:id="1249193077">
      <w:bodyDiv w:val="1"/>
      <w:marLeft w:val="0"/>
      <w:marRight w:val="0"/>
      <w:marTop w:val="0"/>
      <w:marBottom w:val="0"/>
      <w:divBdr>
        <w:top w:val="none" w:sz="0" w:space="0" w:color="auto"/>
        <w:left w:val="none" w:sz="0" w:space="0" w:color="auto"/>
        <w:bottom w:val="none" w:sz="0" w:space="0" w:color="auto"/>
        <w:right w:val="none" w:sz="0" w:space="0" w:color="auto"/>
      </w:divBdr>
    </w:div>
    <w:div w:id="1249844184">
      <w:bodyDiv w:val="1"/>
      <w:marLeft w:val="0"/>
      <w:marRight w:val="0"/>
      <w:marTop w:val="0"/>
      <w:marBottom w:val="0"/>
      <w:divBdr>
        <w:top w:val="none" w:sz="0" w:space="0" w:color="auto"/>
        <w:left w:val="none" w:sz="0" w:space="0" w:color="auto"/>
        <w:bottom w:val="none" w:sz="0" w:space="0" w:color="auto"/>
        <w:right w:val="none" w:sz="0" w:space="0" w:color="auto"/>
      </w:divBdr>
    </w:div>
    <w:div w:id="1250192001">
      <w:bodyDiv w:val="1"/>
      <w:marLeft w:val="0"/>
      <w:marRight w:val="0"/>
      <w:marTop w:val="0"/>
      <w:marBottom w:val="0"/>
      <w:divBdr>
        <w:top w:val="none" w:sz="0" w:space="0" w:color="auto"/>
        <w:left w:val="none" w:sz="0" w:space="0" w:color="auto"/>
        <w:bottom w:val="none" w:sz="0" w:space="0" w:color="auto"/>
        <w:right w:val="none" w:sz="0" w:space="0" w:color="auto"/>
      </w:divBdr>
    </w:div>
    <w:div w:id="1250502384">
      <w:bodyDiv w:val="1"/>
      <w:marLeft w:val="0"/>
      <w:marRight w:val="0"/>
      <w:marTop w:val="0"/>
      <w:marBottom w:val="0"/>
      <w:divBdr>
        <w:top w:val="none" w:sz="0" w:space="0" w:color="auto"/>
        <w:left w:val="none" w:sz="0" w:space="0" w:color="auto"/>
        <w:bottom w:val="none" w:sz="0" w:space="0" w:color="auto"/>
        <w:right w:val="none" w:sz="0" w:space="0" w:color="auto"/>
      </w:divBdr>
    </w:div>
    <w:div w:id="1251237231">
      <w:bodyDiv w:val="1"/>
      <w:marLeft w:val="0"/>
      <w:marRight w:val="0"/>
      <w:marTop w:val="0"/>
      <w:marBottom w:val="0"/>
      <w:divBdr>
        <w:top w:val="none" w:sz="0" w:space="0" w:color="auto"/>
        <w:left w:val="none" w:sz="0" w:space="0" w:color="auto"/>
        <w:bottom w:val="none" w:sz="0" w:space="0" w:color="auto"/>
        <w:right w:val="none" w:sz="0" w:space="0" w:color="auto"/>
      </w:divBdr>
    </w:div>
    <w:div w:id="1251964013">
      <w:bodyDiv w:val="1"/>
      <w:marLeft w:val="0"/>
      <w:marRight w:val="0"/>
      <w:marTop w:val="0"/>
      <w:marBottom w:val="0"/>
      <w:divBdr>
        <w:top w:val="none" w:sz="0" w:space="0" w:color="auto"/>
        <w:left w:val="none" w:sz="0" w:space="0" w:color="auto"/>
        <w:bottom w:val="none" w:sz="0" w:space="0" w:color="auto"/>
        <w:right w:val="none" w:sz="0" w:space="0" w:color="auto"/>
      </w:divBdr>
    </w:div>
    <w:div w:id="1251964434">
      <w:bodyDiv w:val="1"/>
      <w:marLeft w:val="0"/>
      <w:marRight w:val="0"/>
      <w:marTop w:val="0"/>
      <w:marBottom w:val="0"/>
      <w:divBdr>
        <w:top w:val="none" w:sz="0" w:space="0" w:color="auto"/>
        <w:left w:val="none" w:sz="0" w:space="0" w:color="auto"/>
        <w:bottom w:val="none" w:sz="0" w:space="0" w:color="auto"/>
        <w:right w:val="none" w:sz="0" w:space="0" w:color="auto"/>
      </w:divBdr>
    </w:div>
    <w:div w:id="1252661607">
      <w:bodyDiv w:val="1"/>
      <w:marLeft w:val="0"/>
      <w:marRight w:val="0"/>
      <w:marTop w:val="0"/>
      <w:marBottom w:val="0"/>
      <w:divBdr>
        <w:top w:val="none" w:sz="0" w:space="0" w:color="auto"/>
        <w:left w:val="none" w:sz="0" w:space="0" w:color="auto"/>
        <w:bottom w:val="none" w:sz="0" w:space="0" w:color="auto"/>
        <w:right w:val="none" w:sz="0" w:space="0" w:color="auto"/>
      </w:divBdr>
    </w:div>
    <w:div w:id="1252665237">
      <w:bodyDiv w:val="1"/>
      <w:marLeft w:val="0"/>
      <w:marRight w:val="0"/>
      <w:marTop w:val="0"/>
      <w:marBottom w:val="0"/>
      <w:divBdr>
        <w:top w:val="none" w:sz="0" w:space="0" w:color="auto"/>
        <w:left w:val="none" w:sz="0" w:space="0" w:color="auto"/>
        <w:bottom w:val="none" w:sz="0" w:space="0" w:color="auto"/>
        <w:right w:val="none" w:sz="0" w:space="0" w:color="auto"/>
      </w:divBdr>
    </w:div>
    <w:div w:id="1253078574">
      <w:bodyDiv w:val="1"/>
      <w:marLeft w:val="0"/>
      <w:marRight w:val="0"/>
      <w:marTop w:val="0"/>
      <w:marBottom w:val="0"/>
      <w:divBdr>
        <w:top w:val="none" w:sz="0" w:space="0" w:color="auto"/>
        <w:left w:val="none" w:sz="0" w:space="0" w:color="auto"/>
        <w:bottom w:val="none" w:sz="0" w:space="0" w:color="auto"/>
        <w:right w:val="none" w:sz="0" w:space="0" w:color="auto"/>
      </w:divBdr>
    </w:div>
    <w:div w:id="1255287919">
      <w:bodyDiv w:val="1"/>
      <w:marLeft w:val="0"/>
      <w:marRight w:val="0"/>
      <w:marTop w:val="0"/>
      <w:marBottom w:val="0"/>
      <w:divBdr>
        <w:top w:val="none" w:sz="0" w:space="0" w:color="auto"/>
        <w:left w:val="none" w:sz="0" w:space="0" w:color="auto"/>
        <w:bottom w:val="none" w:sz="0" w:space="0" w:color="auto"/>
        <w:right w:val="none" w:sz="0" w:space="0" w:color="auto"/>
      </w:divBdr>
    </w:div>
    <w:div w:id="1255631826">
      <w:bodyDiv w:val="1"/>
      <w:marLeft w:val="0"/>
      <w:marRight w:val="0"/>
      <w:marTop w:val="0"/>
      <w:marBottom w:val="0"/>
      <w:divBdr>
        <w:top w:val="none" w:sz="0" w:space="0" w:color="auto"/>
        <w:left w:val="none" w:sz="0" w:space="0" w:color="auto"/>
        <w:bottom w:val="none" w:sz="0" w:space="0" w:color="auto"/>
        <w:right w:val="none" w:sz="0" w:space="0" w:color="auto"/>
      </w:divBdr>
    </w:div>
    <w:div w:id="1256326585">
      <w:bodyDiv w:val="1"/>
      <w:marLeft w:val="0"/>
      <w:marRight w:val="0"/>
      <w:marTop w:val="0"/>
      <w:marBottom w:val="0"/>
      <w:divBdr>
        <w:top w:val="none" w:sz="0" w:space="0" w:color="auto"/>
        <w:left w:val="none" w:sz="0" w:space="0" w:color="auto"/>
        <w:bottom w:val="none" w:sz="0" w:space="0" w:color="auto"/>
        <w:right w:val="none" w:sz="0" w:space="0" w:color="auto"/>
      </w:divBdr>
    </w:div>
    <w:div w:id="1257130065">
      <w:bodyDiv w:val="1"/>
      <w:marLeft w:val="0"/>
      <w:marRight w:val="0"/>
      <w:marTop w:val="0"/>
      <w:marBottom w:val="0"/>
      <w:divBdr>
        <w:top w:val="none" w:sz="0" w:space="0" w:color="auto"/>
        <w:left w:val="none" w:sz="0" w:space="0" w:color="auto"/>
        <w:bottom w:val="none" w:sz="0" w:space="0" w:color="auto"/>
        <w:right w:val="none" w:sz="0" w:space="0" w:color="auto"/>
      </w:divBdr>
    </w:div>
    <w:div w:id="1257404834">
      <w:bodyDiv w:val="1"/>
      <w:marLeft w:val="0"/>
      <w:marRight w:val="0"/>
      <w:marTop w:val="0"/>
      <w:marBottom w:val="0"/>
      <w:divBdr>
        <w:top w:val="none" w:sz="0" w:space="0" w:color="auto"/>
        <w:left w:val="none" w:sz="0" w:space="0" w:color="auto"/>
        <w:bottom w:val="none" w:sz="0" w:space="0" w:color="auto"/>
        <w:right w:val="none" w:sz="0" w:space="0" w:color="auto"/>
      </w:divBdr>
    </w:div>
    <w:div w:id="1257861298">
      <w:bodyDiv w:val="1"/>
      <w:marLeft w:val="0"/>
      <w:marRight w:val="0"/>
      <w:marTop w:val="0"/>
      <w:marBottom w:val="0"/>
      <w:divBdr>
        <w:top w:val="none" w:sz="0" w:space="0" w:color="auto"/>
        <w:left w:val="none" w:sz="0" w:space="0" w:color="auto"/>
        <w:bottom w:val="none" w:sz="0" w:space="0" w:color="auto"/>
        <w:right w:val="none" w:sz="0" w:space="0" w:color="auto"/>
      </w:divBdr>
    </w:div>
    <w:div w:id="1258173060">
      <w:bodyDiv w:val="1"/>
      <w:marLeft w:val="0"/>
      <w:marRight w:val="0"/>
      <w:marTop w:val="0"/>
      <w:marBottom w:val="0"/>
      <w:divBdr>
        <w:top w:val="none" w:sz="0" w:space="0" w:color="auto"/>
        <w:left w:val="none" w:sz="0" w:space="0" w:color="auto"/>
        <w:bottom w:val="none" w:sz="0" w:space="0" w:color="auto"/>
        <w:right w:val="none" w:sz="0" w:space="0" w:color="auto"/>
      </w:divBdr>
    </w:div>
    <w:div w:id="1258178142">
      <w:bodyDiv w:val="1"/>
      <w:marLeft w:val="0"/>
      <w:marRight w:val="0"/>
      <w:marTop w:val="0"/>
      <w:marBottom w:val="0"/>
      <w:divBdr>
        <w:top w:val="none" w:sz="0" w:space="0" w:color="auto"/>
        <w:left w:val="none" w:sz="0" w:space="0" w:color="auto"/>
        <w:bottom w:val="none" w:sz="0" w:space="0" w:color="auto"/>
        <w:right w:val="none" w:sz="0" w:space="0" w:color="auto"/>
      </w:divBdr>
    </w:div>
    <w:div w:id="1260068587">
      <w:bodyDiv w:val="1"/>
      <w:marLeft w:val="0"/>
      <w:marRight w:val="0"/>
      <w:marTop w:val="0"/>
      <w:marBottom w:val="0"/>
      <w:divBdr>
        <w:top w:val="none" w:sz="0" w:space="0" w:color="auto"/>
        <w:left w:val="none" w:sz="0" w:space="0" w:color="auto"/>
        <w:bottom w:val="none" w:sz="0" w:space="0" w:color="auto"/>
        <w:right w:val="none" w:sz="0" w:space="0" w:color="auto"/>
      </w:divBdr>
    </w:div>
    <w:div w:id="1261525252">
      <w:bodyDiv w:val="1"/>
      <w:marLeft w:val="0"/>
      <w:marRight w:val="0"/>
      <w:marTop w:val="0"/>
      <w:marBottom w:val="0"/>
      <w:divBdr>
        <w:top w:val="none" w:sz="0" w:space="0" w:color="auto"/>
        <w:left w:val="none" w:sz="0" w:space="0" w:color="auto"/>
        <w:bottom w:val="none" w:sz="0" w:space="0" w:color="auto"/>
        <w:right w:val="none" w:sz="0" w:space="0" w:color="auto"/>
      </w:divBdr>
    </w:div>
    <w:div w:id="1261911588">
      <w:bodyDiv w:val="1"/>
      <w:marLeft w:val="0"/>
      <w:marRight w:val="0"/>
      <w:marTop w:val="0"/>
      <w:marBottom w:val="0"/>
      <w:divBdr>
        <w:top w:val="none" w:sz="0" w:space="0" w:color="auto"/>
        <w:left w:val="none" w:sz="0" w:space="0" w:color="auto"/>
        <w:bottom w:val="none" w:sz="0" w:space="0" w:color="auto"/>
        <w:right w:val="none" w:sz="0" w:space="0" w:color="auto"/>
      </w:divBdr>
    </w:div>
    <w:div w:id="1265112126">
      <w:bodyDiv w:val="1"/>
      <w:marLeft w:val="0"/>
      <w:marRight w:val="0"/>
      <w:marTop w:val="0"/>
      <w:marBottom w:val="0"/>
      <w:divBdr>
        <w:top w:val="none" w:sz="0" w:space="0" w:color="auto"/>
        <w:left w:val="none" w:sz="0" w:space="0" w:color="auto"/>
        <w:bottom w:val="none" w:sz="0" w:space="0" w:color="auto"/>
        <w:right w:val="none" w:sz="0" w:space="0" w:color="auto"/>
      </w:divBdr>
    </w:div>
    <w:div w:id="1265455882">
      <w:bodyDiv w:val="1"/>
      <w:marLeft w:val="0"/>
      <w:marRight w:val="0"/>
      <w:marTop w:val="0"/>
      <w:marBottom w:val="0"/>
      <w:divBdr>
        <w:top w:val="none" w:sz="0" w:space="0" w:color="auto"/>
        <w:left w:val="none" w:sz="0" w:space="0" w:color="auto"/>
        <w:bottom w:val="none" w:sz="0" w:space="0" w:color="auto"/>
        <w:right w:val="none" w:sz="0" w:space="0" w:color="auto"/>
      </w:divBdr>
    </w:div>
    <w:div w:id="1266428882">
      <w:bodyDiv w:val="1"/>
      <w:marLeft w:val="0"/>
      <w:marRight w:val="0"/>
      <w:marTop w:val="0"/>
      <w:marBottom w:val="0"/>
      <w:divBdr>
        <w:top w:val="none" w:sz="0" w:space="0" w:color="auto"/>
        <w:left w:val="none" w:sz="0" w:space="0" w:color="auto"/>
        <w:bottom w:val="none" w:sz="0" w:space="0" w:color="auto"/>
        <w:right w:val="none" w:sz="0" w:space="0" w:color="auto"/>
      </w:divBdr>
    </w:div>
    <w:div w:id="1267617783">
      <w:bodyDiv w:val="1"/>
      <w:marLeft w:val="0"/>
      <w:marRight w:val="0"/>
      <w:marTop w:val="0"/>
      <w:marBottom w:val="0"/>
      <w:divBdr>
        <w:top w:val="none" w:sz="0" w:space="0" w:color="auto"/>
        <w:left w:val="none" w:sz="0" w:space="0" w:color="auto"/>
        <w:bottom w:val="none" w:sz="0" w:space="0" w:color="auto"/>
        <w:right w:val="none" w:sz="0" w:space="0" w:color="auto"/>
      </w:divBdr>
    </w:div>
    <w:div w:id="1268999900">
      <w:bodyDiv w:val="1"/>
      <w:marLeft w:val="0"/>
      <w:marRight w:val="0"/>
      <w:marTop w:val="0"/>
      <w:marBottom w:val="0"/>
      <w:divBdr>
        <w:top w:val="none" w:sz="0" w:space="0" w:color="auto"/>
        <w:left w:val="none" w:sz="0" w:space="0" w:color="auto"/>
        <w:bottom w:val="none" w:sz="0" w:space="0" w:color="auto"/>
        <w:right w:val="none" w:sz="0" w:space="0" w:color="auto"/>
      </w:divBdr>
    </w:div>
    <w:div w:id="1270356867">
      <w:bodyDiv w:val="1"/>
      <w:marLeft w:val="0"/>
      <w:marRight w:val="0"/>
      <w:marTop w:val="0"/>
      <w:marBottom w:val="0"/>
      <w:divBdr>
        <w:top w:val="none" w:sz="0" w:space="0" w:color="auto"/>
        <w:left w:val="none" w:sz="0" w:space="0" w:color="auto"/>
        <w:bottom w:val="none" w:sz="0" w:space="0" w:color="auto"/>
        <w:right w:val="none" w:sz="0" w:space="0" w:color="auto"/>
      </w:divBdr>
    </w:div>
    <w:div w:id="1272317322">
      <w:bodyDiv w:val="1"/>
      <w:marLeft w:val="0"/>
      <w:marRight w:val="0"/>
      <w:marTop w:val="0"/>
      <w:marBottom w:val="0"/>
      <w:divBdr>
        <w:top w:val="none" w:sz="0" w:space="0" w:color="auto"/>
        <w:left w:val="none" w:sz="0" w:space="0" w:color="auto"/>
        <w:bottom w:val="none" w:sz="0" w:space="0" w:color="auto"/>
        <w:right w:val="none" w:sz="0" w:space="0" w:color="auto"/>
      </w:divBdr>
    </w:div>
    <w:div w:id="1272474009">
      <w:bodyDiv w:val="1"/>
      <w:marLeft w:val="0"/>
      <w:marRight w:val="0"/>
      <w:marTop w:val="0"/>
      <w:marBottom w:val="0"/>
      <w:divBdr>
        <w:top w:val="none" w:sz="0" w:space="0" w:color="auto"/>
        <w:left w:val="none" w:sz="0" w:space="0" w:color="auto"/>
        <w:bottom w:val="none" w:sz="0" w:space="0" w:color="auto"/>
        <w:right w:val="none" w:sz="0" w:space="0" w:color="auto"/>
      </w:divBdr>
    </w:div>
    <w:div w:id="1272474270">
      <w:bodyDiv w:val="1"/>
      <w:marLeft w:val="0"/>
      <w:marRight w:val="0"/>
      <w:marTop w:val="0"/>
      <w:marBottom w:val="0"/>
      <w:divBdr>
        <w:top w:val="none" w:sz="0" w:space="0" w:color="auto"/>
        <w:left w:val="none" w:sz="0" w:space="0" w:color="auto"/>
        <w:bottom w:val="none" w:sz="0" w:space="0" w:color="auto"/>
        <w:right w:val="none" w:sz="0" w:space="0" w:color="auto"/>
      </w:divBdr>
    </w:div>
    <w:div w:id="1272662785">
      <w:bodyDiv w:val="1"/>
      <w:marLeft w:val="0"/>
      <w:marRight w:val="0"/>
      <w:marTop w:val="0"/>
      <w:marBottom w:val="0"/>
      <w:divBdr>
        <w:top w:val="none" w:sz="0" w:space="0" w:color="auto"/>
        <w:left w:val="none" w:sz="0" w:space="0" w:color="auto"/>
        <w:bottom w:val="none" w:sz="0" w:space="0" w:color="auto"/>
        <w:right w:val="none" w:sz="0" w:space="0" w:color="auto"/>
      </w:divBdr>
    </w:div>
    <w:div w:id="1274243662">
      <w:bodyDiv w:val="1"/>
      <w:marLeft w:val="0"/>
      <w:marRight w:val="0"/>
      <w:marTop w:val="0"/>
      <w:marBottom w:val="0"/>
      <w:divBdr>
        <w:top w:val="none" w:sz="0" w:space="0" w:color="auto"/>
        <w:left w:val="none" w:sz="0" w:space="0" w:color="auto"/>
        <w:bottom w:val="none" w:sz="0" w:space="0" w:color="auto"/>
        <w:right w:val="none" w:sz="0" w:space="0" w:color="auto"/>
      </w:divBdr>
    </w:div>
    <w:div w:id="1275791729">
      <w:bodyDiv w:val="1"/>
      <w:marLeft w:val="0"/>
      <w:marRight w:val="0"/>
      <w:marTop w:val="0"/>
      <w:marBottom w:val="0"/>
      <w:divBdr>
        <w:top w:val="none" w:sz="0" w:space="0" w:color="auto"/>
        <w:left w:val="none" w:sz="0" w:space="0" w:color="auto"/>
        <w:bottom w:val="none" w:sz="0" w:space="0" w:color="auto"/>
        <w:right w:val="none" w:sz="0" w:space="0" w:color="auto"/>
      </w:divBdr>
    </w:div>
    <w:div w:id="1276445052">
      <w:bodyDiv w:val="1"/>
      <w:marLeft w:val="0"/>
      <w:marRight w:val="0"/>
      <w:marTop w:val="0"/>
      <w:marBottom w:val="0"/>
      <w:divBdr>
        <w:top w:val="none" w:sz="0" w:space="0" w:color="auto"/>
        <w:left w:val="none" w:sz="0" w:space="0" w:color="auto"/>
        <w:bottom w:val="none" w:sz="0" w:space="0" w:color="auto"/>
        <w:right w:val="none" w:sz="0" w:space="0" w:color="auto"/>
      </w:divBdr>
    </w:div>
    <w:div w:id="1276670050">
      <w:bodyDiv w:val="1"/>
      <w:marLeft w:val="0"/>
      <w:marRight w:val="0"/>
      <w:marTop w:val="0"/>
      <w:marBottom w:val="0"/>
      <w:divBdr>
        <w:top w:val="none" w:sz="0" w:space="0" w:color="auto"/>
        <w:left w:val="none" w:sz="0" w:space="0" w:color="auto"/>
        <w:bottom w:val="none" w:sz="0" w:space="0" w:color="auto"/>
        <w:right w:val="none" w:sz="0" w:space="0" w:color="auto"/>
      </w:divBdr>
    </w:div>
    <w:div w:id="1276789829">
      <w:bodyDiv w:val="1"/>
      <w:marLeft w:val="0"/>
      <w:marRight w:val="0"/>
      <w:marTop w:val="0"/>
      <w:marBottom w:val="0"/>
      <w:divBdr>
        <w:top w:val="none" w:sz="0" w:space="0" w:color="auto"/>
        <w:left w:val="none" w:sz="0" w:space="0" w:color="auto"/>
        <w:bottom w:val="none" w:sz="0" w:space="0" w:color="auto"/>
        <w:right w:val="none" w:sz="0" w:space="0" w:color="auto"/>
      </w:divBdr>
    </w:div>
    <w:div w:id="1278635575">
      <w:bodyDiv w:val="1"/>
      <w:marLeft w:val="0"/>
      <w:marRight w:val="0"/>
      <w:marTop w:val="0"/>
      <w:marBottom w:val="0"/>
      <w:divBdr>
        <w:top w:val="none" w:sz="0" w:space="0" w:color="auto"/>
        <w:left w:val="none" w:sz="0" w:space="0" w:color="auto"/>
        <w:bottom w:val="none" w:sz="0" w:space="0" w:color="auto"/>
        <w:right w:val="none" w:sz="0" w:space="0" w:color="auto"/>
      </w:divBdr>
    </w:div>
    <w:div w:id="1280841462">
      <w:bodyDiv w:val="1"/>
      <w:marLeft w:val="0"/>
      <w:marRight w:val="0"/>
      <w:marTop w:val="0"/>
      <w:marBottom w:val="0"/>
      <w:divBdr>
        <w:top w:val="none" w:sz="0" w:space="0" w:color="auto"/>
        <w:left w:val="none" w:sz="0" w:space="0" w:color="auto"/>
        <w:bottom w:val="none" w:sz="0" w:space="0" w:color="auto"/>
        <w:right w:val="none" w:sz="0" w:space="0" w:color="auto"/>
      </w:divBdr>
    </w:div>
    <w:div w:id="1281299646">
      <w:bodyDiv w:val="1"/>
      <w:marLeft w:val="0"/>
      <w:marRight w:val="0"/>
      <w:marTop w:val="0"/>
      <w:marBottom w:val="0"/>
      <w:divBdr>
        <w:top w:val="none" w:sz="0" w:space="0" w:color="auto"/>
        <w:left w:val="none" w:sz="0" w:space="0" w:color="auto"/>
        <w:bottom w:val="none" w:sz="0" w:space="0" w:color="auto"/>
        <w:right w:val="none" w:sz="0" w:space="0" w:color="auto"/>
      </w:divBdr>
    </w:div>
    <w:div w:id="1281641250">
      <w:bodyDiv w:val="1"/>
      <w:marLeft w:val="0"/>
      <w:marRight w:val="0"/>
      <w:marTop w:val="0"/>
      <w:marBottom w:val="0"/>
      <w:divBdr>
        <w:top w:val="none" w:sz="0" w:space="0" w:color="auto"/>
        <w:left w:val="none" w:sz="0" w:space="0" w:color="auto"/>
        <w:bottom w:val="none" w:sz="0" w:space="0" w:color="auto"/>
        <w:right w:val="none" w:sz="0" w:space="0" w:color="auto"/>
      </w:divBdr>
    </w:div>
    <w:div w:id="1282690963">
      <w:bodyDiv w:val="1"/>
      <w:marLeft w:val="0"/>
      <w:marRight w:val="0"/>
      <w:marTop w:val="0"/>
      <w:marBottom w:val="0"/>
      <w:divBdr>
        <w:top w:val="none" w:sz="0" w:space="0" w:color="auto"/>
        <w:left w:val="none" w:sz="0" w:space="0" w:color="auto"/>
        <w:bottom w:val="none" w:sz="0" w:space="0" w:color="auto"/>
        <w:right w:val="none" w:sz="0" w:space="0" w:color="auto"/>
      </w:divBdr>
    </w:div>
    <w:div w:id="1282954733">
      <w:bodyDiv w:val="1"/>
      <w:marLeft w:val="0"/>
      <w:marRight w:val="0"/>
      <w:marTop w:val="0"/>
      <w:marBottom w:val="0"/>
      <w:divBdr>
        <w:top w:val="none" w:sz="0" w:space="0" w:color="auto"/>
        <w:left w:val="none" w:sz="0" w:space="0" w:color="auto"/>
        <w:bottom w:val="none" w:sz="0" w:space="0" w:color="auto"/>
        <w:right w:val="none" w:sz="0" w:space="0" w:color="auto"/>
      </w:divBdr>
    </w:div>
    <w:div w:id="1286346215">
      <w:bodyDiv w:val="1"/>
      <w:marLeft w:val="0"/>
      <w:marRight w:val="0"/>
      <w:marTop w:val="0"/>
      <w:marBottom w:val="0"/>
      <w:divBdr>
        <w:top w:val="none" w:sz="0" w:space="0" w:color="auto"/>
        <w:left w:val="none" w:sz="0" w:space="0" w:color="auto"/>
        <w:bottom w:val="none" w:sz="0" w:space="0" w:color="auto"/>
        <w:right w:val="none" w:sz="0" w:space="0" w:color="auto"/>
      </w:divBdr>
    </w:div>
    <w:div w:id="1286695208">
      <w:bodyDiv w:val="1"/>
      <w:marLeft w:val="0"/>
      <w:marRight w:val="0"/>
      <w:marTop w:val="0"/>
      <w:marBottom w:val="0"/>
      <w:divBdr>
        <w:top w:val="none" w:sz="0" w:space="0" w:color="auto"/>
        <w:left w:val="none" w:sz="0" w:space="0" w:color="auto"/>
        <w:bottom w:val="none" w:sz="0" w:space="0" w:color="auto"/>
        <w:right w:val="none" w:sz="0" w:space="0" w:color="auto"/>
      </w:divBdr>
    </w:div>
    <w:div w:id="1286887664">
      <w:bodyDiv w:val="1"/>
      <w:marLeft w:val="0"/>
      <w:marRight w:val="0"/>
      <w:marTop w:val="0"/>
      <w:marBottom w:val="0"/>
      <w:divBdr>
        <w:top w:val="none" w:sz="0" w:space="0" w:color="auto"/>
        <w:left w:val="none" w:sz="0" w:space="0" w:color="auto"/>
        <w:bottom w:val="none" w:sz="0" w:space="0" w:color="auto"/>
        <w:right w:val="none" w:sz="0" w:space="0" w:color="auto"/>
      </w:divBdr>
    </w:div>
    <w:div w:id="1288661474">
      <w:bodyDiv w:val="1"/>
      <w:marLeft w:val="0"/>
      <w:marRight w:val="0"/>
      <w:marTop w:val="0"/>
      <w:marBottom w:val="0"/>
      <w:divBdr>
        <w:top w:val="none" w:sz="0" w:space="0" w:color="auto"/>
        <w:left w:val="none" w:sz="0" w:space="0" w:color="auto"/>
        <w:bottom w:val="none" w:sz="0" w:space="0" w:color="auto"/>
        <w:right w:val="none" w:sz="0" w:space="0" w:color="auto"/>
      </w:divBdr>
    </w:div>
    <w:div w:id="1289628778">
      <w:bodyDiv w:val="1"/>
      <w:marLeft w:val="0"/>
      <w:marRight w:val="0"/>
      <w:marTop w:val="0"/>
      <w:marBottom w:val="0"/>
      <w:divBdr>
        <w:top w:val="none" w:sz="0" w:space="0" w:color="auto"/>
        <w:left w:val="none" w:sz="0" w:space="0" w:color="auto"/>
        <w:bottom w:val="none" w:sz="0" w:space="0" w:color="auto"/>
        <w:right w:val="none" w:sz="0" w:space="0" w:color="auto"/>
      </w:divBdr>
    </w:div>
    <w:div w:id="1290209052">
      <w:bodyDiv w:val="1"/>
      <w:marLeft w:val="0"/>
      <w:marRight w:val="0"/>
      <w:marTop w:val="0"/>
      <w:marBottom w:val="0"/>
      <w:divBdr>
        <w:top w:val="none" w:sz="0" w:space="0" w:color="auto"/>
        <w:left w:val="none" w:sz="0" w:space="0" w:color="auto"/>
        <w:bottom w:val="none" w:sz="0" w:space="0" w:color="auto"/>
        <w:right w:val="none" w:sz="0" w:space="0" w:color="auto"/>
      </w:divBdr>
    </w:div>
    <w:div w:id="1290352879">
      <w:bodyDiv w:val="1"/>
      <w:marLeft w:val="0"/>
      <w:marRight w:val="0"/>
      <w:marTop w:val="0"/>
      <w:marBottom w:val="0"/>
      <w:divBdr>
        <w:top w:val="none" w:sz="0" w:space="0" w:color="auto"/>
        <w:left w:val="none" w:sz="0" w:space="0" w:color="auto"/>
        <w:bottom w:val="none" w:sz="0" w:space="0" w:color="auto"/>
        <w:right w:val="none" w:sz="0" w:space="0" w:color="auto"/>
      </w:divBdr>
    </w:div>
    <w:div w:id="1290405119">
      <w:bodyDiv w:val="1"/>
      <w:marLeft w:val="0"/>
      <w:marRight w:val="0"/>
      <w:marTop w:val="0"/>
      <w:marBottom w:val="0"/>
      <w:divBdr>
        <w:top w:val="none" w:sz="0" w:space="0" w:color="auto"/>
        <w:left w:val="none" w:sz="0" w:space="0" w:color="auto"/>
        <w:bottom w:val="none" w:sz="0" w:space="0" w:color="auto"/>
        <w:right w:val="none" w:sz="0" w:space="0" w:color="auto"/>
      </w:divBdr>
    </w:div>
    <w:div w:id="1291090477">
      <w:bodyDiv w:val="1"/>
      <w:marLeft w:val="0"/>
      <w:marRight w:val="0"/>
      <w:marTop w:val="0"/>
      <w:marBottom w:val="0"/>
      <w:divBdr>
        <w:top w:val="none" w:sz="0" w:space="0" w:color="auto"/>
        <w:left w:val="none" w:sz="0" w:space="0" w:color="auto"/>
        <w:bottom w:val="none" w:sz="0" w:space="0" w:color="auto"/>
        <w:right w:val="none" w:sz="0" w:space="0" w:color="auto"/>
      </w:divBdr>
    </w:div>
    <w:div w:id="1291400272">
      <w:bodyDiv w:val="1"/>
      <w:marLeft w:val="0"/>
      <w:marRight w:val="0"/>
      <w:marTop w:val="0"/>
      <w:marBottom w:val="0"/>
      <w:divBdr>
        <w:top w:val="none" w:sz="0" w:space="0" w:color="auto"/>
        <w:left w:val="none" w:sz="0" w:space="0" w:color="auto"/>
        <w:bottom w:val="none" w:sz="0" w:space="0" w:color="auto"/>
        <w:right w:val="none" w:sz="0" w:space="0" w:color="auto"/>
      </w:divBdr>
    </w:div>
    <w:div w:id="1291746291">
      <w:bodyDiv w:val="1"/>
      <w:marLeft w:val="0"/>
      <w:marRight w:val="0"/>
      <w:marTop w:val="0"/>
      <w:marBottom w:val="0"/>
      <w:divBdr>
        <w:top w:val="none" w:sz="0" w:space="0" w:color="auto"/>
        <w:left w:val="none" w:sz="0" w:space="0" w:color="auto"/>
        <w:bottom w:val="none" w:sz="0" w:space="0" w:color="auto"/>
        <w:right w:val="none" w:sz="0" w:space="0" w:color="auto"/>
      </w:divBdr>
    </w:div>
    <w:div w:id="1292321551">
      <w:bodyDiv w:val="1"/>
      <w:marLeft w:val="0"/>
      <w:marRight w:val="0"/>
      <w:marTop w:val="0"/>
      <w:marBottom w:val="0"/>
      <w:divBdr>
        <w:top w:val="none" w:sz="0" w:space="0" w:color="auto"/>
        <w:left w:val="none" w:sz="0" w:space="0" w:color="auto"/>
        <w:bottom w:val="none" w:sz="0" w:space="0" w:color="auto"/>
        <w:right w:val="none" w:sz="0" w:space="0" w:color="auto"/>
      </w:divBdr>
    </w:div>
    <w:div w:id="1293635400">
      <w:bodyDiv w:val="1"/>
      <w:marLeft w:val="0"/>
      <w:marRight w:val="0"/>
      <w:marTop w:val="0"/>
      <w:marBottom w:val="0"/>
      <w:divBdr>
        <w:top w:val="none" w:sz="0" w:space="0" w:color="auto"/>
        <w:left w:val="none" w:sz="0" w:space="0" w:color="auto"/>
        <w:bottom w:val="none" w:sz="0" w:space="0" w:color="auto"/>
        <w:right w:val="none" w:sz="0" w:space="0" w:color="auto"/>
      </w:divBdr>
    </w:div>
    <w:div w:id="1293638946">
      <w:bodyDiv w:val="1"/>
      <w:marLeft w:val="0"/>
      <w:marRight w:val="0"/>
      <w:marTop w:val="0"/>
      <w:marBottom w:val="0"/>
      <w:divBdr>
        <w:top w:val="none" w:sz="0" w:space="0" w:color="auto"/>
        <w:left w:val="none" w:sz="0" w:space="0" w:color="auto"/>
        <w:bottom w:val="none" w:sz="0" w:space="0" w:color="auto"/>
        <w:right w:val="none" w:sz="0" w:space="0" w:color="auto"/>
      </w:divBdr>
    </w:div>
    <w:div w:id="1294217355">
      <w:bodyDiv w:val="1"/>
      <w:marLeft w:val="0"/>
      <w:marRight w:val="0"/>
      <w:marTop w:val="0"/>
      <w:marBottom w:val="0"/>
      <w:divBdr>
        <w:top w:val="none" w:sz="0" w:space="0" w:color="auto"/>
        <w:left w:val="none" w:sz="0" w:space="0" w:color="auto"/>
        <w:bottom w:val="none" w:sz="0" w:space="0" w:color="auto"/>
        <w:right w:val="none" w:sz="0" w:space="0" w:color="auto"/>
      </w:divBdr>
    </w:div>
    <w:div w:id="1294603156">
      <w:bodyDiv w:val="1"/>
      <w:marLeft w:val="0"/>
      <w:marRight w:val="0"/>
      <w:marTop w:val="0"/>
      <w:marBottom w:val="0"/>
      <w:divBdr>
        <w:top w:val="none" w:sz="0" w:space="0" w:color="auto"/>
        <w:left w:val="none" w:sz="0" w:space="0" w:color="auto"/>
        <w:bottom w:val="none" w:sz="0" w:space="0" w:color="auto"/>
        <w:right w:val="none" w:sz="0" w:space="0" w:color="auto"/>
      </w:divBdr>
    </w:div>
    <w:div w:id="1295211280">
      <w:bodyDiv w:val="1"/>
      <w:marLeft w:val="0"/>
      <w:marRight w:val="0"/>
      <w:marTop w:val="0"/>
      <w:marBottom w:val="0"/>
      <w:divBdr>
        <w:top w:val="none" w:sz="0" w:space="0" w:color="auto"/>
        <w:left w:val="none" w:sz="0" w:space="0" w:color="auto"/>
        <w:bottom w:val="none" w:sz="0" w:space="0" w:color="auto"/>
        <w:right w:val="none" w:sz="0" w:space="0" w:color="auto"/>
      </w:divBdr>
    </w:div>
    <w:div w:id="1296522549">
      <w:bodyDiv w:val="1"/>
      <w:marLeft w:val="0"/>
      <w:marRight w:val="0"/>
      <w:marTop w:val="0"/>
      <w:marBottom w:val="0"/>
      <w:divBdr>
        <w:top w:val="none" w:sz="0" w:space="0" w:color="auto"/>
        <w:left w:val="none" w:sz="0" w:space="0" w:color="auto"/>
        <w:bottom w:val="none" w:sz="0" w:space="0" w:color="auto"/>
        <w:right w:val="none" w:sz="0" w:space="0" w:color="auto"/>
      </w:divBdr>
    </w:div>
    <w:div w:id="1300111318">
      <w:bodyDiv w:val="1"/>
      <w:marLeft w:val="0"/>
      <w:marRight w:val="0"/>
      <w:marTop w:val="0"/>
      <w:marBottom w:val="0"/>
      <w:divBdr>
        <w:top w:val="none" w:sz="0" w:space="0" w:color="auto"/>
        <w:left w:val="none" w:sz="0" w:space="0" w:color="auto"/>
        <w:bottom w:val="none" w:sz="0" w:space="0" w:color="auto"/>
        <w:right w:val="none" w:sz="0" w:space="0" w:color="auto"/>
      </w:divBdr>
    </w:div>
    <w:div w:id="1302223876">
      <w:bodyDiv w:val="1"/>
      <w:marLeft w:val="0"/>
      <w:marRight w:val="0"/>
      <w:marTop w:val="0"/>
      <w:marBottom w:val="0"/>
      <w:divBdr>
        <w:top w:val="none" w:sz="0" w:space="0" w:color="auto"/>
        <w:left w:val="none" w:sz="0" w:space="0" w:color="auto"/>
        <w:bottom w:val="none" w:sz="0" w:space="0" w:color="auto"/>
        <w:right w:val="none" w:sz="0" w:space="0" w:color="auto"/>
      </w:divBdr>
    </w:div>
    <w:div w:id="1302661453">
      <w:bodyDiv w:val="1"/>
      <w:marLeft w:val="0"/>
      <w:marRight w:val="0"/>
      <w:marTop w:val="0"/>
      <w:marBottom w:val="0"/>
      <w:divBdr>
        <w:top w:val="none" w:sz="0" w:space="0" w:color="auto"/>
        <w:left w:val="none" w:sz="0" w:space="0" w:color="auto"/>
        <w:bottom w:val="none" w:sz="0" w:space="0" w:color="auto"/>
        <w:right w:val="none" w:sz="0" w:space="0" w:color="auto"/>
      </w:divBdr>
    </w:div>
    <w:div w:id="1302921673">
      <w:bodyDiv w:val="1"/>
      <w:marLeft w:val="0"/>
      <w:marRight w:val="0"/>
      <w:marTop w:val="0"/>
      <w:marBottom w:val="0"/>
      <w:divBdr>
        <w:top w:val="none" w:sz="0" w:space="0" w:color="auto"/>
        <w:left w:val="none" w:sz="0" w:space="0" w:color="auto"/>
        <w:bottom w:val="none" w:sz="0" w:space="0" w:color="auto"/>
        <w:right w:val="none" w:sz="0" w:space="0" w:color="auto"/>
      </w:divBdr>
    </w:div>
    <w:div w:id="1303194528">
      <w:bodyDiv w:val="1"/>
      <w:marLeft w:val="0"/>
      <w:marRight w:val="0"/>
      <w:marTop w:val="0"/>
      <w:marBottom w:val="0"/>
      <w:divBdr>
        <w:top w:val="none" w:sz="0" w:space="0" w:color="auto"/>
        <w:left w:val="none" w:sz="0" w:space="0" w:color="auto"/>
        <w:bottom w:val="none" w:sz="0" w:space="0" w:color="auto"/>
        <w:right w:val="none" w:sz="0" w:space="0" w:color="auto"/>
      </w:divBdr>
    </w:div>
    <w:div w:id="1304575691">
      <w:bodyDiv w:val="1"/>
      <w:marLeft w:val="0"/>
      <w:marRight w:val="0"/>
      <w:marTop w:val="0"/>
      <w:marBottom w:val="0"/>
      <w:divBdr>
        <w:top w:val="none" w:sz="0" w:space="0" w:color="auto"/>
        <w:left w:val="none" w:sz="0" w:space="0" w:color="auto"/>
        <w:bottom w:val="none" w:sz="0" w:space="0" w:color="auto"/>
        <w:right w:val="none" w:sz="0" w:space="0" w:color="auto"/>
      </w:divBdr>
    </w:div>
    <w:div w:id="1304845342">
      <w:bodyDiv w:val="1"/>
      <w:marLeft w:val="0"/>
      <w:marRight w:val="0"/>
      <w:marTop w:val="0"/>
      <w:marBottom w:val="0"/>
      <w:divBdr>
        <w:top w:val="none" w:sz="0" w:space="0" w:color="auto"/>
        <w:left w:val="none" w:sz="0" w:space="0" w:color="auto"/>
        <w:bottom w:val="none" w:sz="0" w:space="0" w:color="auto"/>
        <w:right w:val="none" w:sz="0" w:space="0" w:color="auto"/>
      </w:divBdr>
    </w:div>
    <w:div w:id="1305310222">
      <w:bodyDiv w:val="1"/>
      <w:marLeft w:val="0"/>
      <w:marRight w:val="0"/>
      <w:marTop w:val="0"/>
      <w:marBottom w:val="0"/>
      <w:divBdr>
        <w:top w:val="none" w:sz="0" w:space="0" w:color="auto"/>
        <w:left w:val="none" w:sz="0" w:space="0" w:color="auto"/>
        <w:bottom w:val="none" w:sz="0" w:space="0" w:color="auto"/>
        <w:right w:val="none" w:sz="0" w:space="0" w:color="auto"/>
      </w:divBdr>
    </w:div>
    <w:div w:id="1305427768">
      <w:bodyDiv w:val="1"/>
      <w:marLeft w:val="0"/>
      <w:marRight w:val="0"/>
      <w:marTop w:val="0"/>
      <w:marBottom w:val="0"/>
      <w:divBdr>
        <w:top w:val="none" w:sz="0" w:space="0" w:color="auto"/>
        <w:left w:val="none" w:sz="0" w:space="0" w:color="auto"/>
        <w:bottom w:val="none" w:sz="0" w:space="0" w:color="auto"/>
        <w:right w:val="none" w:sz="0" w:space="0" w:color="auto"/>
      </w:divBdr>
    </w:div>
    <w:div w:id="1306544602">
      <w:bodyDiv w:val="1"/>
      <w:marLeft w:val="0"/>
      <w:marRight w:val="0"/>
      <w:marTop w:val="0"/>
      <w:marBottom w:val="0"/>
      <w:divBdr>
        <w:top w:val="none" w:sz="0" w:space="0" w:color="auto"/>
        <w:left w:val="none" w:sz="0" w:space="0" w:color="auto"/>
        <w:bottom w:val="none" w:sz="0" w:space="0" w:color="auto"/>
        <w:right w:val="none" w:sz="0" w:space="0" w:color="auto"/>
      </w:divBdr>
    </w:div>
    <w:div w:id="1306932685">
      <w:bodyDiv w:val="1"/>
      <w:marLeft w:val="0"/>
      <w:marRight w:val="0"/>
      <w:marTop w:val="0"/>
      <w:marBottom w:val="0"/>
      <w:divBdr>
        <w:top w:val="none" w:sz="0" w:space="0" w:color="auto"/>
        <w:left w:val="none" w:sz="0" w:space="0" w:color="auto"/>
        <w:bottom w:val="none" w:sz="0" w:space="0" w:color="auto"/>
        <w:right w:val="none" w:sz="0" w:space="0" w:color="auto"/>
      </w:divBdr>
    </w:div>
    <w:div w:id="1307275417">
      <w:bodyDiv w:val="1"/>
      <w:marLeft w:val="0"/>
      <w:marRight w:val="0"/>
      <w:marTop w:val="0"/>
      <w:marBottom w:val="0"/>
      <w:divBdr>
        <w:top w:val="none" w:sz="0" w:space="0" w:color="auto"/>
        <w:left w:val="none" w:sz="0" w:space="0" w:color="auto"/>
        <w:bottom w:val="none" w:sz="0" w:space="0" w:color="auto"/>
        <w:right w:val="none" w:sz="0" w:space="0" w:color="auto"/>
      </w:divBdr>
    </w:div>
    <w:div w:id="1308243769">
      <w:bodyDiv w:val="1"/>
      <w:marLeft w:val="0"/>
      <w:marRight w:val="0"/>
      <w:marTop w:val="0"/>
      <w:marBottom w:val="0"/>
      <w:divBdr>
        <w:top w:val="none" w:sz="0" w:space="0" w:color="auto"/>
        <w:left w:val="none" w:sz="0" w:space="0" w:color="auto"/>
        <w:bottom w:val="none" w:sz="0" w:space="0" w:color="auto"/>
        <w:right w:val="none" w:sz="0" w:space="0" w:color="auto"/>
      </w:divBdr>
    </w:div>
    <w:div w:id="1309213182">
      <w:bodyDiv w:val="1"/>
      <w:marLeft w:val="0"/>
      <w:marRight w:val="0"/>
      <w:marTop w:val="0"/>
      <w:marBottom w:val="0"/>
      <w:divBdr>
        <w:top w:val="none" w:sz="0" w:space="0" w:color="auto"/>
        <w:left w:val="none" w:sz="0" w:space="0" w:color="auto"/>
        <w:bottom w:val="none" w:sz="0" w:space="0" w:color="auto"/>
        <w:right w:val="none" w:sz="0" w:space="0" w:color="auto"/>
      </w:divBdr>
    </w:div>
    <w:div w:id="1309674089">
      <w:bodyDiv w:val="1"/>
      <w:marLeft w:val="0"/>
      <w:marRight w:val="0"/>
      <w:marTop w:val="0"/>
      <w:marBottom w:val="0"/>
      <w:divBdr>
        <w:top w:val="none" w:sz="0" w:space="0" w:color="auto"/>
        <w:left w:val="none" w:sz="0" w:space="0" w:color="auto"/>
        <w:bottom w:val="none" w:sz="0" w:space="0" w:color="auto"/>
        <w:right w:val="none" w:sz="0" w:space="0" w:color="auto"/>
      </w:divBdr>
    </w:div>
    <w:div w:id="1310288431">
      <w:bodyDiv w:val="1"/>
      <w:marLeft w:val="0"/>
      <w:marRight w:val="0"/>
      <w:marTop w:val="0"/>
      <w:marBottom w:val="0"/>
      <w:divBdr>
        <w:top w:val="none" w:sz="0" w:space="0" w:color="auto"/>
        <w:left w:val="none" w:sz="0" w:space="0" w:color="auto"/>
        <w:bottom w:val="none" w:sz="0" w:space="0" w:color="auto"/>
        <w:right w:val="none" w:sz="0" w:space="0" w:color="auto"/>
      </w:divBdr>
    </w:div>
    <w:div w:id="1310330185">
      <w:bodyDiv w:val="1"/>
      <w:marLeft w:val="0"/>
      <w:marRight w:val="0"/>
      <w:marTop w:val="0"/>
      <w:marBottom w:val="0"/>
      <w:divBdr>
        <w:top w:val="none" w:sz="0" w:space="0" w:color="auto"/>
        <w:left w:val="none" w:sz="0" w:space="0" w:color="auto"/>
        <w:bottom w:val="none" w:sz="0" w:space="0" w:color="auto"/>
        <w:right w:val="none" w:sz="0" w:space="0" w:color="auto"/>
      </w:divBdr>
    </w:div>
    <w:div w:id="1310549525">
      <w:bodyDiv w:val="1"/>
      <w:marLeft w:val="0"/>
      <w:marRight w:val="0"/>
      <w:marTop w:val="0"/>
      <w:marBottom w:val="0"/>
      <w:divBdr>
        <w:top w:val="none" w:sz="0" w:space="0" w:color="auto"/>
        <w:left w:val="none" w:sz="0" w:space="0" w:color="auto"/>
        <w:bottom w:val="none" w:sz="0" w:space="0" w:color="auto"/>
        <w:right w:val="none" w:sz="0" w:space="0" w:color="auto"/>
      </w:divBdr>
    </w:div>
    <w:div w:id="1312060422">
      <w:bodyDiv w:val="1"/>
      <w:marLeft w:val="0"/>
      <w:marRight w:val="0"/>
      <w:marTop w:val="0"/>
      <w:marBottom w:val="0"/>
      <w:divBdr>
        <w:top w:val="none" w:sz="0" w:space="0" w:color="auto"/>
        <w:left w:val="none" w:sz="0" w:space="0" w:color="auto"/>
        <w:bottom w:val="none" w:sz="0" w:space="0" w:color="auto"/>
        <w:right w:val="none" w:sz="0" w:space="0" w:color="auto"/>
      </w:divBdr>
    </w:div>
    <w:div w:id="1316648443">
      <w:bodyDiv w:val="1"/>
      <w:marLeft w:val="0"/>
      <w:marRight w:val="0"/>
      <w:marTop w:val="0"/>
      <w:marBottom w:val="0"/>
      <w:divBdr>
        <w:top w:val="none" w:sz="0" w:space="0" w:color="auto"/>
        <w:left w:val="none" w:sz="0" w:space="0" w:color="auto"/>
        <w:bottom w:val="none" w:sz="0" w:space="0" w:color="auto"/>
        <w:right w:val="none" w:sz="0" w:space="0" w:color="auto"/>
      </w:divBdr>
    </w:div>
    <w:div w:id="1317874762">
      <w:bodyDiv w:val="1"/>
      <w:marLeft w:val="0"/>
      <w:marRight w:val="0"/>
      <w:marTop w:val="0"/>
      <w:marBottom w:val="0"/>
      <w:divBdr>
        <w:top w:val="none" w:sz="0" w:space="0" w:color="auto"/>
        <w:left w:val="none" w:sz="0" w:space="0" w:color="auto"/>
        <w:bottom w:val="none" w:sz="0" w:space="0" w:color="auto"/>
        <w:right w:val="none" w:sz="0" w:space="0" w:color="auto"/>
      </w:divBdr>
    </w:div>
    <w:div w:id="1318418390">
      <w:bodyDiv w:val="1"/>
      <w:marLeft w:val="0"/>
      <w:marRight w:val="0"/>
      <w:marTop w:val="0"/>
      <w:marBottom w:val="0"/>
      <w:divBdr>
        <w:top w:val="none" w:sz="0" w:space="0" w:color="auto"/>
        <w:left w:val="none" w:sz="0" w:space="0" w:color="auto"/>
        <w:bottom w:val="none" w:sz="0" w:space="0" w:color="auto"/>
        <w:right w:val="none" w:sz="0" w:space="0" w:color="auto"/>
      </w:divBdr>
    </w:div>
    <w:div w:id="1318460741">
      <w:bodyDiv w:val="1"/>
      <w:marLeft w:val="0"/>
      <w:marRight w:val="0"/>
      <w:marTop w:val="0"/>
      <w:marBottom w:val="0"/>
      <w:divBdr>
        <w:top w:val="none" w:sz="0" w:space="0" w:color="auto"/>
        <w:left w:val="none" w:sz="0" w:space="0" w:color="auto"/>
        <w:bottom w:val="none" w:sz="0" w:space="0" w:color="auto"/>
        <w:right w:val="none" w:sz="0" w:space="0" w:color="auto"/>
      </w:divBdr>
    </w:div>
    <w:div w:id="1319917257">
      <w:bodyDiv w:val="1"/>
      <w:marLeft w:val="0"/>
      <w:marRight w:val="0"/>
      <w:marTop w:val="0"/>
      <w:marBottom w:val="0"/>
      <w:divBdr>
        <w:top w:val="none" w:sz="0" w:space="0" w:color="auto"/>
        <w:left w:val="none" w:sz="0" w:space="0" w:color="auto"/>
        <w:bottom w:val="none" w:sz="0" w:space="0" w:color="auto"/>
        <w:right w:val="none" w:sz="0" w:space="0" w:color="auto"/>
      </w:divBdr>
    </w:div>
    <w:div w:id="1321467993">
      <w:bodyDiv w:val="1"/>
      <w:marLeft w:val="0"/>
      <w:marRight w:val="0"/>
      <w:marTop w:val="0"/>
      <w:marBottom w:val="0"/>
      <w:divBdr>
        <w:top w:val="none" w:sz="0" w:space="0" w:color="auto"/>
        <w:left w:val="none" w:sz="0" w:space="0" w:color="auto"/>
        <w:bottom w:val="none" w:sz="0" w:space="0" w:color="auto"/>
        <w:right w:val="none" w:sz="0" w:space="0" w:color="auto"/>
      </w:divBdr>
    </w:div>
    <w:div w:id="1323579159">
      <w:bodyDiv w:val="1"/>
      <w:marLeft w:val="0"/>
      <w:marRight w:val="0"/>
      <w:marTop w:val="0"/>
      <w:marBottom w:val="0"/>
      <w:divBdr>
        <w:top w:val="none" w:sz="0" w:space="0" w:color="auto"/>
        <w:left w:val="none" w:sz="0" w:space="0" w:color="auto"/>
        <w:bottom w:val="none" w:sz="0" w:space="0" w:color="auto"/>
        <w:right w:val="none" w:sz="0" w:space="0" w:color="auto"/>
      </w:divBdr>
    </w:div>
    <w:div w:id="1323969769">
      <w:bodyDiv w:val="1"/>
      <w:marLeft w:val="0"/>
      <w:marRight w:val="0"/>
      <w:marTop w:val="0"/>
      <w:marBottom w:val="0"/>
      <w:divBdr>
        <w:top w:val="none" w:sz="0" w:space="0" w:color="auto"/>
        <w:left w:val="none" w:sz="0" w:space="0" w:color="auto"/>
        <w:bottom w:val="none" w:sz="0" w:space="0" w:color="auto"/>
        <w:right w:val="none" w:sz="0" w:space="0" w:color="auto"/>
      </w:divBdr>
    </w:div>
    <w:div w:id="1323974608">
      <w:bodyDiv w:val="1"/>
      <w:marLeft w:val="0"/>
      <w:marRight w:val="0"/>
      <w:marTop w:val="0"/>
      <w:marBottom w:val="0"/>
      <w:divBdr>
        <w:top w:val="none" w:sz="0" w:space="0" w:color="auto"/>
        <w:left w:val="none" w:sz="0" w:space="0" w:color="auto"/>
        <w:bottom w:val="none" w:sz="0" w:space="0" w:color="auto"/>
        <w:right w:val="none" w:sz="0" w:space="0" w:color="auto"/>
      </w:divBdr>
    </w:div>
    <w:div w:id="1325472196">
      <w:bodyDiv w:val="1"/>
      <w:marLeft w:val="0"/>
      <w:marRight w:val="0"/>
      <w:marTop w:val="0"/>
      <w:marBottom w:val="0"/>
      <w:divBdr>
        <w:top w:val="none" w:sz="0" w:space="0" w:color="auto"/>
        <w:left w:val="none" w:sz="0" w:space="0" w:color="auto"/>
        <w:bottom w:val="none" w:sz="0" w:space="0" w:color="auto"/>
        <w:right w:val="none" w:sz="0" w:space="0" w:color="auto"/>
      </w:divBdr>
    </w:div>
    <w:div w:id="1329485221">
      <w:bodyDiv w:val="1"/>
      <w:marLeft w:val="0"/>
      <w:marRight w:val="0"/>
      <w:marTop w:val="0"/>
      <w:marBottom w:val="0"/>
      <w:divBdr>
        <w:top w:val="none" w:sz="0" w:space="0" w:color="auto"/>
        <w:left w:val="none" w:sz="0" w:space="0" w:color="auto"/>
        <w:bottom w:val="none" w:sz="0" w:space="0" w:color="auto"/>
        <w:right w:val="none" w:sz="0" w:space="0" w:color="auto"/>
      </w:divBdr>
    </w:div>
    <w:div w:id="1330595451">
      <w:bodyDiv w:val="1"/>
      <w:marLeft w:val="0"/>
      <w:marRight w:val="0"/>
      <w:marTop w:val="0"/>
      <w:marBottom w:val="0"/>
      <w:divBdr>
        <w:top w:val="none" w:sz="0" w:space="0" w:color="auto"/>
        <w:left w:val="none" w:sz="0" w:space="0" w:color="auto"/>
        <w:bottom w:val="none" w:sz="0" w:space="0" w:color="auto"/>
        <w:right w:val="none" w:sz="0" w:space="0" w:color="auto"/>
      </w:divBdr>
    </w:div>
    <w:div w:id="1331520640">
      <w:bodyDiv w:val="1"/>
      <w:marLeft w:val="0"/>
      <w:marRight w:val="0"/>
      <w:marTop w:val="0"/>
      <w:marBottom w:val="0"/>
      <w:divBdr>
        <w:top w:val="none" w:sz="0" w:space="0" w:color="auto"/>
        <w:left w:val="none" w:sz="0" w:space="0" w:color="auto"/>
        <w:bottom w:val="none" w:sz="0" w:space="0" w:color="auto"/>
        <w:right w:val="none" w:sz="0" w:space="0" w:color="auto"/>
      </w:divBdr>
    </w:div>
    <w:div w:id="1332030144">
      <w:bodyDiv w:val="1"/>
      <w:marLeft w:val="0"/>
      <w:marRight w:val="0"/>
      <w:marTop w:val="0"/>
      <w:marBottom w:val="0"/>
      <w:divBdr>
        <w:top w:val="none" w:sz="0" w:space="0" w:color="auto"/>
        <w:left w:val="none" w:sz="0" w:space="0" w:color="auto"/>
        <w:bottom w:val="none" w:sz="0" w:space="0" w:color="auto"/>
        <w:right w:val="none" w:sz="0" w:space="0" w:color="auto"/>
      </w:divBdr>
    </w:div>
    <w:div w:id="1333026386">
      <w:bodyDiv w:val="1"/>
      <w:marLeft w:val="0"/>
      <w:marRight w:val="0"/>
      <w:marTop w:val="0"/>
      <w:marBottom w:val="0"/>
      <w:divBdr>
        <w:top w:val="none" w:sz="0" w:space="0" w:color="auto"/>
        <w:left w:val="none" w:sz="0" w:space="0" w:color="auto"/>
        <w:bottom w:val="none" w:sz="0" w:space="0" w:color="auto"/>
        <w:right w:val="none" w:sz="0" w:space="0" w:color="auto"/>
      </w:divBdr>
    </w:div>
    <w:div w:id="1333221063">
      <w:bodyDiv w:val="1"/>
      <w:marLeft w:val="0"/>
      <w:marRight w:val="0"/>
      <w:marTop w:val="0"/>
      <w:marBottom w:val="0"/>
      <w:divBdr>
        <w:top w:val="none" w:sz="0" w:space="0" w:color="auto"/>
        <w:left w:val="none" w:sz="0" w:space="0" w:color="auto"/>
        <w:bottom w:val="none" w:sz="0" w:space="0" w:color="auto"/>
        <w:right w:val="none" w:sz="0" w:space="0" w:color="auto"/>
      </w:divBdr>
    </w:div>
    <w:div w:id="1333988420">
      <w:bodyDiv w:val="1"/>
      <w:marLeft w:val="0"/>
      <w:marRight w:val="0"/>
      <w:marTop w:val="0"/>
      <w:marBottom w:val="0"/>
      <w:divBdr>
        <w:top w:val="none" w:sz="0" w:space="0" w:color="auto"/>
        <w:left w:val="none" w:sz="0" w:space="0" w:color="auto"/>
        <w:bottom w:val="none" w:sz="0" w:space="0" w:color="auto"/>
        <w:right w:val="none" w:sz="0" w:space="0" w:color="auto"/>
      </w:divBdr>
    </w:div>
    <w:div w:id="1334606475">
      <w:bodyDiv w:val="1"/>
      <w:marLeft w:val="0"/>
      <w:marRight w:val="0"/>
      <w:marTop w:val="0"/>
      <w:marBottom w:val="0"/>
      <w:divBdr>
        <w:top w:val="none" w:sz="0" w:space="0" w:color="auto"/>
        <w:left w:val="none" w:sz="0" w:space="0" w:color="auto"/>
        <w:bottom w:val="none" w:sz="0" w:space="0" w:color="auto"/>
        <w:right w:val="none" w:sz="0" w:space="0" w:color="auto"/>
      </w:divBdr>
    </w:div>
    <w:div w:id="1335762284">
      <w:bodyDiv w:val="1"/>
      <w:marLeft w:val="0"/>
      <w:marRight w:val="0"/>
      <w:marTop w:val="0"/>
      <w:marBottom w:val="0"/>
      <w:divBdr>
        <w:top w:val="none" w:sz="0" w:space="0" w:color="auto"/>
        <w:left w:val="none" w:sz="0" w:space="0" w:color="auto"/>
        <w:bottom w:val="none" w:sz="0" w:space="0" w:color="auto"/>
        <w:right w:val="none" w:sz="0" w:space="0" w:color="auto"/>
      </w:divBdr>
    </w:div>
    <w:div w:id="1336834592">
      <w:bodyDiv w:val="1"/>
      <w:marLeft w:val="0"/>
      <w:marRight w:val="0"/>
      <w:marTop w:val="0"/>
      <w:marBottom w:val="0"/>
      <w:divBdr>
        <w:top w:val="none" w:sz="0" w:space="0" w:color="auto"/>
        <w:left w:val="none" w:sz="0" w:space="0" w:color="auto"/>
        <w:bottom w:val="none" w:sz="0" w:space="0" w:color="auto"/>
        <w:right w:val="none" w:sz="0" w:space="0" w:color="auto"/>
      </w:divBdr>
    </w:div>
    <w:div w:id="1337264510">
      <w:bodyDiv w:val="1"/>
      <w:marLeft w:val="0"/>
      <w:marRight w:val="0"/>
      <w:marTop w:val="0"/>
      <w:marBottom w:val="0"/>
      <w:divBdr>
        <w:top w:val="none" w:sz="0" w:space="0" w:color="auto"/>
        <w:left w:val="none" w:sz="0" w:space="0" w:color="auto"/>
        <w:bottom w:val="none" w:sz="0" w:space="0" w:color="auto"/>
        <w:right w:val="none" w:sz="0" w:space="0" w:color="auto"/>
      </w:divBdr>
    </w:div>
    <w:div w:id="1337268812">
      <w:bodyDiv w:val="1"/>
      <w:marLeft w:val="0"/>
      <w:marRight w:val="0"/>
      <w:marTop w:val="0"/>
      <w:marBottom w:val="0"/>
      <w:divBdr>
        <w:top w:val="none" w:sz="0" w:space="0" w:color="auto"/>
        <w:left w:val="none" w:sz="0" w:space="0" w:color="auto"/>
        <w:bottom w:val="none" w:sz="0" w:space="0" w:color="auto"/>
        <w:right w:val="none" w:sz="0" w:space="0" w:color="auto"/>
      </w:divBdr>
    </w:div>
    <w:div w:id="1338731075">
      <w:bodyDiv w:val="1"/>
      <w:marLeft w:val="0"/>
      <w:marRight w:val="0"/>
      <w:marTop w:val="0"/>
      <w:marBottom w:val="0"/>
      <w:divBdr>
        <w:top w:val="none" w:sz="0" w:space="0" w:color="auto"/>
        <w:left w:val="none" w:sz="0" w:space="0" w:color="auto"/>
        <w:bottom w:val="none" w:sz="0" w:space="0" w:color="auto"/>
        <w:right w:val="none" w:sz="0" w:space="0" w:color="auto"/>
      </w:divBdr>
    </w:div>
    <w:div w:id="1341129209">
      <w:bodyDiv w:val="1"/>
      <w:marLeft w:val="0"/>
      <w:marRight w:val="0"/>
      <w:marTop w:val="0"/>
      <w:marBottom w:val="0"/>
      <w:divBdr>
        <w:top w:val="none" w:sz="0" w:space="0" w:color="auto"/>
        <w:left w:val="none" w:sz="0" w:space="0" w:color="auto"/>
        <w:bottom w:val="none" w:sz="0" w:space="0" w:color="auto"/>
        <w:right w:val="none" w:sz="0" w:space="0" w:color="auto"/>
      </w:divBdr>
    </w:div>
    <w:div w:id="1346640055">
      <w:bodyDiv w:val="1"/>
      <w:marLeft w:val="0"/>
      <w:marRight w:val="0"/>
      <w:marTop w:val="0"/>
      <w:marBottom w:val="0"/>
      <w:divBdr>
        <w:top w:val="none" w:sz="0" w:space="0" w:color="auto"/>
        <w:left w:val="none" w:sz="0" w:space="0" w:color="auto"/>
        <w:bottom w:val="none" w:sz="0" w:space="0" w:color="auto"/>
        <w:right w:val="none" w:sz="0" w:space="0" w:color="auto"/>
      </w:divBdr>
    </w:div>
    <w:div w:id="1346712008">
      <w:bodyDiv w:val="1"/>
      <w:marLeft w:val="0"/>
      <w:marRight w:val="0"/>
      <w:marTop w:val="0"/>
      <w:marBottom w:val="0"/>
      <w:divBdr>
        <w:top w:val="none" w:sz="0" w:space="0" w:color="auto"/>
        <w:left w:val="none" w:sz="0" w:space="0" w:color="auto"/>
        <w:bottom w:val="none" w:sz="0" w:space="0" w:color="auto"/>
        <w:right w:val="none" w:sz="0" w:space="0" w:color="auto"/>
      </w:divBdr>
    </w:div>
    <w:div w:id="1346713665">
      <w:bodyDiv w:val="1"/>
      <w:marLeft w:val="0"/>
      <w:marRight w:val="0"/>
      <w:marTop w:val="0"/>
      <w:marBottom w:val="0"/>
      <w:divBdr>
        <w:top w:val="none" w:sz="0" w:space="0" w:color="auto"/>
        <w:left w:val="none" w:sz="0" w:space="0" w:color="auto"/>
        <w:bottom w:val="none" w:sz="0" w:space="0" w:color="auto"/>
        <w:right w:val="none" w:sz="0" w:space="0" w:color="auto"/>
      </w:divBdr>
    </w:div>
    <w:div w:id="1347947197">
      <w:bodyDiv w:val="1"/>
      <w:marLeft w:val="0"/>
      <w:marRight w:val="0"/>
      <w:marTop w:val="0"/>
      <w:marBottom w:val="0"/>
      <w:divBdr>
        <w:top w:val="none" w:sz="0" w:space="0" w:color="auto"/>
        <w:left w:val="none" w:sz="0" w:space="0" w:color="auto"/>
        <w:bottom w:val="none" w:sz="0" w:space="0" w:color="auto"/>
        <w:right w:val="none" w:sz="0" w:space="0" w:color="auto"/>
      </w:divBdr>
    </w:div>
    <w:div w:id="1349520932">
      <w:bodyDiv w:val="1"/>
      <w:marLeft w:val="0"/>
      <w:marRight w:val="0"/>
      <w:marTop w:val="0"/>
      <w:marBottom w:val="0"/>
      <w:divBdr>
        <w:top w:val="none" w:sz="0" w:space="0" w:color="auto"/>
        <w:left w:val="none" w:sz="0" w:space="0" w:color="auto"/>
        <w:bottom w:val="none" w:sz="0" w:space="0" w:color="auto"/>
        <w:right w:val="none" w:sz="0" w:space="0" w:color="auto"/>
      </w:divBdr>
    </w:div>
    <w:div w:id="1350134991">
      <w:bodyDiv w:val="1"/>
      <w:marLeft w:val="0"/>
      <w:marRight w:val="0"/>
      <w:marTop w:val="0"/>
      <w:marBottom w:val="0"/>
      <w:divBdr>
        <w:top w:val="none" w:sz="0" w:space="0" w:color="auto"/>
        <w:left w:val="none" w:sz="0" w:space="0" w:color="auto"/>
        <w:bottom w:val="none" w:sz="0" w:space="0" w:color="auto"/>
        <w:right w:val="none" w:sz="0" w:space="0" w:color="auto"/>
      </w:divBdr>
    </w:div>
    <w:div w:id="1350183656">
      <w:bodyDiv w:val="1"/>
      <w:marLeft w:val="0"/>
      <w:marRight w:val="0"/>
      <w:marTop w:val="0"/>
      <w:marBottom w:val="0"/>
      <w:divBdr>
        <w:top w:val="none" w:sz="0" w:space="0" w:color="auto"/>
        <w:left w:val="none" w:sz="0" w:space="0" w:color="auto"/>
        <w:bottom w:val="none" w:sz="0" w:space="0" w:color="auto"/>
        <w:right w:val="none" w:sz="0" w:space="0" w:color="auto"/>
      </w:divBdr>
    </w:div>
    <w:div w:id="1351370996">
      <w:bodyDiv w:val="1"/>
      <w:marLeft w:val="0"/>
      <w:marRight w:val="0"/>
      <w:marTop w:val="0"/>
      <w:marBottom w:val="0"/>
      <w:divBdr>
        <w:top w:val="none" w:sz="0" w:space="0" w:color="auto"/>
        <w:left w:val="none" w:sz="0" w:space="0" w:color="auto"/>
        <w:bottom w:val="none" w:sz="0" w:space="0" w:color="auto"/>
        <w:right w:val="none" w:sz="0" w:space="0" w:color="auto"/>
      </w:divBdr>
    </w:div>
    <w:div w:id="1352800144">
      <w:bodyDiv w:val="1"/>
      <w:marLeft w:val="0"/>
      <w:marRight w:val="0"/>
      <w:marTop w:val="0"/>
      <w:marBottom w:val="0"/>
      <w:divBdr>
        <w:top w:val="none" w:sz="0" w:space="0" w:color="auto"/>
        <w:left w:val="none" w:sz="0" w:space="0" w:color="auto"/>
        <w:bottom w:val="none" w:sz="0" w:space="0" w:color="auto"/>
        <w:right w:val="none" w:sz="0" w:space="0" w:color="auto"/>
      </w:divBdr>
    </w:div>
    <w:div w:id="1352954968">
      <w:bodyDiv w:val="1"/>
      <w:marLeft w:val="0"/>
      <w:marRight w:val="0"/>
      <w:marTop w:val="0"/>
      <w:marBottom w:val="0"/>
      <w:divBdr>
        <w:top w:val="none" w:sz="0" w:space="0" w:color="auto"/>
        <w:left w:val="none" w:sz="0" w:space="0" w:color="auto"/>
        <w:bottom w:val="none" w:sz="0" w:space="0" w:color="auto"/>
        <w:right w:val="none" w:sz="0" w:space="0" w:color="auto"/>
      </w:divBdr>
    </w:div>
    <w:div w:id="1354843146">
      <w:bodyDiv w:val="1"/>
      <w:marLeft w:val="0"/>
      <w:marRight w:val="0"/>
      <w:marTop w:val="0"/>
      <w:marBottom w:val="0"/>
      <w:divBdr>
        <w:top w:val="none" w:sz="0" w:space="0" w:color="auto"/>
        <w:left w:val="none" w:sz="0" w:space="0" w:color="auto"/>
        <w:bottom w:val="none" w:sz="0" w:space="0" w:color="auto"/>
        <w:right w:val="none" w:sz="0" w:space="0" w:color="auto"/>
      </w:divBdr>
    </w:div>
    <w:div w:id="1355424105">
      <w:bodyDiv w:val="1"/>
      <w:marLeft w:val="0"/>
      <w:marRight w:val="0"/>
      <w:marTop w:val="0"/>
      <w:marBottom w:val="0"/>
      <w:divBdr>
        <w:top w:val="none" w:sz="0" w:space="0" w:color="auto"/>
        <w:left w:val="none" w:sz="0" w:space="0" w:color="auto"/>
        <w:bottom w:val="none" w:sz="0" w:space="0" w:color="auto"/>
        <w:right w:val="none" w:sz="0" w:space="0" w:color="auto"/>
      </w:divBdr>
    </w:div>
    <w:div w:id="1356351377">
      <w:bodyDiv w:val="1"/>
      <w:marLeft w:val="0"/>
      <w:marRight w:val="0"/>
      <w:marTop w:val="0"/>
      <w:marBottom w:val="0"/>
      <w:divBdr>
        <w:top w:val="none" w:sz="0" w:space="0" w:color="auto"/>
        <w:left w:val="none" w:sz="0" w:space="0" w:color="auto"/>
        <w:bottom w:val="none" w:sz="0" w:space="0" w:color="auto"/>
        <w:right w:val="none" w:sz="0" w:space="0" w:color="auto"/>
      </w:divBdr>
    </w:div>
    <w:div w:id="1358700011">
      <w:bodyDiv w:val="1"/>
      <w:marLeft w:val="0"/>
      <w:marRight w:val="0"/>
      <w:marTop w:val="0"/>
      <w:marBottom w:val="0"/>
      <w:divBdr>
        <w:top w:val="none" w:sz="0" w:space="0" w:color="auto"/>
        <w:left w:val="none" w:sz="0" w:space="0" w:color="auto"/>
        <w:bottom w:val="none" w:sz="0" w:space="0" w:color="auto"/>
        <w:right w:val="none" w:sz="0" w:space="0" w:color="auto"/>
      </w:divBdr>
    </w:div>
    <w:div w:id="1359502830">
      <w:bodyDiv w:val="1"/>
      <w:marLeft w:val="0"/>
      <w:marRight w:val="0"/>
      <w:marTop w:val="0"/>
      <w:marBottom w:val="0"/>
      <w:divBdr>
        <w:top w:val="none" w:sz="0" w:space="0" w:color="auto"/>
        <w:left w:val="none" w:sz="0" w:space="0" w:color="auto"/>
        <w:bottom w:val="none" w:sz="0" w:space="0" w:color="auto"/>
        <w:right w:val="none" w:sz="0" w:space="0" w:color="auto"/>
      </w:divBdr>
    </w:div>
    <w:div w:id="1359546562">
      <w:bodyDiv w:val="1"/>
      <w:marLeft w:val="0"/>
      <w:marRight w:val="0"/>
      <w:marTop w:val="0"/>
      <w:marBottom w:val="0"/>
      <w:divBdr>
        <w:top w:val="none" w:sz="0" w:space="0" w:color="auto"/>
        <w:left w:val="none" w:sz="0" w:space="0" w:color="auto"/>
        <w:bottom w:val="none" w:sz="0" w:space="0" w:color="auto"/>
        <w:right w:val="none" w:sz="0" w:space="0" w:color="auto"/>
      </w:divBdr>
    </w:div>
    <w:div w:id="1360080963">
      <w:bodyDiv w:val="1"/>
      <w:marLeft w:val="0"/>
      <w:marRight w:val="0"/>
      <w:marTop w:val="0"/>
      <w:marBottom w:val="0"/>
      <w:divBdr>
        <w:top w:val="none" w:sz="0" w:space="0" w:color="auto"/>
        <w:left w:val="none" w:sz="0" w:space="0" w:color="auto"/>
        <w:bottom w:val="none" w:sz="0" w:space="0" w:color="auto"/>
        <w:right w:val="none" w:sz="0" w:space="0" w:color="auto"/>
      </w:divBdr>
    </w:div>
    <w:div w:id="1360276715">
      <w:bodyDiv w:val="1"/>
      <w:marLeft w:val="0"/>
      <w:marRight w:val="0"/>
      <w:marTop w:val="0"/>
      <w:marBottom w:val="0"/>
      <w:divBdr>
        <w:top w:val="none" w:sz="0" w:space="0" w:color="auto"/>
        <w:left w:val="none" w:sz="0" w:space="0" w:color="auto"/>
        <w:bottom w:val="none" w:sz="0" w:space="0" w:color="auto"/>
        <w:right w:val="none" w:sz="0" w:space="0" w:color="auto"/>
      </w:divBdr>
    </w:div>
    <w:div w:id="1360279308">
      <w:bodyDiv w:val="1"/>
      <w:marLeft w:val="0"/>
      <w:marRight w:val="0"/>
      <w:marTop w:val="0"/>
      <w:marBottom w:val="0"/>
      <w:divBdr>
        <w:top w:val="none" w:sz="0" w:space="0" w:color="auto"/>
        <w:left w:val="none" w:sz="0" w:space="0" w:color="auto"/>
        <w:bottom w:val="none" w:sz="0" w:space="0" w:color="auto"/>
        <w:right w:val="none" w:sz="0" w:space="0" w:color="auto"/>
      </w:divBdr>
    </w:div>
    <w:div w:id="1360352326">
      <w:bodyDiv w:val="1"/>
      <w:marLeft w:val="0"/>
      <w:marRight w:val="0"/>
      <w:marTop w:val="0"/>
      <w:marBottom w:val="0"/>
      <w:divBdr>
        <w:top w:val="none" w:sz="0" w:space="0" w:color="auto"/>
        <w:left w:val="none" w:sz="0" w:space="0" w:color="auto"/>
        <w:bottom w:val="none" w:sz="0" w:space="0" w:color="auto"/>
        <w:right w:val="none" w:sz="0" w:space="0" w:color="auto"/>
      </w:divBdr>
    </w:div>
    <w:div w:id="1361274173">
      <w:bodyDiv w:val="1"/>
      <w:marLeft w:val="0"/>
      <w:marRight w:val="0"/>
      <w:marTop w:val="0"/>
      <w:marBottom w:val="0"/>
      <w:divBdr>
        <w:top w:val="none" w:sz="0" w:space="0" w:color="auto"/>
        <w:left w:val="none" w:sz="0" w:space="0" w:color="auto"/>
        <w:bottom w:val="none" w:sz="0" w:space="0" w:color="auto"/>
        <w:right w:val="none" w:sz="0" w:space="0" w:color="auto"/>
      </w:divBdr>
    </w:div>
    <w:div w:id="1362703589">
      <w:bodyDiv w:val="1"/>
      <w:marLeft w:val="0"/>
      <w:marRight w:val="0"/>
      <w:marTop w:val="0"/>
      <w:marBottom w:val="0"/>
      <w:divBdr>
        <w:top w:val="none" w:sz="0" w:space="0" w:color="auto"/>
        <w:left w:val="none" w:sz="0" w:space="0" w:color="auto"/>
        <w:bottom w:val="none" w:sz="0" w:space="0" w:color="auto"/>
        <w:right w:val="none" w:sz="0" w:space="0" w:color="auto"/>
      </w:divBdr>
    </w:div>
    <w:div w:id="1362781508">
      <w:bodyDiv w:val="1"/>
      <w:marLeft w:val="0"/>
      <w:marRight w:val="0"/>
      <w:marTop w:val="0"/>
      <w:marBottom w:val="0"/>
      <w:divBdr>
        <w:top w:val="none" w:sz="0" w:space="0" w:color="auto"/>
        <w:left w:val="none" w:sz="0" w:space="0" w:color="auto"/>
        <w:bottom w:val="none" w:sz="0" w:space="0" w:color="auto"/>
        <w:right w:val="none" w:sz="0" w:space="0" w:color="auto"/>
      </w:divBdr>
    </w:div>
    <w:div w:id="1363164349">
      <w:bodyDiv w:val="1"/>
      <w:marLeft w:val="0"/>
      <w:marRight w:val="0"/>
      <w:marTop w:val="0"/>
      <w:marBottom w:val="0"/>
      <w:divBdr>
        <w:top w:val="none" w:sz="0" w:space="0" w:color="auto"/>
        <w:left w:val="none" w:sz="0" w:space="0" w:color="auto"/>
        <w:bottom w:val="none" w:sz="0" w:space="0" w:color="auto"/>
        <w:right w:val="none" w:sz="0" w:space="0" w:color="auto"/>
      </w:divBdr>
    </w:div>
    <w:div w:id="1363939536">
      <w:bodyDiv w:val="1"/>
      <w:marLeft w:val="0"/>
      <w:marRight w:val="0"/>
      <w:marTop w:val="0"/>
      <w:marBottom w:val="0"/>
      <w:divBdr>
        <w:top w:val="none" w:sz="0" w:space="0" w:color="auto"/>
        <w:left w:val="none" w:sz="0" w:space="0" w:color="auto"/>
        <w:bottom w:val="none" w:sz="0" w:space="0" w:color="auto"/>
        <w:right w:val="none" w:sz="0" w:space="0" w:color="auto"/>
      </w:divBdr>
    </w:div>
    <w:div w:id="1364557211">
      <w:bodyDiv w:val="1"/>
      <w:marLeft w:val="0"/>
      <w:marRight w:val="0"/>
      <w:marTop w:val="0"/>
      <w:marBottom w:val="0"/>
      <w:divBdr>
        <w:top w:val="none" w:sz="0" w:space="0" w:color="auto"/>
        <w:left w:val="none" w:sz="0" w:space="0" w:color="auto"/>
        <w:bottom w:val="none" w:sz="0" w:space="0" w:color="auto"/>
        <w:right w:val="none" w:sz="0" w:space="0" w:color="auto"/>
      </w:divBdr>
    </w:div>
    <w:div w:id="1366098841">
      <w:bodyDiv w:val="1"/>
      <w:marLeft w:val="0"/>
      <w:marRight w:val="0"/>
      <w:marTop w:val="0"/>
      <w:marBottom w:val="0"/>
      <w:divBdr>
        <w:top w:val="none" w:sz="0" w:space="0" w:color="auto"/>
        <w:left w:val="none" w:sz="0" w:space="0" w:color="auto"/>
        <w:bottom w:val="none" w:sz="0" w:space="0" w:color="auto"/>
        <w:right w:val="none" w:sz="0" w:space="0" w:color="auto"/>
      </w:divBdr>
    </w:div>
    <w:div w:id="1366253475">
      <w:bodyDiv w:val="1"/>
      <w:marLeft w:val="0"/>
      <w:marRight w:val="0"/>
      <w:marTop w:val="0"/>
      <w:marBottom w:val="0"/>
      <w:divBdr>
        <w:top w:val="none" w:sz="0" w:space="0" w:color="auto"/>
        <w:left w:val="none" w:sz="0" w:space="0" w:color="auto"/>
        <w:bottom w:val="none" w:sz="0" w:space="0" w:color="auto"/>
        <w:right w:val="none" w:sz="0" w:space="0" w:color="auto"/>
      </w:divBdr>
    </w:div>
    <w:div w:id="1367563849">
      <w:bodyDiv w:val="1"/>
      <w:marLeft w:val="0"/>
      <w:marRight w:val="0"/>
      <w:marTop w:val="0"/>
      <w:marBottom w:val="0"/>
      <w:divBdr>
        <w:top w:val="none" w:sz="0" w:space="0" w:color="auto"/>
        <w:left w:val="none" w:sz="0" w:space="0" w:color="auto"/>
        <w:bottom w:val="none" w:sz="0" w:space="0" w:color="auto"/>
        <w:right w:val="none" w:sz="0" w:space="0" w:color="auto"/>
      </w:divBdr>
    </w:div>
    <w:div w:id="1369407238">
      <w:bodyDiv w:val="1"/>
      <w:marLeft w:val="0"/>
      <w:marRight w:val="0"/>
      <w:marTop w:val="0"/>
      <w:marBottom w:val="0"/>
      <w:divBdr>
        <w:top w:val="none" w:sz="0" w:space="0" w:color="auto"/>
        <w:left w:val="none" w:sz="0" w:space="0" w:color="auto"/>
        <w:bottom w:val="none" w:sz="0" w:space="0" w:color="auto"/>
        <w:right w:val="none" w:sz="0" w:space="0" w:color="auto"/>
      </w:divBdr>
    </w:div>
    <w:div w:id="1370302530">
      <w:bodyDiv w:val="1"/>
      <w:marLeft w:val="0"/>
      <w:marRight w:val="0"/>
      <w:marTop w:val="0"/>
      <w:marBottom w:val="0"/>
      <w:divBdr>
        <w:top w:val="none" w:sz="0" w:space="0" w:color="auto"/>
        <w:left w:val="none" w:sz="0" w:space="0" w:color="auto"/>
        <w:bottom w:val="none" w:sz="0" w:space="0" w:color="auto"/>
        <w:right w:val="none" w:sz="0" w:space="0" w:color="auto"/>
      </w:divBdr>
    </w:div>
    <w:div w:id="1371998889">
      <w:bodyDiv w:val="1"/>
      <w:marLeft w:val="0"/>
      <w:marRight w:val="0"/>
      <w:marTop w:val="0"/>
      <w:marBottom w:val="0"/>
      <w:divBdr>
        <w:top w:val="none" w:sz="0" w:space="0" w:color="auto"/>
        <w:left w:val="none" w:sz="0" w:space="0" w:color="auto"/>
        <w:bottom w:val="none" w:sz="0" w:space="0" w:color="auto"/>
        <w:right w:val="none" w:sz="0" w:space="0" w:color="auto"/>
      </w:divBdr>
    </w:div>
    <w:div w:id="1372414598">
      <w:bodyDiv w:val="1"/>
      <w:marLeft w:val="0"/>
      <w:marRight w:val="0"/>
      <w:marTop w:val="0"/>
      <w:marBottom w:val="0"/>
      <w:divBdr>
        <w:top w:val="none" w:sz="0" w:space="0" w:color="auto"/>
        <w:left w:val="none" w:sz="0" w:space="0" w:color="auto"/>
        <w:bottom w:val="none" w:sz="0" w:space="0" w:color="auto"/>
        <w:right w:val="none" w:sz="0" w:space="0" w:color="auto"/>
      </w:divBdr>
    </w:div>
    <w:div w:id="1373191296">
      <w:bodyDiv w:val="1"/>
      <w:marLeft w:val="0"/>
      <w:marRight w:val="0"/>
      <w:marTop w:val="0"/>
      <w:marBottom w:val="0"/>
      <w:divBdr>
        <w:top w:val="none" w:sz="0" w:space="0" w:color="auto"/>
        <w:left w:val="none" w:sz="0" w:space="0" w:color="auto"/>
        <w:bottom w:val="none" w:sz="0" w:space="0" w:color="auto"/>
        <w:right w:val="none" w:sz="0" w:space="0" w:color="auto"/>
      </w:divBdr>
    </w:div>
    <w:div w:id="1373336287">
      <w:bodyDiv w:val="1"/>
      <w:marLeft w:val="0"/>
      <w:marRight w:val="0"/>
      <w:marTop w:val="0"/>
      <w:marBottom w:val="0"/>
      <w:divBdr>
        <w:top w:val="none" w:sz="0" w:space="0" w:color="auto"/>
        <w:left w:val="none" w:sz="0" w:space="0" w:color="auto"/>
        <w:bottom w:val="none" w:sz="0" w:space="0" w:color="auto"/>
        <w:right w:val="none" w:sz="0" w:space="0" w:color="auto"/>
      </w:divBdr>
    </w:div>
    <w:div w:id="1375694508">
      <w:bodyDiv w:val="1"/>
      <w:marLeft w:val="0"/>
      <w:marRight w:val="0"/>
      <w:marTop w:val="0"/>
      <w:marBottom w:val="0"/>
      <w:divBdr>
        <w:top w:val="none" w:sz="0" w:space="0" w:color="auto"/>
        <w:left w:val="none" w:sz="0" w:space="0" w:color="auto"/>
        <w:bottom w:val="none" w:sz="0" w:space="0" w:color="auto"/>
        <w:right w:val="none" w:sz="0" w:space="0" w:color="auto"/>
      </w:divBdr>
    </w:div>
    <w:div w:id="1378704468">
      <w:bodyDiv w:val="1"/>
      <w:marLeft w:val="0"/>
      <w:marRight w:val="0"/>
      <w:marTop w:val="0"/>
      <w:marBottom w:val="0"/>
      <w:divBdr>
        <w:top w:val="none" w:sz="0" w:space="0" w:color="auto"/>
        <w:left w:val="none" w:sz="0" w:space="0" w:color="auto"/>
        <w:bottom w:val="none" w:sz="0" w:space="0" w:color="auto"/>
        <w:right w:val="none" w:sz="0" w:space="0" w:color="auto"/>
      </w:divBdr>
    </w:div>
    <w:div w:id="1378970265">
      <w:bodyDiv w:val="1"/>
      <w:marLeft w:val="0"/>
      <w:marRight w:val="0"/>
      <w:marTop w:val="0"/>
      <w:marBottom w:val="0"/>
      <w:divBdr>
        <w:top w:val="none" w:sz="0" w:space="0" w:color="auto"/>
        <w:left w:val="none" w:sz="0" w:space="0" w:color="auto"/>
        <w:bottom w:val="none" w:sz="0" w:space="0" w:color="auto"/>
        <w:right w:val="none" w:sz="0" w:space="0" w:color="auto"/>
      </w:divBdr>
    </w:div>
    <w:div w:id="1380007055">
      <w:bodyDiv w:val="1"/>
      <w:marLeft w:val="0"/>
      <w:marRight w:val="0"/>
      <w:marTop w:val="0"/>
      <w:marBottom w:val="0"/>
      <w:divBdr>
        <w:top w:val="none" w:sz="0" w:space="0" w:color="auto"/>
        <w:left w:val="none" w:sz="0" w:space="0" w:color="auto"/>
        <w:bottom w:val="none" w:sz="0" w:space="0" w:color="auto"/>
        <w:right w:val="none" w:sz="0" w:space="0" w:color="auto"/>
      </w:divBdr>
    </w:div>
    <w:div w:id="1380131286">
      <w:bodyDiv w:val="1"/>
      <w:marLeft w:val="0"/>
      <w:marRight w:val="0"/>
      <w:marTop w:val="0"/>
      <w:marBottom w:val="0"/>
      <w:divBdr>
        <w:top w:val="none" w:sz="0" w:space="0" w:color="auto"/>
        <w:left w:val="none" w:sz="0" w:space="0" w:color="auto"/>
        <w:bottom w:val="none" w:sz="0" w:space="0" w:color="auto"/>
        <w:right w:val="none" w:sz="0" w:space="0" w:color="auto"/>
      </w:divBdr>
    </w:div>
    <w:div w:id="1382166987">
      <w:bodyDiv w:val="1"/>
      <w:marLeft w:val="0"/>
      <w:marRight w:val="0"/>
      <w:marTop w:val="0"/>
      <w:marBottom w:val="0"/>
      <w:divBdr>
        <w:top w:val="none" w:sz="0" w:space="0" w:color="auto"/>
        <w:left w:val="none" w:sz="0" w:space="0" w:color="auto"/>
        <w:bottom w:val="none" w:sz="0" w:space="0" w:color="auto"/>
        <w:right w:val="none" w:sz="0" w:space="0" w:color="auto"/>
      </w:divBdr>
    </w:div>
    <w:div w:id="1385719778">
      <w:bodyDiv w:val="1"/>
      <w:marLeft w:val="0"/>
      <w:marRight w:val="0"/>
      <w:marTop w:val="0"/>
      <w:marBottom w:val="0"/>
      <w:divBdr>
        <w:top w:val="none" w:sz="0" w:space="0" w:color="auto"/>
        <w:left w:val="none" w:sz="0" w:space="0" w:color="auto"/>
        <w:bottom w:val="none" w:sz="0" w:space="0" w:color="auto"/>
        <w:right w:val="none" w:sz="0" w:space="0" w:color="auto"/>
      </w:divBdr>
    </w:div>
    <w:div w:id="1386489855">
      <w:bodyDiv w:val="1"/>
      <w:marLeft w:val="0"/>
      <w:marRight w:val="0"/>
      <w:marTop w:val="0"/>
      <w:marBottom w:val="0"/>
      <w:divBdr>
        <w:top w:val="none" w:sz="0" w:space="0" w:color="auto"/>
        <w:left w:val="none" w:sz="0" w:space="0" w:color="auto"/>
        <w:bottom w:val="none" w:sz="0" w:space="0" w:color="auto"/>
        <w:right w:val="none" w:sz="0" w:space="0" w:color="auto"/>
      </w:divBdr>
    </w:div>
    <w:div w:id="1387341461">
      <w:bodyDiv w:val="1"/>
      <w:marLeft w:val="0"/>
      <w:marRight w:val="0"/>
      <w:marTop w:val="0"/>
      <w:marBottom w:val="0"/>
      <w:divBdr>
        <w:top w:val="none" w:sz="0" w:space="0" w:color="auto"/>
        <w:left w:val="none" w:sz="0" w:space="0" w:color="auto"/>
        <w:bottom w:val="none" w:sz="0" w:space="0" w:color="auto"/>
        <w:right w:val="none" w:sz="0" w:space="0" w:color="auto"/>
      </w:divBdr>
    </w:div>
    <w:div w:id="1388604171">
      <w:bodyDiv w:val="1"/>
      <w:marLeft w:val="0"/>
      <w:marRight w:val="0"/>
      <w:marTop w:val="0"/>
      <w:marBottom w:val="0"/>
      <w:divBdr>
        <w:top w:val="none" w:sz="0" w:space="0" w:color="auto"/>
        <w:left w:val="none" w:sz="0" w:space="0" w:color="auto"/>
        <w:bottom w:val="none" w:sz="0" w:space="0" w:color="auto"/>
        <w:right w:val="none" w:sz="0" w:space="0" w:color="auto"/>
      </w:divBdr>
    </w:div>
    <w:div w:id="1390611399">
      <w:bodyDiv w:val="1"/>
      <w:marLeft w:val="0"/>
      <w:marRight w:val="0"/>
      <w:marTop w:val="0"/>
      <w:marBottom w:val="0"/>
      <w:divBdr>
        <w:top w:val="none" w:sz="0" w:space="0" w:color="auto"/>
        <w:left w:val="none" w:sz="0" w:space="0" w:color="auto"/>
        <w:bottom w:val="none" w:sz="0" w:space="0" w:color="auto"/>
        <w:right w:val="none" w:sz="0" w:space="0" w:color="auto"/>
      </w:divBdr>
    </w:div>
    <w:div w:id="1390686990">
      <w:bodyDiv w:val="1"/>
      <w:marLeft w:val="0"/>
      <w:marRight w:val="0"/>
      <w:marTop w:val="0"/>
      <w:marBottom w:val="0"/>
      <w:divBdr>
        <w:top w:val="none" w:sz="0" w:space="0" w:color="auto"/>
        <w:left w:val="none" w:sz="0" w:space="0" w:color="auto"/>
        <w:bottom w:val="none" w:sz="0" w:space="0" w:color="auto"/>
        <w:right w:val="none" w:sz="0" w:space="0" w:color="auto"/>
      </w:divBdr>
    </w:div>
    <w:div w:id="1390692811">
      <w:bodyDiv w:val="1"/>
      <w:marLeft w:val="0"/>
      <w:marRight w:val="0"/>
      <w:marTop w:val="0"/>
      <w:marBottom w:val="0"/>
      <w:divBdr>
        <w:top w:val="none" w:sz="0" w:space="0" w:color="auto"/>
        <w:left w:val="none" w:sz="0" w:space="0" w:color="auto"/>
        <w:bottom w:val="none" w:sz="0" w:space="0" w:color="auto"/>
        <w:right w:val="none" w:sz="0" w:space="0" w:color="auto"/>
      </w:divBdr>
    </w:div>
    <w:div w:id="1390885676">
      <w:bodyDiv w:val="1"/>
      <w:marLeft w:val="0"/>
      <w:marRight w:val="0"/>
      <w:marTop w:val="0"/>
      <w:marBottom w:val="0"/>
      <w:divBdr>
        <w:top w:val="none" w:sz="0" w:space="0" w:color="auto"/>
        <w:left w:val="none" w:sz="0" w:space="0" w:color="auto"/>
        <w:bottom w:val="none" w:sz="0" w:space="0" w:color="auto"/>
        <w:right w:val="none" w:sz="0" w:space="0" w:color="auto"/>
      </w:divBdr>
    </w:div>
    <w:div w:id="1394232531">
      <w:bodyDiv w:val="1"/>
      <w:marLeft w:val="0"/>
      <w:marRight w:val="0"/>
      <w:marTop w:val="0"/>
      <w:marBottom w:val="0"/>
      <w:divBdr>
        <w:top w:val="none" w:sz="0" w:space="0" w:color="auto"/>
        <w:left w:val="none" w:sz="0" w:space="0" w:color="auto"/>
        <w:bottom w:val="none" w:sz="0" w:space="0" w:color="auto"/>
        <w:right w:val="none" w:sz="0" w:space="0" w:color="auto"/>
      </w:divBdr>
    </w:div>
    <w:div w:id="1395621450">
      <w:bodyDiv w:val="1"/>
      <w:marLeft w:val="0"/>
      <w:marRight w:val="0"/>
      <w:marTop w:val="0"/>
      <w:marBottom w:val="0"/>
      <w:divBdr>
        <w:top w:val="none" w:sz="0" w:space="0" w:color="auto"/>
        <w:left w:val="none" w:sz="0" w:space="0" w:color="auto"/>
        <w:bottom w:val="none" w:sz="0" w:space="0" w:color="auto"/>
        <w:right w:val="none" w:sz="0" w:space="0" w:color="auto"/>
      </w:divBdr>
    </w:div>
    <w:div w:id="1396195538">
      <w:bodyDiv w:val="1"/>
      <w:marLeft w:val="0"/>
      <w:marRight w:val="0"/>
      <w:marTop w:val="0"/>
      <w:marBottom w:val="0"/>
      <w:divBdr>
        <w:top w:val="none" w:sz="0" w:space="0" w:color="auto"/>
        <w:left w:val="none" w:sz="0" w:space="0" w:color="auto"/>
        <w:bottom w:val="none" w:sz="0" w:space="0" w:color="auto"/>
        <w:right w:val="none" w:sz="0" w:space="0" w:color="auto"/>
      </w:divBdr>
    </w:div>
    <w:div w:id="1397779596">
      <w:bodyDiv w:val="1"/>
      <w:marLeft w:val="0"/>
      <w:marRight w:val="0"/>
      <w:marTop w:val="0"/>
      <w:marBottom w:val="0"/>
      <w:divBdr>
        <w:top w:val="none" w:sz="0" w:space="0" w:color="auto"/>
        <w:left w:val="none" w:sz="0" w:space="0" w:color="auto"/>
        <w:bottom w:val="none" w:sz="0" w:space="0" w:color="auto"/>
        <w:right w:val="none" w:sz="0" w:space="0" w:color="auto"/>
      </w:divBdr>
    </w:div>
    <w:div w:id="1399324973">
      <w:bodyDiv w:val="1"/>
      <w:marLeft w:val="0"/>
      <w:marRight w:val="0"/>
      <w:marTop w:val="0"/>
      <w:marBottom w:val="0"/>
      <w:divBdr>
        <w:top w:val="none" w:sz="0" w:space="0" w:color="auto"/>
        <w:left w:val="none" w:sz="0" w:space="0" w:color="auto"/>
        <w:bottom w:val="none" w:sz="0" w:space="0" w:color="auto"/>
        <w:right w:val="none" w:sz="0" w:space="0" w:color="auto"/>
      </w:divBdr>
    </w:div>
    <w:div w:id="1400905591">
      <w:bodyDiv w:val="1"/>
      <w:marLeft w:val="0"/>
      <w:marRight w:val="0"/>
      <w:marTop w:val="0"/>
      <w:marBottom w:val="0"/>
      <w:divBdr>
        <w:top w:val="none" w:sz="0" w:space="0" w:color="auto"/>
        <w:left w:val="none" w:sz="0" w:space="0" w:color="auto"/>
        <w:bottom w:val="none" w:sz="0" w:space="0" w:color="auto"/>
        <w:right w:val="none" w:sz="0" w:space="0" w:color="auto"/>
      </w:divBdr>
    </w:div>
    <w:div w:id="1403136381">
      <w:bodyDiv w:val="1"/>
      <w:marLeft w:val="0"/>
      <w:marRight w:val="0"/>
      <w:marTop w:val="0"/>
      <w:marBottom w:val="0"/>
      <w:divBdr>
        <w:top w:val="none" w:sz="0" w:space="0" w:color="auto"/>
        <w:left w:val="none" w:sz="0" w:space="0" w:color="auto"/>
        <w:bottom w:val="none" w:sz="0" w:space="0" w:color="auto"/>
        <w:right w:val="none" w:sz="0" w:space="0" w:color="auto"/>
      </w:divBdr>
    </w:div>
    <w:div w:id="1404184764">
      <w:bodyDiv w:val="1"/>
      <w:marLeft w:val="0"/>
      <w:marRight w:val="0"/>
      <w:marTop w:val="0"/>
      <w:marBottom w:val="0"/>
      <w:divBdr>
        <w:top w:val="none" w:sz="0" w:space="0" w:color="auto"/>
        <w:left w:val="none" w:sz="0" w:space="0" w:color="auto"/>
        <w:bottom w:val="none" w:sz="0" w:space="0" w:color="auto"/>
        <w:right w:val="none" w:sz="0" w:space="0" w:color="auto"/>
      </w:divBdr>
    </w:div>
    <w:div w:id="1405101018">
      <w:bodyDiv w:val="1"/>
      <w:marLeft w:val="0"/>
      <w:marRight w:val="0"/>
      <w:marTop w:val="0"/>
      <w:marBottom w:val="0"/>
      <w:divBdr>
        <w:top w:val="none" w:sz="0" w:space="0" w:color="auto"/>
        <w:left w:val="none" w:sz="0" w:space="0" w:color="auto"/>
        <w:bottom w:val="none" w:sz="0" w:space="0" w:color="auto"/>
        <w:right w:val="none" w:sz="0" w:space="0" w:color="auto"/>
      </w:divBdr>
    </w:div>
    <w:div w:id="1406956682">
      <w:bodyDiv w:val="1"/>
      <w:marLeft w:val="0"/>
      <w:marRight w:val="0"/>
      <w:marTop w:val="0"/>
      <w:marBottom w:val="0"/>
      <w:divBdr>
        <w:top w:val="none" w:sz="0" w:space="0" w:color="auto"/>
        <w:left w:val="none" w:sz="0" w:space="0" w:color="auto"/>
        <w:bottom w:val="none" w:sz="0" w:space="0" w:color="auto"/>
        <w:right w:val="none" w:sz="0" w:space="0" w:color="auto"/>
      </w:divBdr>
    </w:div>
    <w:div w:id="1406997004">
      <w:bodyDiv w:val="1"/>
      <w:marLeft w:val="0"/>
      <w:marRight w:val="0"/>
      <w:marTop w:val="0"/>
      <w:marBottom w:val="0"/>
      <w:divBdr>
        <w:top w:val="none" w:sz="0" w:space="0" w:color="auto"/>
        <w:left w:val="none" w:sz="0" w:space="0" w:color="auto"/>
        <w:bottom w:val="none" w:sz="0" w:space="0" w:color="auto"/>
        <w:right w:val="none" w:sz="0" w:space="0" w:color="auto"/>
      </w:divBdr>
    </w:div>
    <w:div w:id="1408378782">
      <w:bodyDiv w:val="1"/>
      <w:marLeft w:val="0"/>
      <w:marRight w:val="0"/>
      <w:marTop w:val="0"/>
      <w:marBottom w:val="0"/>
      <w:divBdr>
        <w:top w:val="none" w:sz="0" w:space="0" w:color="auto"/>
        <w:left w:val="none" w:sz="0" w:space="0" w:color="auto"/>
        <w:bottom w:val="none" w:sz="0" w:space="0" w:color="auto"/>
        <w:right w:val="none" w:sz="0" w:space="0" w:color="auto"/>
      </w:divBdr>
    </w:div>
    <w:div w:id="1408571399">
      <w:bodyDiv w:val="1"/>
      <w:marLeft w:val="0"/>
      <w:marRight w:val="0"/>
      <w:marTop w:val="0"/>
      <w:marBottom w:val="0"/>
      <w:divBdr>
        <w:top w:val="none" w:sz="0" w:space="0" w:color="auto"/>
        <w:left w:val="none" w:sz="0" w:space="0" w:color="auto"/>
        <w:bottom w:val="none" w:sz="0" w:space="0" w:color="auto"/>
        <w:right w:val="none" w:sz="0" w:space="0" w:color="auto"/>
      </w:divBdr>
    </w:div>
    <w:div w:id="1410543326">
      <w:bodyDiv w:val="1"/>
      <w:marLeft w:val="0"/>
      <w:marRight w:val="0"/>
      <w:marTop w:val="0"/>
      <w:marBottom w:val="0"/>
      <w:divBdr>
        <w:top w:val="none" w:sz="0" w:space="0" w:color="auto"/>
        <w:left w:val="none" w:sz="0" w:space="0" w:color="auto"/>
        <w:bottom w:val="none" w:sz="0" w:space="0" w:color="auto"/>
        <w:right w:val="none" w:sz="0" w:space="0" w:color="auto"/>
      </w:divBdr>
    </w:div>
    <w:div w:id="1414664020">
      <w:bodyDiv w:val="1"/>
      <w:marLeft w:val="0"/>
      <w:marRight w:val="0"/>
      <w:marTop w:val="0"/>
      <w:marBottom w:val="0"/>
      <w:divBdr>
        <w:top w:val="none" w:sz="0" w:space="0" w:color="auto"/>
        <w:left w:val="none" w:sz="0" w:space="0" w:color="auto"/>
        <w:bottom w:val="none" w:sz="0" w:space="0" w:color="auto"/>
        <w:right w:val="none" w:sz="0" w:space="0" w:color="auto"/>
      </w:divBdr>
    </w:div>
    <w:div w:id="1415125975">
      <w:bodyDiv w:val="1"/>
      <w:marLeft w:val="0"/>
      <w:marRight w:val="0"/>
      <w:marTop w:val="0"/>
      <w:marBottom w:val="0"/>
      <w:divBdr>
        <w:top w:val="none" w:sz="0" w:space="0" w:color="auto"/>
        <w:left w:val="none" w:sz="0" w:space="0" w:color="auto"/>
        <w:bottom w:val="none" w:sz="0" w:space="0" w:color="auto"/>
        <w:right w:val="none" w:sz="0" w:space="0" w:color="auto"/>
      </w:divBdr>
    </w:div>
    <w:div w:id="1415584588">
      <w:bodyDiv w:val="1"/>
      <w:marLeft w:val="0"/>
      <w:marRight w:val="0"/>
      <w:marTop w:val="0"/>
      <w:marBottom w:val="0"/>
      <w:divBdr>
        <w:top w:val="none" w:sz="0" w:space="0" w:color="auto"/>
        <w:left w:val="none" w:sz="0" w:space="0" w:color="auto"/>
        <w:bottom w:val="none" w:sz="0" w:space="0" w:color="auto"/>
        <w:right w:val="none" w:sz="0" w:space="0" w:color="auto"/>
      </w:divBdr>
    </w:div>
    <w:div w:id="1415664062">
      <w:bodyDiv w:val="1"/>
      <w:marLeft w:val="0"/>
      <w:marRight w:val="0"/>
      <w:marTop w:val="0"/>
      <w:marBottom w:val="0"/>
      <w:divBdr>
        <w:top w:val="none" w:sz="0" w:space="0" w:color="auto"/>
        <w:left w:val="none" w:sz="0" w:space="0" w:color="auto"/>
        <w:bottom w:val="none" w:sz="0" w:space="0" w:color="auto"/>
        <w:right w:val="none" w:sz="0" w:space="0" w:color="auto"/>
      </w:divBdr>
    </w:div>
    <w:div w:id="1416128032">
      <w:bodyDiv w:val="1"/>
      <w:marLeft w:val="0"/>
      <w:marRight w:val="0"/>
      <w:marTop w:val="0"/>
      <w:marBottom w:val="0"/>
      <w:divBdr>
        <w:top w:val="none" w:sz="0" w:space="0" w:color="auto"/>
        <w:left w:val="none" w:sz="0" w:space="0" w:color="auto"/>
        <w:bottom w:val="none" w:sz="0" w:space="0" w:color="auto"/>
        <w:right w:val="none" w:sz="0" w:space="0" w:color="auto"/>
      </w:divBdr>
    </w:div>
    <w:div w:id="1416442812">
      <w:bodyDiv w:val="1"/>
      <w:marLeft w:val="0"/>
      <w:marRight w:val="0"/>
      <w:marTop w:val="0"/>
      <w:marBottom w:val="0"/>
      <w:divBdr>
        <w:top w:val="none" w:sz="0" w:space="0" w:color="auto"/>
        <w:left w:val="none" w:sz="0" w:space="0" w:color="auto"/>
        <w:bottom w:val="none" w:sz="0" w:space="0" w:color="auto"/>
        <w:right w:val="none" w:sz="0" w:space="0" w:color="auto"/>
      </w:divBdr>
    </w:div>
    <w:div w:id="1417554481">
      <w:bodyDiv w:val="1"/>
      <w:marLeft w:val="0"/>
      <w:marRight w:val="0"/>
      <w:marTop w:val="0"/>
      <w:marBottom w:val="0"/>
      <w:divBdr>
        <w:top w:val="none" w:sz="0" w:space="0" w:color="auto"/>
        <w:left w:val="none" w:sz="0" w:space="0" w:color="auto"/>
        <w:bottom w:val="none" w:sz="0" w:space="0" w:color="auto"/>
        <w:right w:val="none" w:sz="0" w:space="0" w:color="auto"/>
      </w:divBdr>
    </w:div>
    <w:div w:id="1418937702">
      <w:bodyDiv w:val="1"/>
      <w:marLeft w:val="0"/>
      <w:marRight w:val="0"/>
      <w:marTop w:val="0"/>
      <w:marBottom w:val="0"/>
      <w:divBdr>
        <w:top w:val="none" w:sz="0" w:space="0" w:color="auto"/>
        <w:left w:val="none" w:sz="0" w:space="0" w:color="auto"/>
        <w:bottom w:val="none" w:sz="0" w:space="0" w:color="auto"/>
        <w:right w:val="none" w:sz="0" w:space="0" w:color="auto"/>
      </w:divBdr>
    </w:div>
    <w:div w:id="1419591785">
      <w:bodyDiv w:val="1"/>
      <w:marLeft w:val="0"/>
      <w:marRight w:val="0"/>
      <w:marTop w:val="0"/>
      <w:marBottom w:val="0"/>
      <w:divBdr>
        <w:top w:val="none" w:sz="0" w:space="0" w:color="auto"/>
        <w:left w:val="none" w:sz="0" w:space="0" w:color="auto"/>
        <w:bottom w:val="none" w:sz="0" w:space="0" w:color="auto"/>
        <w:right w:val="none" w:sz="0" w:space="0" w:color="auto"/>
      </w:divBdr>
    </w:div>
    <w:div w:id="1419904569">
      <w:bodyDiv w:val="1"/>
      <w:marLeft w:val="0"/>
      <w:marRight w:val="0"/>
      <w:marTop w:val="0"/>
      <w:marBottom w:val="0"/>
      <w:divBdr>
        <w:top w:val="none" w:sz="0" w:space="0" w:color="auto"/>
        <w:left w:val="none" w:sz="0" w:space="0" w:color="auto"/>
        <w:bottom w:val="none" w:sz="0" w:space="0" w:color="auto"/>
        <w:right w:val="none" w:sz="0" w:space="0" w:color="auto"/>
      </w:divBdr>
    </w:div>
    <w:div w:id="1420759490">
      <w:bodyDiv w:val="1"/>
      <w:marLeft w:val="0"/>
      <w:marRight w:val="0"/>
      <w:marTop w:val="0"/>
      <w:marBottom w:val="0"/>
      <w:divBdr>
        <w:top w:val="none" w:sz="0" w:space="0" w:color="auto"/>
        <w:left w:val="none" w:sz="0" w:space="0" w:color="auto"/>
        <w:bottom w:val="none" w:sz="0" w:space="0" w:color="auto"/>
        <w:right w:val="none" w:sz="0" w:space="0" w:color="auto"/>
      </w:divBdr>
    </w:div>
    <w:div w:id="1421099489">
      <w:bodyDiv w:val="1"/>
      <w:marLeft w:val="0"/>
      <w:marRight w:val="0"/>
      <w:marTop w:val="0"/>
      <w:marBottom w:val="0"/>
      <w:divBdr>
        <w:top w:val="none" w:sz="0" w:space="0" w:color="auto"/>
        <w:left w:val="none" w:sz="0" w:space="0" w:color="auto"/>
        <w:bottom w:val="none" w:sz="0" w:space="0" w:color="auto"/>
        <w:right w:val="none" w:sz="0" w:space="0" w:color="auto"/>
      </w:divBdr>
    </w:div>
    <w:div w:id="1421677390">
      <w:bodyDiv w:val="1"/>
      <w:marLeft w:val="0"/>
      <w:marRight w:val="0"/>
      <w:marTop w:val="0"/>
      <w:marBottom w:val="0"/>
      <w:divBdr>
        <w:top w:val="none" w:sz="0" w:space="0" w:color="auto"/>
        <w:left w:val="none" w:sz="0" w:space="0" w:color="auto"/>
        <w:bottom w:val="none" w:sz="0" w:space="0" w:color="auto"/>
        <w:right w:val="none" w:sz="0" w:space="0" w:color="auto"/>
      </w:divBdr>
    </w:div>
    <w:div w:id="1422606332">
      <w:bodyDiv w:val="1"/>
      <w:marLeft w:val="0"/>
      <w:marRight w:val="0"/>
      <w:marTop w:val="0"/>
      <w:marBottom w:val="0"/>
      <w:divBdr>
        <w:top w:val="none" w:sz="0" w:space="0" w:color="auto"/>
        <w:left w:val="none" w:sz="0" w:space="0" w:color="auto"/>
        <w:bottom w:val="none" w:sz="0" w:space="0" w:color="auto"/>
        <w:right w:val="none" w:sz="0" w:space="0" w:color="auto"/>
      </w:divBdr>
    </w:div>
    <w:div w:id="1423648037">
      <w:bodyDiv w:val="1"/>
      <w:marLeft w:val="0"/>
      <w:marRight w:val="0"/>
      <w:marTop w:val="0"/>
      <w:marBottom w:val="0"/>
      <w:divBdr>
        <w:top w:val="none" w:sz="0" w:space="0" w:color="auto"/>
        <w:left w:val="none" w:sz="0" w:space="0" w:color="auto"/>
        <w:bottom w:val="none" w:sz="0" w:space="0" w:color="auto"/>
        <w:right w:val="none" w:sz="0" w:space="0" w:color="auto"/>
      </w:divBdr>
    </w:div>
    <w:div w:id="1426655902">
      <w:bodyDiv w:val="1"/>
      <w:marLeft w:val="0"/>
      <w:marRight w:val="0"/>
      <w:marTop w:val="0"/>
      <w:marBottom w:val="0"/>
      <w:divBdr>
        <w:top w:val="none" w:sz="0" w:space="0" w:color="auto"/>
        <w:left w:val="none" w:sz="0" w:space="0" w:color="auto"/>
        <w:bottom w:val="none" w:sz="0" w:space="0" w:color="auto"/>
        <w:right w:val="none" w:sz="0" w:space="0" w:color="auto"/>
      </w:divBdr>
    </w:div>
    <w:div w:id="1428697969">
      <w:bodyDiv w:val="1"/>
      <w:marLeft w:val="0"/>
      <w:marRight w:val="0"/>
      <w:marTop w:val="0"/>
      <w:marBottom w:val="0"/>
      <w:divBdr>
        <w:top w:val="none" w:sz="0" w:space="0" w:color="auto"/>
        <w:left w:val="none" w:sz="0" w:space="0" w:color="auto"/>
        <w:bottom w:val="none" w:sz="0" w:space="0" w:color="auto"/>
        <w:right w:val="none" w:sz="0" w:space="0" w:color="auto"/>
      </w:divBdr>
    </w:div>
    <w:div w:id="1429961296">
      <w:bodyDiv w:val="1"/>
      <w:marLeft w:val="0"/>
      <w:marRight w:val="0"/>
      <w:marTop w:val="0"/>
      <w:marBottom w:val="0"/>
      <w:divBdr>
        <w:top w:val="none" w:sz="0" w:space="0" w:color="auto"/>
        <w:left w:val="none" w:sz="0" w:space="0" w:color="auto"/>
        <w:bottom w:val="none" w:sz="0" w:space="0" w:color="auto"/>
        <w:right w:val="none" w:sz="0" w:space="0" w:color="auto"/>
      </w:divBdr>
    </w:div>
    <w:div w:id="1430463405">
      <w:bodyDiv w:val="1"/>
      <w:marLeft w:val="0"/>
      <w:marRight w:val="0"/>
      <w:marTop w:val="0"/>
      <w:marBottom w:val="0"/>
      <w:divBdr>
        <w:top w:val="none" w:sz="0" w:space="0" w:color="auto"/>
        <w:left w:val="none" w:sz="0" w:space="0" w:color="auto"/>
        <w:bottom w:val="none" w:sz="0" w:space="0" w:color="auto"/>
        <w:right w:val="none" w:sz="0" w:space="0" w:color="auto"/>
      </w:divBdr>
    </w:div>
    <w:div w:id="1430855985">
      <w:bodyDiv w:val="1"/>
      <w:marLeft w:val="0"/>
      <w:marRight w:val="0"/>
      <w:marTop w:val="0"/>
      <w:marBottom w:val="0"/>
      <w:divBdr>
        <w:top w:val="none" w:sz="0" w:space="0" w:color="auto"/>
        <w:left w:val="none" w:sz="0" w:space="0" w:color="auto"/>
        <w:bottom w:val="none" w:sz="0" w:space="0" w:color="auto"/>
        <w:right w:val="none" w:sz="0" w:space="0" w:color="auto"/>
      </w:divBdr>
    </w:div>
    <w:div w:id="1431510858">
      <w:bodyDiv w:val="1"/>
      <w:marLeft w:val="0"/>
      <w:marRight w:val="0"/>
      <w:marTop w:val="0"/>
      <w:marBottom w:val="0"/>
      <w:divBdr>
        <w:top w:val="none" w:sz="0" w:space="0" w:color="auto"/>
        <w:left w:val="none" w:sz="0" w:space="0" w:color="auto"/>
        <w:bottom w:val="none" w:sz="0" w:space="0" w:color="auto"/>
        <w:right w:val="none" w:sz="0" w:space="0" w:color="auto"/>
      </w:divBdr>
    </w:div>
    <w:div w:id="1432626571">
      <w:bodyDiv w:val="1"/>
      <w:marLeft w:val="0"/>
      <w:marRight w:val="0"/>
      <w:marTop w:val="0"/>
      <w:marBottom w:val="0"/>
      <w:divBdr>
        <w:top w:val="none" w:sz="0" w:space="0" w:color="auto"/>
        <w:left w:val="none" w:sz="0" w:space="0" w:color="auto"/>
        <w:bottom w:val="none" w:sz="0" w:space="0" w:color="auto"/>
        <w:right w:val="none" w:sz="0" w:space="0" w:color="auto"/>
      </w:divBdr>
    </w:div>
    <w:div w:id="1432701959">
      <w:bodyDiv w:val="1"/>
      <w:marLeft w:val="0"/>
      <w:marRight w:val="0"/>
      <w:marTop w:val="0"/>
      <w:marBottom w:val="0"/>
      <w:divBdr>
        <w:top w:val="none" w:sz="0" w:space="0" w:color="auto"/>
        <w:left w:val="none" w:sz="0" w:space="0" w:color="auto"/>
        <w:bottom w:val="none" w:sz="0" w:space="0" w:color="auto"/>
        <w:right w:val="none" w:sz="0" w:space="0" w:color="auto"/>
      </w:divBdr>
    </w:div>
    <w:div w:id="1433621588">
      <w:bodyDiv w:val="1"/>
      <w:marLeft w:val="0"/>
      <w:marRight w:val="0"/>
      <w:marTop w:val="0"/>
      <w:marBottom w:val="0"/>
      <w:divBdr>
        <w:top w:val="none" w:sz="0" w:space="0" w:color="auto"/>
        <w:left w:val="none" w:sz="0" w:space="0" w:color="auto"/>
        <w:bottom w:val="none" w:sz="0" w:space="0" w:color="auto"/>
        <w:right w:val="none" w:sz="0" w:space="0" w:color="auto"/>
      </w:divBdr>
    </w:div>
    <w:div w:id="1434007985">
      <w:bodyDiv w:val="1"/>
      <w:marLeft w:val="0"/>
      <w:marRight w:val="0"/>
      <w:marTop w:val="0"/>
      <w:marBottom w:val="0"/>
      <w:divBdr>
        <w:top w:val="none" w:sz="0" w:space="0" w:color="auto"/>
        <w:left w:val="none" w:sz="0" w:space="0" w:color="auto"/>
        <w:bottom w:val="none" w:sz="0" w:space="0" w:color="auto"/>
        <w:right w:val="none" w:sz="0" w:space="0" w:color="auto"/>
      </w:divBdr>
    </w:div>
    <w:div w:id="1434015851">
      <w:bodyDiv w:val="1"/>
      <w:marLeft w:val="0"/>
      <w:marRight w:val="0"/>
      <w:marTop w:val="0"/>
      <w:marBottom w:val="0"/>
      <w:divBdr>
        <w:top w:val="none" w:sz="0" w:space="0" w:color="auto"/>
        <w:left w:val="none" w:sz="0" w:space="0" w:color="auto"/>
        <w:bottom w:val="none" w:sz="0" w:space="0" w:color="auto"/>
        <w:right w:val="none" w:sz="0" w:space="0" w:color="auto"/>
      </w:divBdr>
    </w:div>
    <w:div w:id="1434857176">
      <w:bodyDiv w:val="1"/>
      <w:marLeft w:val="0"/>
      <w:marRight w:val="0"/>
      <w:marTop w:val="0"/>
      <w:marBottom w:val="0"/>
      <w:divBdr>
        <w:top w:val="none" w:sz="0" w:space="0" w:color="auto"/>
        <w:left w:val="none" w:sz="0" w:space="0" w:color="auto"/>
        <w:bottom w:val="none" w:sz="0" w:space="0" w:color="auto"/>
        <w:right w:val="none" w:sz="0" w:space="0" w:color="auto"/>
      </w:divBdr>
    </w:div>
    <w:div w:id="1435590376">
      <w:bodyDiv w:val="1"/>
      <w:marLeft w:val="0"/>
      <w:marRight w:val="0"/>
      <w:marTop w:val="0"/>
      <w:marBottom w:val="0"/>
      <w:divBdr>
        <w:top w:val="none" w:sz="0" w:space="0" w:color="auto"/>
        <w:left w:val="none" w:sz="0" w:space="0" w:color="auto"/>
        <w:bottom w:val="none" w:sz="0" w:space="0" w:color="auto"/>
        <w:right w:val="none" w:sz="0" w:space="0" w:color="auto"/>
      </w:divBdr>
    </w:div>
    <w:div w:id="1435977647">
      <w:bodyDiv w:val="1"/>
      <w:marLeft w:val="0"/>
      <w:marRight w:val="0"/>
      <w:marTop w:val="0"/>
      <w:marBottom w:val="0"/>
      <w:divBdr>
        <w:top w:val="none" w:sz="0" w:space="0" w:color="auto"/>
        <w:left w:val="none" w:sz="0" w:space="0" w:color="auto"/>
        <w:bottom w:val="none" w:sz="0" w:space="0" w:color="auto"/>
        <w:right w:val="none" w:sz="0" w:space="0" w:color="auto"/>
      </w:divBdr>
    </w:div>
    <w:div w:id="1439375929">
      <w:bodyDiv w:val="1"/>
      <w:marLeft w:val="0"/>
      <w:marRight w:val="0"/>
      <w:marTop w:val="0"/>
      <w:marBottom w:val="0"/>
      <w:divBdr>
        <w:top w:val="none" w:sz="0" w:space="0" w:color="auto"/>
        <w:left w:val="none" w:sz="0" w:space="0" w:color="auto"/>
        <w:bottom w:val="none" w:sz="0" w:space="0" w:color="auto"/>
        <w:right w:val="none" w:sz="0" w:space="0" w:color="auto"/>
      </w:divBdr>
    </w:div>
    <w:div w:id="1440220104">
      <w:bodyDiv w:val="1"/>
      <w:marLeft w:val="0"/>
      <w:marRight w:val="0"/>
      <w:marTop w:val="0"/>
      <w:marBottom w:val="0"/>
      <w:divBdr>
        <w:top w:val="none" w:sz="0" w:space="0" w:color="auto"/>
        <w:left w:val="none" w:sz="0" w:space="0" w:color="auto"/>
        <w:bottom w:val="none" w:sz="0" w:space="0" w:color="auto"/>
        <w:right w:val="none" w:sz="0" w:space="0" w:color="auto"/>
      </w:divBdr>
    </w:div>
    <w:div w:id="1441606565">
      <w:bodyDiv w:val="1"/>
      <w:marLeft w:val="0"/>
      <w:marRight w:val="0"/>
      <w:marTop w:val="0"/>
      <w:marBottom w:val="0"/>
      <w:divBdr>
        <w:top w:val="none" w:sz="0" w:space="0" w:color="auto"/>
        <w:left w:val="none" w:sz="0" w:space="0" w:color="auto"/>
        <w:bottom w:val="none" w:sz="0" w:space="0" w:color="auto"/>
        <w:right w:val="none" w:sz="0" w:space="0" w:color="auto"/>
      </w:divBdr>
    </w:div>
    <w:div w:id="1442186368">
      <w:bodyDiv w:val="1"/>
      <w:marLeft w:val="0"/>
      <w:marRight w:val="0"/>
      <w:marTop w:val="0"/>
      <w:marBottom w:val="0"/>
      <w:divBdr>
        <w:top w:val="none" w:sz="0" w:space="0" w:color="auto"/>
        <w:left w:val="none" w:sz="0" w:space="0" w:color="auto"/>
        <w:bottom w:val="none" w:sz="0" w:space="0" w:color="auto"/>
        <w:right w:val="none" w:sz="0" w:space="0" w:color="auto"/>
      </w:divBdr>
    </w:div>
    <w:div w:id="1442459935">
      <w:bodyDiv w:val="1"/>
      <w:marLeft w:val="0"/>
      <w:marRight w:val="0"/>
      <w:marTop w:val="0"/>
      <w:marBottom w:val="0"/>
      <w:divBdr>
        <w:top w:val="none" w:sz="0" w:space="0" w:color="auto"/>
        <w:left w:val="none" w:sz="0" w:space="0" w:color="auto"/>
        <w:bottom w:val="none" w:sz="0" w:space="0" w:color="auto"/>
        <w:right w:val="none" w:sz="0" w:space="0" w:color="auto"/>
      </w:divBdr>
    </w:div>
    <w:div w:id="1443500570">
      <w:bodyDiv w:val="1"/>
      <w:marLeft w:val="0"/>
      <w:marRight w:val="0"/>
      <w:marTop w:val="0"/>
      <w:marBottom w:val="0"/>
      <w:divBdr>
        <w:top w:val="none" w:sz="0" w:space="0" w:color="auto"/>
        <w:left w:val="none" w:sz="0" w:space="0" w:color="auto"/>
        <w:bottom w:val="none" w:sz="0" w:space="0" w:color="auto"/>
        <w:right w:val="none" w:sz="0" w:space="0" w:color="auto"/>
      </w:divBdr>
    </w:div>
    <w:div w:id="1444183824">
      <w:bodyDiv w:val="1"/>
      <w:marLeft w:val="0"/>
      <w:marRight w:val="0"/>
      <w:marTop w:val="0"/>
      <w:marBottom w:val="0"/>
      <w:divBdr>
        <w:top w:val="none" w:sz="0" w:space="0" w:color="auto"/>
        <w:left w:val="none" w:sz="0" w:space="0" w:color="auto"/>
        <w:bottom w:val="none" w:sz="0" w:space="0" w:color="auto"/>
        <w:right w:val="none" w:sz="0" w:space="0" w:color="auto"/>
      </w:divBdr>
    </w:div>
    <w:div w:id="1444223942">
      <w:bodyDiv w:val="1"/>
      <w:marLeft w:val="0"/>
      <w:marRight w:val="0"/>
      <w:marTop w:val="0"/>
      <w:marBottom w:val="0"/>
      <w:divBdr>
        <w:top w:val="none" w:sz="0" w:space="0" w:color="auto"/>
        <w:left w:val="none" w:sz="0" w:space="0" w:color="auto"/>
        <w:bottom w:val="none" w:sz="0" w:space="0" w:color="auto"/>
        <w:right w:val="none" w:sz="0" w:space="0" w:color="auto"/>
      </w:divBdr>
    </w:div>
    <w:div w:id="1444879431">
      <w:bodyDiv w:val="1"/>
      <w:marLeft w:val="0"/>
      <w:marRight w:val="0"/>
      <w:marTop w:val="0"/>
      <w:marBottom w:val="0"/>
      <w:divBdr>
        <w:top w:val="none" w:sz="0" w:space="0" w:color="auto"/>
        <w:left w:val="none" w:sz="0" w:space="0" w:color="auto"/>
        <w:bottom w:val="none" w:sz="0" w:space="0" w:color="auto"/>
        <w:right w:val="none" w:sz="0" w:space="0" w:color="auto"/>
      </w:divBdr>
    </w:div>
    <w:div w:id="1446775841">
      <w:bodyDiv w:val="1"/>
      <w:marLeft w:val="0"/>
      <w:marRight w:val="0"/>
      <w:marTop w:val="0"/>
      <w:marBottom w:val="0"/>
      <w:divBdr>
        <w:top w:val="none" w:sz="0" w:space="0" w:color="auto"/>
        <w:left w:val="none" w:sz="0" w:space="0" w:color="auto"/>
        <w:bottom w:val="none" w:sz="0" w:space="0" w:color="auto"/>
        <w:right w:val="none" w:sz="0" w:space="0" w:color="auto"/>
      </w:divBdr>
    </w:div>
    <w:div w:id="1447386485">
      <w:bodyDiv w:val="1"/>
      <w:marLeft w:val="0"/>
      <w:marRight w:val="0"/>
      <w:marTop w:val="0"/>
      <w:marBottom w:val="0"/>
      <w:divBdr>
        <w:top w:val="none" w:sz="0" w:space="0" w:color="auto"/>
        <w:left w:val="none" w:sz="0" w:space="0" w:color="auto"/>
        <w:bottom w:val="none" w:sz="0" w:space="0" w:color="auto"/>
        <w:right w:val="none" w:sz="0" w:space="0" w:color="auto"/>
      </w:divBdr>
    </w:div>
    <w:div w:id="1449812989">
      <w:bodyDiv w:val="1"/>
      <w:marLeft w:val="0"/>
      <w:marRight w:val="0"/>
      <w:marTop w:val="0"/>
      <w:marBottom w:val="0"/>
      <w:divBdr>
        <w:top w:val="none" w:sz="0" w:space="0" w:color="auto"/>
        <w:left w:val="none" w:sz="0" w:space="0" w:color="auto"/>
        <w:bottom w:val="none" w:sz="0" w:space="0" w:color="auto"/>
        <w:right w:val="none" w:sz="0" w:space="0" w:color="auto"/>
      </w:divBdr>
    </w:div>
    <w:div w:id="1449859197">
      <w:bodyDiv w:val="1"/>
      <w:marLeft w:val="0"/>
      <w:marRight w:val="0"/>
      <w:marTop w:val="0"/>
      <w:marBottom w:val="0"/>
      <w:divBdr>
        <w:top w:val="none" w:sz="0" w:space="0" w:color="auto"/>
        <w:left w:val="none" w:sz="0" w:space="0" w:color="auto"/>
        <w:bottom w:val="none" w:sz="0" w:space="0" w:color="auto"/>
        <w:right w:val="none" w:sz="0" w:space="0" w:color="auto"/>
      </w:divBdr>
    </w:div>
    <w:div w:id="1450049745">
      <w:bodyDiv w:val="1"/>
      <w:marLeft w:val="0"/>
      <w:marRight w:val="0"/>
      <w:marTop w:val="0"/>
      <w:marBottom w:val="0"/>
      <w:divBdr>
        <w:top w:val="none" w:sz="0" w:space="0" w:color="auto"/>
        <w:left w:val="none" w:sz="0" w:space="0" w:color="auto"/>
        <w:bottom w:val="none" w:sz="0" w:space="0" w:color="auto"/>
        <w:right w:val="none" w:sz="0" w:space="0" w:color="auto"/>
      </w:divBdr>
    </w:div>
    <w:div w:id="1451244376">
      <w:bodyDiv w:val="1"/>
      <w:marLeft w:val="0"/>
      <w:marRight w:val="0"/>
      <w:marTop w:val="0"/>
      <w:marBottom w:val="0"/>
      <w:divBdr>
        <w:top w:val="none" w:sz="0" w:space="0" w:color="auto"/>
        <w:left w:val="none" w:sz="0" w:space="0" w:color="auto"/>
        <w:bottom w:val="none" w:sz="0" w:space="0" w:color="auto"/>
        <w:right w:val="none" w:sz="0" w:space="0" w:color="auto"/>
      </w:divBdr>
    </w:div>
    <w:div w:id="1453942647">
      <w:bodyDiv w:val="1"/>
      <w:marLeft w:val="0"/>
      <w:marRight w:val="0"/>
      <w:marTop w:val="0"/>
      <w:marBottom w:val="0"/>
      <w:divBdr>
        <w:top w:val="none" w:sz="0" w:space="0" w:color="auto"/>
        <w:left w:val="none" w:sz="0" w:space="0" w:color="auto"/>
        <w:bottom w:val="none" w:sz="0" w:space="0" w:color="auto"/>
        <w:right w:val="none" w:sz="0" w:space="0" w:color="auto"/>
      </w:divBdr>
    </w:div>
    <w:div w:id="1454057863">
      <w:bodyDiv w:val="1"/>
      <w:marLeft w:val="0"/>
      <w:marRight w:val="0"/>
      <w:marTop w:val="0"/>
      <w:marBottom w:val="0"/>
      <w:divBdr>
        <w:top w:val="none" w:sz="0" w:space="0" w:color="auto"/>
        <w:left w:val="none" w:sz="0" w:space="0" w:color="auto"/>
        <w:bottom w:val="none" w:sz="0" w:space="0" w:color="auto"/>
        <w:right w:val="none" w:sz="0" w:space="0" w:color="auto"/>
      </w:divBdr>
    </w:div>
    <w:div w:id="1454203153">
      <w:bodyDiv w:val="1"/>
      <w:marLeft w:val="0"/>
      <w:marRight w:val="0"/>
      <w:marTop w:val="0"/>
      <w:marBottom w:val="0"/>
      <w:divBdr>
        <w:top w:val="none" w:sz="0" w:space="0" w:color="auto"/>
        <w:left w:val="none" w:sz="0" w:space="0" w:color="auto"/>
        <w:bottom w:val="none" w:sz="0" w:space="0" w:color="auto"/>
        <w:right w:val="none" w:sz="0" w:space="0" w:color="auto"/>
      </w:divBdr>
    </w:div>
    <w:div w:id="1454208394">
      <w:bodyDiv w:val="1"/>
      <w:marLeft w:val="0"/>
      <w:marRight w:val="0"/>
      <w:marTop w:val="0"/>
      <w:marBottom w:val="0"/>
      <w:divBdr>
        <w:top w:val="none" w:sz="0" w:space="0" w:color="auto"/>
        <w:left w:val="none" w:sz="0" w:space="0" w:color="auto"/>
        <w:bottom w:val="none" w:sz="0" w:space="0" w:color="auto"/>
        <w:right w:val="none" w:sz="0" w:space="0" w:color="auto"/>
      </w:divBdr>
    </w:div>
    <w:div w:id="1458911241">
      <w:bodyDiv w:val="1"/>
      <w:marLeft w:val="0"/>
      <w:marRight w:val="0"/>
      <w:marTop w:val="0"/>
      <w:marBottom w:val="0"/>
      <w:divBdr>
        <w:top w:val="none" w:sz="0" w:space="0" w:color="auto"/>
        <w:left w:val="none" w:sz="0" w:space="0" w:color="auto"/>
        <w:bottom w:val="none" w:sz="0" w:space="0" w:color="auto"/>
        <w:right w:val="none" w:sz="0" w:space="0" w:color="auto"/>
      </w:divBdr>
    </w:div>
    <w:div w:id="1459570004">
      <w:bodyDiv w:val="1"/>
      <w:marLeft w:val="0"/>
      <w:marRight w:val="0"/>
      <w:marTop w:val="0"/>
      <w:marBottom w:val="0"/>
      <w:divBdr>
        <w:top w:val="none" w:sz="0" w:space="0" w:color="auto"/>
        <w:left w:val="none" w:sz="0" w:space="0" w:color="auto"/>
        <w:bottom w:val="none" w:sz="0" w:space="0" w:color="auto"/>
        <w:right w:val="none" w:sz="0" w:space="0" w:color="auto"/>
      </w:divBdr>
    </w:div>
    <w:div w:id="1459644298">
      <w:bodyDiv w:val="1"/>
      <w:marLeft w:val="0"/>
      <w:marRight w:val="0"/>
      <w:marTop w:val="0"/>
      <w:marBottom w:val="0"/>
      <w:divBdr>
        <w:top w:val="none" w:sz="0" w:space="0" w:color="auto"/>
        <w:left w:val="none" w:sz="0" w:space="0" w:color="auto"/>
        <w:bottom w:val="none" w:sz="0" w:space="0" w:color="auto"/>
        <w:right w:val="none" w:sz="0" w:space="0" w:color="auto"/>
      </w:divBdr>
    </w:div>
    <w:div w:id="1462377914">
      <w:bodyDiv w:val="1"/>
      <w:marLeft w:val="0"/>
      <w:marRight w:val="0"/>
      <w:marTop w:val="0"/>
      <w:marBottom w:val="0"/>
      <w:divBdr>
        <w:top w:val="none" w:sz="0" w:space="0" w:color="auto"/>
        <w:left w:val="none" w:sz="0" w:space="0" w:color="auto"/>
        <w:bottom w:val="none" w:sz="0" w:space="0" w:color="auto"/>
        <w:right w:val="none" w:sz="0" w:space="0" w:color="auto"/>
      </w:divBdr>
    </w:div>
    <w:div w:id="1462383843">
      <w:bodyDiv w:val="1"/>
      <w:marLeft w:val="0"/>
      <w:marRight w:val="0"/>
      <w:marTop w:val="0"/>
      <w:marBottom w:val="0"/>
      <w:divBdr>
        <w:top w:val="none" w:sz="0" w:space="0" w:color="auto"/>
        <w:left w:val="none" w:sz="0" w:space="0" w:color="auto"/>
        <w:bottom w:val="none" w:sz="0" w:space="0" w:color="auto"/>
        <w:right w:val="none" w:sz="0" w:space="0" w:color="auto"/>
      </w:divBdr>
    </w:div>
    <w:div w:id="1464036300">
      <w:bodyDiv w:val="1"/>
      <w:marLeft w:val="0"/>
      <w:marRight w:val="0"/>
      <w:marTop w:val="0"/>
      <w:marBottom w:val="0"/>
      <w:divBdr>
        <w:top w:val="none" w:sz="0" w:space="0" w:color="auto"/>
        <w:left w:val="none" w:sz="0" w:space="0" w:color="auto"/>
        <w:bottom w:val="none" w:sz="0" w:space="0" w:color="auto"/>
        <w:right w:val="none" w:sz="0" w:space="0" w:color="auto"/>
      </w:divBdr>
    </w:div>
    <w:div w:id="1464929901">
      <w:bodyDiv w:val="1"/>
      <w:marLeft w:val="0"/>
      <w:marRight w:val="0"/>
      <w:marTop w:val="0"/>
      <w:marBottom w:val="0"/>
      <w:divBdr>
        <w:top w:val="none" w:sz="0" w:space="0" w:color="auto"/>
        <w:left w:val="none" w:sz="0" w:space="0" w:color="auto"/>
        <w:bottom w:val="none" w:sz="0" w:space="0" w:color="auto"/>
        <w:right w:val="none" w:sz="0" w:space="0" w:color="auto"/>
      </w:divBdr>
    </w:div>
    <w:div w:id="1465612556">
      <w:bodyDiv w:val="1"/>
      <w:marLeft w:val="0"/>
      <w:marRight w:val="0"/>
      <w:marTop w:val="0"/>
      <w:marBottom w:val="0"/>
      <w:divBdr>
        <w:top w:val="none" w:sz="0" w:space="0" w:color="auto"/>
        <w:left w:val="none" w:sz="0" w:space="0" w:color="auto"/>
        <w:bottom w:val="none" w:sz="0" w:space="0" w:color="auto"/>
        <w:right w:val="none" w:sz="0" w:space="0" w:color="auto"/>
      </w:divBdr>
    </w:div>
    <w:div w:id="1465805544">
      <w:bodyDiv w:val="1"/>
      <w:marLeft w:val="0"/>
      <w:marRight w:val="0"/>
      <w:marTop w:val="0"/>
      <w:marBottom w:val="0"/>
      <w:divBdr>
        <w:top w:val="none" w:sz="0" w:space="0" w:color="auto"/>
        <w:left w:val="none" w:sz="0" w:space="0" w:color="auto"/>
        <w:bottom w:val="none" w:sz="0" w:space="0" w:color="auto"/>
        <w:right w:val="none" w:sz="0" w:space="0" w:color="auto"/>
      </w:divBdr>
    </w:div>
    <w:div w:id="1466435416">
      <w:bodyDiv w:val="1"/>
      <w:marLeft w:val="0"/>
      <w:marRight w:val="0"/>
      <w:marTop w:val="0"/>
      <w:marBottom w:val="0"/>
      <w:divBdr>
        <w:top w:val="none" w:sz="0" w:space="0" w:color="auto"/>
        <w:left w:val="none" w:sz="0" w:space="0" w:color="auto"/>
        <w:bottom w:val="none" w:sz="0" w:space="0" w:color="auto"/>
        <w:right w:val="none" w:sz="0" w:space="0" w:color="auto"/>
      </w:divBdr>
    </w:div>
    <w:div w:id="1466506239">
      <w:bodyDiv w:val="1"/>
      <w:marLeft w:val="0"/>
      <w:marRight w:val="0"/>
      <w:marTop w:val="0"/>
      <w:marBottom w:val="0"/>
      <w:divBdr>
        <w:top w:val="none" w:sz="0" w:space="0" w:color="auto"/>
        <w:left w:val="none" w:sz="0" w:space="0" w:color="auto"/>
        <w:bottom w:val="none" w:sz="0" w:space="0" w:color="auto"/>
        <w:right w:val="none" w:sz="0" w:space="0" w:color="auto"/>
      </w:divBdr>
    </w:div>
    <w:div w:id="1467316149">
      <w:bodyDiv w:val="1"/>
      <w:marLeft w:val="0"/>
      <w:marRight w:val="0"/>
      <w:marTop w:val="0"/>
      <w:marBottom w:val="0"/>
      <w:divBdr>
        <w:top w:val="none" w:sz="0" w:space="0" w:color="auto"/>
        <w:left w:val="none" w:sz="0" w:space="0" w:color="auto"/>
        <w:bottom w:val="none" w:sz="0" w:space="0" w:color="auto"/>
        <w:right w:val="none" w:sz="0" w:space="0" w:color="auto"/>
      </w:divBdr>
    </w:div>
    <w:div w:id="1467383591">
      <w:bodyDiv w:val="1"/>
      <w:marLeft w:val="0"/>
      <w:marRight w:val="0"/>
      <w:marTop w:val="0"/>
      <w:marBottom w:val="0"/>
      <w:divBdr>
        <w:top w:val="none" w:sz="0" w:space="0" w:color="auto"/>
        <w:left w:val="none" w:sz="0" w:space="0" w:color="auto"/>
        <w:bottom w:val="none" w:sz="0" w:space="0" w:color="auto"/>
        <w:right w:val="none" w:sz="0" w:space="0" w:color="auto"/>
      </w:divBdr>
    </w:div>
    <w:div w:id="1468930871">
      <w:bodyDiv w:val="1"/>
      <w:marLeft w:val="0"/>
      <w:marRight w:val="0"/>
      <w:marTop w:val="0"/>
      <w:marBottom w:val="0"/>
      <w:divBdr>
        <w:top w:val="none" w:sz="0" w:space="0" w:color="auto"/>
        <w:left w:val="none" w:sz="0" w:space="0" w:color="auto"/>
        <w:bottom w:val="none" w:sz="0" w:space="0" w:color="auto"/>
        <w:right w:val="none" w:sz="0" w:space="0" w:color="auto"/>
      </w:divBdr>
    </w:div>
    <w:div w:id="1472332336">
      <w:bodyDiv w:val="1"/>
      <w:marLeft w:val="0"/>
      <w:marRight w:val="0"/>
      <w:marTop w:val="0"/>
      <w:marBottom w:val="0"/>
      <w:divBdr>
        <w:top w:val="none" w:sz="0" w:space="0" w:color="auto"/>
        <w:left w:val="none" w:sz="0" w:space="0" w:color="auto"/>
        <w:bottom w:val="none" w:sz="0" w:space="0" w:color="auto"/>
        <w:right w:val="none" w:sz="0" w:space="0" w:color="auto"/>
      </w:divBdr>
    </w:div>
    <w:div w:id="1473715031">
      <w:bodyDiv w:val="1"/>
      <w:marLeft w:val="0"/>
      <w:marRight w:val="0"/>
      <w:marTop w:val="0"/>
      <w:marBottom w:val="0"/>
      <w:divBdr>
        <w:top w:val="none" w:sz="0" w:space="0" w:color="auto"/>
        <w:left w:val="none" w:sz="0" w:space="0" w:color="auto"/>
        <w:bottom w:val="none" w:sz="0" w:space="0" w:color="auto"/>
        <w:right w:val="none" w:sz="0" w:space="0" w:color="auto"/>
      </w:divBdr>
    </w:div>
    <w:div w:id="1474056702">
      <w:bodyDiv w:val="1"/>
      <w:marLeft w:val="0"/>
      <w:marRight w:val="0"/>
      <w:marTop w:val="0"/>
      <w:marBottom w:val="0"/>
      <w:divBdr>
        <w:top w:val="none" w:sz="0" w:space="0" w:color="auto"/>
        <w:left w:val="none" w:sz="0" w:space="0" w:color="auto"/>
        <w:bottom w:val="none" w:sz="0" w:space="0" w:color="auto"/>
        <w:right w:val="none" w:sz="0" w:space="0" w:color="auto"/>
      </w:divBdr>
    </w:div>
    <w:div w:id="1474983385">
      <w:bodyDiv w:val="1"/>
      <w:marLeft w:val="0"/>
      <w:marRight w:val="0"/>
      <w:marTop w:val="0"/>
      <w:marBottom w:val="0"/>
      <w:divBdr>
        <w:top w:val="none" w:sz="0" w:space="0" w:color="auto"/>
        <w:left w:val="none" w:sz="0" w:space="0" w:color="auto"/>
        <w:bottom w:val="none" w:sz="0" w:space="0" w:color="auto"/>
        <w:right w:val="none" w:sz="0" w:space="0" w:color="auto"/>
      </w:divBdr>
    </w:div>
    <w:div w:id="1475025966">
      <w:bodyDiv w:val="1"/>
      <w:marLeft w:val="0"/>
      <w:marRight w:val="0"/>
      <w:marTop w:val="0"/>
      <w:marBottom w:val="0"/>
      <w:divBdr>
        <w:top w:val="none" w:sz="0" w:space="0" w:color="auto"/>
        <w:left w:val="none" w:sz="0" w:space="0" w:color="auto"/>
        <w:bottom w:val="none" w:sz="0" w:space="0" w:color="auto"/>
        <w:right w:val="none" w:sz="0" w:space="0" w:color="auto"/>
      </w:divBdr>
    </w:div>
    <w:div w:id="1475832237">
      <w:bodyDiv w:val="1"/>
      <w:marLeft w:val="0"/>
      <w:marRight w:val="0"/>
      <w:marTop w:val="0"/>
      <w:marBottom w:val="0"/>
      <w:divBdr>
        <w:top w:val="none" w:sz="0" w:space="0" w:color="auto"/>
        <w:left w:val="none" w:sz="0" w:space="0" w:color="auto"/>
        <w:bottom w:val="none" w:sz="0" w:space="0" w:color="auto"/>
        <w:right w:val="none" w:sz="0" w:space="0" w:color="auto"/>
      </w:divBdr>
    </w:div>
    <w:div w:id="1476723157">
      <w:bodyDiv w:val="1"/>
      <w:marLeft w:val="0"/>
      <w:marRight w:val="0"/>
      <w:marTop w:val="0"/>
      <w:marBottom w:val="0"/>
      <w:divBdr>
        <w:top w:val="none" w:sz="0" w:space="0" w:color="auto"/>
        <w:left w:val="none" w:sz="0" w:space="0" w:color="auto"/>
        <w:bottom w:val="none" w:sz="0" w:space="0" w:color="auto"/>
        <w:right w:val="none" w:sz="0" w:space="0" w:color="auto"/>
      </w:divBdr>
    </w:div>
    <w:div w:id="1477331751">
      <w:bodyDiv w:val="1"/>
      <w:marLeft w:val="0"/>
      <w:marRight w:val="0"/>
      <w:marTop w:val="0"/>
      <w:marBottom w:val="0"/>
      <w:divBdr>
        <w:top w:val="none" w:sz="0" w:space="0" w:color="auto"/>
        <w:left w:val="none" w:sz="0" w:space="0" w:color="auto"/>
        <w:bottom w:val="none" w:sz="0" w:space="0" w:color="auto"/>
        <w:right w:val="none" w:sz="0" w:space="0" w:color="auto"/>
      </w:divBdr>
    </w:div>
    <w:div w:id="1479224746">
      <w:bodyDiv w:val="1"/>
      <w:marLeft w:val="0"/>
      <w:marRight w:val="0"/>
      <w:marTop w:val="0"/>
      <w:marBottom w:val="0"/>
      <w:divBdr>
        <w:top w:val="none" w:sz="0" w:space="0" w:color="auto"/>
        <w:left w:val="none" w:sz="0" w:space="0" w:color="auto"/>
        <w:bottom w:val="none" w:sz="0" w:space="0" w:color="auto"/>
        <w:right w:val="none" w:sz="0" w:space="0" w:color="auto"/>
      </w:divBdr>
    </w:div>
    <w:div w:id="1479495922">
      <w:bodyDiv w:val="1"/>
      <w:marLeft w:val="0"/>
      <w:marRight w:val="0"/>
      <w:marTop w:val="0"/>
      <w:marBottom w:val="0"/>
      <w:divBdr>
        <w:top w:val="none" w:sz="0" w:space="0" w:color="auto"/>
        <w:left w:val="none" w:sz="0" w:space="0" w:color="auto"/>
        <w:bottom w:val="none" w:sz="0" w:space="0" w:color="auto"/>
        <w:right w:val="none" w:sz="0" w:space="0" w:color="auto"/>
      </w:divBdr>
    </w:div>
    <w:div w:id="1479612435">
      <w:bodyDiv w:val="1"/>
      <w:marLeft w:val="0"/>
      <w:marRight w:val="0"/>
      <w:marTop w:val="0"/>
      <w:marBottom w:val="0"/>
      <w:divBdr>
        <w:top w:val="none" w:sz="0" w:space="0" w:color="auto"/>
        <w:left w:val="none" w:sz="0" w:space="0" w:color="auto"/>
        <w:bottom w:val="none" w:sz="0" w:space="0" w:color="auto"/>
        <w:right w:val="none" w:sz="0" w:space="0" w:color="auto"/>
      </w:divBdr>
    </w:div>
    <w:div w:id="1480000041">
      <w:bodyDiv w:val="1"/>
      <w:marLeft w:val="0"/>
      <w:marRight w:val="0"/>
      <w:marTop w:val="0"/>
      <w:marBottom w:val="0"/>
      <w:divBdr>
        <w:top w:val="none" w:sz="0" w:space="0" w:color="auto"/>
        <w:left w:val="none" w:sz="0" w:space="0" w:color="auto"/>
        <w:bottom w:val="none" w:sz="0" w:space="0" w:color="auto"/>
        <w:right w:val="none" w:sz="0" w:space="0" w:color="auto"/>
      </w:divBdr>
    </w:div>
    <w:div w:id="1481194567">
      <w:bodyDiv w:val="1"/>
      <w:marLeft w:val="0"/>
      <w:marRight w:val="0"/>
      <w:marTop w:val="0"/>
      <w:marBottom w:val="0"/>
      <w:divBdr>
        <w:top w:val="none" w:sz="0" w:space="0" w:color="auto"/>
        <w:left w:val="none" w:sz="0" w:space="0" w:color="auto"/>
        <w:bottom w:val="none" w:sz="0" w:space="0" w:color="auto"/>
        <w:right w:val="none" w:sz="0" w:space="0" w:color="auto"/>
      </w:divBdr>
    </w:div>
    <w:div w:id="1481341260">
      <w:bodyDiv w:val="1"/>
      <w:marLeft w:val="0"/>
      <w:marRight w:val="0"/>
      <w:marTop w:val="0"/>
      <w:marBottom w:val="0"/>
      <w:divBdr>
        <w:top w:val="none" w:sz="0" w:space="0" w:color="auto"/>
        <w:left w:val="none" w:sz="0" w:space="0" w:color="auto"/>
        <w:bottom w:val="none" w:sz="0" w:space="0" w:color="auto"/>
        <w:right w:val="none" w:sz="0" w:space="0" w:color="auto"/>
      </w:divBdr>
    </w:div>
    <w:div w:id="1482427293">
      <w:bodyDiv w:val="1"/>
      <w:marLeft w:val="0"/>
      <w:marRight w:val="0"/>
      <w:marTop w:val="0"/>
      <w:marBottom w:val="0"/>
      <w:divBdr>
        <w:top w:val="none" w:sz="0" w:space="0" w:color="auto"/>
        <w:left w:val="none" w:sz="0" w:space="0" w:color="auto"/>
        <w:bottom w:val="none" w:sz="0" w:space="0" w:color="auto"/>
        <w:right w:val="none" w:sz="0" w:space="0" w:color="auto"/>
      </w:divBdr>
    </w:div>
    <w:div w:id="1482965994">
      <w:bodyDiv w:val="1"/>
      <w:marLeft w:val="0"/>
      <w:marRight w:val="0"/>
      <w:marTop w:val="0"/>
      <w:marBottom w:val="0"/>
      <w:divBdr>
        <w:top w:val="none" w:sz="0" w:space="0" w:color="auto"/>
        <w:left w:val="none" w:sz="0" w:space="0" w:color="auto"/>
        <w:bottom w:val="none" w:sz="0" w:space="0" w:color="auto"/>
        <w:right w:val="none" w:sz="0" w:space="0" w:color="auto"/>
      </w:divBdr>
    </w:div>
    <w:div w:id="1483935207">
      <w:bodyDiv w:val="1"/>
      <w:marLeft w:val="0"/>
      <w:marRight w:val="0"/>
      <w:marTop w:val="0"/>
      <w:marBottom w:val="0"/>
      <w:divBdr>
        <w:top w:val="none" w:sz="0" w:space="0" w:color="auto"/>
        <w:left w:val="none" w:sz="0" w:space="0" w:color="auto"/>
        <w:bottom w:val="none" w:sz="0" w:space="0" w:color="auto"/>
        <w:right w:val="none" w:sz="0" w:space="0" w:color="auto"/>
      </w:divBdr>
    </w:div>
    <w:div w:id="1483963329">
      <w:bodyDiv w:val="1"/>
      <w:marLeft w:val="0"/>
      <w:marRight w:val="0"/>
      <w:marTop w:val="0"/>
      <w:marBottom w:val="0"/>
      <w:divBdr>
        <w:top w:val="none" w:sz="0" w:space="0" w:color="auto"/>
        <w:left w:val="none" w:sz="0" w:space="0" w:color="auto"/>
        <w:bottom w:val="none" w:sz="0" w:space="0" w:color="auto"/>
        <w:right w:val="none" w:sz="0" w:space="0" w:color="auto"/>
      </w:divBdr>
    </w:div>
    <w:div w:id="1484661850">
      <w:bodyDiv w:val="1"/>
      <w:marLeft w:val="0"/>
      <w:marRight w:val="0"/>
      <w:marTop w:val="0"/>
      <w:marBottom w:val="0"/>
      <w:divBdr>
        <w:top w:val="none" w:sz="0" w:space="0" w:color="auto"/>
        <w:left w:val="none" w:sz="0" w:space="0" w:color="auto"/>
        <w:bottom w:val="none" w:sz="0" w:space="0" w:color="auto"/>
        <w:right w:val="none" w:sz="0" w:space="0" w:color="auto"/>
      </w:divBdr>
    </w:div>
    <w:div w:id="1489831039">
      <w:bodyDiv w:val="1"/>
      <w:marLeft w:val="0"/>
      <w:marRight w:val="0"/>
      <w:marTop w:val="0"/>
      <w:marBottom w:val="0"/>
      <w:divBdr>
        <w:top w:val="none" w:sz="0" w:space="0" w:color="auto"/>
        <w:left w:val="none" w:sz="0" w:space="0" w:color="auto"/>
        <w:bottom w:val="none" w:sz="0" w:space="0" w:color="auto"/>
        <w:right w:val="none" w:sz="0" w:space="0" w:color="auto"/>
      </w:divBdr>
    </w:div>
    <w:div w:id="1490291925">
      <w:bodyDiv w:val="1"/>
      <w:marLeft w:val="0"/>
      <w:marRight w:val="0"/>
      <w:marTop w:val="0"/>
      <w:marBottom w:val="0"/>
      <w:divBdr>
        <w:top w:val="none" w:sz="0" w:space="0" w:color="auto"/>
        <w:left w:val="none" w:sz="0" w:space="0" w:color="auto"/>
        <w:bottom w:val="none" w:sz="0" w:space="0" w:color="auto"/>
        <w:right w:val="none" w:sz="0" w:space="0" w:color="auto"/>
      </w:divBdr>
    </w:div>
    <w:div w:id="1491021989">
      <w:bodyDiv w:val="1"/>
      <w:marLeft w:val="0"/>
      <w:marRight w:val="0"/>
      <w:marTop w:val="0"/>
      <w:marBottom w:val="0"/>
      <w:divBdr>
        <w:top w:val="none" w:sz="0" w:space="0" w:color="auto"/>
        <w:left w:val="none" w:sz="0" w:space="0" w:color="auto"/>
        <w:bottom w:val="none" w:sz="0" w:space="0" w:color="auto"/>
        <w:right w:val="none" w:sz="0" w:space="0" w:color="auto"/>
      </w:divBdr>
    </w:div>
    <w:div w:id="1493132536">
      <w:bodyDiv w:val="1"/>
      <w:marLeft w:val="0"/>
      <w:marRight w:val="0"/>
      <w:marTop w:val="0"/>
      <w:marBottom w:val="0"/>
      <w:divBdr>
        <w:top w:val="none" w:sz="0" w:space="0" w:color="auto"/>
        <w:left w:val="none" w:sz="0" w:space="0" w:color="auto"/>
        <w:bottom w:val="none" w:sz="0" w:space="0" w:color="auto"/>
        <w:right w:val="none" w:sz="0" w:space="0" w:color="auto"/>
      </w:divBdr>
    </w:div>
    <w:div w:id="1493764067">
      <w:bodyDiv w:val="1"/>
      <w:marLeft w:val="0"/>
      <w:marRight w:val="0"/>
      <w:marTop w:val="0"/>
      <w:marBottom w:val="0"/>
      <w:divBdr>
        <w:top w:val="none" w:sz="0" w:space="0" w:color="auto"/>
        <w:left w:val="none" w:sz="0" w:space="0" w:color="auto"/>
        <w:bottom w:val="none" w:sz="0" w:space="0" w:color="auto"/>
        <w:right w:val="none" w:sz="0" w:space="0" w:color="auto"/>
      </w:divBdr>
    </w:div>
    <w:div w:id="1494640549">
      <w:bodyDiv w:val="1"/>
      <w:marLeft w:val="0"/>
      <w:marRight w:val="0"/>
      <w:marTop w:val="0"/>
      <w:marBottom w:val="0"/>
      <w:divBdr>
        <w:top w:val="none" w:sz="0" w:space="0" w:color="auto"/>
        <w:left w:val="none" w:sz="0" w:space="0" w:color="auto"/>
        <w:bottom w:val="none" w:sz="0" w:space="0" w:color="auto"/>
        <w:right w:val="none" w:sz="0" w:space="0" w:color="auto"/>
      </w:divBdr>
    </w:div>
    <w:div w:id="1495297341">
      <w:bodyDiv w:val="1"/>
      <w:marLeft w:val="0"/>
      <w:marRight w:val="0"/>
      <w:marTop w:val="0"/>
      <w:marBottom w:val="0"/>
      <w:divBdr>
        <w:top w:val="none" w:sz="0" w:space="0" w:color="auto"/>
        <w:left w:val="none" w:sz="0" w:space="0" w:color="auto"/>
        <w:bottom w:val="none" w:sz="0" w:space="0" w:color="auto"/>
        <w:right w:val="none" w:sz="0" w:space="0" w:color="auto"/>
      </w:divBdr>
    </w:div>
    <w:div w:id="1496457004">
      <w:bodyDiv w:val="1"/>
      <w:marLeft w:val="0"/>
      <w:marRight w:val="0"/>
      <w:marTop w:val="0"/>
      <w:marBottom w:val="0"/>
      <w:divBdr>
        <w:top w:val="none" w:sz="0" w:space="0" w:color="auto"/>
        <w:left w:val="none" w:sz="0" w:space="0" w:color="auto"/>
        <w:bottom w:val="none" w:sz="0" w:space="0" w:color="auto"/>
        <w:right w:val="none" w:sz="0" w:space="0" w:color="auto"/>
      </w:divBdr>
    </w:div>
    <w:div w:id="1496723144">
      <w:bodyDiv w:val="1"/>
      <w:marLeft w:val="0"/>
      <w:marRight w:val="0"/>
      <w:marTop w:val="0"/>
      <w:marBottom w:val="0"/>
      <w:divBdr>
        <w:top w:val="none" w:sz="0" w:space="0" w:color="auto"/>
        <w:left w:val="none" w:sz="0" w:space="0" w:color="auto"/>
        <w:bottom w:val="none" w:sz="0" w:space="0" w:color="auto"/>
        <w:right w:val="none" w:sz="0" w:space="0" w:color="auto"/>
      </w:divBdr>
    </w:div>
    <w:div w:id="1496802964">
      <w:bodyDiv w:val="1"/>
      <w:marLeft w:val="0"/>
      <w:marRight w:val="0"/>
      <w:marTop w:val="0"/>
      <w:marBottom w:val="0"/>
      <w:divBdr>
        <w:top w:val="none" w:sz="0" w:space="0" w:color="auto"/>
        <w:left w:val="none" w:sz="0" w:space="0" w:color="auto"/>
        <w:bottom w:val="none" w:sz="0" w:space="0" w:color="auto"/>
        <w:right w:val="none" w:sz="0" w:space="0" w:color="auto"/>
      </w:divBdr>
    </w:div>
    <w:div w:id="1502695618">
      <w:bodyDiv w:val="1"/>
      <w:marLeft w:val="0"/>
      <w:marRight w:val="0"/>
      <w:marTop w:val="0"/>
      <w:marBottom w:val="0"/>
      <w:divBdr>
        <w:top w:val="none" w:sz="0" w:space="0" w:color="auto"/>
        <w:left w:val="none" w:sz="0" w:space="0" w:color="auto"/>
        <w:bottom w:val="none" w:sz="0" w:space="0" w:color="auto"/>
        <w:right w:val="none" w:sz="0" w:space="0" w:color="auto"/>
      </w:divBdr>
    </w:div>
    <w:div w:id="1503009895">
      <w:bodyDiv w:val="1"/>
      <w:marLeft w:val="0"/>
      <w:marRight w:val="0"/>
      <w:marTop w:val="0"/>
      <w:marBottom w:val="0"/>
      <w:divBdr>
        <w:top w:val="none" w:sz="0" w:space="0" w:color="auto"/>
        <w:left w:val="none" w:sz="0" w:space="0" w:color="auto"/>
        <w:bottom w:val="none" w:sz="0" w:space="0" w:color="auto"/>
        <w:right w:val="none" w:sz="0" w:space="0" w:color="auto"/>
      </w:divBdr>
    </w:div>
    <w:div w:id="1505046643">
      <w:bodyDiv w:val="1"/>
      <w:marLeft w:val="0"/>
      <w:marRight w:val="0"/>
      <w:marTop w:val="0"/>
      <w:marBottom w:val="0"/>
      <w:divBdr>
        <w:top w:val="none" w:sz="0" w:space="0" w:color="auto"/>
        <w:left w:val="none" w:sz="0" w:space="0" w:color="auto"/>
        <w:bottom w:val="none" w:sz="0" w:space="0" w:color="auto"/>
        <w:right w:val="none" w:sz="0" w:space="0" w:color="auto"/>
      </w:divBdr>
    </w:div>
    <w:div w:id="1505129669">
      <w:bodyDiv w:val="1"/>
      <w:marLeft w:val="0"/>
      <w:marRight w:val="0"/>
      <w:marTop w:val="0"/>
      <w:marBottom w:val="0"/>
      <w:divBdr>
        <w:top w:val="none" w:sz="0" w:space="0" w:color="auto"/>
        <w:left w:val="none" w:sz="0" w:space="0" w:color="auto"/>
        <w:bottom w:val="none" w:sz="0" w:space="0" w:color="auto"/>
        <w:right w:val="none" w:sz="0" w:space="0" w:color="auto"/>
      </w:divBdr>
    </w:div>
    <w:div w:id="1507288807">
      <w:bodyDiv w:val="1"/>
      <w:marLeft w:val="0"/>
      <w:marRight w:val="0"/>
      <w:marTop w:val="0"/>
      <w:marBottom w:val="0"/>
      <w:divBdr>
        <w:top w:val="none" w:sz="0" w:space="0" w:color="auto"/>
        <w:left w:val="none" w:sz="0" w:space="0" w:color="auto"/>
        <w:bottom w:val="none" w:sz="0" w:space="0" w:color="auto"/>
        <w:right w:val="none" w:sz="0" w:space="0" w:color="auto"/>
      </w:divBdr>
    </w:div>
    <w:div w:id="1507745236">
      <w:bodyDiv w:val="1"/>
      <w:marLeft w:val="0"/>
      <w:marRight w:val="0"/>
      <w:marTop w:val="0"/>
      <w:marBottom w:val="0"/>
      <w:divBdr>
        <w:top w:val="none" w:sz="0" w:space="0" w:color="auto"/>
        <w:left w:val="none" w:sz="0" w:space="0" w:color="auto"/>
        <w:bottom w:val="none" w:sz="0" w:space="0" w:color="auto"/>
        <w:right w:val="none" w:sz="0" w:space="0" w:color="auto"/>
      </w:divBdr>
    </w:div>
    <w:div w:id="1513453066">
      <w:bodyDiv w:val="1"/>
      <w:marLeft w:val="0"/>
      <w:marRight w:val="0"/>
      <w:marTop w:val="0"/>
      <w:marBottom w:val="0"/>
      <w:divBdr>
        <w:top w:val="none" w:sz="0" w:space="0" w:color="auto"/>
        <w:left w:val="none" w:sz="0" w:space="0" w:color="auto"/>
        <w:bottom w:val="none" w:sz="0" w:space="0" w:color="auto"/>
        <w:right w:val="none" w:sz="0" w:space="0" w:color="auto"/>
      </w:divBdr>
    </w:div>
    <w:div w:id="1515459173">
      <w:bodyDiv w:val="1"/>
      <w:marLeft w:val="0"/>
      <w:marRight w:val="0"/>
      <w:marTop w:val="0"/>
      <w:marBottom w:val="0"/>
      <w:divBdr>
        <w:top w:val="none" w:sz="0" w:space="0" w:color="auto"/>
        <w:left w:val="none" w:sz="0" w:space="0" w:color="auto"/>
        <w:bottom w:val="none" w:sz="0" w:space="0" w:color="auto"/>
        <w:right w:val="none" w:sz="0" w:space="0" w:color="auto"/>
      </w:divBdr>
    </w:div>
    <w:div w:id="1518426497">
      <w:bodyDiv w:val="1"/>
      <w:marLeft w:val="0"/>
      <w:marRight w:val="0"/>
      <w:marTop w:val="0"/>
      <w:marBottom w:val="0"/>
      <w:divBdr>
        <w:top w:val="none" w:sz="0" w:space="0" w:color="auto"/>
        <w:left w:val="none" w:sz="0" w:space="0" w:color="auto"/>
        <w:bottom w:val="none" w:sz="0" w:space="0" w:color="auto"/>
        <w:right w:val="none" w:sz="0" w:space="0" w:color="auto"/>
      </w:divBdr>
    </w:div>
    <w:div w:id="1519268417">
      <w:bodyDiv w:val="1"/>
      <w:marLeft w:val="0"/>
      <w:marRight w:val="0"/>
      <w:marTop w:val="0"/>
      <w:marBottom w:val="0"/>
      <w:divBdr>
        <w:top w:val="none" w:sz="0" w:space="0" w:color="auto"/>
        <w:left w:val="none" w:sz="0" w:space="0" w:color="auto"/>
        <w:bottom w:val="none" w:sz="0" w:space="0" w:color="auto"/>
        <w:right w:val="none" w:sz="0" w:space="0" w:color="auto"/>
      </w:divBdr>
    </w:div>
    <w:div w:id="1521237852">
      <w:bodyDiv w:val="1"/>
      <w:marLeft w:val="0"/>
      <w:marRight w:val="0"/>
      <w:marTop w:val="0"/>
      <w:marBottom w:val="0"/>
      <w:divBdr>
        <w:top w:val="none" w:sz="0" w:space="0" w:color="auto"/>
        <w:left w:val="none" w:sz="0" w:space="0" w:color="auto"/>
        <w:bottom w:val="none" w:sz="0" w:space="0" w:color="auto"/>
        <w:right w:val="none" w:sz="0" w:space="0" w:color="auto"/>
      </w:divBdr>
    </w:div>
    <w:div w:id="1522622819">
      <w:bodyDiv w:val="1"/>
      <w:marLeft w:val="0"/>
      <w:marRight w:val="0"/>
      <w:marTop w:val="0"/>
      <w:marBottom w:val="0"/>
      <w:divBdr>
        <w:top w:val="none" w:sz="0" w:space="0" w:color="auto"/>
        <w:left w:val="none" w:sz="0" w:space="0" w:color="auto"/>
        <w:bottom w:val="none" w:sz="0" w:space="0" w:color="auto"/>
        <w:right w:val="none" w:sz="0" w:space="0" w:color="auto"/>
      </w:divBdr>
    </w:div>
    <w:div w:id="1523129354">
      <w:bodyDiv w:val="1"/>
      <w:marLeft w:val="0"/>
      <w:marRight w:val="0"/>
      <w:marTop w:val="0"/>
      <w:marBottom w:val="0"/>
      <w:divBdr>
        <w:top w:val="none" w:sz="0" w:space="0" w:color="auto"/>
        <w:left w:val="none" w:sz="0" w:space="0" w:color="auto"/>
        <w:bottom w:val="none" w:sz="0" w:space="0" w:color="auto"/>
        <w:right w:val="none" w:sz="0" w:space="0" w:color="auto"/>
      </w:divBdr>
    </w:div>
    <w:div w:id="1523931317">
      <w:bodyDiv w:val="1"/>
      <w:marLeft w:val="0"/>
      <w:marRight w:val="0"/>
      <w:marTop w:val="0"/>
      <w:marBottom w:val="0"/>
      <w:divBdr>
        <w:top w:val="none" w:sz="0" w:space="0" w:color="auto"/>
        <w:left w:val="none" w:sz="0" w:space="0" w:color="auto"/>
        <w:bottom w:val="none" w:sz="0" w:space="0" w:color="auto"/>
        <w:right w:val="none" w:sz="0" w:space="0" w:color="auto"/>
      </w:divBdr>
    </w:div>
    <w:div w:id="1524512796">
      <w:bodyDiv w:val="1"/>
      <w:marLeft w:val="0"/>
      <w:marRight w:val="0"/>
      <w:marTop w:val="0"/>
      <w:marBottom w:val="0"/>
      <w:divBdr>
        <w:top w:val="none" w:sz="0" w:space="0" w:color="auto"/>
        <w:left w:val="none" w:sz="0" w:space="0" w:color="auto"/>
        <w:bottom w:val="none" w:sz="0" w:space="0" w:color="auto"/>
        <w:right w:val="none" w:sz="0" w:space="0" w:color="auto"/>
      </w:divBdr>
    </w:div>
    <w:div w:id="1525511621">
      <w:bodyDiv w:val="1"/>
      <w:marLeft w:val="0"/>
      <w:marRight w:val="0"/>
      <w:marTop w:val="0"/>
      <w:marBottom w:val="0"/>
      <w:divBdr>
        <w:top w:val="none" w:sz="0" w:space="0" w:color="auto"/>
        <w:left w:val="none" w:sz="0" w:space="0" w:color="auto"/>
        <w:bottom w:val="none" w:sz="0" w:space="0" w:color="auto"/>
        <w:right w:val="none" w:sz="0" w:space="0" w:color="auto"/>
      </w:divBdr>
    </w:div>
    <w:div w:id="1525753554">
      <w:bodyDiv w:val="1"/>
      <w:marLeft w:val="0"/>
      <w:marRight w:val="0"/>
      <w:marTop w:val="0"/>
      <w:marBottom w:val="0"/>
      <w:divBdr>
        <w:top w:val="none" w:sz="0" w:space="0" w:color="auto"/>
        <w:left w:val="none" w:sz="0" w:space="0" w:color="auto"/>
        <w:bottom w:val="none" w:sz="0" w:space="0" w:color="auto"/>
        <w:right w:val="none" w:sz="0" w:space="0" w:color="auto"/>
      </w:divBdr>
    </w:div>
    <w:div w:id="1526558865">
      <w:bodyDiv w:val="1"/>
      <w:marLeft w:val="0"/>
      <w:marRight w:val="0"/>
      <w:marTop w:val="0"/>
      <w:marBottom w:val="0"/>
      <w:divBdr>
        <w:top w:val="none" w:sz="0" w:space="0" w:color="auto"/>
        <w:left w:val="none" w:sz="0" w:space="0" w:color="auto"/>
        <w:bottom w:val="none" w:sz="0" w:space="0" w:color="auto"/>
        <w:right w:val="none" w:sz="0" w:space="0" w:color="auto"/>
      </w:divBdr>
    </w:div>
    <w:div w:id="1526628109">
      <w:bodyDiv w:val="1"/>
      <w:marLeft w:val="0"/>
      <w:marRight w:val="0"/>
      <w:marTop w:val="0"/>
      <w:marBottom w:val="0"/>
      <w:divBdr>
        <w:top w:val="none" w:sz="0" w:space="0" w:color="auto"/>
        <w:left w:val="none" w:sz="0" w:space="0" w:color="auto"/>
        <w:bottom w:val="none" w:sz="0" w:space="0" w:color="auto"/>
        <w:right w:val="none" w:sz="0" w:space="0" w:color="auto"/>
      </w:divBdr>
    </w:div>
    <w:div w:id="1526864971">
      <w:bodyDiv w:val="1"/>
      <w:marLeft w:val="0"/>
      <w:marRight w:val="0"/>
      <w:marTop w:val="0"/>
      <w:marBottom w:val="0"/>
      <w:divBdr>
        <w:top w:val="none" w:sz="0" w:space="0" w:color="auto"/>
        <w:left w:val="none" w:sz="0" w:space="0" w:color="auto"/>
        <w:bottom w:val="none" w:sz="0" w:space="0" w:color="auto"/>
        <w:right w:val="none" w:sz="0" w:space="0" w:color="auto"/>
      </w:divBdr>
    </w:div>
    <w:div w:id="1529446370">
      <w:bodyDiv w:val="1"/>
      <w:marLeft w:val="0"/>
      <w:marRight w:val="0"/>
      <w:marTop w:val="0"/>
      <w:marBottom w:val="0"/>
      <w:divBdr>
        <w:top w:val="none" w:sz="0" w:space="0" w:color="auto"/>
        <w:left w:val="none" w:sz="0" w:space="0" w:color="auto"/>
        <w:bottom w:val="none" w:sz="0" w:space="0" w:color="auto"/>
        <w:right w:val="none" w:sz="0" w:space="0" w:color="auto"/>
      </w:divBdr>
    </w:div>
    <w:div w:id="1529874695">
      <w:bodyDiv w:val="1"/>
      <w:marLeft w:val="0"/>
      <w:marRight w:val="0"/>
      <w:marTop w:val="0"/>
      <w:marBottom w:val="0"/>
      <w:divBdr>
        <w:top w:val="none" w:sz="0" w:space="0" w:color="auto"/>
        <w:left w:val="none" w:sz="0" w:space="0" w:color="auto"/>
        <w:bottom w:val="none" w:sz="0" w:space="0" w:color="auto"/>
        <w:right w:val="none" w:sz="0" w:space="0" w:color="auto"/>
      </w:divBdr>
    </w:div>
    <w:div w:id="1529948012">
      <w:bodyDiv w:val="1"/>
      <w:marLeft w:val="0"/>
      <w:marRight w:val="0"/>
      <w:marTop w:val="0"/>
      <w:marBottom w:val="0"/>
      <w:divBdr>
        <w:top w:val="none" w:sz="0" w:space="0" w:color="auto"/>
        <w:left w:val="none" w:sz="0" w:space="0" w:color="auto"/>
        <w:bottom w:val="none" w:sz="0" w:space="0" w:color="auto"/>
        <w:right w:val="none" w:sz="0" w:space="0" w:color="auto"/>
      </w:divBdr>
    </w:div>
    <w:div w:id="1530798844">
      <w:bodyDiv w:val="1"/>
      <w:marLeft w:val="0"/>
      <w:marRight w:val="0"/>
      <w:marTop w:val="0"/>
      <w:marBottom w:val="0"/>
      <w:divBdr>
        <w:top w:val="none" w:sz="0" w:space="0" w:color="auto"/>
        <w:left w:val="none" w:sz="0" w:space="0" w:color="auto"/>
        <w:bottom w:val="none" w:sz="0" w:space="0" w:color="auto"/>
        <w:right w:val="none" w:sz="0" w:space="0" w:color="auto"/>
      </w:divBdr>
    </w:div>
    <w:div w:id="1532916935">
      <w:bodyDiv w:val="1"/>
      <w:marLeft w:val="0"/>
      <w:marRight w:val="0"/>
      <w:marTop w:val="0"/>
      <w:marBottom w:val="0"/>
      <w:divBdr>
        <w:top w:val="none" w:sz="0" w:space="0" w:color="auto"/>
        <w:left w:val="none" w:sz="0" w:space="0" w:color="auto"/>
        <w:bottom w:val="none" w:sz="0" w:space="0" w:color="auto"/>
        <w:right w:val="none" w:sz="0" w:space="0" w:color="auto"/>
      </w:divBdr>
    </w:div>
    <w:div w:id="1533420327">
      <w:bodyDiv w:val="1"/>
      <w:marLeft w:val="0"/>
      <w:marRight w:val="0"/>
      <w:marTop w:val="0"/>
      <w:marBottom w:val="0"/>
      <w:divBdr>
        <w:top w:val="none" w:sz="0" w:space="0" w:color="auto"/>
        <w:left w:val="none" w:sz="0" w:space="0" w:color="auto"/>
        <w:bottom w:val="none" w:sz="0" w:space="0" w:color="auto"/>
        <w:right w:val="none" w:sz="0" w:space="0" w:color="auto"/>
      </w:divBdr>
    </w:div>
    <w:div w:id="1536456253">
      <w:bodyDiv w:val="1"/>
      <w:marLeft w:val="0"/>
      <w:marRight w:val="0"/>
      <w:marTop w:val="0"/>
      <w:marBottom w:val="0"/>
      <w:divBdr>
        <w:top w:val="none" w:sz="0" w:space="0" w:color="auto"/>
        <w:left w:val="none" w:sz="0" w:space="0" w:color="auto"/>
        <w:bottom w:val="none" w:sz="0" w:space="0" w:color="auto"/>
        <w:right w:val="none" w:sz="0" w:space="0" w:color="auto"/>
      </w:divBdr>
    </w:div>
    <w:div w:id="1536968231">
      <w:bodyDiv w:val="1"/>
      <w:marLeft w:val="0"/>
      <w:marRight w:val="0"/>
      <w:marTop w:val="0"/>
      <w:marBottom w:val="0"/>
      <w:divBdr>
        <w:top w:val="none" w:sz="0" w:space="0" w:color="auto"/>
        <w:left w:val="none" w:sz="0" w:space="0" w:color="auto"/>
        <w:bottom w:val="none" w:sz="0" w:space="0" w:color="auto"/>
        <w:right w:val="none" w:sz="0" w:space="0" w:color="auto"/>
      </w:divBdr>
    </w:div>
    <w:div w:id="1537694040">
      <w:bodyDiv w:val="1"/>
      <w:marLeft w:val="0"/>
      <w:marRight w:val="0"/>
      <w:marTop w:val="0"/>
      <w:marBottom w:val="0"/>
      <w:divBdr>
        <w:top w:val="none" w:sz="0" w:space="0" w:color="auto"/>
        <w:left w:val="none" w:sz="0" w:space="0" w:color="auto"/>
        <w:bottom w:val="none" w:sz="0" w:space="0" w:color="auto"/>
        <w:right w:val="none" w:sz="0" w:space="0" w:color="auto"/>
      </w:divBdr>
    </w:div>
    <w:div w:id="1539048318">
      <w:bodyDiv w:val="1"/>
      <w:marLeft w:val="0"/>
      <w:marRight w:val="0"/>
      <w:marTop w:val="0"/>
      <w:marBottom w:val="0"/>
      <w:divBdr>
        <w:top w:val="none" w:sz="0" w:space="0" w:color="auto"/>
        <w:left w:val="none" w:sz="0" w:space="0" w:color="auto"/>
        <w:bottom w:val="none" w:sz="0" w:space="0" w:color="auto"/>
        <w:right w:val="none" w:sz="0" w:space="0" w:color="auto"/>
      </w:divBdr>
    </w:div>
    <w:div w:id="1539052639">
      <w:bodyDiv w:val="1"/>
      <w:marLeft w:val="0"/>
      <w:marRight w:val="0"/>
      <w:marTop w:val="0"/>
      <w:marBottom w:val="0"/>
      <w:divBdr>
        <w:top w:val="none" w:sz="0" w:space="0" w:color="auto"/>
        <w:left w:val="none" w:sz="0" w:space="0" w:color="auto"/>
        <w:bottom w:val="none" w:sz="0" w:space="0" w:color="auto"/>
        <w:right w:val="none" w:sz="0" w:space="0" w:color="auto"/>
      </w:divBdr>
    </w:div>
    <w:div w:id="1539665219">
      <w:bodyDiv w:val="1"/>
      <w:marLeft w:val="0"/>
      <w:marRight w:val="0"/>
      <w:marTop w:val="0"/>
      <w:marBottom w:val="0"/>
      <w:divBdr>
        <w:top w:val="none" w:sz="0" w:space="0" w:color="auto"/>
        <w:left w:val="none" w:sz="0" w:space="0" w:color="auto"/>
        <w:bottom w:val="none" w:sz="0" w:space="0" w:color="auto"/>
        <w:right w:val="none" w:sz="0" w:space="0" w:color="auto"/>
      </w:divBdr>
    </w:div>
    <w:div w:id="1539702958">
      <w:bodyDiv w:val="1"/>
      <w:marLeft w:val="0"/>
      <w:marRight w:val="0"/>
      <w:marTop w:val="0"/>
      <w:marBottom w:val="0"/>
      <w:divBdr>
        <w:top w:val="none" w:sz="0" w:space="0" w:color="auto"/>
        <w:left w:val="none" w:sz="0" w:space="0" w:color="auto"/>
        <w:bottom w:val="none" w:sz="0" w:space="0" w:color="auto"/>
        <w:right w:val="none" w:sz="0" w:space="0" w:color="auto"/>
      </w:divBdr>
    </w:div>
    <w:div w:id="1542128489">
      <w:bodyDiv w:val="1"/>
      <w:marLeft w:val="0"/>
      <w:marRight w:val="0"/>
      <w:marTop w:val="0"/>
      <w:marBottom w:val="0"/>
      <w:divBdr>
        <w:top w:val="none" w:sz="0" w:space="0" w:color="auto"/>
        <w:left w:val="none" w:sz="0" w:space="0" w:color="auto"/>
        <w:bottom w:val="none" w:sz="0" w:space="0" w:color="auto"/>
        <w:right w:val="none" w:sz="0" w:space="0" w:color="auto"/>
      </w:divBdr>
    </w:div>
    <w:div w:id="1544250111">
      <w:bodyDiv w:val="1"/>
      <w:marLeft w:val="0"/>
      <w:marRight w:val="0"/>
      <w:marTop w:val="0"/>
      <w:marBottom w:val="0"/>
      <w:divBdr>
        <w:top w:val="none" w:sz="0" w:space="0" w:color="auto"/>
        <w:left w:val="none" w:sz="0" w:space="0" w:color="auto"/>
        <w:bottom w:val="none" w:sz="0" w:space="0" w:color="auto"/>
        <w:right w:val="none" w:sz="0" w:space="0" w:color="auto"/>
      </w:divBdr>
    </w:div>
    <w:div w:id="1544899439">
      <w:bodyDiv w:val="1"/>
      <w:marLeft w:val="0"/>
      <w:marRight w:val="0"/>
      <w:marTop w:val="0"/>
      <w:marBottom w:val="0"/>
      <w:divBdr>
        <w:top w:val="none" w:sz="0" w:space="0" w:color="auto"/>
        <w:left w:val="none" w:sz="0" w:space="0" w:color="auto"/>
        <w:bottom w:val="none" w:sz="0" w:space="0" w:color="auto"/>
        <w:right w:val="none" w:sz="0" w:space="0" w:color="auto"/>
      </w:divBdr>
    </w:div>
    <w:div w:id="1547137277">
      <w:bodyDiv w:val="1"/>
      <w:marLeft w:val="0"/>
      <w:marRight w:val="0"/>
      <w:marTop w:val="0"/>
      <w:marBottom w:val="0"/>
      <w:divBdr>
        <w:top w:val="none" w:sz="0" w:space="0" w:color="auto"/>
        <w:left w:val="none" w:sz="0" w:space="0" w:color="auto"/>
        <w:bottom w:val="none" w:sz="0" w:space="0" w:color="auto"/>
        <w:right w:val="none" w:sz="0" w:space="0" w:color="auto"/>
      </w:divBdr>
    </w:div>
    <w:div w:id="1547447789">
      <w:bodyDiv w:val="1"/>
      <w:marLeft w:val="0"/>
      <w:marRight w:val="0"/>
      <w:marTop w:val="0"/>
      <w:marBottom w:val="0"/>
      <w:divBdr>
        <w:top w:val="none" w:sz="0" w:space="0" w:color="auto"/>
        <w:left w:val="none" w:sz="0" w:space="0" w:color="auto"/>
        <w:bottom w:val="none" w:sz="0" w:space="0" w:color="auto"/>
        <w:right w:val="none" w:sz="0" w:space="0" w:color="auto"/>
      </w:divBdr>
    </w:div>
    <w:div w:id="1549023925">
      <w:bodyDiv w:val="1"/>
      <w:marLeft w:val="0"/>
      <w:marRight w:val="0"/>
      <w:marTop w:val="0"/>
      <w:marBottom w:val="0"/>
      <w:divBdr>
        <w:top w:val="none" w:sz="0" w:space="0" w:color="auto"/>
        <w:left w:val="none" w:sz="0" w:space="0" w:color="auto"/>
        <w:bottom w:val="none" w:sz="0" w:space="0" w:color="auto"/>
        <w:right w:val="none" w:sz="0" w:space="0" w:color="auto"/>
      </w:divBdr>
    </w:div>
    <w:div w:id="1550220384">
      <w:bodyDiv w:val="1"/>
      <w:marLeft w:val="0"/>
      <w:marRight w:val="0"/>
      <w:marTop w:val="0"/>
      <w:marBottom w:val="0"/>
      <w:divBdr>
        <w:top w:val="none" w:sz="0" w:space="0" w:color="auto"/>
        <w:left w:val="none" w:sz="0" w:space="0" w:color="auto"/>
        <w:bottom w:val="none" w:sz="0" w:space="0" w:color="auto"/>
        <w:right w:val="none" w:sz="0" w:space="0" w:color="auto"/>
      </w:divBdr>
    </w:div>
    <w:div w:id="1551572777">
      <w:bodyDiv w:val="1"/>
      <w:marLeft w:val="0"/>
      <w:marRight w:val="0"/>
      <w:marTop w:val="0"/>
      <w:marBottom w:val="0"/>
      <w:divBdr>
        <w:top w:val="none" w:sz="0" w:space="0" w:color="auto"/>
        <w:left w:val="none" w:sz="0" w:space="0" w:color="auto"/>
        <w:bottom w:val="none" w:sz="0" w:space="0" w:color="auto"/>
        <w:right w:val="none" w:sz="0" w:space="0" w:color="auto"/>
      </w:divBdr>
    </w:div>
    <w:div w:id="1551838926">
      <w:bodyDiv w:val="1"/>
      <w:marLeft w:val="0"/>
      <w:marRight w:val="0"/>
      <w:marTop w:val="0"/>
      <w:marBottom w:val="0"/>
      <w:divBdr>
        <w:top w:val="none" w:sz="0" w:space="0" w:color="auto"/>
        <w:left w:val="none" w:sz="0" w:space="0" w:color="auto"/>
        <w:bottom w:val="none" w:sz="0" w:space="0" w:color="auto"/>
        <w:right w:val="none" w:sz="0" w:space="0" w:color="auto"/>
      </w:divBdr>
    </w:div>
    <w:div w:id="1552351290">
      <w:bodyDiv w:val="1"/>
      <w:marLeft w:val="0"/>
      <w:marRight w:val="0"/>
      <w:marTop w:val="0"/>
      <w:marBottom w:val="0"/>
      <w:divBdr>
        <w:top w:val="none" w:sz="0" w:space="0" w:color="auto"/>
        <w:left w:val="none" w:sz="0" w:space="0" w:color="auto"/>
        <w:bottom w:val="none" w:sz="0" w:space="0" w:color="auto"/>
        <w:right w:val="none" w:sz="0" w:space="0" w:color="auto"/>
      </w:divBdr>
    </w:div>
    <w:div w:id="1553232061">
      <w:bodyDiv w:val="1"/>
      <w:marLeft w:val="0"/>
      <w:marRight w:val="0"/>
      <w:marTop w:val="0"/>
      <w:marBottom w:val="0"/>
      <w:divBdr>
        <w:top w:val="none" w:sz="0" w:space="0" w:color="auto"/>
        <w:left w:val="none" w:sz="0" w:space="0" w:color="auto"/>
        <w:bottom w:val="none" w:sz="0" w:space="0" w:color="auto"/>
        <w:right w:val="none" w:sz="0" w:space="0" w:color="auto"/>
      </w:divBdr>
    </w:div>
    <w:div w:id="1553879439">
      <w:bodyDiv w:val="1"/>
      <w:marLeft w:val="0"/>
      <w:marRight w:val="0"/>
      <w:marTop w:val="0"/>
      <w:marBottom w:val="0"/>
      <w:divBdr>
        <w:top w:val="none" w:sz="0" w:space="0" w:color="auto"/>
        <w:left w:val="none" w:sz="0" w:space="0" w:color="auto"/>
        <w:bottom w:val="none" w:sz="0" w:space="0" w:color="auto"/>
        <w:right w:val="none" w:sz="0" w:space="0" w:color="auto"/>
      </w:divBdr>
    </w:div>
    <w:div w:id="1554343152">
      <w:bodyDiv w:val="1"/>
      <w:marLeft w:val="0"/>
      <w:marRight w:val="0"/>
      <w:marTop w:val="0"/>
      <w:marBottom w:val="0"/>
      <w:divBdr>
        <w:top w:val="none" w:sz="0" w:space="0" w:color="auto"/>
        <w:left w:val="none" w:sz="0" w:space="0" w:color="auto"/>
        <w:bottom w:val="none" w:sz="0" w:space="0" w:color="auto"/>
        <w:right w:val="none" w:sz="0" w:space="0" w:color="auto"/>
      </w:divBdr>
    </w:div>
    <w:div w:id="1555315850">
      <w:bodyDiv w:val="1"/>
      <w:marLeft w:val="0"/>
      <w:marRight w:val="0"/>
      <w:marTop w:val="0"/>
      <w:marBottom w:val="0"/>
      <w:divBdr>
        <w:top w:val="none" w:sz="0" w:space="0" w:color="auto"/>
        <w:left w:val="none" w:sz="0" w:space="0" w:color="auto"/>
        <w:bottom w:val="none" w:sz="0" w:space="0" w:color="auto"/>
        <w:right w:val="none" w:sz="0" w:space="0" w:color="auto"/>
      </w:divBdr>
    </w:div>
    <w:div w:id="1556432549">
      <w:bodyDiv w:val="1"/>
      <w:marLeft w:val="0"/>
      <w:marRight w:val="0"/>
      <w:marTop w:val="0"/>
      <w:marBottom w:val="0"/>
      <w:divBdr>
        <w:top w:val="none" w:sz="0" w:space="0" w:color="auto"/>
        <w:left w:val="none" w:sz="0" w:space="0" w:color="auto"/>
        <w:bottom w:val="none" w:sz="0" w:space="0" w:color="auto"/>
        <w:right w:val="none" w:sz="0" w:space="0" w:color="auto"/>
      </w:divBdr>
    </w:div>
    <w:div w:id="1558928557">
      <w:bodyDiv w:val="1"/>
      <w:marLeft w:val="0"/>
      <w:marRight w:val="0"/>
      <w:marTop w:val="0"/>
      <w:marBottom w:val="0"/>
      <w:divBdr>
        <w:top w:val="none" w:sz="0" w:space="0" w:color="auto"/>
        <w:left w:val="none" w:sz="0" w:space="0" w:color="auto"/>
        <w:bottom w:val="none" w:sz="0" w:space="0" w:color="auto"/>
        <w:right w:val="none" w:sz="0" w:space="0" w:color="auto"/>
      </w:divBdr>
    </w:div>
    <w:div w:id="1559054756">
      <w:bodyDiv w:val="1"/>
      <w:marLeft w:val="0"/>
      <w:marRight w:val="0"/>
      <w:marTop w:val="0"/>
      <w:marBottom w:val="0"/>
      <w:divBdr>
        <w:top w:val="none" w:sz="0" w:space="0" w:color="auto"/>
        <w:left w:val="none" w:sz="0" w:space="0" w:color="auto"/>
        <w:bottom w:val="none" w:sz="0" w:space="0" w:color="auto"/>
        <w:right w:val="none" w:sz="0" w:space="0" w:color="auto"/>
      </w:divBdr>
    </w:div>
    <w:div w:id="1559244693">
      <w:bodyDiv w:val="1"/>
      <w:marLeft w:val="0"/>
      <w:marRight w:val="0"/>
      <w:marTop w:val="0"/>
      <w:marBottom w:val="0"/>
      <w:divBdr>
        <w:top w:val="none" w:sz="0" w:space="0" w:color="auto"/>
        <w:left w:val="none" w:sz="0" w:space="0" w:color="auto"/>
        <w:bottom w:val="none" w:sz="0" w:space="0" w:color="auto"/>
        <w:right w:val="none" w:sz="0" w:space="0" w:color="auto"/>
      </w:divBdr>
    </w:div>
    <w:div w:id="1560822236">
      <w:bodyDiv w:val="1"/>
      <w:marLeft w:val="0"/>
      <w:marRight w:val="0"/>
      <w:marTop w:val="0"/>
      <w:marBottom w:val="0"/>
      <w:divBdr>
        <w:top w:val="none" w:sz="0" w:space="0" w:color="auto"/>
        <w:left w:val="none" w:sz="0" w:space="0" w:color="auto"/>
        <w:bottom w:val="none" w:sz="0" w:space="0" w:color="auto"/>
        <w:right w:val="none" w:sz="0" w:space="0" w:color="auto"/>
      </w:divBdr>
    </w:div>
    <w:div w:id="1561407239">
      <w:bodyDiv w:val="1"/>
      <w:marLeft w:val="0"/>
      <w:marRight w:val="0"/>
      <w:marTop w:val="0"/>
      <w:marBottom w:val="0"/>
      <w:divBdr>
        <w:top w:val="none" w:sz="0" w:space="0" w:color="auto"/>
        <w:left w:val="none" w:sz="0" w:space="0" w:color="auto"/>
        <w:bottom w:val="none" w:sz="0" w:space="0" w:color="auto"/>
        <w:right w:val="none" w:sz="0" w:space="0" w:color="auto"/>
      </w:divBdr>
    </w:div>
    <w:div w:id="1562520510">
      <w:bodyDiv w:val="1"/>
      <w:marLeft w:val="0"/>
      <w:marRight w:val="0"/>
      <w:marTop w:val="0"/>
      <w:marBottom w:val="0"/>
      <w:divBdr>
        <w:top w:val="none" w:sz="0" w:space="0" w:color="auto"/>
        <w:left w:val="none" w:sz="0" w:space="0" w:color="auto"/>
        <w:bottom w:val="none" w:sz="0" w:space="0" w:color="auto"/>
        <w:right w:val="none" w:sz="0" w:space="0" w:color="auto"/>
      </w:divBdr>
    </w:div>
    <w:div w:id="1564027577">
      <w:bodyDiv w:val="1"/>
      <w:marLeft w:val="0"/>
      <w:marRight w:val="0"/>
      <w:marTop w:val="0"/>
      <w:marBottom w:val="0"/>
      <w:divBdr>
        <w:top w:val="none" w:sz="0" w:space="0" w:color="auto"/>
        <w:left w:val="none" w:sz="0" w:space="0" w:color="auto"/>
        <w:bottom w:val="none" w:sz="0" w:space="0" w:color="auto"/>
        <w:right w:val="none" w:sz="0" w:space="0" w:color="auto"/>
      </w:divBdr>
    </w:div>
    <w:div w:id="1564637185">
      <w:bodyDiv w:val="1"/>
      <w:marLeft w:val="0"/>
      <w:marRight w:val="0"/>
      <w:marTop w:val="0"/>
      <w:marBottom w:val="0"/>
      <w:divBdr>
        <w:top w:val="none" w:sz="0" w:space="0" w:color="auto"/>
        <w:left w:val="none" w:sz="0" w:space="0" w:color="auto"/>
        <w:bottom w:val="none" w:sz="0" w:space="0" w:color="auto"/>
        <w:right w:val="none" w:sz="0" w:space="0" w:color="auto"/>
      </w:divBdr>
    </w:div>
    <w:div w:id="1564877412">
      <w:bodyDiv w:val="1"/>
      <w:marLeft w:val="0"/>
      <w:marRight w:val="0"/>
      <w:marTop w:val="0"/>
      <w:marBottom w:val="0"/>
      <w:divBdr>
        <w:top w:val="none" w:sz="0" w:space="0" w:color="auto"/>
        <w:left w:val="none" w:sz="0" w:space="0" w:color="auto"/>
        <w:bottom w:val="none" w:sz="0" w:space="0" w:color="auto"/>
        <w:right w:val="none" w:sz="0" w:space="0" w:color="auto"/>
      </w:divBdr>
    </w:div>
    <w:div w:id="1565143990">
      <w:bodyDiv w:val="1"/>
      <w:marLeft w:val="0"/>
      <w:marRight w:val="0"/>
      <w:marTop w:val="0"/>
      <w:marBottom w:val="0"/>
      <w:divBdr>
        <w:top w:val="none" w:sz="0" w:space="0" w:color="auto"/>
        <w:left w:val="none" w:sz="0" w:space="0" w:color="auto"/>
        <w:bottom w:val="none" w:sz="0" w:space="0" w:color="auto"/>
        <w:right w:val="none" w:sz="0" w:space="0" w:color="auto"/>
      </w:divBdr>
    </w:div>
    <w:div w:id="1565525661">
      <w:bodyDiv w:val="1"/>
      <w:marLeft w:val="0"/>
      <w:marRight w:val="0"/>
      <w:marTop w:val="0"/>
      <w:marBottom w:val="0"/>
      <w:divBdr>
        <w:top w:val="none" w:sz="0" w:space="0" w:color="auto"/>
        <w:left w:val="none" w:sz="0" w:space="0" w:color="auto"/>
        <w:bottom w:val="none" w:sz="0" w:space="0" w:color="auto"/>
        <w:right w:val="none" w:sz="0" w:space="0" w:color="auto"/>
      </w:divBdr>
    </w:div>
    <w:div w:id="1566141897">
      <w:bodyDiv w:val="1"/>
      <w:marLeft w:val="0"/>
      <w:marRight w:val="0"/>
      <w:marTop w:val="0"/>
      <w:marBottom w:val="0"/>
      <w:divBdr>
        <w:top w:val="none" w:sz="0" w:space="0" w:color="auto"/>
        <w:left w:val="none" w:sz="0" w:space="0" w:color="auto"/>
        <w:bottom w:val="none" w:sz="0" w:space="0" w:color="auto"/>
        <w:right w:val="none" w:sz="0" w:space="0" w:color="auto"/>
      </w:divBdr>
    </w:div>
    <w:div w:id="1566799730">
      <w:bodyDiv w:val="1"/>
      <w:marLeft w:val="0"/>
      <w:marRight w:val="0"/>
      <w:marTop w:val="0"/>
      <w:marBottom w:val="0"/>
      <w:divBdr>
        <w:top w:val="none" w:sz="0" w:space="0" w:color="auto"/>
        <w:left w:val="none" w:sz="0" w:space="0" w:color="auto"/>
        <w:bottom w:val="none" w:sz="0" w:space="0" w:color="auto"/>
        <w:right w:val="none" w:sz="0" w:space="0" w:color="auto"/>
      </w:divBdr>
    </w:div>
    <w:div w:id="1567256632">
      <w:bodyDiv w:val="1"/>
      <w:marLeft w:val="0"/>
      <w:marRight w:val="0"/>
      <w:marTop w:val="0"/>
      <w:marBottom w:val="0"/>
      <w:divBdr>
        <w:top w:val="none" w:sz="0" w:space="0" w:color="auto"/>
        <w:left w:val="none" w:sz="0" w:space="0" w:color="auto"/>
        <w:bottom w:val="none" w:sz="0" w:space="0" w:color="auto"/>
        <w:right w:val="none" w:sz="0" w:space="0" w:color="auto"/>
      </w:divBdr>
    </w:div>
    <w:div w:id="1568303717">
      <w:bodyDiv w:val="1"/>
      <w:marLeft w:val="0"/>
      <w:marRight w:val="0"/>
      <w:marTop w:val="0"/>
      <w:marBottom w:val="0"/>
      <w:divBdr>
        <w:top w:val="none" w:sz="0" w:space="0" w:color="auto"/>
        <w:left w:val="none" w:sz="0" w:space="0" w:color="auto"/>
        <w:bottom w:val="none" w:sz="0" w:space="0" w:color="auto"/>
        <w:right w:val="none" w:sz="0" w:space="0" w:color="auto"/>
      </w:divBdr>
    </w:div>
    <w:div w:id="1568690314">
      <w:bodyDiv w:val="1"/>
      <w:marLeft w:val="0"/>
      <w:marRight w:val="0"/>
      <w:marTop w:val="0"/>
      <w:marBottom w:val="0"/>
      <w:divBdr>
        <w:top w:val="none" w:sz="0" w:space="0" w:color="auto"/>
        <w:left w:val="none" w:sz="0" w:space="0" w:color="auto"/>
        <w:bottom w:val="none" w:sz="0" w:space="0" w:color="auto"/>
        <w:right w:val="none" w:sz="0" w:space="0" w:color="auto"/>
      </w:divBdr>
    </w:div>
    <w:div w:id="1569261623">
      <w:bodyDiv w:val="1"/>
      <w:marLeft w:val="0"/>
      <w:marRight w:val="0"/>
      <w:marTop w:val="0"/>
      <w:marBottom w:val="0"/>
      <w:divBdr>
        <w:top w:val="none" w:sz="0" w:space="0" w:color="auto"/>
        <w:left w:val="none" w:sz="0" w:space="0" w:color="auto"/>
        <w:bottom w:val="none" w:sz="0" w:space="0" w:color="auto"/>
        <w:right w:val="none" w:sz="0" w:space="0" w:color="auto"/>
      </w:divBdr>
    </w:div>
    <w:div w:id="1569458720">
      <w:bodyDiv w:val="1"/>
      <w:marLeft w:val="0"/>
      <w:marRight w:val="0"/>
      <w:marTop w:val="0"/>
      <w:marBottom w:val="0"/>
      <w:divBdr>
        <w:top w:val="none" w:sz="0" w:space="0" w:color="auto"/>
        <w:left w:val="none" w:sz="0" w:space="0" w:color="auto"/>
        <w:bottom w:val="none" w:sz="0" w:space="0" w:color="auto"/>
        <w:right w:val="none" w:sz="0" w:space="0" w:color="auto"/>
      </w:divBdr>
    </w:div>
    <w:div w:id="1569922271">
      <w:bodyDiv w:val="1"/>
      <w:marLeft w:val="0"/>
      <w:marRight w:val="0"/>
      <w:marTop w:val="0"/>
      <w:marBottom w:val="0"/>
      <w:divBdr>
        <w:top w:val="none" w:sz="0" w:space="0" w:color="auto"/>
        <w:left w:val="none" w:sz="0" w:space="0" w:color="auto"/>
        <w:bottom w:val="none" w:sz="0" w:space="0" w:color="auto"/>
        <w:right w:val="none" w:sz="0" w:space="0" w:color="auto"/>
      </w:divBdr>
    </w:div>
    <w:div w:id="1570458546">
      <w:bodyDiv w:val="1"/>
      <w:marLeft w:val="0"/>
      <w:marRight w:val="0"/>
      <w:marTop w:val="0"/>
      <w:marBottom w:val="0"/>
      <w:divBdr>
        <w:top w:val="none" w:sz="0" w:space="0" w:color="auto"/>
        <w:left w:val="none" w:sz="0" w:space="0" w:color="auto"/>
        <w:bottom w:val="none" w:sz="0" w:space="0" w:color="auto"/>
        <w:right w:val="none" w:sz="0" w:space="0" w:color="auto"/>
      </w:divBdr>
    </w:div>
    <w:div w:id="1574001418">
      <w:bodyDiv w:val="1"/>
      <w:marLeft w:val="0"/>
      <w:marRight w:val="0"/>
      <w:marTop w:val="0"/>
      <w:marBottom w:val="0"/>
      <w:divBdr>
        <w:top w:val="none" w:sz="0" w:space="0" w:color="auto"/>
        <w:left w:val="none" w:sz="0" w:space="0" w:color="auto"/>
        <w:bottom w:val="none" w:sz="0" w:space="0" w:color="auto"/>
        <w:right w:val="none" w:sz="0" w:space="0" w:color="auto"/>
      </w:divBdr>
    </w:div>
    <w:div w:id="1574506733">
      <w:bodyDiv w:val="1"/>
      <w:marLeft w:val="0"/>
      <w:marRight w:val="0"/>
      <w:marTop w:val="0"/>
      <w:marBottom w:val="0"/>
      <w:divBdr>
        <w:top w:val="none" w:sz="0" w:space="0" w:color="auto"/>
        <w:left w:val="none" w:sz="0" w:space="0" w:color="auto"/>
        <w:bottom w:val="none" w:sz="0" w:space="0" w:color="auto"/>
        <w:right w:val="none" w:sz="0" w:space="0" w:color="auto"/>
      </w:divBdr>
    </w:div>
    <w:div w:id="1574700550">
      <w:bodyDiv w:val="1"/>
      <w:marLeft w:val="0"/>
      <w:marRight w:val="0"/>
      <w:marTop w:val="0"/>
      <w:marBottom w:val="0"/>
      <w:divBdr>
        <w:top w:val="none" w:sz="0" w:space="0" w:color="auto"/>
        <w:left w:val="none" w:sz="0" w:space="0" w:color="auto"/>
        <w:bottom w:val="none" w:sz="0" w:space="0" w:color="auto"/>
        <w:right w:val="none" w:sz="0" w:space="0" w:color="auto"/>
      </w:divBdr>
    </w:div>
    <w:div w:id="1574968309">
      <w:bodyDiv w:val="1"/>
      <w:marLeft w:val="0"/>
      <w:marRight w:val="0"/>
      <w:marTop w:val="0"/>
      <w:marBottom w:val="0"/>
      <w:divBdr>
        <w:top w:val="none" w:sz="0" w:space="0" w:color="auto"/>
        <w:left w:val="none" w:sz="0" w:space="0" w:color="auto"/>
        <w:bottom w:val="none" w:sz="0" w:space="0" w:color="auto"/>
        <w:right w:val="none" w:sz="0" w:space="0" w:color="auto"/>
      </w:divBdr>
    </w:div>
    <w:div w:id="1575506016">
      <w:bodyDiv w:val="1"/>
      <w:marLeft w:val="0"/>
      <w:marRight w:val="0"/>
      <w:marTop w:val="0"/>
      <w:marBottom w:val="0"/>
      <w:divBdr>
        <w:top w:val="none" w:sz="0" w:space="0" w:color="auto"/>
        <w:left w:val="none" w:sz="0" w:space="0" w:color="auto"/>
        <w:bottom w:val="none" w:sz="0" w:space="0" w:color="auto"/>
        <w:right w:val="none" w:sz="0" w:space="0" w:color="auto"/>
      </w:divBdr>
    </w:div>
    <w:div w:id="1576012303">
      <w:bodyDiv w:val="1"/>
      <w:marLeft w:val="0"/>
      <w:marRight w:val="0"/>
      <w:marTop w:val="0"/>
      <w:marBottom w:val="0"/>
      <w:divBdr>
        <w:top w:val="none" w:sz="0" w:space="0" w:color="auto"/>
        <w:left w:val="none" w:sz="0" w:space="0" w:color="auto"/>
        <w:bottom w:val="none" w:sz="0" w:space="0" w:color="auto"/>
        <w:right w:val="none" w:sz="0" w:space="0" w:color="auto"/>
      </w:divBdr>
    </w:div>
    <w:div w:id="1576161118">
      <w:bodyDiv w:val="1"/>
      <w:marLeft w:val="0"/>
      <w:marRight w:val="0"/>
      <w:marTop w:val="0"/>
      <w:marBottom w:val="0"/>
      <w:divBdr>
        <w:top w:val="none" w:sz="0" w:space="0" w:color="auto"/>
        <w:left w:val="none" w:sz="0" w:space="0" w:color="auto"/>
        <w:bottom w:val="none" w:sz="0" w:space="0" w:color="auto"/>
        <w:right w:val="none" w:sz="0" w:space="0" w:color="auto"/>
      </w:divBdr>
    </w:div>
    <w:div w:id="1576353530">
      <w:bodyDiv w:val="1"/>
      <w:marLeft w:val="0"/>
      <w:marRight w:val="0"/>
      <w:marTop w:val="0"/>
      <w:marBottom w:val="0"/>
      <w:divBdr>
        <w:top w:val="none" w:sz="0" w:space="0" w:color="auto"/>
        <w:left w:val="none" w:sz="0" w:space="0" w:color="auto"/>
        <w:bottom w:val="none" w:sz="0" w:space="0" w:color="auto"/>
        <w:right w:val="none" w:sz="0" w:space="0" w:color="auto"/>
      </w:divBdr>
    </w:div>
    <w:div w:id="1576356415">
      <w:bodyDiv w:val="1"/>
      <w:marLeft w:val="0"/>
      <w:marRight w:val="0"/>
      <w:marTop w:val="0"/>
      <w:marBottom w:val="0"/>
      <w:divBdr>
        <w:top w:val="none" w:sz="0" w:space="0" w:color="auto"/>
        <w:left w:val="none" w:sz="0" w:space="0" w:color="auto"/>
        <w:bottom w:val="none" w:sz="0" w:space="0" w:color="auto"/>
        <w:right w:val="none" w:sz="0" w:space="0" w:color="auto"/>
      </w:divBdr>
    </w:div>
    <w:div w:id="1577090342">
      <w:bodyDiv w:val="1"/>
      <w:marLeft w:val="0"/>
      <w:marRight w:val="0"/>
      <w:marTop w:val="0"/>
      <w:marBottom w:val="0"/>
      <w:divBdr>
        <w:top w:val="none" w:sz="0" w:space="0" w:color="auto"/>
        <w:left w:val="none" w:sz="0" w:space="0" w:color="auto"/>
        <w:bottom w:val="none" w:sz="0" w:space="0" w:color="auto"/>
        <w:right w:val="none" w:sz="0" w:space="0" w:color="auto"/>
      </w:divBdr>
    </w:div>
    <w:div w:id="1578049336">
      <w:bodyDiv w:val="1"/>
      <w:marLeft w:val="0"/>
      <w:marRight w:val="0"/>
      <w:marTop w:val="0"/>
      <w:marBottom w:val="0"/>
      <w:divBdr>
        <w:top w:val="none" w:sz="0" w:space="0" w:color="auto"/>
        <w:left w:val="none" w:sz="0" w:space="0" w:color="auto"/>
        <w:bottom w:val="none" w:sz="0" w:space="0" w:color="auto"/>
        <w:right w:val="none" w:sz="0" w:space="0" w:color="auto"/>
      </w:divBdr>
    </w:div>
    <w:div w:id="1578519899">
      <w:bodyDiv w:val="1"/>
      <w:marLeft w:val="0"/>
      <w:marRight w:val="0"/>
      <w:marTop w:val="0"/>
      <w:marBottom w:val="0"/>
      <w:divBdr>
        <w:top w:val="none" w:sz="0" w:space="0" w:color="auto"/>
        <w:left w:val="none" w:sz="0" w:space="0" w:color="auto"/>
        <w:bottom w:val="none" w:sz="0" w:space="0" w:color="auto"/>
        <w:right w:val="none" w:sz="0" w:space="0" w:color="auto"/>
      </w:divBdr>
    </w:div>
    <w:div w:id="1578590637">
      <w:bodyDiv w:val="1"/>
      <w:marLeft w:val="0"/>
      <w:marRight w:val="0"/>
      <w:marTop w:val="0"/>
      <w:marBottom w:val="0"/>
      <w:divBdr>
        <w:top w:val="none" w:sz="0" w:space="0" w:color="auto"/>
        <w:left w:val="none" w:sz="0" w:space="0" w:color="auto"/>
        <w:bottom w:val="none" w:sz="0" w:space="0" w:color="auto"/>
        <w:right w:val="none" w:sz="0" w:space="0" w:color="auto"/>
      </w:divBdr>
    </w:div>
    <w:div w:id="1579436200">
      <w:bodyDiv w:val="1"/>
      <w:marLeft w:val="0"/>
      <w:marRight w:val="0"/>
      <w:marTop w:val="0"/>
      <w:marBottom w:val="0"/>
      <w:divBdr>
        <w:top w:val="none" w:sz="0" w:space="0" w:color="auto"/>
        <w:left w:val="none" w:sz="0" w:space="0" w:color="auto"/>
        <w:bottom w:val="none" w:sz="0" w:space="0" w:color="auto"/>
        <w:right w:val="none" w:sz="0" w:space="0" w:color="auto"/>
      </w:divBdr>
    </w:div>
    <w:div w:id="1579709422">
      <w:bodyDiv w:val="1"/>
      <w:marLeft w:val="0"/>
      <w:marRight w:val="0"/>
      <w:marTop w:val="0"/>
      <w:marBottom w:val="0"/>
      <w:divBdr>
        <w:top w:val="none" w:sz="0" w:space="0" w:color="auto"/>
        <w:left w:val="none" w:sz="0" w:space="0" w:color="auto"/>
        <w:bottom w:val="none" w:sz="0" w:space="0" w:color="auto"/>
        <w:right w:val="none" w:sz="0" w:space="0" w:color="auto"/>
      </w:divBdr>
    </w:div>
    <w:div w:id="1579830396">
      <w:bodyDiv w:val="1"/>
      <w:marLeft w:val="0"/>
      <w:marRight w:val="0"/>
      <w:marTop w:val="0"/>
      <w:marBottom w:val="0"/>
      <w:divBdr>
        <w:top w:val="none" w:sz="0" w:space="0" w:color="auto"/>
        <w:left w:val="none" w:sz="0" w:space="0" w:color="auto"/>
        <w:bottom w:val="none" w:sz="0" w:space="0" w:color="auto"/>
        <w:right w:val="none" w:sz="0" w:space="0" w:color="auto"/>
      </w:divBdr>
    </w:div>
    <w:div w:id="1580484066">
      <w:bodyDiv w:val="1"/>
      <w:marLeft w:val="0"/>
      <w:marRight w:val="0"/>
      <w:marTop w:val="0"/>
      <w:marBottom w:val="0"/>
      <w:divBdr>
        <w:top w:val="none" w:sz="0" w:space="0" w:color="auto"/>
        <w:left w:val="none" w:sz="0" w:space="0" w:color="auto"/>
        <w:bottom w:val="none" w:sz="0" w:space="0" w:color="auto"/>
        <w:right w:val="none" w:sz="0" w:space="0" w:color="auto"/>
      </w:divBdr>
    </w:div>
    <w:div w:id="1584147455">
      <w:bodyDiv w:val="1"/>
      <w:marLeft w:val="0"/>
      <w:marRight w:val="0"/>
      <w:marTop w:val="0"/>
      <w:marBottom w:val="0"/>
      <w:divBdr>
        <w:top w:val="none" w:sz="0" w:space="0" w:color="auto"/>
        <w:left w:val="none" w:sz="0" w:space="0" w:color="auto"/>
        <w:bottom w:val="none" w:sz="0" w:space="0" w:color="auto"/>
        <w:right w:val="none" w:sz="0" w:space="0" w:color="auto"/>
      </w:divBdr>
    </w:div>
    <w:div w:id="1584342453">
      <w:bodyDiv w:val="1"/>
      <w:marLeft w:val="0"/>
      <w:marRight w:val="0"/>
      <w:marTop w:val="0"/>
      <w:marBottom w:val="0"/>
      <w:divBdr>
        <w:top w:val="none" w:sz="0" w:space="0" w:color="auto"/>
        <w:left w:val="none" w:sz="0" w:space="0" w:color="auto"/>
        <w:bottom w:val="none" w:sz="0" w:space="0" w:color="auto"/>
        <w:right w:val="none" w:sz="0" w:space="0" w:color="auto"/>
      </w:divBdr>
    </w:div>
    <w:div w:id="1585531182">
      <w:bodyDiv w:val="1"/>
      <w:marLeft w:val="0"/>
      <w:marRight w:val="0"/>
      <w:marTop w:val="0"/>
      <w:marBottom w:val="0"/>
      <w:divBdr>
        <w:top w:val="none" w:sz="0" w:space="0" w:color="auto"/>
        <w:left w:val="none" w:sz="0" w:space="0" w:color="auto"/>
        <w:bottom w:val="none" w:sz="0" w:space="0" w:color="auto"/>
        <w:right w:val="none" w:sz="0" w:space="0" w:color="auto"/>
      </w:divBdr>
    </w:div>
    <w:div w:id="1586838734">
      <w:bodyDiv w:val="1"/>
      <w:marLeft w:val="0"/>
      <w:marRight w:val="0"/>
      <w:marTop w:val="0"/>
      <w:marBottom w:val="0"/>
      <w:divBdr>
        <w:top w:val="none" w:sz="0" w:space="0" w:color="auto"/>
        <w:left w:val="none" w:sz="0" w:space="0" w:color="auto"/>
        <w:bottom w:val="none" w:sz="0" w:space="0" w:color="auto"/>
        <w:right w:val="none" w:sz="0" w:space="0" w:color="auto"/>
      </w:divBdr>
    </w:div>
    <w:div w:id="1586916914">
      <w:bodyDiv w:val="1"/>
      <w:marLeft w:val="0"/>
      <w:marRight w:val="0"/>
      <w:marTop w:val="0"/>
      <w:marBottom w:val="0"/>
      <w:divBdr>
        <w:top w:val="none" w:sz="0" w:space="0" w:color="auto"/>
        <w:left w:val="none" w:sz="0" w:space="0" w:color="auto"/>
        <w:bottom w:val="none" w:sz="0" w:space="0" w:color="auto"/>
        <w:right w:val="none" w:sz="0" w:space="0" w:color="auto"/>
      </w:divBdr>
    </w:div>
    <w:div w:id="1586955490">
      <w:bodyDiv w:val="1"/>
      <w:marLeft w:val="0"/>
      <w:marRight w:val="0"/>
      <w:marTop w:val="0"/>
      <w:marBottom w:val="0"/>
      <w:divBdr>
        <w:top w:val="none" w:sz="0" w:space="0" w:color="auto"/>
        <w:left w:val="none" w:sz="0" w:space="0" w:color="auto"/>
        <w:bottom w:val="none" w:sz="0" w:space="0" w:color="auto"/>
        <w:right w:val="none" w:sz="0" w:space="0" w:color="auto"/>
      </w:divBdr>
    </w:div>
    <w:div w:id="1587885573">
      <w:bodyDiv w:val="1"/>
      <w:marLeft w:val="0"/>
      <w:marRight w:val="0"/>
      <w:marTop w:val="0"/>
      <w:marBottom w:val="0"/>
      <w:divBdr>
        <w:top w:val="none" w:sz="0" w:space="0" w:color="auto"/>
        <w:left w:val="none" w:sz="0" w:space="0" w:color="auto"/>
        <w:bottom w:val="none" w:sz="0" w:space="0" w:color="auto"/>
        <w:right w:val="none" w:sz="0" w:space="0" w:color="auto"/>
      </w:divBdr>
    </w:div>
    <w:div w:id="1588341842">
      <w:bodyDiv w:val="1"/>
      <w:marLeft w:val="0"/>
      <w:marRight w:val="0"/>
      <w:marTop w:val="0"/>
      <w:marBottom w:val="0"/>
      <w:divBdr>
        <w:top w:val="none" w:sz="0" w:space="0" w:color="auto"/>
        <w:left w:val="none" w:sz="0" w:space="0" w:color="auto"/>
        <w:bottom w:val="none" w:sz="0" w:space="0" w:color="auto"/>
        <w:right w:val="none" w:sz="0" w:space="0" w:color="auto"/>
      </w:divBdr>
    </w:div>
    <w:div w:id="1588463460">
      <w:bodyDiv w:val="1"/>
      <w:marLeft w:val="0"/>
      <w:marRight w:val="0"/>
      <w:marTop w:val="0"/>
      <w:marBottom w:val="0"/>
      <w:divBdr>
        <w:top w:val="none" w:sz="0" w:space="0" w:color="auto"/>
        <w:left w:val="none" w:sz="0" w:space="0" w:color="auto"/>
        <w:bottom w:val="none" w:sz="0" w:space="0" w:color="auto"/>
        <w:right w:val="none" w:sz="0" w:space="0" w:color="auto"/>
      </w:divBdr>
    </w:div>
    <w:div w:id="1588690727">
      <w:bodyDiv w:val="1"/>
      <w:marLeft w:val="0"/>
      <w:marRight w:val="0"/>
      <w:marTop w:val="0"/>
      <w:marBottom w:val="0"/>
      <w:divBdr>
        <w:top w:val="none" w:sz="0" w:space="0" w:color="auto"/>
        <w:left w:val="none" w:sz="0" w:space="0" w:color="auto"/>
        <w:bottom w:val="none" w:sz="0" w:space="0" w:color="auto"/>
        <w:right w:val="none" w:sz="0" w:space="0" w:color="auto"/>
      </w:divBdr>
    </w:div>
    <w:div w:id="1588734333">
      <w:bodyDiv w:val="1"/>
      <w:marLeft w:val="0"/>
      <w:marRight w:val="0"/>
      <w:marTop w:val="0"/>
      <w:marBottom w:val="0"/>
      <w:divBdr>
        <w:top w:val="none" w:sz="0" w:space="0" w:color="auto"/>
        <w:left w:val="none" w:sz="0" w:space="0" w:color="auto"/>
        <w:bottom w:val="none" w:sz="0" w:space="0" w:color="auto"/>
        <w:right w:val="none" w:sz="0" w:space="0" w:color="auto"/>
      </w:divBdr>
    </w:div>
    <w:div w:id="1589119898">
      <w:bodyDiv w:val="1"/>
      <w:marLeft w:val="0"/>
      <w:marRight w:val="0"/>
      <w:marTop w:val="0"/>
      <w:marBottom w:val="0"/>
      <w:divBdr>
        <w:top w:val="none" w:sz="0" w:space="0" w:color="auto"/>
        <w:left w:val="none" w:sz="0" w:space="0" w:color="auto"/>
        <w:bottom w:val="none" w:sz="0" w:space="0" w:color="auto"/>
        <w:right w:val="none" w:sz="0" w:space="0" w:color="auto"/>
      </w:divBdr>
    </w:div>
    <w:div w:id="1589462107">
      <w:bodyDiv w:val="1"/>
      <w:marLeft w:val="0"/>
      <w:marRight w:val="0"/>
      <w:marTop w:val="0"/>
      <w:marBottom w:val="0"/>
      <w:divBdr>
        <w:top w:val="none" w:sz="0" w:space="0" w:color="auto"/>
        <w:left w:val="none" w:sz="0" w:space="0" w:color="auto"/>
        <w:bottom w:val="none" w:sz="0" w:space="0" w:color="auto"/>
        <w:right w:val="none" w:sz="0" w:space="0" w:color="auto"/>
      </w:divBdr>
    </w:div>
    <w:div w:id="1590430020">
      <w:bodyDiv w:val="1"/>
      <w:marLeft w:val="0"/>
      <w:marRight w:val="0"/>
      <w:marTop w:val="0"/>
      <w:marBottom w:val="0"/>
      <w:divBdr>
        <w:top w:val="none" w:sz="0" w:space="0" w:color="auto"/>
        <w:left w:val="none" w:sz="0" w:space="0" w:color="auto"/>
        <w:bottom w:val="none" w:sz="0" w:space="0" w:color="auto"/>
        <w:right w:val="none" w:sz="0" w:space="0" w:color="auto"/>
      </w:divBdr>
    </w:div>
    <w:div w:id="1590575166">
      <w:bodyDiv w:val="1"/>
      <w:marLeft w:val="0"/>
      <w:marRight w:val="0"/>
      <w:marTop w:val="0"/>
      <w:marBottom w:val="0"/>
      <w:divBdr>
        <w:top w:val="none" w:sz="0" w:space="0" w:color="auto"/>
        <w:left w:val="none" w:sz="0" w:space="0" w:color="auto"/>
        <w:bottom w:val="none" w:sz="0" w:space="0" w:color="auto"/>
        <w:right w:val="none" w:sz="0" w:space="0" w:color="auto"/>
      </w:divBdr>
    </w:div>
    <w:div w:id="1591159912">
      <w:bodyDiv w:val="1"/>
      <w:marLeft w:val="0"/>
      <w:marRight w:val="0"/>
      <w:marTop w:val="0"/>
      <w:marBottom w:val="0"/>
      <w:divBdr>
        <w:top w:val="none" w:sz="0" w:space="0" w:color="auto"/>
        <w:left w:val="none" w:sz="0" w:space="0" w:color="auto"/>
        <w:bottom w:val="none" w:sz="0" w:space="0" w:color="auto"/>
        <w:right w:val="none" w:sz="0" w:space="0" w:color="auto"/>
      </w:divBdr>
    </w:div>
    <w:div w:id="1591813852">
      <w:bodyDiv w:val="1"/>
      <w:marLeft w:val="0"/>
      <w:marRight w:val="0"/>
      <w:marTop w:val="0"/>
      <w:marBottom w:val="0"/>
      <w:divBdr>
        <w:top w:val="none" w:sz="0" w:space="0" w:color="auto"/>
        <w:left w:val="none" w:sz="0" w:space="0" w:color="auto"/>
        <w:bottom w:val="none" w:sz="0" w:space="0" w:color="auto"/>
        <w:right w:val="none" w:sz="0" w:space="0" w:color="auto"/>
      </w:divBdr>
    </w:div>
    <w:div w:id="1592465492">
      <w:bodyDiv w:val="1"/>
      <w:marLeft w:val="0"/>
      <w:marRight w:val="0"/>
      <w:marTop w:val="0"/>
      <w:marBottom w:val="0"/>
      <w:divBdr>
        <w:top w:val="none" w:sz="0" w:space="0" w:color="auto"/>
        <w:left w:val="none" w:sz="0" w:space="0" w:color="auto"/>
        <w:bottom w:val="none" w:sz="0" w:space="0" w:color="auto"/>
        <w:right w:val="none" w:sz="0" w:space="0" w:color="auto"/>
      </w:divBdr>
    </w:div>
    <w:div w:id="1592934325">
      <w:bodyDiv w:val="1"/>
      <w:marLeft w:val="0"/>
      <w:marRight w:val="0"/>
      <w:marTop w:val="0"/>
      <w:marBottom w:val="0"/>
      <w:divBdr>
        <w:top w:val="none" w:sz="0" w:space="0" w:color="auto"/>
        <w:left w:val="none" w:sz="0" w:space="0" w:color="auto"/>
        <w:bottom w:val="none" w:sz="0" w:space="0" w:color="auto"/>
        <w:right w:val="none" w:sz="0" w:space="0" w:color="auto"/>
      </w:divBdr>
    </w:div>
    <w:div w:id="1593930709">
      <w:bodyDiv w:val="1"/>
      <w:marLeft w:val="0"/>
      <w:marRight w:val="0"/>
      <w:marTop w:val="0"/>
      <w:marBottom w:val="0"/>
      <w:divBdr>
        <w:top w:val="none" w:sz="0" w:space="0" w:color="auto"/>
        <w:left w:val="none" w:sz="0" w:space="0" w:color="auto"/>
        <w:bottom w:val="none" w:sz="0" w:space="0" w:color="auto"/>
        <w:right w:val="none" w:sz="0" w:space="0" w:color="auto"/>
      </w:divBdr>
    </w:div>
    <w:div w:id="1593971770">
      <w:bodyDiv w:val="1"/>
      <w:marLeft w:val="0"/>
      <w:marRight w:val="0"/>
      <w:marTop w:val="0"/>
      <w:marBottom w:val="0"/>
      <w:divBdr>
        <w:top w:val="none" w:sz="0" w:space="0" w:color="auto"/>
        <w:left w:val="none" w:sz="0" w:space="0" w:color="auto"/>
        <w:bottom w:val="none" w:sz="0" w:space="0" w:color="auto"/>
        <w:right w:val="none" w:sz="0" w:space="0" w:color="auto"/>
      </w:divBdr>
    </w:div>
    <w:div w:id="1593974814">
      <w:bodyDiv w:val="1"/>
      <w:marLeft w:val="0"/>
      <w:marRight w:val="0"/>
      <w:marTop w:val="0"/>
      <w:marBottom w:val="0"/>
      <w:divBdr>
        <w:top w:val="none" w:sz="0" w:space="0" w:color="auto"/>
        <w:left w:val="none" w:sz="0" w:space="0" w:color="auto"/>
        <w:bottom w:val="none" w:sz="0" w:space="0" w:color="auto"/>
        <w:right w:val="none" w:sz="0" w:space="0" w:color="auto"/>
      </w:divBdr>
    </w:div>
    <w:div w:id="1594244001">
      <w:bodyDiv w:val="1"/>
      <w:marLeft w:val="0"/>
      <w:marRight w:val="0"/>
      <w:marTop w:val="0"/>
      <w:marBottom w:val="0"/>
      <w:divBdr>
        <w:top w:val="none" w:sz="0" w:space="0" w:color="auto"/>
        <w:left w:val="none" w:sz="0" w:space="0" w:color="auto"/>
        <w:bottom w:val="none" w:sz="0" w:space="0" w:color="auto"/>
        <w:right w:val="none" w:sz="0" w:space="0" w:color="auto"/>
      </w:divBdr>
    </w:div>
    <w:div w:id="1594779036">
      <w:bodyDiv w:val="1"/>
      <w:marLeft w:val="0"/>
      <w:marRight w:val="0"/>
      <w:marTop w:val="0"/>
      <w:marBottom w:val="0"/>
      <w:divBdr>
        <w:top w:val="none" w:sz="0" w:space="0" w:color="auto"/>
        <w:left w:val="none" w:sz="0" w:space="0" w:color="auto"/>
        <w:bottom w:val="none" w:sz="0" w:space="0" w:color="auto"/>
        <w:right w:val="none" w:sz="0" w:space="0" w:color="auto"/>
      </w:divBdr>
    </w:div>
    <w:div w:id="1595284613">
      <w:bodyDiv w:val="1"/>
      <w:marLeft w:val="0"/>
      <w:marRight w:val="0"/>
      <w:marTop w:val="0"/>
      <w:marBottom w:val="0"/>
      <w:divBdr>
        <w:top w:val="none" w:sz="0" w:space="0" w:color="auto"/>
        <w:left w:val="none" w:sz="0" w:space="0" w:color="auto"/>
        <w:bottom w:val="none" w:sz="0" w:space="0" w:color="auto"/>
        <w:right w:val="none" w:sz="0" w:space="0" w:color="auto"/>
      </w:divBdr>
    </w:div>
    <w:div w:id="1595506306">
      <w:bodyDiv w:val="1"/>
      <w:marLeft w:val="0"/>
      <w:marRight w:val="0"/>
      <w:marTop w:val="0"/>
      <w:marBottom w:val="0"/>
      <w:divBdr>
        <w:top w:val="none" w:sz="0" w:space="0" w:color="auto"/>
        <w:left w:val="none" w:sz="0" w:space="0" w:color="auto"/>
        <w:bottom w:val="none" w:sz="0" w:space="0" w:color="auto"/>
        <w:right w:val="none" w:sz="0" w:space="0" w:color="auto"/>
      </w:divBdr>
    </w:div>
    <w:div w:id="1596590239">
      <w:bodyDiv w:val="1"/>
      <w:marLeft w:val="0"/>
      <w:marRight w:val="0"/>
      <w:marTop w:val="0"/>
      <w:marBottom w:val="0"/>
      <w:divBdr>
        <w:top w:val="none" w:sz="0" w:space="0" w:color="auto"/>
        <w:left w:val="none" w:sz="0" w:space="0" w:color="auto"/>
        <w:bottom w:val="none" w:sz="0" w:space="0" w:color="auto"/>
        <w:right w:val="none" w:sz="0" w:space="0" w:color="auto"/>
      </w:divBdr>
    </w:div>
    <w:div w:id="1598514046">
      <w:bodyDiv w:val="1"/>
      <w:marLeft w:val="0"/>
      <w:marRight w:val="0"/>
      <w:marTop w:val="0"/>
      <w:marBottom w:val="0"/>
      <w:divBdr>
        <w:top w:val="none" w:sz="0" w:space="0" w:color="auto"/>
        <w:left w:val="none" w:sz="0" w:space="0" w:color="auto"/>
        <w:bottom w:val="none" w:sz="0" w:space="0" w:color="auto"/>
        <w:right w:val="none" w:sz="0" w:space="0" w:color="auto"/>
      </w:divBdr>
    </w:div>
    <w:div w:id="1599674915">
      <w:bodyDiv w:val="1"/>
      <w:marLeft w:val="0"/>
      <w:marRight w:val="0"/>
      <w:marTop w:val="0"/>
      <w:marBottom w:val="0"/>
      <w:divBdr>
        <w:top w:val="none" w:sz="0" w:space="0" w:color="auto"/>
        <w:left w:val="none" w:sz="0" w:space="0" w:color="auto"/>
        <w:bottom w:val="none" w:sz="0" w:space="0" w:color="auto"/>
        <w:right w:val="none" w:sz="0" w:space="0" w:color="auto"/>
      </w:divBdr>
    </w:div>
    <w:div w:id="1601256013">
      <w:bodyDiv w:val="1"/>
      <w:marLeft w:val="0"/>
      <w:marRight w:val="0"/>
      <w:marTop w:val="0"/>
      <w:marBottom w:val="0"/>
      <w:divBdr>
        <w:top w:val="none" w:sz="0" w:space="0" w:color="auto"/>
        <w:left w:val="none" w:sz="0" w:space="0" w:color="auto"/>
        <w:bottom w:val="none" w:sz="0" w:space="0" w:color="auto"/>
        <w:right w:val="none" w:sz="0" w:space="0" w:color="auto"/>
      </w:divBdr>
    </w:div>
    <w:div w:id="1602103588">
      <w:bodyDiv w:val="1"/>
      <w:marLeft w:val="0"/>
      <w:marRight w:val="0"/>
      <w:marTop w:val="0"/>
      <w:marBottom w:val="0"/>
      <w:divBdr>
        <w:top w:val="none" w:sz="0" w:space="0" w:color="auto"/>
        <w:left w:val="none" w:sz="0" w:space="0" w:color="auto"/>
        <w:bottom w:val="none" w:sz="0" w:space="0" w:color="auto"/>
        <w:right w:val="none" w:sz="0" w:space="0" w:color="auto"/>
      </w:divBdr>
    </w:div>
    <w:div w:id="1602489607">
      <w:bodyDiv w:val="1"/>
      <w:marLeft w:val="0"/>
      <w:marRight w:val="0"/>
      <w:marTop w:val="0"/>
      <w:marBottom w:val="0"/>
      <w:divBdr>
        <w:top w:val="none" w:sz="0" w:space="0" w:color="auto"/>
        <w:left w:val="none" w:sz="0" w:space="0" w:color="auto"/>
        <w:bottom w:val="none" w:sz="0" w:space="0" w:color="auto"/>
        <w:right w:val="none" w:sz="0" w:space="0" w:color="auto"/>
      </w:divBdr>
    </w:div>
    <w:div w:id="1602490572">
      <w:bodyDiv w:val="1"/>
      <w:marLeft w:val="0"/>
      <w:marRight w:val="0"/>
      <w:marTop w:val="0"/>
      <w:marBottom w:val="0"/>
      <w:divBdr>
        <w:top w:val="none" w:sz="0" w:space="0" w:color="auto"/>
        <w:left w:val="none" w:sz="0" w:space="0" w:color="auto"/>
        <w:bottom w:val="none" w:sz="0" w:space="0" w:color="auto"/>
        <w:right w:val="none" w:sz="0" w:space="0" w:color="auto"/>
      </w:divBdr>
    </w:div>
    <w:div w:id="1603414309">
      <w:bodyDiv w:val="1"/>
      <w:marLeft w:val="0"/>
      <w:marRight w:val="0"/>
      <w:marTop w:val="0"/>
      <w:marBottom w:val="0"/>
      <w:divBdr>
        <w:top w:val="none" w:sz="0" w:space="0" w:color="auto"/>
        <w:left w:val="none" w:sz="0" w:space="0" w:color="auto"/>
        <w:bottom w:val="none" w:sz="0" w:space="0" w:color="auto"/>
        <w:right w:val="none" w:sz="0" w:space="0" w:color="auto"/>
      </w:divBdr>
    </w:div>
    <w:div w:id="1603689013">
      <w:bodyDiv w:val="1"/>
      <w:marLeft w:val="0"/>
      <w:marRight w:val="0"/>
      <w:marTop w:val="0"/>
      <w:marBottom w:val="0"/>
      <w:divBdr>
        <w:top w:val="none" w:sz="0" w:space="0" w:color="auto"/>
        <w:left w:val="none" w:sz="0" w:space="0" w:color="auto"/>
        <w:bottom w:val="none" w:sz="0" w:space="0" w:color="auto"/>
        <w:right w:val="none" w:sz="0" w:space="0" w:color="auto"/>
      </w:divBdr>
    </w:div>
    <w:div w:id="1604459693">
      <w:bodyDiv w:val="1"/>
      <w:marLeft w:val="0"/>
      <w:marRight w:val="0"/>
      <w:marTop w:val="0"/>
      <w:marBottom w:val="0"/>
      <w:divBdr>
        <w:top w:val="none" w:sz="0" w:space="0" w:color="auto"/>
        <w:left w:val="none" w:sz="0" w:space="0" w:color="auto"/>
        <w:bottom w:val="none" w:sz="0" w:space="0" w:color="auto"/>
        <w:right w:val="none" w:sz="0" w:space="0" w:color="auto"/>
      </w:divBdr>
    </w:div>
    <w:div w:id="1605109049">
      <w:bodyDiv w:val="1"/>
      <w:marLeft w:val="0"/>
      <w:marRight w:val="0"/>
      <w:marTop w:val="0"/>
      <w:marBottom w:val="0"/>
      <w:divBdr>
        <w:top w:val="none" w:sz="0" w:space="0" w:color="auto"/>
        <w:left w:val="none" w:sz="0" w:space="0" w:color="auto"/>
        <w:bottom w:val="none" w:sz="0" w:space="0" w:color="auto"/>
        <w:right w:val="none" w:sz="0" w:space="0" w:color="auto"/>
      </w:divBdr>
    </w:div>
    <w:div w:id="1605959984">
      <w:bodyDiv w:val="1"/>
      <w:marLeft w:val="0"/>
      <w:marRight w:val="0"/>
      <w:marTop w:val="0"/>
      <w:marBottom w:val="0"/>
      <w:divBdr>
        <w:top w:val="none" w:sz="0" w:space="0" w:color="auto"/>
        <w:left w:val="none" w:sz="0" w:space="0" w:color="auto"/>
        <w:bottom w:val="none" w:sz="0" w:space="0" w:color="auto"/>
        <w:right w:val="none" w:sz="0" w:space="0" w:color="auto"/>
      </w:divBdr>
    </w:div>
    <w:div w:id="1606038771">
      <w:bodyDiv w:val="1"/>
      <w:marLeft w:val="0"/>
      <w:marRight w:val="0"/>
      <w:marTop w:val="0"/>
      <w:marBottom w:val="0"/>
      <w:divBdr>
        <w:top w:val="none" w:sz="0" w:space="0" w:color="auto"/>
        <w:left w:val="none" w:sz="0" w:space="0" w:color="auto"/>
        <w:bottom w:val="none" w:sz="0" w:space="0" w:color="auto"/>
        <w:right w:val="none" w:sz="0" w:space="0" w:color="auto"/>
      </w:divBdr>
    </w:div>
    <w:div w:id="1606838577">
      <w:bodyDiv w:val="1"/>
      <w:marLeft w:val="0"/>
      <w:marRight w:val="0"/>
      <w:marTop w:val="0"/>
      <w:marBottom w:val="0"/>
      <w:divBdr>
        <w:top w:val="none" w:sz="0" w:space="0" w:color="auto"/>
        <w:left w:val="none" w:sz="0" w:space="0" w:color="auto"/>
        <w:bottom w:val="none" w:sz="0" w:space="0" w:color="auto"/>
        <w:right w:val="none" w:sz="0" w:space="0" w:color="auto"/>
      </w:divBdr>
    </w:div>
    <w:div w:id="1607276023">
      <w:bodyDiv w:val="1"/>
      <w:marLeft w:val="0"/>
      <w:marRight w:val="0"/>
      <w:marTop w:val="0"/>
      <w:marBottom w:val="0"/>
      <w:divBdr>
        <w:top w:val="none" w:sz="0" w:space="0" w:color="auto"/>
        <w:left w:val="none" w:sz="0" w:space="0" w:color="auto"/>
        <w:bottom w:val="none" w:sz="0" w:space="0" w:color="auto"/>
        <w:right w:val="none" w:sz="0" w:space="0" w:color="auto"/>
      </w:divBdr>
    </w:div>
    <w:div w:id="1607544703">
      <w:bodyDiv w:val="1"/>
      <w:marLeft w:val="0"/>
      <w:marRight w:val="0"/>
      <w:marTop w:val="0"/>
      <w:marBottom w:val="0"/>
      <w:divBdr>
        <w:top w:val="none" w:sz="0" w:space="0" w:color="auto"/>
        <w:left w:val="none" w:sz="0" w:space="0" w:color="auto"/>
        <w:bottom w:val="none" w:sz="0" w:space="0" w:color="auto"/>
        <w:right w:val="none" w:sz="0" w:space="0" w:color="auto"/>
      </w:divBdr>
    </w:div>
    <w:div w:id="1608351449">
      <w:bodyDiv w:val="1"/>
      <w:marLeft w:val="0"/>
      <w:marRight w:val="0"/>
      <w:marTop w:val="0"/>
      <w:marBottom w:val="0"/>
      <w:divBdr>
        <w:top w:val="none" w:sz="0" w:space="0" w:color="auto"/>
        <w:left w:val="none" w:sz="0" w:space="0" w:color="auto"/>
        <w:bottom w:val="none" w:sz="0" w:space="0" w:color="auto"/>
        <w:right w:val="none" w:sz="0" w:space="0" w:color="auto"/>
      </w:divBdr>
    </w:div>
    <w:div w:id="1609696861">
      <w:bodyDiv w:val="1"/>
      <w:marLeft w:val="0"/>
      <w:marRight w:val="0"/>
      <w:marTop w:val="0"/>
      <w:marBottom w:val="0"/>
      <w:divBdr>
        <w:top w:val="none" w:sz="0" w:space="0" w:color="auto"/>
        <w:left w:val="none" w:sz="0" w:space="0" w:color="auto"/>
        <w:bottom w:val="none" w:sz="0" w:space="0" w:color="auto"/>
        <w:right w:val="none" w:sz="0" w:space="0" w:color="auto"/>
      </w:divBdr>
    </w:div>
    <w:div w:id="1612325389">
      <w:bodyDiv w:val="1"/>
      <w:marLeft w:val="0"/>
      <w:marRight w:val="0"/>
      <w:marTop w:val="0"/>
      <w:marBottom w:val="0"/>
      <w:divBdr>
        <w:top w:val="none" w:sz="0" w:space="0" w:color="auto"/>
        <w:left w:val="none" w:sz="0" w:space="0" w:color="auto"/>
        <w:bottom w:val="none" w:sz="0" w:space="0" w:color="auto"/>
        <w:right w:val="none" w:sz="0" w:space="0" w:color="auto"/>
      </w:divBdr>
    </w:div>
    <w:div w:id="1612858979">
      <w:bodyDiv w:val="1"/>
      <w:marLeft w:val="0"/>
      <w:marRight w:val="0"/>
      <w:marTop w:val="0"/>
      <w:marBottom w:val="0"/>
      <w:divBdr>
        <w:top w:val="none" w:sz="0" w:space="0" w:color="auto"/>
        <w:left w:val="none" w:sz="0" w:space="0" w:color="auto"/>
        <w:bottom w:val="none" w:sz="0" w:space="0" w:color="auto"/>
        <w:right w:val="none" w:sz="0" w:space="0" w:color="auto"/>
      </w:divBdr>
    </w:div>
    <w:div w:id="1612860210">
      <w:bodyDiv w:val="1"/>
      <w:marLeft w:val="0"/>
      <w:marRight w:val="0"/>
      <w:marTop w:val="0"/>
      <w:marBottom w:val="0"/>
      <w:divBdr>
        <w:top w:val="none" w:sz="0" w:space="0" w:color="auto"/>
        <w:left w:val="none" w:sz="0" w:space="0" w:color="auto"/>
        <w:bottom w:val="none" w:sz="0" w:space="0" w:color="auto"/>
        <w:right w:val="none" w:sz="0" w:space="0" w:color="auto"/>
      </w:divBdr>
    </w:div>
    <w:div w:id="1614628027">
      <w:bodyDiv w:val="1"/>
      <w:marLeft w:val="0"/>
      <w:marRight w:val="0"/>
      <w:marTop w:val="0"/>
      <w:marBottom w:val="0"/>
      <w:divBdr>
        <w:top w:val="none" w:sz="0" w:space="0" w:color="auto"/>
        <w:left w:val="none" w:sz="0" w:space="0" w:color="auto"/>
        <w:bottom w:val="none" w:sz="0" w:space="0" w:color="auto"/>
        <w:right w:val="none" w:sz="0" w:space="0" w:color="auto"/>
      </w:divBdr>
    </w:div>
    <w:div w:id="1617058276">
      <w:bodyDiv w:val="1"/>
      <w:marLeft w:val="0"/>
      <w:marRight w:val="0"/>
      <w:marTop w:val="0"/>
      <w:marBottom w:val="0"/>
      <w:divBdr>
        <w:top w:val="none" w:sz="0" w:space="0" w:color="auto"/>
        <w:left w:val="none" w:sz="0" w:space="0" w:color="auto"/>
        <w:bottom w:val="none" w:sz="0" w:space="0" w:color="auto"/>
        <w:right w:val="none" w:sz="0" w:space="0" w:color="auto"/>
      </w:divBdr>
    </w:div>
    <w:div w:id="1618098894">
      <w:bodyDiv w:val="1"/>
      <w:marLeft w:val="0"/>
      <w:marRight w:val="0"/>
      <w:marTop w:val="0"/>
      <w:marBottom w:val="0"/>
      <w:divBdr>
        <w:top w:val="none" w:sz="0" w:space="0" w:color="auto"/>
        <w:left w:val="none" w:sz="0" w:space="0" w:color="auto"/>
        <w:bottom w:val="none" w:sz="0" w:space="0" w:color="auto"/>
        <w:right w:val="none" w:sz="0" w:space="0" w:color="auto"/>
      </w:divBdr>
    </w:div>
    <w:div w:id="1618442483">
      <w:bodyDiv w:val="1"/>
      <w:marLeft w:val="0"/>
      <w:marRight w:val="0"/>
      <w:marTop w:val="0"/>
      <w:marBottom w:val="0"/>
      <w:divBdr>
        <w:top w:val="none" w:sz="0" w:space="0" w:color="auto"/>
        <w:left w:val="none" w:sz="0" w:space="0" w:color="auto"/>
        <w:bottom w:val="none" w:sz="0" w:space="0" w:color="auto"/>
        <w:right w:val="none" w:sz="0" w:space="0" w:color="auto"/>
      </w:divBdr>
    </w:div>
    <w:div w:id="1619413494">
      <w:bodyDiv w:val="1"/>
      <w:marLeft w:val="0"/>
      <w:marRight w:val="0"/>
      <w:marTop w:val="0"/>
      <w:marBottom w:val="0"/>
      <w:divBdr>
        <w:top w:val="none" w:sz="0" w:space="0" w:color="auto"/>
        <w:left w:val="none" w:sz="0" w:space="0" w:color="auto"/>
        <w:bottom w:val="none" w:sz="0" w:space="0" w:color="auto"/>
        <w:right w:val="none" w:sz="0" w:space="0" w:color="auto"/>
      </w:divBdr>
    </w:div>
    <w:div w:id="1620642140">
      <w:bodyDiv w:val="1"/>
      <w:marLeft w:val="0"/>
      <w:marRight w:val="0"/>
      <w:marTop w:val="0"/>
      <w:marBottom w:val="0"/>
      <w:divBdr>
        <w:top w:val="none" w:sz="0" w:space="0" w:color="auto"/>
        <w:left w:val="none" w:sz="0" w:space="0" w:color="auto"/>
        <w:bottom w:val="none" w:sz="0" w:space="0" w:color="auto"/>
        <w:right w:val="none" w:sz="0" w:space="0" w:color="auto"/>
      </w:divBdr>
    </w:div>
    <w:div w:id="1621035942">
      <w:bodyDiv w:val="1"/>
      <w:marLeft w:val="0"/>
      <w:marRight w:val="0"/>
      <w:marTop w:val="0"/>
      <w:marBottom w:val="0"/>
      <w:divBdr>
        <w:top w:val="none" w:sz="0" w:space="0" w:color="auto"/>
        <w:left w:val="none" w:sz="0" w:space="0" w:color="auto"/>
        <w:bottom w:val="none" w:sz="0" w:space="0" w:color="auto"/>
        <w:right w:val="none" w:sz="0" w:space="0" w:color="auto"/>
      </w:divBdr>
    </w:div>
    <w:div w:id="1621447944">
      <w:bodyDiv w:val="1"/>
      <w:marLeft w:val="0"/>
      <w:marRight w:val="0"/>
      <w:marTop w:val="0"/>
      <w:marBottom w:val="0"/>
      <w:divBdr>
        <w:top w:val="none" w:sz="0" w:space="0" w:color="auto"/>
        <w:left w:val="none" w:sz="0" w:space="0" w:color="auto"/>
        <w:bottom w:val="none" w:sz="0" w:space="0" w:color="auto"/>
        <w:right w:val="none" w:sz="0" w:space="0" w:color="auto"/>
      </w:divBdr>
    </w:div>
    <w:div w:id="1622609880">
      <w:bodyDiv w:val="1"/>
      <w:marLeft w:val="0"/>
      <w:marRight w:val="0"/>
      <w:marTop w:val="0"/>
      <w:marBottom w:val="0"/>
      <w:divBdr>
        <w:top w:val="none" w:sz="0" w:space="0" w:color="auto"/>
        <w:left w:val="none" w:sz="0" w:space="0" w:color="auto"/>
        <w:bottom w:val="none" w:sz="0" w:space="0" w:color="auto"/>
        <w:right w:val="none" w:sz="0" w:space="0" w:color="auto"/>
      </w:divBdr>
    </w:div>
    <w:div w:id="1623461836">
      <w:bodyDiv w:val="1"/>
      <w:marLeft w:val="0"/>
      <w:marRight w:val="0"/>
      <w:marTop w:val="0"/>
      <w:marBottom w:val="0"/>
      <w:divBdr>
        <w:top w:val="none" w:sz="0" w:space="0" w:color="auto"/>
        <w:left w:val="none" w:sz="0" w:space="0" w:color="auto"/>
        <w:bottom w:val="none" w:sz="0" w:space="0" w:color="auto"/>
        <w:right w:val="none" w:sz="0" w:space="0" w:color="auto"/>
      </w:divBdr>
    </w:div>
    <w:div w:id="1624115350">
      <w:bodyDiv w:val="1"/>
      <w:marLeft w:val="0"/>
      <w:marRight w:val="0"/>
      <w:marTop w:val="0"/>
      <w:marBottom w:val="0"/>
      <w:divBdr>
        <w:top w:val="none" w:sz="0" w:space="0" w:color="auto"/>
        <w:left w:val="none" w:sz="0" w:space="0" w:color="auto"/>
        <w:bottom w:val="none" w:sz="0" w:space="0" w:color="auto"/>
        <w:right w:val="none" w:sz="0" w:space="0" w:color="auto"/>
      </w:divBdr>
    </w:div>
    <w:div w:id="1624341795">
      <w:bodyDiv w:val="1"/>
      <w:marLeft w:val="0"/>
      <w:marRight w:val="0"/>
      <w:marTop w:val="0"/>
      <w:marBottom w:val="0"/>
      <w:divBdr>
        <w:top w:val="none" w:sz="0" w:space="0" w:color="auto"/>
        <w:left w:val="none" w:sz="0" w:space="0" w:color="auto"/>
        <w:bottom w:val="none" w:sz="0" w:space="0" w:color="auto"/>
        <w:right w:val="none" w:sz="0" w:space="0" w:color="auto"/>
      </w:divBdr>
    </w:div>
    <w:div w:id="1624729285">
      <w:bodyDiv w:val="1"/>
      <w:marLeft w:val="0"/>
      <w:marRight w:val="0"/>
      <w:marTop w:val="0"/>
      <w:marBottom w:val="0"/>
      <w:divBdr>
        <w:top w:val="none" w:sz="0" w:space="0" w:color="auto"/>
        <w:left w:val="none" w:sz="0" w:space="0" w:color="auto"/>
        <w:bottom w:val="none" w:sz="0" w:space="0" w:color="auto"/>
        <w:right w:val="none" w:sz="0" w:space="0" w:color="auto"/>
      </w:divBdr>
    </w:div>
    <w:div w:id="1625185990">
      <w:bodyDiv w:val="1"/>
      <w:marLeft w:val="0"/>
      <w:marRight w:val="0"/>
      <w:marTop w:val="0"/>
      <w:marBottom w:val="0"/>
      <w:divBdr>
        <w:top w:val="none" w:sz="0" w:space="0" w:color="auto"/>
        <w:left w:val="none" w:sz="0" w:space="0" w:color="auto"/>
        <w:bottom w:val="none" w:sz="0" w:space="0" w:color="auto"/>
        <w:right w:val="none" w:sz="0" w:space="0" w:color="auto"/>
      </w:divBdr>
    </w:div>
    <w:div w:id="1625497018">
      <w:bodyDiv w:val="1"/>
      <w:marLeft w:val="0"/>
      <w:marRight w:val="0"/>
      <w:marTop w:val="0"/>
      <w:marBottom w:val="0"/>
      <w:divBdr>
        <w:top w:val="none" w:sz="0" w:space="0" w:color="auto"/>
        <w:left w:val="none" w:sz="0" w:space="0" w:color="auto"/>
        <w:bottom w:val="none" w:sz="0" w:space="0" w:color="auto"/>
        <w:right w:val="none" w:sz="0" w:space="0" w:color="auto"/>
      </w:divBdr>
    </w:div>
    <w:div w:id="1626111301">
      <w:bodyDiv w:val="1"/>
      <w:marLeft w:val="0"/>
      <w:marRight w:val="0"/>
      <w:marTop w:val="0"/>
      <w:marBottom w:val="0"/>
      <w:divBdr>
        <w:top w:val="none" w:sz="0" w:space="0" w:color="auto"/>
        <w:left w:val="none" w:sz="0" w:space="0" w:color="auto"/>
        <w:bottom w:val="none" w:sz="0" w:space="0" w:color="auto"/>
        <w:right w:val="none" w:sz="0" w:space="0" w:color="auto"/>
      </w:divBdr>
    </w:div>
    <w:div w:id="1626814739">
      <w:bodyDiv w:val="1"/>
      <w:marLeft w:val="0"/>
      <w:marRight w:val="0"/>
      <w:marTop w:val="0"/>
      <w:marBottom w:val="0"/>
      <w:divBdr>
        <w:top w:val="none" w:sz="0" w:space="0" w:color="auto"/>
        <w:left w:val="none" w:sz="0" w:space="0" w:color="auto"/>
        <w:bottom w:val="none" w:sz="0" w:space="0" w:color="auto"/>
        <w:right w:val="none" w:sz="0" w:space="0" w:color="auto"/>
      </w:divBdr>
    </w:div>
    <w:div w:id="1627002829">
      <w:bodyDiv w:val="1"/>
      <w:marLeft w:val="0"/>
      <w:marRight w:val="0"/>
      <w:marTop w:val="0"/>
      <w:marBottom w:val="0"/>
      <w:divBdr>
        <w:top w:val="none" w:sz="0" w:space="0" w:color="auto"/>
        <w:left w:val="none" w:sz="0" w:space="0" w:color="auto"/>
        <w:bottom w:val="none" w:sz="0" w:space="0" w:color="auto"/>
        <w:right w:val="none" w:sz="0" w:space="0" w:color="auto"/>
      </w:divBdr>
    </w:div>
    <w:div w:id="1628897993">
      <w:bodyDiv w:val="1"/>
      <w:marLeft w:val="0"/>
      <w:marRight w:val="0"/>
      <w:marTop w:val="0"/>
      <w:marBottom w:val="0"/>
      <w:divBdr>
        <w:top w:val="none" w:sz="0" w:space="0" w:color="auto"/>
        <w:left w:val="none" w:sz="0" w:space="0" w:color="auto"/>
        <w:bottom w:val="none" w:sz="0" w:space="0" w:color="auto"/>
        <w:right w:val="none" w:sz="0" w:space="0" w:color="auto"/>
      </w:divBdr>
    </w:div>
    <w:div w:id="1629044095">
      <w:bodyDiv w:val="1"/>
      <w:marLeft w:val="0"/>
      <w:marRight w:val="0"/>
      <w:marTop w:val="0"/>
      <w:marBottom w:val="0"/>
      <w:divBdr>
        <w:top w:val="none" w:sz="0" w:space="0" w:color="auto"/>
        <w:left w:val="none" w:sz="0" w:space="0" w:color="auto"/>
        <w:bottom w:val="none" w:sz="0" w:space="0" w:color="auto"/>
        <w:right w:val="none" w:sz="0" w:space="0" w:color="auto"/>
      </w:divBdr>
    </w:div>
    <w:div w:id="1629623499">
      <w:bodyDiv w:val="1"/>
      <w:marLeft w:val="0"/>
      <w:marRight w:val="0"/>
      <w:marTop w:val="0"/>
      <w:marBottom w:val="0"/>
      <w:divBdr>
        <w:top w:val="none" w:sz="0" w:space="0" w:color="auto"/>
        <w:left w:val="none" w:sz="0" w:space="0" w:color="auto"/>
        <w:bottom w:val="none" w:sz="0" w:space="0" w:color="auto"/>
        <w:right w:val="none" w:sz="0" w:space="0" w:color="auto"/>
      </w:divBdr>
    </w:div>
    <w:div w:id="1630165758">
      <w:bodyDiv w:val="1"/>
      <w:marLeft w:val="0"/>
      <w:marRight w:val="0"/>
      <w:marTop w:val="0"/>
      <w:marBottom w:val="0"/>
      <w:divBdr>
        <w:top w:val="none" w:sz="0" w:space="0" w:color="auto"/>
        <w:left w:val="none" w:sz="0" w:space="0" w:color="auto"/>
        <w:bottom w:val="none" w:sz="0" w:space="0" w:color="auto"/>
        <w:right w:val="none" w:sz="0" w:space="0" w:color="auto"/>
      </w:divBdr>
    </w:div>
    <w:div w:id="1631476265">
      <w:bodyDiv w:val="1"/>
      <w:marLeft w:val="0"/>
      <w:marRight w:val="0"/>
      <w:marTop w:val="0"/>
      <w:marBottom w:val="0"/>
      <w:divBdr>
        <w:top w:val="none" w:sz="0" w:space="0" w:color="auto"/>
        <w:left w:val="none" w:sz="0" w:space="0" w:color="auto"/>
        <w:bottom w:val="none" w:sz="0" w:space="0" w:color="auto"/>
        <w:right w:val="none" w:sz="0" w:space="0" w:color="auto"/>
      </w:divBdr>
    </w:div>
    <w:div w:id="1631979640">
      <w:bodyDiv w:val="1"/>
      <w:marLeft w:val="0"/>
      <w:marRight w:val="0"/>
      <w:marTop w:val="0"/>
      <w:marBottom w:val="0"/>
      <w:divBdr>
        <w:top w:val="none" w:sz="0" w:space="0" w:color="auto"/>
        <w:left w:val="none" w:sz="0" w:space="0" w:color="auto"/>
        <w:bottom w:val="none" w:sz="0" w:space="0" w:color="auto"/>
        <w:right w:val="none" w:sz="0" w:space="0" w:color="auto"/>
      </w:divBdr>
    </w:div>
    <w:div w:id="1632396716">
      <w:bodyDiv w:val="1"/>
      <w:marLeft w:val="0"/>
      <w:marRight w:val="0"/>
      <w:marTop w:val="0"/>
      <w:marBottom w:val="0"/>
      <w:divBdr>
        <w:top w:val="none" w:sz="0" w:space="0" w:color="auto"/>
        <w:left w:val="none" w:sz="0" w:space="0" w:color="auto"/>
        <w:bottom w:val="none" w:sz="0" w:space="0" w:color="auto"/>
        <w:right w:val="none" w:sz="0" w:space="0" w:color="auto"/>
      </w:divBdr>
    </w:div>
    <w:div w:id="1632594756">
      <w:bodyDiv w:val="1"/>
      <w:marLeft w:val="0"/>
      <w:marRight w:val="0"/>
      <w:marTop w:val="0"/>
      <w:marBottom w:val="0"/>
      <w:divBdr>
        <w:top w:val="none" w:sz="0" w:space="0" w:color="auto"/>
        <w:left w:val="none" w:sz="0" w:space="0" w:color="auto"/>
        <w:bottom w:val="none" w:sz="0" w:space="0" w:color="auto"/>
        <w:right w:val="none" w:sz="0" w:space="0" w:color="auto"/>
      </w:divBdr>
    </w:div>
    <w:div w:id="1633559389">
      <w:bodyDiv w:val="1"/>
      <w:marLeft w:val="0"/>
      <w:marRight w:val="0"/>
      <w:marTop w:val="0"/>
      <w:marBottom w:val="0"/>
      <w:divBdr>
        <w:top w:val="none" w:sz="0" w:space="0" w:color="auto"/>
        <w:left w:val="none" w:sz="0" w:space="0" w:color="auto"/>
        <w:bottom w:val="none" w:sz="0" w:space="0" w:color="auto"/>
        <w:right w:val="none" w:sz="0" w:space="0" w:color="auto"/>
      </w:divBdr>
    </w:div>
    <w:div w:id="1633829317">
      <w:bodyDiv w:val="1"/>
      <w:marLeft w:val="0"/>
      <w:marRight w:val="0"/>
      <w:marTop w:val="0"/>
      <w:marBottom w:val="0"/>
      <w:divBdr>
        <w:top w:val="none" w:sz="0" w:space="0" w:color="auto"/>
        <w:left w:val="none" w:sz="0" w:space="0" w:color="auto"/>
        <w:bottom w:val="none" w:sz="0" w:space="0" w:color="auto"/>
        <w:right w:val="none" w:sz="0" w:space="0" w:color="auto"/>
      </w:divBdr>
    </w:div>
    <w:div w:id="1635715367">
      <w:bodyDiv w:val="1"/>
      <w:marLeft w:val="0"/>
      <w:marRight w:val="0"/>
      <w:marTop w:val="0"/>
      <w:marBottom w:val="0"/>
      <w:divBdr>
        <w:top w:val="none" w:sz="0" w:space="0" w:color="auto"/>
        <w:left w:val="none" w:sz="0" w:space="0" w:color="auto"/>
        <w:bottom w:val="none" w:sz="0" w:space="0" w:color="auto"/>
        <w:right w:val="none" w:sz="0" w:space="0" w:color="auto"/>
      </w:divBdr>
    </w:div>
    <w:div w:id="1638029831">
      <w:bodyDiv w:val="1"/>
      <w:marLeft w:val="0"/>
      <w:marRight w:val="0"/>
      <w:marTop w:val="0"/>
      <w:marBottom w:val="0"/>
      <w:divBdr>
        <w:top w:val="none" w:sz="0" w:space="0" w:color="auto"/>
        <w:left w:val="none" w:sz="0" w:space="0" w:color="auto"/>
        <w:bottom w:val="none" w:sz="0" w:space="0" w:color="auto"/>
        <w:right w:val="none" w:sz="0" w:space="0" w:color="auto"/>
      </w:divBdr>
    </w:div>
    <w:div w:id="1639070125">
      <w:bodyDiv w:val="1"/>
      <w:marLeft w:val="0"/>
      <w:marRight w:val="0"/>
      <w:marTop w:val="0"/>
      <w:marBottom w:val="0"/>
      <w:divBdr>
        <w:top w:val="none" w:sz="0" w:space="0" w:color="auto"/>
        <w:left w:val="none" w:sz="0" w:space="0" w:color="auto"/>
        <w:bottom w:val="none" w:sz="0" w:space="0" w:color="auto"/>
        <w:right w:val="none" w:sz="0" w:space="0" w:color="auto"/>
      </w:divBdr>
    </w:div>
    <w:div w:id="1640302992">
      <w:bodyDiv w:val="1"/>
      <w:marLeft w:val="0"/>
      <w:marRight w:val="0"/>
      <w:marTop w:val="0"/>
      <w:marBottom w:val="0"/>
      <w:divBdr>
        <w:top w:val="none" w:sz="0" w:space="0" w:color="auto"/>
        <w:left w:val="none" w:sz="0" w:space="0" w:color="auto"/>
        <w:bottom w:val="none" w:sz="0" w:space="0" w:color="auto"/>
        <w:right w:val="none" w:sz="0" w:space="0" w:color="auto"/>
      </w:divBdr>
    </w:div>
    <w:div w:id="1640568711">
      <w:bodyDiv w:val="1"/>
      <w:marLeft w:val="0"/>
      <w:marRight w:val="0"/>
      <w:marTop w:val="0"/>
      <w:marBottom w:val="0"/>
      <w:divBdr>
        <w:top w:val="none" w:sz="0" w:space="0" w:color="auto"/>
        <w:left w:val="none" w:sz="0" w:space="0" w:color="auto"/>
        <w:bottom w:val="none" w:sz="0" w:space="0" w:color="auto"/>
        <w:right w:val="none" w:sz="0" w:space="0" w:color="auto"/>
      </w:divBdr>
    </w:div>
    <w:div w:id="1640837878">
      <w:bodyDiv w:val="1"/>
      <w:marLeft w:val="0"/>
      <w:marRight w:val="0"/>
      <w:marTop w:val="0"/>
      <w:marBottom w:val="0"/>
      <w:divBdr>
        <w:top w:val="none" w:sz="0" w:space="0" w:color="auto"/>
        <w:left w:val="none" w:sz="0" w:space="0" w:color="auto"/>
        <w:bottom w:val="none" w:sz="0" w:space="0" w:color="auto"/>
        <w:right w:val="none" w:sz="0" w:space="0" w:color="auto"/>
      </w:divBdr>
    </w:div>
    <w:div w:id="1641223945">
      <w:bodyDiv w:val="1"/>
      <w:marLeft w:val="0"/>
      <w:marRight w:val="0"/>
      <w:marTop w:val="0"/>
      <w:marBottom w:val="0"/>
      <w:divBdr>
        <w:top w:val="none" w:sz="0" w:space="0" w:color="auto"/>
        <w:left w:val="none" w:sz="0" w:space="0" w:color="auto"/>
        <w:bottom w:val="none" w:sz="0" w:space="0" w:color="auto"/>
        <w:right w:val="none" w:sz="0" w:space="0" w:color="auto"/>
      </w:divBdr>
    </w:div>
    <w:div w:id="1642076224">
      <w:bodyDiv w:val="1"/>
      <w:marLeft w:val="0"/>
      <w:marRight w:val="0"/>
      <w:marTop w:val="0"/>
      <w:marBottom w:val="0"/>
      <w:divBdr>
        <w:top w:val="none" w:sz="0" w:space="0" w:color="auto"/>
        <w:left w:val="none" w:sz="0" w:space="0" w:color="auto"/>
        <w:bottom w:val="none" w:sz="0" w:space="0" w:color="auto"/>
        <w:right w:val="none" w:sz="0" w:space="0" w:color="auto"/>
      </w:divBdr>
    </w:div>
    <w:div w:id="1643344642">
      <w:bodyDiv w:val="1"/>
      <w:marLeft w:val="0"/>
      <w:marRight w:val="0"/>
      <w:marTop w:val="0"/>
      <w:marBottom w:val="0"/>
      <w:divBdr>
        <w:top w:val="none" w:sz="0" w:space="0" w:color="auto"/>
        <w:left w:val="none" w:sz="0" w:space="0" w:color="auto"/>
        <w:bottom w:val="none" w:sz="0" w:space="0" w:color="auto"/>
        <w:right w:val="none" w:sz="0" w:space="0" w:color="auto"/>
      </w:divBdr>
    </w:div>
    <w:div w:id="1645309007">
      <w:bodyDiv w:val="1"/>
      <w:marLeft w:val="0"/>
      <w:marRight w:val="0"/>
      <w:marTop w:val="0"/>
      <w:marBottom w:val="0"/>
      <w:divBdr>
        <w:top w:val="none" w:sz="0" w:space="0" w:color="auto"/>
        <w:left w:val="none" w:sz="0" w:space="0" w:color="auto"/>
        <w:bottom w:val="none" w:sz="0" w:space="0" w:color="auto"/>
        <w:right w:val="none" w:sz="0" w:space="0" w:color="auto"/>
      </w:divBdr>
    </w:div>
    <w:div w:id="1646273132">
      <w:bodyDiv w:val="1"/>
      <w:marLeft w:val="0"/>
      <w:marRight w:val="0"/>
      <w:marTop w:val="0"/>
      <w:marBottom w:val="0"/>
      <w:divBdr>
        <w:top w:val="none" w:sz="0" w:space="0" w:color="auto"/>
        <w:left w:val="none" w:sz="0" w:space="0" w:color="auto"/>
        <w:bottom w:val="none" w:sz="0" w:space="0" w:color="auto"/>
        <w:right w:val="none" w:sz="0" w:space="0" w:color="auto"/>
      </w:divBdr>
    </w:div>
    <w:div w:id="1646667521">
      <w:bodyDiv w:val="1"/>
      <w:marLeft w:val="0"/>
      <w:marRight w:val="0"/>
      <w:marTop w:val="0"/>
      <w:marBottom w:val="0"/>
      <w:divBdr>
        <w:top w:val="none" w:sz="0" w:space="0" w:color="auto"/>
        <w:left w:val="none" w:sz="0" w:space="0" w:color="auto"/>
        <w:bottom w:val="none" w:sz="0" w:space="0" w:color="auto"/>
        <w:right w:val="none" w:sz="0" w:space="0" w:color="auto"/>
      </w:divBdr>
    </w:div>
    <w:div w:id="1648582923">
      <w:bodyDiv w:val="1"/>
      <w:marLeft w:val="0"/>
      <w:marRight w:val="0"/>
      <w:marTop w:val="0"/>
      <w:marBottom w:val="0"/>
      <w:divBdr>
        <w:top w:val="none" w:sz="0" w:space="0" w:color="auto"/>
        <w:left w:val="none" w:sz="0" w:space="0" w:color="auto"/>
        <w:bottom w:val="none" w:sz="0" w:space="0" w:color="auto"/>
        <w:right w:val="none" w:sz="0" w:space="0" w:color="auto"/>
      </w:divBdr>
    </w:div>
    <w:div w:id="1648778099">
      <w:bodyDiv w:val="1"/>
      <w:marLeft w:val="0"/>
      <w:marRight w:val="0"/>
      <w:marTop w:val="0"/>
      <w:marBottom w:val="0"/>
      <w:divBdr>
        <w:top w:val="none" w:sz="0" w:space="0" w:color="auto"/>
        <w:left w:val="none" w:sz="0" w:space="0" w:color="auto"/>
        <w:bottom w:val="none" w:sz="0" w:space="0" w:color="auto"/>
        <w:right w:val="none" w:sz="0" w:space="0" w:color="auto"/>
      </w:divBdr>
    </w:div>
    <w:div w:id="1649507742">
      <w:bodyDiv w:val="1"/>
      <w:marLeft w:val="0"/>
      <w:marRight w:val="0"/>
      <w:marTop w:val="0"/>
      <w:marBottom w:val="0"/>
      <w:divBdr>
        <w:top w:val="none" w:sz="0" w:space="0" w:color="auto"/>
        <w:left w:val="none" w:sz="0" w:space="0" w:color="auto"/>
        <w:bottom w:val="none" w:sz="0" w:space="0" w:color="auto"/>
        <w:right w:val="none" w:sz="0" w:space="0" w:color="auto"/>
      </w:divBdr>
    </w:div>
    <w:div w:id="1650862337">
      <w:bodyDiv w:val="1"/>
      <w:marLeft w:val="0"/>
      <w:marRight w:val="0"/>
      <w:marTop w:val="0"/>
      <w:marBottom w:val="0"/>
      <w:divBdr>
        <w:top w:val="none" w:sz="0" w:space="0" w:color="auto"/>
        <w:left w:val="none" w:sz="0" w:space="0" w:color="auto"/>
        <w:bottom w:val="none" w:sz="0" w:space="0" w:color="auto"/>
        <w:right w:val="none" w:sz="0" w:space="0" w:color="auto"/>
      </w:divBdr>
    </w:div>
    <w:div w:id="1651523339">
      <w:bodyDiv w:val="1"/>
      <w:marLeft w:val="0"/>
      <w:marRight w:val="0"/>
      <w:marTop w:val="0"/>
      <w:marBottom w:val="0"/>
      <w:divBdr>
        <w:top w:val="none" w:sz="0" w:space="0" w:color="auto"/>
        <w:left w:val="none" w:sz="0" w:space="0" w:color="auto"/>
        <w:bottom w:val="none" w:sz="0" w:space="0" w:color="auto"/>
        <w:right w:val="none" w:sz="0" w:space="0" w:color="auto"/>
      </w:divBdr>
    </w:div>
    <w:div w:id="1652247901">
      <w:bodyDiv w:val="1"/>
      <w:marLeft w:val="0"/>
      <w:marRight w:val="0"/>
      <w:marTop w:val="0"/>
      <w:marBottom w:val="0"/>
      <w:divBdr>
        <w:top w:val="none" w:sz="0" w:space="0" w:color="auto"/>
        <w:left w:val="none" w:sz="0" w:space="0" w:color="auto"/>
        <w:bottom w:val="none" w:sz="0" w:space="0" w:color="auto"/>
        <w:right w:val="none" w:sz="0" w:space="0" w:color="auto"/>
      </w:divBdr>
    </w:div>
    <w:div w:id="1653681104">
      <w:bodyDiv w:val="1"/>
      <w:marLeft w:val="0"/>
      <w:marRight w:val="0"/>
      <w:marTop w:val="0"/>
      <w:marBottom w:val="0"/>
      <w:divBdr>
        <w:top w:val="none" w:sz="0" w:space="0" w:color="auto"/>
        <w:left w:val="none" w:sz="0" w:space="0" w:color="auto"/>
        <w:bottom w:val="none" w:sz="0" w:space="0" w:color="auto"/>
        <w:right w:val="none" w:sz="0" w:space="0" w:color="auto"/>
      </w:divBdr>
    </w:div>
    <w:div w:id="1654723700">
      <w:bodyDiv w:val="1"/>
      <w:marLeft w:val="0"/>
      <w:marRight w:val="0"/>
      <w:marTop w:val="0"/>
      <w:marBottom w:val="0"/>
      <w:divBdr>
        <w:top w:val="none" w:sz="0" w:space="0" w:color="auto"/>
        <w:left w:val="none" w:sz="0" w:space="0" w:color="auto"/>
        <w:bottom w:val="none" w:sz="0" w:space="0" w:color="auto"/>
        <w:right w:val="none" w:sz="0" w:space="0" w:color="auto"/>
      </w:divBdr>
    </w:div>
    <w:div w:id="1655645056">
      <w:bodyDiv w:val="1"/>
      <w:marLeft w:val="0"/>
      <w:marRight w:val="0"/>
      <w:marTop w:val="0"/>
      <w:marBottom w:val="0"/>
      <w:divBdr>
        <w:top w:val="none" w:sz="0" w:space="0" w:color="auto"/>
        <w:left w:val="none" w:sz="0" w:space="0" w:color="auto"/>
        <w:bottom w:val="none" w:sz="0" w:space="0" w:color="auto"/>
        <w:right w:val="none" w:sz="0" w:space="0" w:color="auto"/>
      </w:divBdr>
    </w:div>
    <w:div w:id="1656373566">
      <w:bodyDiv w:val="1"/>
      <w:marLeft w:val="0"/>
      <w:marRight w:val="0"/>
      <w:marTop w:val="0"/>
      <w:marBottom w:val="0"/>
      <w:divBdr>
        <w:top w:val="none" w:sz="0" w:space="0" w:color="auto"/>
        <w:left w:val="none" w:sz="0" w:space="0" w:color="auto"/>
        <w:bottom w:val="none" w:sz="0" w:space="0" w:color="auto"/>
        <w:right w:val="none" w:sz="0" w:space="0" w:color="auto"/>
      </w:divBdr>
    </w:div>
    <w:div w:id="1656638592">
      <w:bodyDiv w:val="1"/>
      <w:marLeft w:val="0"/>
      <w:marRight w:val="0"/>
      <w:marTop w:val="0"/>
      <w:marBottom w:val="0"/>
      <w:divBdr>
        <w:top w:val="none" w:sz="0" w:space="0" w:color="auto"/>
        <w:left w:val="none" w:sz="0" w:space="0" w:color="auto"/>
        <w:bottom w:val="none" w:sz="0" w:space="0" w:color="auto"/>
        <w:right w:val="none" w:sz="0" w:space="0" w:color="auto"/>
      </w:divBdr>
    </w:div>
    <w:div w:id="1657883181">
      <w:bodyDiv w:val="1"/>
      <w:marLeft w:val="0"/>
      <w:marRight w:val="0"/>
      <w:marTop w:val="0"/>
      <w:marBottom w:val="0"/>
      <w:divBdr>
        <w:top w:val="none" w:sz="0" w:space="0" w:color="auto"/>
        <w:left w:val="none" w:sz="0" w:space="0" w:color="auto"/>
        <w:bottom w:val="none" w:sz="0" w:space="0" w:color="auto"/>
        <w:right w:val="none" w:sz="0" w:space="0" w:color="auto"/>
      </w:divBdr>
    </w:div>
    <w:div w:id="1658454370">
      <w:bodyDiv w:val="1"/>
      <w:marLeft w:val="0"/>
      <w:marRight w:val="0"/>
      <w:marTop w:val="0"/>
      <w:marBottom w:val="0"/>
      <w:divBdr>
        <w:top w:val="none" w:sz="0" w:space="0" w:color="auto"/>
        <w:left w:val="none" w:sz="0" w:space="0" w:color="auto"/>
        <w:bottom w:val="none" w:sz="0" w:space="0" w:color="auto"/>
        <w:right w:val="none" w:sz="0" w:space="0" w:color="auto"/>
      </w:divBdr>
    </w:div>
    <w:div w:id="1658804025">
      <w:bodyDiv w:val="1"/>
      <w:marLeft w:val="0"/>
      <w:marRight w:val="0"/>
      <w:marTop w:val="0"/>
      <w:marBottom w:val="0"/>
      <w:divBdr>
        <w:top w:val="none" w:sz="0" w:space="0" w:color="auto"/>
        <w:left w:val="none" w:sz="0" w:space="0" w:color="auto"/>
        <w:bottom w:val="none" w:sz="0" w:space="0" w:color="auto"/>
        <w:right w:val="none" w:sz="0" w:space="0" w:color="auto"/>
      </w:divBdr>
    </w:div>
    <w:div w:id="1660426098">
      <w:bodyDiv w:val="1"/>
      <w:marLeft w:val="0"/>
      <w:marRight w:val="0"/>
      <w:marTop w:val="0"/>
      <w:marBottom w:val="0"/>
      <w:divBdr>
        <w:top w:val="none" w:sz="0" w:space="0" w:color="auto"/>
        <w:left w:val="none" w:sz="0" w:space="0" w:color="auto"/>
        <w:bottom w:val="none" w:sz="0" w:space="0" w:color="auto"/>
        <w:right w:val="none" w:sz="0" w:space="0" w:color="auto"/>
      </w:divBdr>
    </w:div>
    <w:div w:id="1660770209">
      <w:bodyDiv w:val="1"/>
      <w:marLeft w:val="0"/>
      <w:marRight w:val="0"/>
      <w:marTop w:val="0"/>
      <w:marBottom w:val="0"/>
      <w:divBdr>
        <w:top w:val="none" w:sz="0" w:space="0" w:color="auto"/>
        <w:left w:val="none" w:sz="0" w:space="0" w:color="auto"/>
        <w:bottom w:val="none" w:sz="0" w:space="0" w:color="auto"/>
        <w:right w:val="none" w:sz="0" w:space="0" w:color="auto"/>
      </w:divBdr>
    </w:div>
    <w:div w:id="1661037544">
      <w:bodyDiv w:val="1"/>
      <w:marLeft w:val="0"/>
      <w:marRight w:val="0"/>
      <w:marTop w:val="0"/>
      <w:marBottom w:val="0"/>
      <w:divBdr>
        <w:top w:val="none" w:sz="0" w:space="0" w:color="auto"/>
        <w:left w:val="none" w:sz="0" w:space="0" w:color="auto"/>
        <w:bottom w:val="none" w:sz="0" w:space="0" w:color="auto"/>
        <w:right w:val="none" w:sz="0" w:space="0" w:color="auto"/>
      </w:divBdr>
    </w:div>
    <w:div w:id="1662417916">
      <w:bodyDiv w:val="1"/>
      <w:marLeft w:val="0"/>
      <w:marRight w:val="0"/>
      <w:marTop w:val="0"/>
      <w:marBottom w:val="0"/>
      <w:divBdr>
        <w:top w:val="none" w:sz="0" w:space="0" w:color="auto"/>
        <w:left w:val="none" w:sz="0" w:space="0" w:color="auto"/>
        <w:bottom w:val="none" w:sz="0" w:space="0" w:color="auto"/>
        <w:right w:val="none" w:sz="0" w:space="0" w:color="auto"/>
      </w:divBdr>
    </w:div>
    <w:div w:id="1663507100">
      <w:bodyDiv w:val="1"/>
      <w:marLeft w:val="0"/>
      <w:marRight w:val="0"/>
      <w:marTop w:val="0"/>
      <w:marBottom w:val="0"/>
      <w:divBdr>
        <w:top w:val="none" w:sz="0" w:space="0" w:color="auto"/>
        <w:left w:val="none" w:sz="0" w:space="0" w:color="auto"/>
        <w:bottom w:val="none" w:sz="0" w:space="0" w:color="auto"/>
        <w:right w:val="none" w:sz="0" w:space="0" w:color="auto"/>
      </w:divBdr>
    </w:div>
    <w:div w:id="1664551420">
      <w:bodyDiv w:val="1"/>
      <w:marLeft w:val="0"/>
      <w:marRight w:val="0"/>
      <w:marTop w:val="0"/>
      <w:marBottom w:val="0"/>
      <w:divBdr>
        <w:top w:val="none" w:sz="0" w:space="0" w:color="auto"/>
        <w:left w:val="none" w:sz="0" w:space="0" w:color="auto"/>
        <w:bottom w:val="none" w:sz="0" w:space="0" w:color="auto"/>
        <w:right w:val="none" w:sz="0" w:space="0" w:color="auto"/>
      </w:divBdr>
    </w:div>
    <w:div w:id="1665163745">
      <w:bodyDiv w:val="1"/>
      <w:marLeft w:val="0"/>
      <w:marRight w:val="0"/>
      <w:marTop w:val="0"/>
      <w:marBottom w:val="0"/>
      <w:divBdr>
        <w:top w:val="none" w:sz="0" w:space="0" w:color="auto"/>
        <w:left w:val="none" w:sz="0" w:space="0" w:color="auto"/>
        <w:bottom w:val="none" w:sz="0" w:space="0" w:color="auto"/>
        <w:right w:val="none" w:sz="0" w:space="0" w:color="auto"/>
      </w:divBdr>
    </w:div>
    <w:div w:id="1666013628">
      <w:bodyDiv w:val="1"/>
      <w:marLeft w:val="0"/>
      <w:marRight w:val="0"/>
      <w:marTop w:val="0"/>
      <w:marBottom w:val="0"/>
      <w:divBdr>
        <w:top w:val="none" w:sz="0" w:space="0" w:color="auto"/>
        <w:left w:val="none" w:sz="0" w:space="0" w:color="auto"/>
        <w:bottom w:val="none" w:sz="0" w:space="0" w:color="auto"/>
        <w:right w:val="none" w:sz="0" w:space="0" w:color="auto"/>
      </w:divBdr>
    </w:div>
    <w:div w:id="1666125676">
      <w:bodyDiv w:val="1"/>
      <w:marLeft w:val="0"/>
      <w:marRight w:val="0"/>
      <w:marTop w:val="0"/>
      <w:marBottom w:val="0"/>
      <w:divBdr>
        <w:top w:val="none" w:sz="0" w:space="0" w:color="auto"/>
        <w:left w:val="none" w:sz="0" w:space="0" w:color="auto"/>
        <w:bottom w:val="none" w:sz="0" w:space="0" w:color="auto"/>
        <w:right w:val="none" w:sz="0" w:space="0" w:color="auto"/>
      </w:divBdr>
    </w:div>
    <w:div w:id="1666737715">
      <w:bodyDiv w:val="1"/>
      <w:marLeft w:val="0"/>
      <w:marRight w:val="0"/>
      <w:marTop w:val="0"/>
      <w:marBottom w:val="0"/>
      <w:divBdr>
        <w:top w:val="none" w:sz="0" w:space="0" w:color="auto"/>
        <w:left w:val="none" w:sz="0" w:space="0" w:color="auto"/>
        <w:bottom w:val="none" w:sz="0" w:space="0" w:color="auto"/>
        <w:right w:val="none" w:sz="0" w:space="0" w:color="auto"/>
      </w:divBdr>
    </w:div>
    <w:div w:id="1668089830">
      <w:bodyDiv w:val="1"/>
      <w:marLeft w:val="0"/>
      <w:marRight w:val="0"/>
      <w:marTop w:val="0"/>
      <w:marBottom w:val="0"/>
      <w:divBdr>
        <w:top w:val="none" w:sz="0" w:space="0" w:color="auto"/>
        <w:left w:val="none" w:sz="0" w:space="0" w:color="auto"/>
        <w:bottom w:val="none" w:sz="0" w:space="0" w:color="auto"/>
        <w:right w:val="none" w:sz="0" w:space="0" w:color="auto"/>
      </w:divBdr>
    </w:div>
    <w:div w:id="1668705590">
      <w:bodyDiv w:val="1"/>
      <w:marLeft w:val="0"/>
      <w:marRight w:val="0"/>
      <w:marTop w:val="0"/>
      <w:marBottom w:val="0"/>
      <w:divBdr>
        <w:top w:val="none" w:sz="0" w:space="0" w:color="auto"/>
        <w:left w:val="none" w:sz="0" w:space="0" w:color="auto"/>
        <w:bottom w:val="none" w:sz="0" w:space="0" w:color="auto"/>
        <w:right w:val="none" w:sz="0" w:space="0" w:color="auto"/>
      </w:divBdr>
    </w:div>
    <w:div w:id="1668750182">
      <w:bodyDiv w:val="1"/>
      <w:marLeft w:val="0"/>
      <w:marRight w:val="0"/>
      <w:marTop w:val="0"/>
      <w:marBottom w:val="0"/>
      <w:divBdr>
        <w:top w:val="none" w:sz="0" w:space="0" w:color="auto"/>
        <w:left w:val="none" w:sz="0" w:space="0" w:color="auto"/>
        <w:bottom w:val="none" w:sz="0" w:space="0" w:color="auto"/>
        <w:right w:val="none" w:sz="0" w:space="0" w:color="auto"/>
      </w:divBdr>
    </w:div>
    <w:div w:id="1668903328">
      <w:bodyDiv w:val="1"/>
      <w:marLeft w:val="0"/>
      <w:marRight w:val="0"/>
      <w:marTop w:val="0"/>
      <w:marBottom w:val="0"/>
      <w:divBdr>
        <w:top w:val="none" w:sz="0" w:space="0" w:color="auto"/>
        <w:left w:val="none" w:sz="0" w:space="0" w:color="auto"/>
        <w:bottom w:val="none" w:sz="0" w:space="0" w:color="auto"/>
        <w:right w:val="none" w:sz="0" w:space="0" w:color="auto"/>
      </w:divBdr>
    </w:div>
    <w:div w:id="1669480682">
      <w:bodyDiv w:val="1"/>
      <w:marLeft w:val="0"/>
      <w:marRight w:val="0"/>
      <w:marTop w:val="0"/>
      <w:marBottom w:val="0"/>
      <w:divBdr>
        <w:top w:val="none" w:sz="0" w:space="0" w:color="auto"/>
        <w:left w:val="none" w:sz="0" w:space="0" w:color="auto"/>
        <w:bottom w:val="none" w:sz="0" w:space="0" w:color="auto"/>
        <w:right w:val="none" w:sz="0" w:space="0" w:color="auto"/>
      </w:divBdr>
    </w:div>
    <w:div w:id="1670255752">
      <w:bodyDiv w:val="1"/>
      <w:marLeft w:val="0"/>
      <w:marRight w:val="0"/>
      <w:marTop w:val="0"/>
      <w:marBottom w:val="0"/>
      <w:divBdr>
        <w:top w:val="none" w:sz="0" w:space="0" w:color="auto"/>
        <w:left w:val="none" w:sz="0" w:space="0" w:color="auto"/>
        <w:bottom w:val="none" w:sz="0" w:space="0" w:color="auto"/>
        <w:right w:val="none" w:sz="0" w:space="0" w:color="auto"/>
      </w:divBdr>
    </w:div>
    <w:div w:id="1671063759">
      <w:bodyDiv w:val="1"/>
      <w:marLeft w:val="0"/>
      <w:marRight w:val="0"/>
      <w:marTop w:val="0"/>
      <w:marBottom w:val="0"/>
      <w:divBdr>
        <w:top w:val="none" w:sz="0" w:space="0" w:color="auto"/>
        <w:left w:val="none" w:sz="0" w:space="0" w:color="auto"/>
        <w:bottom w:val="none" w:sz="0" w:space="0" w:color="auto"/>
        <w:right w:val="none" w:sz="0" w:space="0" w:color="auto"/>
      </w:divBdr>
    </w:div>
    <w:div w:id="1671521818">
      <w:bodyDiv w:val="1"/>
      <w:marLeft w:val="0"/>
      <w:marRight w:val="0"/>
      <w:marTop w:val="0"/>
      <w:marBottom w:val="0"/>
      <w:divBdr>
        <w:top w:val="none" w:sz="0" w:space="0" w:color="auto"/>
        <w:left w:val="none" w:sz="0" w:space="0" w:color="auto"/>
        <w:bottom w:val="none" w:sz="0" w:space="0" w:color="auto"/>
        <w:right w:val="none" w:sz="0" w:space="0" w:color="auto"/>
      </w:divBdr>
    </w:div>
    <w:div w:id="1673028384">
      <w:bodyDiv w:val="1"/>
      <w:marLeft w:val="0"/>
      <w:marRight w:val="0"/>
      <w:marTop w:val="0"/>
      <w:marBottom w:val="0"/>
      <w:divBdr>
        <w:top w:val="none" w:sz="0" w:space="0" w:color="auto"/>
        <w:left w:val="none" w:sz="0" w:space="0" w:color="auto"/>
        <w:bottom w:val="none" w:sz="0" w:space="0" w:color="auto"/>
        <w:right w:val="none" w:sz="0" w:space="0" w:color="auto"/>
      </w:divBdr>
    </w:div>
    <w:div w:id="1673220566">
      <w:bodyDiv w:val="1"/>
      <w:marLeft w:val="0"/>
      <w:marRight w:val="0"/>
      <w:marTop w:val="0"/>
      <w:marBottom w:val="0"/>
      <w:divBdr>
        <w:top w:val="none" w:sz="0" w:space="0" w:color="auto"/>
        <w:left w:val="none" w:sz="0" w:space="0" w:color="auto"/>
        <w:bottom w:val="none" w:sz="0" w:space="0" w:color="auto"/>
        <w:right w:val="none" w:sz="0" w:space="0" w:color="auto"/>
      </w:divBdr>
    </w:div>
    <w:div w:id="1673878364">
      <w:bodyDiv w:val="1"/>
      <w:marLeft w:val="0"/>
      <w:marRight w:val="0"/>
      <w:marTop w:val="0"/>
      <w:marBottom w:val="0"/>
      <w:divBdr>
        <w:top w:val="none" w:sz="0" w:space="0" w:color="auto"/>
        <w:left w:val="none" w:sz="0" w:space="0" w:color="auto"/>
        <w:bottom w:val="none" w:sz="0" w:space="0" w:color="auto"/>
        <w:right w:val="none" w:sz="0" w:space="0" w:color="auto"/>
      </w:divBdr>
    </w:div>
    <w:div w:id="1675765446">
      <w:bodyDiv w:val="1"/>
      <w:marLeft w:val="0"/>
      <w:marRight w:val="0"/>
      <w:marTop w:val="0"/>
      <w:marBottom w:val="0"/>
      <w:divBdr>
        <w:top w:val="none" w:sz="0" w:space="0" w:color="auto"/>
        <w:left w:val="none" w:sz="0" w:space="0" w:color="auto"/>
        <w:bottom w:val="none" w:sz="0" w:space="0" w:color="auto"/>
        <w:right w:val="none" w:sz="0" w:space="0" w:color="auto"/>
      </w:divBdr>
    </w:div>
    <w:div w:id="1677344562">
      <w:bodyDiv w:val="1"/>
      <w:marLeft w:val="0"/>
      <w:marRight w:val="0"/>
      <w:marTop w:val="0"/>
      <w:marBottom w:val="0"/>
      <w:divBdr>
        <w:top w:val="none" w:sz="0" w:space="0" w:color="auto"/>
        <w:left w:val="none" w:sz="0" w:space="0" w:color="auto"/>
        <w:bottom w:val="none" w:sz="0" w:space="0" w:color="auto"/>
        <w:right w:val="none" w:sz="0" w:space="0" w:color="auto"/>
      </w:divBdr>
    </w:div>
    <w:div w:id="1678270084">
      <w:bodyDiv w:val="1"/>
      <w:marLeft w:val="0"/>
      <w:marRight w:val="0"/>
      <w:marTop w:val="0"/>
      <w:marBottom w:val="0"/>
      <w:divBdr>
        <w:top w:val="none" w:sz="0" w:space="0" w:color="auto"/>
        <w:left w:val="none" w:sz="0" w:space="0" w:color="auto"/>
        <w:bottom w:val="none" w:sz="0" w:space="0" w:color="auto"/>
        <w:right w:val="none" w:sz="0" w:space="0" w:color="auto"/>
      </w:divBdr>
    </w:div>
    <w:div w:id="1679192850">
      <w:bodyDiv w:val="1"/>
      <w:marLeft w:val="0"/>
      <w:marRight w:val="0"/>
      <w:marTop w:val="0"/>
      <w:marBottom w:val="0"/>
      <w:divBdr>
        <w:top w:val="none" w:sz="0" w:space="0" w:color="auto"/>
        <w:left w:val="none" w:sz="0" w:space="0" w:color="auto"/>
        <w:bottom w:val="none" w:sz="0" w:space="0" w:color="auto"/>
        <w:right w:val="none" w:sz="0" w:space="0" w:color="auto"/>
      </w:divBdr>
    </w:div>
    <w:div w:id="1679458087">
      <w:bodyDiv w:val="1"/>
      <w:marLeft w:val="0"/>
      <w:marRight w:val="0"/>
      <w:marTop w:val="0"/>
      <w:marBottom w:val="0"/>
      <w:divBdr>
        <w:top w:val="none" w:sz="0" w:space="0" w:color="auto"/>
        <w:left w:val="none" w:sz="0" w:space="0" w:color="auto"/>
        <w:bottom w:val="none" w:sz="0" w:space="0" w:color="auto"/>
        <w:right w:val="none" w:sz="0" w:space="0" w:color="auto"/>
      </w:divBdr>
    </w:div>
    <w:div w:id="1681545321">
      <w:bodyDiv w:val="1"/>
      <w:marLeft w:val="0"/>
      <w:marRight w:val="0"/>
      <w:marTop w:val="0"/>
      <w:marBottom w:val="0"/>
      <w:divBdr>
        <w:top w:val="none" w:sz="0" w:space="0" w:color="auto"/>
        <w:left w:val="none" w:sz="0" w:space="0" w:color="auto"/>
        <w:bottom w:val="none" w:sz="0" w:space="0" w:color="auto"/>
        <w:right w:val="none" w:sz="0" w:space="0" w:color="auto"/>
      </w:divBdr>
    </w:div>
    <w:div w:id="1682471505">
      <w:bodyDiv w:val="1"/>
      <w:marLeft w:val="0"/>
      <w:marRight w:val="0"/>
      <w:marTop w:val="0"/>
      <w:marBottom w:val="0"/>
      <w:divBdr>
        <w:top w:val="none" w:sz="0" w:space="0" w:color="auto"/>
        <w:left w:val="none" w:sz="0" w:space="0" w:color="auto"/>
        <w:bottom w:val="none" w:sz="0" w:space="0" w:color="auto"/>
        <w:right w:val="none" w:sz="0" w:space="0" w:color="auto"/>
      </w:divBdr>
    </w:div>
    <w:div w:id="1683584603">
      <w:bodyDiv w:val="1"/>
      <w:marLeft w:val="0"/>
      <w:marRight w:val="0"/>
      <w:marTop w:val="0"/>
      <w:marBottom w:val="0"/>
      <w:divBdr>
        <w:top w:val="none" w:sz="0" w:space="0" w:color="auto"/>
        <w:left w:val="none" w:sz="0" w:space="0" w:color="auto"/>
        <w:bottom w:val="none" w:sz="0" w:space="0" w:color="auto"/>
        <w:right w:val="none" w:sz="0" w:space="0" w:color="auto"/>
      </w:divBdr>
    </w:div>
    <w:div w:id="1684164985">
      <w:bodyDiv w:val="1"/>
      <w:marLeft w:val="0"/>
      <w:marRight w:val="0"/>
      <w:marTop w:val="0"/>
      <w:marBottom w:val="0"/>
      <w:divBdr>
        <w:top w:val="none" w:sz="0" w:space="0" w:color="auto"/>
        <w:left w:val="none" w:sz="0" w:space="0" w:color="auto"/>
        <w:bottom w:val="none" w:sz="0" w:space="0" w:color="auto"/>
        <w:right w:val="none" w:sz="0" w:space="0" w:color="auto"/>
      </w:divBdr>
    </w:div>
    <w:div w:id="1684823738">
      <w:bodyDiv w:val="1"/>
      <w:marLeft w:val="0"/>
      <w:marRight w:val="0"/>
      <w:marTop w:val="0"/>
      <w:marBottom w:val="0"/>
      <w:divBdr>
        <w:top w:val="none" w:sz="0" w:space="0" w:color="auto"/>
        <w:left w:val="none" w:sz="0" w:space="0" w:color="auto"/>
        <w:bottom w:val="none" w:sz="0" w:space="0" w:color="auto"/>
        <w:right w:val="none" w:sz="0" w:space="0" w:color="auto"/>
      </w:divBdr>
    </w:div>
    <w:div w:id="1686053907">
      <w:bodyDiv w:val="1"/>
      <w:marLeft w:val="0"/>
      <w:marRight w:val="0"/>
      <w:marTop w:val="0"/>
      <w:marBottom w:val="0"/>
      <w:divBdr>
        <w:top w:val="none" w:sz="0" w:space="0" w:color="auto"/>
        <w:left w:val="none" w:sz="0" w:space="0" w:color="auto"/>
        <w:bottom w:val="none" w:sz="0" w:space="0" w:color="auto"/>
        <w:right w:val="none" w:sz="0" w:space="0" w:color="auto"/>
      </w:divBdr>
    </w:div>
    <w:div w:id="1687173715">
      <w:bodyDiv w:val="1"/>
      <w:marLeft w:val="0"/>
      <w:marRight w:val="0"/>
      <w:marTop w:val="0"/>
      <w:marBottom w:val="0"/>
      <w:divBdr>
        <w:top w:val="none" w:sz="0" w:space="0" w:color="auto"/>
        <w:left w:val="none" w:sz="0" w:space="0" w:color="auto"/>
        <w:bottom w:val="none" w:sz="0" w:space="0" w:color="auto"/>
        <w:right w:val="none" w:sz="0" w:space="0" w:color="auto"/>
      </w:divBdr>
    </w:div>
    <w:div w:id="1688754064">
      <w:bodyDiv w:val="1"/>
      <w:marLeft w:val="0"/>
      <w:marRight w:val="0"/>
      <w:marTop w:val="0"/>
      <w:marBottom w:val="0"/>
      <w:divBdr>
        <w:top w:val="none" w:sz="0" w:space="0" w:color="auto"/>
        <w:left w:val="none" w:sz="0" w:space="0" w:color="auto"/>
        <w:bottom w:val="none" w:sz="0" w:space="0" w:color="auto"/>
        <w:right w:val="none" w:sz="0" w:space="0" w:color="auto"/>
      </w:divBdr>
    </w:div>
    <w:div w:id="1689332339">
      <w:bodyDiv w:val="1"/>
      <w:marLeft w:val="0"/>
      <w:marRight w:val="0"/>
      <w:marTop w:val="0"/>
      <w:marBottom w:val="0"/>
      <w:divBdr>
        <w:top w:val="none" w:sz="0" w:space="0" w:color="auto"/>
        <w:left w:val="none" w:sz="0" w:space="0" w:color="auto"/>
        <w:bottom w:val="none" w:sz="0" w:space="0" w:color="auto"/>
        <w:right w:val="none" w:sz="0" w:space="0" w:color="auto"/>
      </w:divBdr>
    </w:div>
    <w:div w:id="1689719833">
      <w:bodyDiv w:val="1"/>
      <w:marLeft w:val="0"/>
      <w:marRight w:val="0"/>
      <w:marTop w:val="0"/>
      <w:marBottom w:val="0"/>
      <w:divBdr>
        <w:top w:val="none" w:sz="0" w:space="0" w:color="auto"/>
        <w:left w:val="none" w:sz="0" w:space="0" w:color="auto"/>
        <w:bottom w:val="none" w:sz="0" w:space="0" w:color="auto"/>
        <w:right w:val="none" w:sz="0" w:space="0" w:color="auto"/>
      </w:divBdr>
    </w:div>
    <w:div w:id="1690064501">
      <w:bodyDiv w:val="1"/>
      <w:marLeft w:val="0"/>
      <w:marRight w:val="0"/>
      <w:marTop w:val="0"/>
      <w:marBottom w:val="0"/>
      <w:divBdr>
        <w:top w:val="none" w:sz="0" w:space="0" w:color="auto"/>
        <w:left w:val="none" w:sz="0" w:space="0" w:color="auto"/>
        <w:bottom w:val="none" w:sz="0" w:space="0" w:color="auto"/>
        <w:right w:val="none" w:sz="0" w:space="0" w:color="auto"/>
      </w:divBdr>
    </w:div>
    <w:div w:id="1690065612">
      <w:bodyDiv w:val="1"/>
      <w:marLeft w:val="0"/>
      <w:marRight w:val="0"/>
      <w:marTop w:val="0"/>
      <w:marBottom w:val="0"/>
      <w:divBdr>
        <w:top w:val="none" w:sz="0" w:space="0" w:color="auto"/>
        <w:left w:val="none" w:sz="0" w:space="0" w:color="auto"/>
        <w:bottom w:val="none" w:sz="0" w:space="0" w:color="auto"/>
        <w:right w:val="none" w:sz="0" w:space="0" w:color="auto"/>
      </w:divBdr>
    </w:div>
    <w:div w:id="1690834303">
      <w:bodyDiv w:val="1"/>
      <w:marLeft w:val="0"/>
      <w:marRight w:val="0"/>
      <w:marTop w:val="0"/>
      <w:marBottom w:val="0"/>
      <w:divBdr>
        <w:top w:val="none" w:sz="0" w:space="0" w:color="auto"/>
        <w:left w:val="none" w:sz="0" w:space="0" w:color="auto"/>
        <w:bottom w:val="none" w:sz="0" w:space="0" w:color="auto"/>
        <w:right w:val="none" w:sz="0" w:space="0" w:color="auto"/>
      </w:divBdr>
    </w:div>
    <w:div w:id="1691878375">
      <w:bodyDiv w:val="1"/>
      <w:marLeft w:val="0"/>
      <w:marRight w:val="0"/>
      <w:marTop w:val="0"/>
      <w:marBottom w:val="0"/>
      <w:divBdr>
        <w:top w:val="none" w:sz="0" w:space="0" w:color="auto"/>
        <w:left w:val="none" w:sz="0" w:space="0" w:color="auto"/>
        <w:bottom w:val="none" w:sz="0" w:space="0" w:color="auto"/>
        <w:right w:val="none" w:sz="0" w:space="0" w:color="auto"/>
      </w:divBdr>
    </w:div>
    <w:div w:id="1693413762">
      <w:bodyDiv w:val="1"/>
      <w:marLeft w:val="0"/>
      <w:marRight w:val="0"/>
      <w:marTop w:val="0"/>
      <w:marBottom w:val="0"/>
      <w:divBdr>
        <w:top w:val="none" w:sz="0" w:space="0" w:color="auto"/>
        <w:left w:val="none" w:sz="0" w:space="0" w:color="auto"/>
        <w:bottom w:val="none" w:sz="0" w:space="0" w:color="auto"/>
        <w:right w:val="none" w:sz="0" w:space="0" w:color="auto"/>
      </w:divBdr>
    </w:div>
    <w:div w:id="1693799647">
      <w:bodyDiv w:val="1"/>
      <w:marLeft w:val="0"/>
      <w:marRight w:val="0"/>
      <w:marTop w:val="0"/>
      <w:marBottom w:val="0"/>
      <w:divBdr>
        <w:top w:val="none" w:sz="0" w:space="0" w:color="auto"/>
        <w:left w:val="none" w:sz="0" w:space="0" w:color="auto"/>
        <w:bottom w:val="none" w:sz="0" w:space="0" w:color="auto"/>
        <w:right w:val="none" w:sz="0" w:space="0" w:color="auto"/>
      </w:divBdr>
    </w:div>
    <w:div w:id="1694114630">
      <w:bodyDiv w:val="1"/>
      <w:marLeft w:val="0"/>
      <w:marRight w:val="0"/>
      <w:marTop w:val="0"/>
      <w:marBottom w:val="0"/>
      <w:divBdr>
        <w:top w:val="none" w:sz="0" w:space="0" w:color="auto"/>
        <w:left w:val="none" w:sz="0" w:space="0" w:color="auto"/>
        <w:bottom w:val="none" w:sz="0" w:space="0" w:color="auto"/>
        <w:right w:val="none" w:sz="0" w:space="0" w:color="auto"/>
      </w:divBdr>
    </w:div>
    <w:div w:id="1697391027">
      <w:bodyDiv w:val="1"/>
      <w:marLeft w:val="0"/>
      <w:marRight w:val="0"/>
      <w:marTop w:val="0"/>
      <w:marBottom w:val="0"/>
      <w:divBdr>
        <w:top w:val="none" w:sz="0" w:space="0" w:color="auto"/>
        <w:left w:val="none" w:sz="0" w:space="0" w:color="auto"/>
        <w:bottom w:val="none" w:sz="0" w:space="0" w:color="auto"/>
        <w:right w:val="none" w:sz="0" w:space="0" w:color="auto"/>
      </w:divBdr>
    </w:div>
    <w:div w:id="1698000278">
      <w:bodyDiv w:val="1"/>
      <w:marLeft w:val="0"/>
      <w:marRight w:val="0"/>
      <w:marTop w:val="0"/>
      <w:marBottom w:val="0"/>
      <w:divBdr>
        <w:top w:val="none" w:sz="0" w:space="0" w:color="auto"/>
        <w:left w:val="none" w:sz="0" w:space="0" w:color="auto"/>
        <w:bottom w:val="none" w:sz="0" w:space="0" w:color="auto"/>
        <w:right w:val="none" w:sz="0" w:space="0" w:color="auto"/>
      </w:divBdr>
    </w:div>
    <w:div w:id="1698890464">
      <w:bodyDiv w:val="1"/>
      <w:marLeft w:val="0"/>
      <w:marRight w:val="0"/>
      <w:marTop w:val="0"/>
      <w:marBottom w:val="0"/>
      <w:divBdr>
        <w:top w:val="none" w:sz="0" w:space="0" w:color="auto"/>
        <w:left w:val="none" w:sz="0" w:space="0" w:color="auto"/>
        <w:bottom w:val="none" w:sz="0" w:space="0" w:color="auto"/>
        <w:right w:val="none" w:sz="0" w:space="0" w:color="auto"/>
      </w:divBdr>
    </w:div>
    <w:div w:id="1699113316">
      <w:bodyDiv w:val="1"/>
      <w:marLeft w:val="0"/>
      <w:marRight w:val="0"/>
      <w:marTop w:val="0"/>
      <w:marBottom w:val="0"/>
      <w:divBdr>
        <w:top w:val="none" w:sz="0" w:space="0" w:color="auto"/>
        <w:left w:val="none" w:sz="0" w:space="0" w:color="auto"/>
        <w:bottom w:val="none" w:sz="0" w:space="0" w:color="auto"/>
        <w:right w:val="none" w:sz="0" w:space="0" w:color="auto"/>
      </w:divBdr>
    </w:div>
    <w:div w:id="1699769765">
      <w:bodyDiv w:val="1"/>
      <w:marLeft w:val="0"/>
      <w:marRight w:val="0"/>
      <w:marTop w:val="0"/>
      <w:marBottom w:val="0"/>
      <w:divBdr>
        <w:top w:val="none" w:sz="0" w:space="0" w:color="auto"/>
        <w:left w:val="none" w:sz="0" w:space="0" w:color="auto"/>
        <w:bottom w:val="none" w:sz="0" w:space="0" w:color="auto"/>
        <w:right w:val="none" w:sz="0" w:space="0" w:color="auto"/>
      </w:divBdr>
    </w:div>
    <w:div w:id="1700087343">
      <w:bodyDiv w:val="1"/>
      <w:marLeft w:val="0"/>
      <w:marRight w:val="0"/>
      <w:marTop w:val="0"/>
      <w:marBottom w:val="0"/>
      <w:divBdr>
        <w:top w:val="none" w:sz="0" w:space="0" w:color="auto"/>
        <w:left w:val="none" w:sz="0" w:space="0" w:color="auto"/>
        <w:bottom w:val="none" w:sz="0" w:space="0" w:color="auto"/>
        <w:right w:val="none" w:sz="0" w:space="0" w:color="auto"/>
      </w:divBdr>
    </w:div>
    <w:div w:id="1700664263">
      <w:bodyDiv w:val="1"/>
      <w:marLeft w:val="0"/>
      <w:marRight w:val="0"/>
      <w:marTop w:val="0"/>
      <w:marBottom w:val="0"/>
      <w:divBdr>
        <w:top w:val="none" w:sz="0" w:space="0" w:color="auto"/>
        <w:left w:val="none" w:sz="0" w:space="0" w:color="auto"/>
        <w:bottom w:val="none" w:sz="0" w:space="0" w:color="auto"/>
        <w:right w:val="none" w:sz="0" w:space="0" w:color="auto"/>
      </w:divBdr>
    </w:div>
    <w:div w:id="1701003384">
      <w:bodyDiv w:val="1"/>
      <w:marLeft w:val="0"/>
      <w:marRight w:val="0"/>
      <w:marTop w:val="0"/>
      <w:marBottom w:val="0"/>
      <w:divBdr>
        <w:top w:val="none" w:sz="0" w:space="0" w:color="auto"/>
        <w:left w:val="none" w:sz="0" w:space="0" w:color="auto"/>
        <w:bottom w:val="none" w:sz="0" w:space="0" w:color="auto"/>
        <w:right w:val="none" w:sz="0" w:space="0" w:color="auto"/>
      </w:divBdr>
    </w:div>
    <w:div w:id="1701052692">
      <w:bodyDiv w:val="1"/>
      <w:marLeft w:val="0"/>
      <w:marRight w:val="0"/>
      <w:marTop w:val="0"/>
      <w:marBottom w:val="0"/>
      <w:divBdr>
        <w:top w:val="none" w:sz="0" w:space="0" w:color="auto"/>
        <w:left w:val="none" w:sz="0" w:space="0" w:color="auto"/>
        <w:bottom w:val="none" w:sz="0" w:space="0" w:color="auto"/>
        <w:right w:val="none" w:sz="0" w:space="0" w:color="auto"/>
      </w:divBdr>
    </w:div>
    <w:div w:id="1701200290">
      <w:bodyDiv w:val="1"/>
      <w:marLeft w:val="0"/>
      <w:marRight w:val="0"/>
      <w:marTop w:val="0"/>
      <w:marBottom w:val="0"/>
      <w:divBdr>
        <w:top w:val="none" w:sz="0" w:space="0" w:color="auto"/>
        <w:left w:val="none" w:sz="0" w:space="0" w:color="auto"/>
        <w:bottom w:val="none" w:sz="0" w:space="0" w:color="auto"/>
        <w:right w:val="none" w:sz="0" w:space="0" w:color="auto"/>
      </w:divBdr>
    </w:div>
    <w:div w:id="1702588446">
      <w:bodyDiv w:val="1"/>
      <w:marLeft w:val="0"/>
      <w:marRight w:val="0"/>
      <w:marTop w:val="0"/>
      <w:marBottom w:val="0"/>
      <w:divBdr>
        <w:top w:val="none" w:sz="0" w:space="0" w:color="auto"/>
        <w:left w:val="none" w:sz="0" w:space="0" w:color="auto"/>
        <w:bottom w:val="none" w:sz="0" w:space="0" w:color="auto"/>
        <w:right w:val="none" w:sz="0" w:space="0" w:color="auto"/>
      </w:divBdr>
    </w:div>
    <w:div w:id="1703287493">
      <w:bodyDiv w:val="1"/>
      <w:marLeft w:val="0"/>
      <w:marRight w:val="0"/>
      <w:marTop w:val="0"/>
      <w:marBottom w:val="0"/>
      <w:divBdr>
        <w:top w:val="none" w:sz="0" w:space="0" w:color="auto"/>
        <w:left w:val="none" w:sz="0" w:space="0" w:color="auto"/>
        <w:bottom w:val="none" w:sz="0" w:space="0" w:color="auto"/>
        <w:right w:val="none" w:sz="0" w:space="0" w:color="auto"/>
      </w:divBdr>
    </w:div>
    <w:div w:id="1704480587">
      <w:bodyDiv w:val="1"/>
      <w:marLeft w:val="0"/>
      <w:marRight w:val="0"/>
      <w:marTop w:val="0"/>
      <w:marBottom w:val="0"/>
      <w:divBdr>
        <w:top w:val="none" w:sz="0" w:space="0" w:color="auto"/>
        <w:left w:val="none" w:sz="0" w:space="0" w:color="auto"/>
        <w:bottom w:val="none" w:sz="0" w:space="0" w:color="auto"/>
        <w:right w:val="none" w:sz="0" w:space="0" w:color="auto"/>
      </w:divBdr>
    </w:div>
    <w:div w:id="1704675729">
      <w:bodyDiv w:val="1"/>
      <w:marLeft w:val="0"/>
      <w:marRight w:val="0"/>
      <w:marTop w:val="0"/>
      <w:marBottom w:val="0"/>
      <w:divBdr>
        <w:top w:val="none" w:sz="0" w:space="0" w:color="auto"/>
        <w:left w:val="none" w:sz="0" w:space="0" w:color="auto"/>
        <w:bottom w:val="none" w:sz="0" w:space="0" w:color="auto"/>
        <w:right w:val="none" w:sz="0" w:space="0" w:color="auto"/>
      </w:divBdr>
    </w:div>
    <w:div w:id="1706365183">
      <w:bodyDiv w:val="1"/>
      <w:marLeft w:val="0"/>
      <w:marRight w:val="0"/>
      <w:marTop w:val="0"/>
      <w:marBottom w:val="0"/>
      <w:divBdr>
        <w:top w:val="none" w:sz="0" w:space="0" w:color="auto"/>
        <w:left w:val="none" w:sz="0" w:space="0" w:color="auto"/>
        <w:bottom w:val="none" w:sz="0" w:space="0" w:color="auto"/>
        <w:right w:val="none" w:sz="0" w:space="0" w:color="auto"/>
      </w:divBdr>
    </w:div>
    <w:div w:id="1707094490">
      <w:bodyDiv w:val="1"/>
      <w:marLeft w:val="0"/>
      <w:marRight w:val="0"/>
      <w:marTop w:val="0"/>
      <w:marBottom w:val="0"/>
      <w:divBdr>
        <w:top w:val="none" w:sz="0" w:space="0" w:color="auto"/>
        <w:left w:val="none" w:sz="0" w:space="0" w:color="auto"/>
        <w:bottom w:val="none" w:sz="0" w:space="0" w:color="auto"/>
        <w:right w:val="none" w:sz="0" w:space="0" w:color="auto"/>
      </w:divBdr>
    </w:div>
    <w:div w:id="1707177234">
      <w:bodyDiv w:val="1"/>
      <w:marLeft w:val="0"/>
      <w:marRight w:val="0"/>
      <w:marTop w:val="0"/>
      <w:marBottom w:val="0"/>
      <w:divBdr>
        <w:top w:val="none" w:sz="0" w:space="0" w:color="auto"/>
        <w:left w:val="none" w:sz="0" w:space="0" w:color="auto"/>
        <w:bottom w:val="none" w:sz="0" w:space="0" w:color="auto"/>
        <w:right w:val="none" w:sz="0" w:space="0" w:color="auto"/>
      </w:divBdr>
    </w:div>
    <w:div w:id="1707560076">
      <w:bodyDiv w:val="1"/>
      <w:marLeft w:val="0"/>
      <w:marRight w:val="0"/>
      <w:marTop w:val="0"/>
      <w:marBottom w:val="0"/>
      <w:divBdr>
        <w:top w:val="none" w:sz="0" w:space="0" w:color="auto"/>
        <w:left w:val="none" w:sz="0" w:space="0" w:color="auto"/>
        <w:bottom w:val="none" w:sz="0" w:space="0" w:color="auto"/>
        <w:right w:val="none" w:sz="0" w:space="0" w:color="auto"/>
      </w:divBdr>
    </w:div>
    <w:div w:id="1708794094">
      <w:bodyDiv w:val="1"/>
      <w:marLeft w:val="0"/>
      <w:marRight w:val="0"/>
      <w:marTop w:val="0"/>
      <w:marBottom w:val="0"/>
      <w:divBdr>
        <w:top w:val="none" w:sz="0" w:space="0" w:color="auto"/>
        <w:left w:val="none" w:sz="0" w:space="0" w:color="auto"/>
        <w:bottom w:val="none" w:sz="0" w:space="0" w:color="auto"/>
        <w:right w:val="none" w:sz="0" w:space="0" w:color="auto"/>
      </w:divBdr>
    </w:div>
    <w:div w:id="1709140156">
      <w:bodyDiv w:val="1"/>
      <w:marLeft w:val="0"/>
      <w:marRight w:val="0"/>
      <w:marTop w:val="0"/>
      <w:marBottom w:val="0"/>
      <w:divBdr>
        <w:top w:val="none" w:sz="0" w:space="0" w:color="auto"/>
        <w:left w:val="none" w:sz="0" w:space="0" w:color="auto"/>
        <w:bottom w:val="none" w:sz="0" w:space="0" w:color="auto"/>
        <w:right w:val="none" w:sz="0" w:space="0" w:color="auto"/>
      </w:divBdr>
    </w:div>
    <w:div w:id="1709258899">
      <w:bodyDiv w:val="1"/>
      <w:marLeft w:val="0"/>
      <w:marRight w:val="0"/>
      <w:marTop w:val="0"/>
      <w:marBottom w:val="0"/>
      <w:divBdr>
        <w:top w:val="none" w:sz="0" w:space="0" w:color="auto"/>
        <w:left w:val="none" w:sz="0" w:space="0" w:color="auto"/>
        <w:bottom w:val="none" w:sz="0" w:space="0" w:color="auto"/>
        <w:right w:val="none" w:sz="0" w:space="0" w:color="auto"/>
      </w:divBdr>
    </w:div>
    <w:div w:id="1710256527">
      <w:bodyDiv w:val="1"/>
      <w:marLeft w:val="0"/>
      <w:marRight w:val="0"/>
      <w:marTop w:val="0"/>
      <w:marBottom w:val="0"/>
      <w:divBdr>
        <w:top w:val="none" w:sz="0" w:space="0" w:color="auto"/>
        <w:left w:val="none" w:sz="0" w:space="0" w:color="auto"/>
        <w:bottom w:val="none" w:sz="0" w:space="0" w:color="auto"/>
        <w:right w:val="none" w:sz="0" w:space="0" w:color="auto"/>
      </w:divBdr>
    </w:div>
    <w:div w:id="1712270580">
      <w:bodyDiv w:val="1"/>
      <w:marLeft w:val="0"/>
      <w:marRight w:val="0"/>
      <w:marTop w:val="0"/>
      <w:marBottom w:val="0"/>
      <w:divBdr>
        <w:top w:val="none" w:sz="0" w:space="0" w:color="auto"/>
        <w:left w:val="none" w:sz="0" w:space="0" w:color="auto"/>
        <w:bottom w:val="none" w:sz="0" w:space="0" w:color="auto"/>
        <w:right w:val="none" w:sz="0" w:space="0" w:color="auto"/>
      </w:divBdr>
    </w:div>
    <w:div w:id="1713967186">
      <w:bodyDiv w:val="1"/>
      <w:marLeft w:val="0"/>
      <w:marRight w:val="0"/>
      <w:marTop w:val="0"/>
      <w:marBottom w:val="0"/>
      <w:divBdr>
        <w:top w:val="none" w:sz="0" w:space="0" w:color="auto"/>
        <w:left w:val="none" w:sz="0" w:space="0" w:color="auto"/>
        <w:bottom w:val="none" w:sz="0" w:space="0" w:color="auto"/>
        <w:right w:val="none" w:sz="0" w:space="0" w:color="auto"/>
      </w:divBdr>
    </w:div>
    <w:div w:id="1715809442">
      <w:bodyDiv w:val="1"/>
      <w:marLeft w:val="0"/>
      <w:marRight w:val="0"/>
      <w:marTop w:val="0"/>
      <w:marBottom w:val="0"/>
      <w:divBdr>
        <w:top w:val="none" w:sz="0" w:space="0" w:color="auto"/>
        <w:left w:val="none" w:sz="0" w:space="0" w:color="auto"/>
        <w:bottom w:val="none" w:sz="0" w:space="0" w:color="auto"/>
        <w:right w:val="none" w:sz="0" w:space="0" w:color="auto"/>
      </w:divBdr>
    </w:div>
    <w:div w:id="1716393949">
      <w:bodyDiv w:val="1"/>
      <w:marLeft w:val="0"/>
      <w:marRight w:val="0"/>
      <w:marTop w:val="0"/>
      <w:marBottom w:val="0"/>
      <w:divBdr>
        <w:top w:val="none" w:sz="0" w:space="0" w:color="auto"/>
        <w:left w:val="none" w:sz="0" w:space="0" w:color="auto"/>
        <w:bottom w:val="none" w:sz="0" w:space="0" w:color="auto"/>
        <w:right w:val="none" w:sz="0" w:space="0" w:color="auto"/>
      </w:divBdr>
    </w:div>
    <w:div w:id="1717776075">
      <w:bodyDiv w:val="1"/>
      <w:marLeft w:val="0"/>
      <w:marRight w:val="0"/>
      <w:marTop w:val="0"/>
      <w:marBottom w:val="0"/>
      <w:divBdr>
        <w:top w:val="none" w:sz="0" w:space="0" w:color="auto"/>
        <w:left w:val="none" w:sz="0" w:space="0" w:color="auto"/>
        <w:bottom w:val="none" w:sz="0" w:space="0" w:color="auto"/>
        <w:right w:val="none" w:sz="0" w:space="0" w:color="auto"/>
      </w:divBdr>
    </w:div>
    <w:div w:id="1718700209">
      <w:bodyDiv w:val="1"/>
      <w:marLeft w:val="0"/>
      <w:marRight w:val="0"/>
      <w:marTop w:val="0"/>
      <w:marBottom w:val="0"/>
      <w:divBdr>
        <w:top w:val="none" w:sz="0" w:space="0" w:color="auto"/>
        <w:left w:val="none" w:sz="0" w:space="0" w:color="auto"/>
        <w:bottom w:val="none" w:sz="0" w:space="0" w:color="auto"/>
        <w:right w:val="none" w:sz="0" w:space="0" w:color="auto"/>
      </w:divBdr>
    </w:div>
    <w:div w:id="1719359656">
      <w:bodyDiv w:val="1"/>
      <w:marLeft w:val="0"/>
      <w:marRight w:val="0"/>
      <w:marTop w:val="0"/>
      <w:marBottom w:val="0"/>
      <w:divBdr>
        <w:top w:val="none" w:sz="0" w:space="0" w:color="auto"/>
        <w:left w:val="none" w:sz="0" w:space="0" w:color="auto"/>
        <w:bottom w:val="none" w:sz="0" w:space="0" w:color="auto"/>
        <w:right w:val="none" w:sz="0" w:space="0" w:color="auto"/>
      </w:divBdr>
    </w:div>
    <w:div w:id="1719427760">
      <w:bodyDiv w:val="1"/>
      <w:marLeft w:val="0"/>
      <w:marRight w:val="0"/>
      <w:marTop w:val="0"/>
      <w:marBottom w:val="0"/>
      <w:divBdr>
        <w:top w:val="none" w:sz="0" w:space="0" w:color="auto"/>
        <w:left w:val="none" w:sz="0" w:space="0" w:color="auto"/>
        <w:bottom w:val="none" w:sz="0" w:space="0" w:color="auto"/>
        <w:right w:val="none" w:sz="0" w:space="0" w:color="auto"/>
      </w:divBdr>
    </w:div>
    <w:div w:id="1720206981">
      <w:bodyDiv w:val="1"/>
      <w:marLeft w:val="0"/>
      <w:marRight w:val="0"/>
      <w:marTop w:val="0"/>
      <w:marBottom w:val="0"/>
      <w:divBdr>
        <w:top w:val="none" w:sz="0" w:space="0" w:color="auto"/>
        <w:left w:val="none" w:sz="0" w:space="0" w:color="auto"/>
        <w:bottom w:val="none" w:sz="0" w:space="0" w:color="auto"/>
        <w:right w:val="none" w:sz="0" w:space="0" w:color="auto"/>
      </w:divBdr>
    </w:div>
    <w:div w:id="1720474914">
      <w:bodyDiv w:val="1"/>
      <w:marLeft w:val="0"/>
      <w:marRight w:val="0"/>
      <w:marTop w:val="0"/>
      <w:marBottom w:val="0"/>
      <w:divBdr>
        <w:top w:val="none" w:sz="0" w:space="0" w:color="auto"/>
        <w:left w:val="none" w:sz="0" w:space="0" w:color="auto"/>
        <w:bottom w:val="none" w:sz="0" w:space="0" w:color="auto"/>
        <w:right w:val="none" w:sz="0" w:space="0" w:color="auto"/>
      </w:divBdr>
    </w:div>
    <w:div w:id="1721898947">
      <w:bodyDiv w:val="1"/>
      <w:marLeft w:val="0"/>
      <w:marRight w:val="0"/>
      <w:marTop w:val="0"/>
      <w:marBottom w:val="0"/>
      <w:divBdr>
        <w:top w:val="none" w:sz="0" w:space="0" w:color="auto"/>
        <w:left w:val="none" w:sz="0" w:space="0" w:color="auto"/>
        <w:bottom w:val="none" w:sz="0" w:space="0" w:color="auto"/>
        <w:right w:val="none" w:sz="0" w:space="0" w:color="auto"/>
      </w:divBdr>
    </w:div>
    <w:div w:id="1721900271">
      <w:bodyDiv w:val="1"/>
      <w:marLeft w:val="0"/>
      <w:marRight w:val="0"/>
      <w:marTop w:val="0"/>
      <w:marBottom w:val="0"/>
      <w:divBdr>
        <w:top w:val="none" w:sz="0" w:space="0" w:color="auto"/>
        <w:left w:val="none" w:sz="0" w:space="0" w:color="auto"/>
        <w:bottom w:val="none" w:sz="0" w:space="0" w:color="auto"/>
        <w:right w:val="none" w:sz="0" w:space="0" w:color="auto"/>
      </w:divBdr>
    </w:div>
    <w:div w:id="1723363751">
      <w:bodyDiv w:val="1"/>
      <w:marLeft w:val="0"/>
      <w:marRight w:val="0"/>
      <w:marTop w:val="0"/>
      <w:marBottom w:val="0"/>
      <w:divBdr>
        <w:top w:val="none" w:sz="0" w:space="0" w:color="auto"/>
        <w:left w:val="none" w:sz="0" w:space="0" w:color="auto"/>
        <w:bottom w:val="none" w:sz="0" w:space="0" w:color="auto"/>
        <w:right w:val="none" w:sz="0" w:space="0" w:color="auto"/>
      </w:divBdr>
    </w:div>
    <w:div w:id="1723669901">
      <w:bodyDiv w:val="1"/>
      <w:marLeft w:val="0"/>
      <w:marRight w:val="0"/>
      <w:marTop w:val="0"/>
      <w:marBottom w:val="0"/>
      <w:divBdr>
        <w:top w:val="none" w:sz="0" w:space="0" w:color="auto"/>
        <w:left w:val="none" w:sz="0" w:space="0" w:color="auto"/>
        <w:bottom w:val="none" w:sz="0" w:space="0" w:color="auto"/>
        <w:right w:val="none" w:sz="0" w:space="0" w:color="auto"/>
      </w:divBdr>
    </w:div>
    <w:div w:id="1723821098">
      <w:bodyDiv w:val="1"/>
      <w:marLeft w:val="0"/>
      <w:marRight w:val="0"/>
      <w:marTop w:val="0"/>
      <w:marBottom w:val="0"/>
      <w:divBdr>
        <w:top w:val="none" w:sz="0" w:space="0" w:color="auto"/>
        <w:left w:val="none" w:sz="0" w:space="0" w:color="auto"/>
        <w:bottom w:val="none" w:sz="0" w:space="0" w:color="auto"/>
        <w:right w:val="none" w:sz="0" w:space="0" w:color="auto"/>
      </w:divBdr>
    </w:div>
    <w:div w:id="1724789471">
      <w:bodyDiv w:val="1"/>
      <w:marLeft w:val="0"/>
      <w:marRight w:val="0"/>
      <w:marTop w:val="0"/>
      <w:marBottom w:val="0"/>
      <w:divBdr>
        <w:top w:val="none" w:sz="0" w:space="0" w:color="auto"/>
        <w:left w:val="none" w:sz="0" w:space="0" w:color="auto"/>
        <w:bottom w:val="none" w:sz="0" w:space="0" w:color="auto"/>
        <w:right w:val="none" w:sz="0" w:space="0" w:color="auto"/>
      </w:divBdr>
    </w:div>
    <w:div w:id="1727216314">
      <w:bodyDiv w:val="1"/>
      <w:marLeft w:val="0"/>
      <w:marRight w:val="0"/>
      <w:marTop w:val="0"/>
      <w:marBottom w:val="0"/>
      <w:divBdr>
        <w:top w:val="none" w:sz="0" w:space="0" w:color="auto"/>
        <w:left w:val="none" w:sz="0" w:space="0" w:color="auto"/>
        <w:bottom w:val="none" w:sz="0" w:space="0" w:color="auto"/>
        <w:right w:val="none" w:sz="0" w:space="0" w:color="auto"/>
      </w:divBdr>
    </w:div>
    <w:div w:id="1729722399">
      <w:bodyDiv w:val="1"/>
      <w:marLeft w:val="0"/>
      <w:marRight w:val="0"/>
      <w:marTop w:val="0"/>
      <w:marBottom w:val="0"/>
      <w:divBdr>
        <w:top w:val="none" w:sz="0" w:space="0" w:color="auto"/>
        <w:left w:val="none" w:sz="0" w:space="0" w:color="auto"/>
        <w:bottom w:val="none" w:sz="0" w:space="0" w:color="auto"/>
        <w:right w:val="none" w:sz="0" w:space="0" w:color="auto"/>
      </w:divBdr>
    </w:div>
    <w:div w:id="1730347250">
      <w:bodyDiv w:val="1"/>
      <w:marLeft w:val="0"/>
      <w:marRight w:val="0"/>
      <w:marTop w:val="0"/>
      <w:marBottom w:val="0"/>
      <w:divBdr>
        <w:top w:val="none" w:sz="0" w:space="0" w:color="auto"/>
        <w:left w:val="none" w:sz="0" w:space="0" w:color="auto"/>
        <w:bottom w:val="none" w:sz="0" w:space="0" w:color="auto"/>
        <w:right w:val="none" w:sz="0" w:space="0" w:color="auto"/>
      </w:divBdr>
    </w:div>
    <w:div w:id="1730348419">
      <w:bodyDiv w:val="1"/>
      <w:marLeft w:val="0"/>
      <w:marRight w:val="0"/>
      <w:marTop w:val="0"/>
      <w:marBottom w:val="0"/>
      <w:divBdr>
        <w:top w:val="none" w:sz="0" w:space="0" w:color="auto"/>
        <w:left w:val="none" w:sz="0" w:space="0" w:color="auto"/>
        <w:bottom w:val="none" w:sz="0" w:space="0" w:color="auto"/>
        <w:right w:val="none" w:sz="0" w:space="0" w:color="auto"/>
      </w:divBdr>
    </w:div>
    <w:div w:id="1730374411">
      <w:bodyDiv w:val="1"/>
      <w:marLeft w:val="0"/>
      <w:marRight w:val="0"/>
      <w:marTop w:val="0"/>
      <w:marBottom w:val="0"/>
      <w:divBdr>
        <w:top w:val="none" w:sz="0" w:space="0" w:color="auto"/>
        <w:left w:val="none" w:sz="0" w:space="0" w:color="auto"/>
        <w:bottom w:val="none" w:sz="0" w:space="0" w:color="auto"/>
        <w:right w:val="none" w:sz="0" w:space="0" w:color="auto"/>
      </w:divBdr>
    </w:div>
    <w:div w:id="1731002926">
      <w:bodyDiv w:val="1"/>
      <w:marLeft w:val="0"/>
      <w:marRight w:val="0"/>
      <w:marTop w:val="0"/>
      <w:marBottom w:val="0"/>
      <w:divBdr>
        <w:top w:val="none" w:sz="0" w:space="0" w:color="auto"/>
        <w:left w:val="none" w:sz="0" w:space="0" w:color="auto"/>
        <w:bottom w:val="none" w:sz="0" w:space="0" w:color="auto"/>
        <w:right w:val="none" w:sz="0" w:space="0" w:color="auto"/>
      </w:divBdr>
    </w:div>
    <w:div w:id="1733655531">
      <w:bodyDiv w:val="1"/>
      <w:marLeft w:val="0"/>
      <w:marRight w:val="0"/>
      <w:marTop w:val="0"/>
      <w:marBottom w:val="0"/>
      <w:divBdr>
        <w:top w:val="none" w:sz="0" w:space="0" w:color="auto"/>
        <w:left w:val="none" w:sz="0" w:space="0" w:color="auto"/>
        <w:bottom w:val="none" w:sz="0" w:space="0" w:color="auto"/>
        <w:right w:val="none" w:sz="0" w:space="0" w:color="auto"/>
      </w:divBdr>
    </w:div>
    <w:div w:id="1734422358">
      <w:bodyDiv w:val="1"/>
      <w:marLeft w:val="0"/>
      <w:marRight w:val="0"/>
      <w:marTop w:val="0"/>
      <w:marBottom w:val="0"/>
      <w:divBdr>
        <w:top w:val="none" w:sz="0" w:space="0" w:color="auto"/>
        <w:left w:val="none" w:sz="0" w:space="0" w:color="auto"/>
        <w:bottom w:val="none" w:sz="0" w:space="0" w:color="auto"/>
        <w:right w:val="none" w:sz="0" w:space="0" w:color="auto"/>
      </w:divBdr>
    </w:div>
    <w:div w:id="1735666072">
      <w:bodyDiv w:val="1"/>
      <w:marLeft w:val="0"/>
      <w:marRight w:val="0"/>
      <w:marTop w:val="0"/>
      <w:marBottom w:val="0"/>
      <w:divBdr>
        <w:top w:val="none" w:sz="0" w:space="0" w:color="auto"/>
        <w:left w:val="none" w:sz="0" w:space="0" w:color="auto"/>
        <w:bottom w:val="none" w:sz="0" w:space="0" w:color="auto"/>
        <w:right w:val="none" w:sz="0" w:space="0" w:color="auto"/>
      </w:divBdr>
    </w:div>
    <w:div w:id="1736513587">
      <w:bodyDiv w:val="1"/>
      <w:marLeft w:val="0"/>
      <w:marRight w:val="0"/>
      <w:marTop w:val="0"/>
      <w:marBottom w:val="0"/>
      <w:divBdr>
        <w:top w:val="none" w:sz="0" w:space="0" w:color="auto"/>
        <w:left w:val="none" w:sz="0" w:space="0" w:color="auto"/>
        <w:bottom w:val="none" w:sz="0" w:space="0" w:color="auto"/>
        <w:right w:val="none" w:sz="0" w:space="0" w:color="auto"/>
      </w:divBdr>
    </w:div>
    <w:div w:id="1739284825">
      <w:bodyDiv w:val="1"/>
      <w:marLeft w:val="0"/>
      <w:marRight w:val="0"/>
      <w:marTop w:val="0"/>
      <w:marBottom w:val="0"/>
      <w:divBdr>
        <w:top w:val="none" w:sz="0" w:space="0" w:color="auto"/>
        <w:left w:val="none" w:sz="0" w:space="0" w:color="auto"/>
        <w:bottom w:val="none" w:sz="0" w:space="0" w:color="auto"/>
        <w:right w:val="none" w:sz="0" w:space="0" w:color="auto"/>
      </w:divBdr>
    </w:div>
    <w:div w:id="1739740494">
      <w:bodyDiv w:val="1"/>
      <w:marLeft w:val="0"/>
      <w:marRight w:val="0"/>
      <w:marTop w:val="0"/>
      <w:marBottom w:val="0"/>
      <w:divBdr>
        <w:top w:val="none" w:sz="0" w:space="0" w:color="auto"/>
        <w:left w:val="none" w:sz="0" w:space="0" w:color="auto"/>
        <w:bottom w:val="none" w:sz="0" w:space="0" w:color="auto"/>
        <w:right w:val="none" w:sz="0" w:space="0" w:color="auto"/>
      </w:divBdr>
    </w:div>
    <w:div w:id="1740471767">
      <w:bodyDiv w:val="1"/>
      <w:marLeft w:val="0"/>
      <w:marRight w:val="0"/>
      <w:marTop w:val="0"/>
      <w:marBottom w:val="0"/>
      <w:divBdr>
        <w:top w:val="none" w:sz="0" w:space="0" w:color="auto"/>
        <w:left w:val="none" w:sz="0" w:space="0" w:color="auto"/>
        <w:bottom w:val="none" w:sz="0" w:space="0" w:color="auto"/>
        <w:right w:val="none" w:sz="0" w:space="0" w:color="auto"/>
      </w:divBdr>
    </w:div>
    <w:div w:id="1742175573">
      <w:bodyDiv w:val="1"/>
      <w:marLeft w:val="0"/>
      <w:marRight w:val="0"/>
      <w:marTop w:val="0"/>
      <w:marBottom w:val="0"/>
      <w:divBdr>
        <w:top w:val="none" w:sz="0" w:space="0" w:color="auto"/>
        <w:left w:val="none" w:sz="0" w:space="0" w:color="auto"/>
        <w:bottom w:val="none" w:sz="0" w:space="0" w:color="auto"/>
        <w:right w:val="none" w:sz="0" w:space="0" w:color="auto"/>
      </w:divBdr>
    </w:div>
    <w:div w:id="1743789160">
      <w:bodyDiv w:val="1"/>
      <w:marLeft w:val="0"/>
      <w:marRight w:val="0"/>
      <w:marTop w:val="0"/>
      <w:marBottom w:val="0"/>
      <w:divBdr>
        <w:top w:val="none" w:sz="0" w:space="0" w:color="auto"/>
        <w:left w:val="none" w:sz="0" w:space="0" w:color="auto"/>
        <w:bottom w:val="none" w:sz="0" w:space="0" w:color="auto"/>
        <w:right w:val="none" w:sz="0" w:space="0" w:color="auto"/>
      </w:divBdr>
    </w:div>
    <w:div w:id="1744060123">
      <w:bodyDiv w:val="1"/>
      <w:marLeft w:val="0"/>
      <w:marRight w:val="0"/>
      <w:marTop w:val="0"/>
      <w:marBottom w:val="0"/>
      <w:divBdr>
        <w:top w:val="none" w:sz="0" w:space="0" w:color="auto"/>
        <w:left w:val="none" w:sz="0" w:space="0" w:color="auto"/>
        <w:bottom w:val="none" w:sz="0" w:space="0" w:color="auto"/>
        <w:right w:val="none" w:sz="0" w:space="0" w:color="auto"/>
      </w:divBdr>
    </w:div>
    <w:div w:id="1744598341">
      <w:bodyDiv w:val="1"/>
      <w:marLeft w:val="0"/>
      <w:marRight w:val="0"/>
      <w:marTop w:val="0"/>
      <w:marBottom w:val="0"/>
      <w:divBdr>
        <w:top w:val="none" w:sz="0" w:space="0" w:color="auto"/>
        <w:left w:val="none" w:sz="0" w:space="0" w:color="auto"/>
        <w:bottom w:val="none" w:sz="0" w:space="0" w:color="auto"/>
        <w:right w:val="none" w:sz="0" w:space="0" w:color="auto"/>
      </w:divBdr>
    </w:div>
    <w:div w:id="1745713719">
      <w:bodyDiv w:val="1"/>
      <w:marLeft w:val="0"/>
      <w:marRight w:val="0"/>
      <w:marTop w:val="0"/>
      <w:marBottom w:val="0"/>
      <w:divBdr>
        <w:top w:val="none" w:sz="0" w:space="0" w:color="auto"/>
        <w:left w:val="none" w:sz="0" w:space="0" w:color="auto"/>
        <w:bottom w:val="none" w:sz="0" w:space="0" w:color="auto"/>
        <w:right w:val="none" w:sz="0" w:space="0" w:color="auto"/>
      </w:divBdr>
    </w:div>
    <w:div w:id="1747796776">
      <w:bodyDiv w:val="1"/>
      <w:marLeft w:val="0"/>
      <w:marRight w:val="0"/>
      <w:marTop w:val="0"/>
      <w:marBottom w:val="0"/>
      <w:divBdr>
        <w:top w:val="none" w:sz="0" w:space="0" w:color="auto"/>
        <w:left w:val="none" w:sz="0" w:space="0" w:color="auto"/>
        <w:bottom w:val="none" w:sz="0" w:space="0" w:color="auto"/>
        <w:right w:val="none" w:sz="0" w:space="0" w:color="auto"/>
      </w:divBdr>
    </w:div>
    <w:div w:id="1749187761">
      <w:bodyDiv w:val="1"/>
      <w:marLeft w:val="0"/>
      <w:marRight w:val="0"/>
      <w:marTop w:val="0"/>
      <w:marBottom w:val="0"/>
      <w:divBdr>
        <w:top w:val="none" w:sz="0" w:space="0" w:color="auto"/>
        <w:left w:val="none" w:sz="0" w:space="0" w:color="auto"/>
        <w:bottom w:val="none" w:sz="0" w:space="0" w:color="auto"/>
        <w:right w:val="none" w:sz="0" w:space="0" w:color="auto"/>
      </w:divBdr>
    </w:div>
    <w:div w:id="1750613214">
      <w:bodyDiv w:val="1"/>
      <w:marLeft w:val="0"/>
      <w:marRight w:val="0"/>
      <w:marTop w:val="0"/>
      <w:marBottom w:val="0"/>
      <w:divBdr>
        <w:top w:val="none" w:sz="0" w:space="0" w:color="auto"/>
        <w:left w:val="none" w:sz="0" w:space="0" w:color="auto"/>
        <w:bottom w:val="none" w:sz="0" w:space="0" w:color="auto"/>
        <w:right w:val="none" w:sz="0" w:space="0" w:color="auto"/>
      </w:divBdr>
    </w:div>
    <w:div w:id="1751077435">
      <w:bodyDiv w:val="1"/>
      <w:marLeft w:val="0"/>
      <w:marRight w:val="0"/>
      <w:marTop w:val="0"/>
      <w:marBottom w:val="0"/>
      <w:divBdr>
        <w:top w:val="none" w:sz="0" w:space="0" w:color="auto"/>
        <w:left w:val="none" w:sz="0" w:space="0" w:color="auto"/>
        <w:bottom w:val="none" w:sz="0" w:space="0" w:color="auto"/>
        <w:right w:val="none" w:sz="0" w:space="0" w:color="auto"/>
      </w:divBdr>
    </w:div>
    <w:div w:id="1751459708">
      <w:bodyDiv w:val="1"/>
      <w:marLeft w:val="0"/>
      <w:marRight w:val="0"/>
      <w:marTop w:val="0"/>
      <w:marBottom w:val="0"/>
      <w:divBdr>
        <w:top w:val="none" w:sz="0" w:space="0" w:color="auto"/>
        <w:left w:val="none" w:sz="0" w:space="0" w:color="auto"/>
        <w:bottom w:val="none" w:sz="0" w:space="0" w:color="auto"/>
        <w:right w:val="none" w:sz="0" w:space="0" w:color="auto"/>
      </w:divBdr>
    </w:div>
    <w:div w:id="1751851119">
      <w:bodyDiv w:val="1"/>
      <w:marLeft w:val="0"/>
      <w:marRight w:val="0"/>
      <w:marTop w:val="0"/>
      <w:marBottom w:val="0"/>
      <w:divBdr>
        <w:top w:val="none" w:sz="0" w:space="0" w:color="auto"/>
        <w:left w:val="none" w:sz="0" w:space="0" w:color="auto"/>
        <w:bottom w:val="none" w:sz="0" w:space="0" w:color="auto"/>
        <w:right w:val="none" w:sz="0" w:space="0" w:color="auto"/>
      </w:divBdr>
    </w:div>
    <w:div w:id="1752265822">
      <w:bodyDiv w:val="1"/>
      <w:marLeft w:val="0"/>
      <w:marRight w:val="0"/>
      <w:marTop w:val="0"/>
      <w:marBottom w:val="0"/>
      <w:divBdr>
        <w:top w:val="none" w:sz="0" w:space="0" w:color="auto"/>
        <w:left w:val="none" w:sz="0" w:space="0" w:color="auto"/>
        <w:bottom w:val="none" w:sz="0" w:space="0" w:color="auto"/>
        <w:right w:val="none" w:sz="0" w:space="0" w:color="auto"/>
      </w:divBdr>
    </w:div>
    <w:div w:id="1752897332">
      <w:bodyDiv w:val="1"/>
      <w:marLeft w:val="0"/>
      <w:marRight w:val="0"/>
      <w:marTop w:val="0"/>
      <w:marBottom w:val="0"/>
      <w:divBdr>
        <w:top w:val="none" w:sz="0" w:space="0" w:color="auto"/>
        <w:left w:val="none" w:sz="0" w:space="0" w:color="auto"/>
        <w:bottom w:val="none" w:sz="0" w:space="0" w:color="auto"/>
        <w:right w:val="none" w:sz="0" w:space="0" w:color="auto"/>
      </w:divBdr>
    </w:div>
    <w:div w:id="1753090357">
      <w:bodyDiv w:val="1"/>
      <w:marLeft w:val="0"/>
      <w:marRight w:val="0"/>
      <w:marTop w:val="0"/>
      <w:marBottom w:val="0"/>
      <w:divBdr>
        <w:top w:val="none" w:sz="0" w:space="0" w:color="auto"/>
        <w:left w:val="none" w:sz="0" w:space="0" w:color="auto"/>
        <w:bottom w:val="none" w:sz="0" w:space="0" w:color="auto"/>
        <w:right w:val="none" w:sz="0" w:space="0" w:color="auto"/>
      </w:divBdr>
    </w:div>
    <w:div w:id="1754744542">
      <w:bodyDiv w:val="1"/>
      <w:marLeft w:val="0"/>
      <w:marRight w:val="0"/>
      <w:marTop w:val="0"/>
      <w:marBottom w:val="0"/>
      <w:divBdr>
        <w:top w:val="none" w:sz="0" w:space="0" w:color="auto"/>
        <w:left w:val="none" w:sz="0" w:space="0" w:color="auto"/>
        <w:bottom w:val="none" w:sz="0" w:space="0" w:color="auto"/>
        <w:right w:val="none" w:sz="0" w:space="0" w:color="auto"/>
      </w:divBdr>
    </w:div>
    <w:div w:id="1756977133">
      <w:bodyDiv w:val="1"/>
      <w:marLeft w:val="0"/>
      <w:marRight w:val="0"/>
      <w:marTop w:val="0"/>
      <w:marBottom w:val="0"/>
      <w:divBdr>
        <w:top w:val="none" w:sz="0" w:space="0" w:color="auto"/>
        <w:left w:val="none" w:sz="0" w:space="0" w:color="auto"/>
        <w:bottom w:val="none" w:sz="0" w:space="0" w:color="auto"/>
        <w:right w:val="none" w:sz="0" w:space="0" w:color="auto"/>
      </w:divBdr>
    </w:div>
    <w:div w:id="1757632197">
      <w:bodyDiv w:val="1"/>
      <w:marLeft w:val="0"/>
      <w:marRight w:val="0"/>
      <w:marTop w:val="0"/>
      <w:marBottom w:val="0"/>
      <w:divBdr>
        <w:top w:val="none" w:sz="0" w:space="0" w:color="auto"/>
        <w:left w:val="none" w:sz="0" w:space="0" w:color="auto"/>
        <w:bottom w:val="none" w:sz="0" w:space="0" w:color="auto"/>
        <w:right w:val="none" w:sz="0" w:space="0" w:color="auto"/>
      </w:divBdr>
    </w:div>
    <w:div w:id="1757702294">
      <w:bodyDiv w:val="1"/>
      <w:marLeft w:val="0"/>
      <w:marRight w:val="0"/>
      <w:marTop w:val="0"/>
      <w:marBottom w:val="0"/>
      <w:divBdr>
        <w:top w:val="none" w:sz="0" w:space="0" w:color="auto"/>
        <w:left w:val="none" w:sz="0" w:space="0" w:color="auto"/>
        <w:bottom w:val="none" w:sz="0" w:space="0" w:color="auto"/>
        <w:right w:val="none" w:sz="0" w:space="0" w:color="auto"/>
      </w:divBdr>
    </w:div>
    <w:div w:id="1758675422">
      <w:bodyDiv w:val="1"/>
      <w:marLeft w:val="0"/>
      <w:marRight w:val="0"/>
      <w:marTop w:val="0"/>
      <w:marBottom w:val="0"/>
      <w:divBdr>
        <w:top w:val="none" w:sz="0" w:space="0" w:color="auto"/>
        <w:left w:val="none" w:sz="0" w:space="0" w:color="auto"/>
        <w:bottom w:val="none" w:sz="0" w:space="0" w:color="auto"/>
        <w:right w:val="none" w:sz="0" w:space="0" w:color="auto"/>
      </w:divBdr>
    </w:div>
    <w:div w:id="1759401533">
      <w:bodyDiv w:val="1"/>
      <w:marLeft w:val="0"/>
      <w:marRight w:val="0"/>
      <w:marTop w:val="0"/>
      <w:marBottom w:val="0"/>
      <w:divBdr>
        <w:top w:val="none" w:sz="0" w:space="0" w:color="auto"/>
        <w:left w:val="none" w:sz="0" w:space="0" w:color="auto"/>
        <w:bottom w:val="none" w:sz="0" w:space="0" w:color="auto"/>
        <w:right w:val="none" w:sz="0" w:space="0" w:color="auto"/>
      </w:divBdr>
    </w:div>
    <w:div w:id="1763065638">
      <w:bodyDiv w:val="1"/>
      <w:marLeft w:val="0"/>
      <w:marRight w:val="0"/>
      <w:marTop w:val="0"/>
      <w:marBottom w:val="0"/>
      <w:divBdr>
        <w:top w:val="none" w:sz="0" w:space="0" w:color="auto"/>
        <w:left w:val="none" w:sz="0" w:space="0" w:color="auto"/>
        <w:bottom w:val="none" w:sz="0" w:space="0" w:color="auto"/>
        <w:right w:val="none" w:sz="0" w:space="0" w:color="auto"/>
      </w:divBdr>
    </w:div>
    <w:div w:id="1763408980">
      <w:bodyDiv w:val="1"/>
      <w:marLeft w:val="0"/>
      <w:marRight w:val="0"/>
      <w:marTop w:val="0"/>
      <w:marBottom w:val="0"/>
      <w:divBdr>
        <w:top w:val="none" w:sz="0" w:space="0" w:color="auto"/>
        <w:left w:val="none" w:sz="0" w:space="0" w:color="auto"/>
        <w:bottom w:val="none" w:sz="0" w:space="0" w:color="auto"/>
        <w:right w:val="none" w:sz="0" w:space="0" w:color="auto"/>
      </w:divBdr>
    </w:div>
    <w:div w:id="1764493200">
      <w:bodyDiv w:val="1"/>
      <w:marLeft w:val="0"/>
      <w:marRight w:val="0"/>
      <w:marTop w:val="0"/>
      <w:marBottom w:val="0"/>
      <w:divBdr>
        <w:top w:val="none" w:sz="0" w:space="0" w:color="auto"/>
        <w:left w:val="none" w:sz="0" w:space="0" w:color="auto"/>
        <w:bottom w:val="none" w:sz="0" w:space="0" w:color="auto"/>
        <w:right w:val="none" w:sz="0" w:space="0" w:color="auto"/>
      </w:divBdr>
    </w:div>
    <w:div w:id="1764911301">
      <w:bodyDiv w:val="1"/>
      <w:marLeft w:val="0"/>
      <w:marRight w:val="0"/>
      <w:marTop w:val="0"/>
      <w:marBottom w:val="0"/>
      <w:divBdr>
        <w:top w:val="none" w:sz="0" w:space="0" w:color="auto"/>
        <w:left w:val="none" w:sz="0" w:space="0" w:color="auto"/>
        <w:bottom w:val="none" w:sz="0" w:space="0" w:color="auto"/>
        <w:right w:val="none" w:sz="0" w:space="0" w:color="auto"/>
      </w:divBdr>
    </w:div>
    <w:div w:id="1765539972">
      <w:bodyDiv w:val="1"/>
      <w:marLeft w:val="0"/>
      <w:marRight w:val="0"/>
      <w:marTop w:val="0"/>
      <w:marBottom w:val="0"/>
      <w:divBdr>
        <w:top w:val="none" w:sz="0" w:space="0" w:color="auto"/>
        <w:left w:val="none" w:sz="0" w:space="0" w:color="auto"/>
        <w:bottom w:val="none" w:sz="0" w:space="0" w:color="auto"/>
        <w:right w:val="none" w:sz="0" w:space="0" w:color="auto"/>
      </w:divBdr>
    </w:div>
    <w:div w:id="1767268978">
      <w:bodyDiv w:val="1"/>
      <w:marLeft w:val="0"/>
      <w:marRight w:val="0"/>
      <w:marTop w:val="0"/>
      <w:marBottom w:val="0"/>
      <w:divBdr>
        <w:top w:val="none" w:sz="0" w:space="0" w:color="auto"/>
        <w:left w:val="none" w:sz="0" w:space="0" w:color="auto"/>
        <w:bottom w:val="none" w:sz="0" w:space="0" w:color="auto"/>
        <w:right w:val="none" w:sz="0" w:space="0" w:color="auto"/>
      </w:divBdr>
    </w:div>
    <w:div w:id="1767463516">
      <w:bodyDiv w:val="1"/>
      <w:marLeft w:val="0"/>
      <w:marRight w:val="0"/>
      <w:marTop w:val="0"/>
      <w:marBottom w:val="0"/>
      <w:divBdr>
        <w:top w:val="none" w:sz="0" w:space="0" w:color="auto"/>
        <w:left w:val="none" w:sz="0" w:space="0" w:color="auto"/>
        <w:bottom w:val="none" w:sz="0" w:space="0" w:color="auto"/>
        <w:right w:val="none" w:sz="0" w:space="0" w:color="auto"/>
      </w:divBdr>
    </w:div>
    <w:div w:id="1768891844">
      <w:bodyDiv w:val="1"/>
      <w:marLeft w:val="0"/>
      <w:marRight w:val="0"/>
      <w:marTop w:val="0"/>
      <w:marBottom w:val="0"/>
      <w:divBdr>
        <w:top w:val="none" w:sz="0" w:space="0" w:color="auto"/>
        <w:left w:val="none" w:sz="0" w:space="0" w:color="auto"/>
        <w:bottom w:val="none" w:sz="0" w:space="0" w:color="auto"/>
        <w:right w:val="none" w:sz="0" w:space="0" w:color="auto"/>
      </w:divBdr>
    </w:div>
    <w:div w:id="1769882108">
      <w:bodyDiv w:val="1"/>
      <w:marLeft w:val="0"/>
      <w:marRight w:val="0"/>
      <w:marTop w:val="0"/>
      <w:marBottom w:val="0"/>
      <w:divBdr>
        <w:top w:val="none" w:sz="0" w:space="0" w:color="auto"/>
        <w:left w:val="none" w:sz="0" w:space="0" w:color="auto"/>
        <w:bottom w:val="none" w:sz="0" w:space="0" w:color="auto"/>
        <w:right w:val="none" w:sz="0" w:space="0" w:color="auto"/>
      </w:divBdr>
    </w:div>
    <w:div w:id="1770537782">
      <w:bodyDiv w:val="1"/>
      <w:marLeft w:val="0"/>
      <w:marRight w:val="0"/>
      <w:marTop w:val="0"/>
      <w:marBottom w:val="0"/>
      <w:divBdr>
        <w:top w:val="none" w:sz="0" w:space="0" w:color="auto"/>
        <w:left w:val="none" w:sz="0" w:space="0" w:color="auto"/>
        <w:bottom w:val="none" w:sz="0" w:space="0" w:color="auto"/>
        <w:right w:val="none" w:sz="0" w:space="0" w:color="auto"/>
      </w:divBdr>
    </w:div>
    <w:div w:id="1770732133">
      <w:bodyDiv w:val="1"/>
      <w:marLeft w:val="0"/>
      <w:marRight w:val="0"/>
      <w:marTop w:val="0"/>
      <w:marBottom w:val="0"/>
      <w:divBdr>
        <w:top w:val="none" w:sz="0" w:space="0" w:color="auto"/>
        <w:left w:val="none" w:sz="0" w:space="0" w:color="auto"/>
        <w:bottom w:val="none" w:sz="0" w:space="0" w:color="auto"/>
        <w:right w:val="none" w:sz="0" w:space="0" w:color="auto"/>
      </w:divBdr>
    </w:div>
    <w:div w:id="1771076613">
      <w:bodyDiv w:val="1"/>
      <w:marLeft w:val="0"/>
      <w:marRight w:val="0"/>
      <w:marTop w:val="0"/>
      <w:marBottom w:val="0"/>
      <w:divBdr>
        <w:top w:val="none" w:sz="0" w:space="0" w:color="auto"/>
        <w:left w:val="none" w:sz="0" w:space="0" w:color="auto"/>
        <w:bottom w:val="none" w:sz="0" w:space="0" w:color="auto"/>
        <w:right w:val="none" w:sz="0" w:space="0" w:color="auto"/>
      </w:divBdr>
    </w:div>
    <w:div w:id="1772047932">
      <w:bodyDiv w:val="1"/>
      <w:marLeft w:val="0"/>
      <w:marRight w:val="0"/>
      <w:marTop w:val="0"/>
      <w:marBottom w:val="0"/>
      <w:divBdr>
        <w:top w:val="none" w:sz="0" w:space="0" w:color="auto"/>
        <w:left w:val="none" w:sz="0" w:space="0" w:color="auto"/>
        <w:bottom w:val="none" w:sz="0" w:space="0" w:color="auto"/>
        <w:right w:val="none" w:sz="0" w:space="0" w:color="auto"/>
      </w:divBdr>
    </w:div>
    <w:div w:id="1774011470">
      <w:bodyDiv w:val="1"/>
      <w:marLeft w:val="0"/>
      <w:marRight w:val="0"/>
      <w:marTop w:val="0"/>
      <w:marBottom w:val="0"/>
      <w:divBdr>
        <w:top w:val="none" w:sz="0" w:space="0" w:color="auto"/>
        <w:left w:val="none" w:sz="0" w:space="0" w:color="auto"/>
        <w:bottom w:val="none" w:sz="0" w:space="0" w:color="auto"/>
        <w:right w:val="none" w:sz="0" w:space="0" w:color="auto"/>
      </w:divBdr>
    </w:div>
    <w:div w:id="1774325392">
      <w:bodyDiv w:val="1"/>
      <w:marLeft w:val="0"/>
      <w:marRight w:val="0"/>
      <w:marTop w:val="0"/>
      <w:marBottom w:val="0"/>
      <w:divBdr>
        <w:top w:val="none" w:sz="0" w:space="0" w:color="auto"/>
        <w:left w:val="none" w:sz="0" w:space="0" w:color="auto"/>
        <w:bottom w:val="none" w:sz="0" w:space="0" w:color="auto"/>
        <w:right w:val="none" w:sz="0" w:space="0" w:color="auto"/>
      </w:divBdr>
    </w:div>
    <w:div w:id="1774738419">
      <w:bodyDiv w:val="1"/>
      <w:marLeft w:val="0"/>
      <w:marRight w:val="0"/>
      <w:marTop w:val="0"/>
      <w:marBottom w:val="0"/>
      <w:divBdr>
        <w:top w:val="none" w:sz="0" w:space="0" w:color="auto"/>
        <w:left w:val="none" w:sz="0" w:space="0" w:color="auto"/>
        <w:bottom w:val="none" w:sz="0" w:space="0" w:color="auto"/>
        <w:right w:val="none" w:sz="0" w:space="0" w:color="auto"/>
      </w:divBdr>
    </w:div>
    <w:div w:id="1775248664">
      <w:bodyDiv w:val="1"/>
      <w:marLeft w:val="0"/>
      <w:marRight w:val="0"/>
      <w:marTop w:val="0"/>
      <w:marBottom w:val="0"/>
      <w:divBdr>
        <w:top w:val="none" w:sz="0" w:space="0" w:color="auto"/>
        <w:left w:val="none" w:sz="0" w:space="0" w:color="auto"/>
        <w:bottom w:val="none" w:sz="0" w:space="0" w:color="auto"/>
        <w:right w:val="none" w:sz="0" w:space="0" w:color="auto"/>
      </w:divBdr>
    </w:div>
    <w:div w:id="1775251707">
      <w:bodyDiv w:val="1"/>
      <w:marLeft w:val="0"/>
      <w:marRight w:val="0"/>
      <w:marTop w:val="0"/>
      <w:marBottom w:val="0"/>
      <w:divBdr>
        <w:top w:val="none" w:sz="0" w:space="0" w:color="auto"/>
        <w:left w:val="none" w:sz="0" w:space="0" w:color="auto"/>
        <w:bottom w:val="none" w:sz="0" w:space="0" w:color="auto"/>
        <w:right w:val="none" w:sz="0" w:space="0" w:color="auto"/>
      </w:divBdr>
    </w:div>
    <w:div w:id="1776172859">
      <w:bodyDiv w:val="1"/>
      <w:marLeft w:val="0"/>
      <w:marRight w:val="0"/>
      <w:marTop w:val="0"/>
      <w:marBottom w:val="0"/>
      <w:divBdr>
        <w:top w:val="none" w:sz="0" w:space="0" w:color="auto"/>
        <w:left w:val="none" w:sz="0" w:space="0" w:color="auto"/>
        <w:bottom w:val="none" w:sz="0" w:space="0" w:color="auto"/>
        <w:right w:val="none" w:sz="0" w:space="0" w:color="auto"/>
      </w:divBdr>
    </w:div>
    <w:div w:id="1778525697">
      <w:bodyDiv w:val="1"/>
      <w:marLeft w:val="0"/>
      <w:marRight w:val="0"/>
      <w:marTop w:val="0"/>
      <w:marBottom w:val="0"/>
      <w:divBdr>
        <w:top w:val="none" w:sz="0" w:space="0" w:color="auto"/>
        <w:left w:val="none" w:sz="0" w:space="0" w:color="auto"/>
        <w:bottom w:val="none" w:sz="0" w:space="0" w:color="auto"/>
        <w:right w:val="none" w:sz="0" w:space="0" w:color="auto"/>
      </w:divBdr>
    </w:div>
    <w:div w:id="1778871016">
      <w:bodyDiv w:val="1"/>
      <w:marLeft w:val="0"/>
      <w:marRight w:val="0"/>
      <w:marTop w:val="0"/>
      <w:marBottom w:val="0"/>
      <w:divBdr>
        <w:top w:val="none" w:sz="0" w:space="0" w:color="auto"/>
        <w:left w:val="none" w:sz="0" w:space="0" w:color="auto"/>
        <w:bottom w:val="none" w:sz="0" w:space="0" w:color="auto"/>
        <w:right w:val="none" w:sz="0" w:space="0" w:color="auto"/>
      </w:divBdr>
    </w:div>
    <w:div w:id="1779331347">
      <w:bodyDiv w:val="1"/>
      <w:marLeft w:val="0"/>
      <w:marRight w:val="0"/>
      <w:marTop w:val="0"/>
      <w:marBottom w:val="0"/>
      <w:divBdr>
        <w:top w:val="none" w:sz="0" w:space="0" w:color="auto"/>
        <w:left w:val="none" w:sz="0" w:space="0" w:color="auto"/>
        <w:bottom w:val="none" w:sz="0" w:space="0" w:color="auto"/>
        <w:right w:val="none" w:sz="0" w:space="0" w:color="auto"/>
      </w:divBdr>
    </w:div>
    <w:div w:id="1780223775">
      <w:bodyDiv w:val="1"/>
      <w:marLeft w:val="0"/>
      <w:marRight w:val="0"/>
      <w:marTop w:val="0"/>
      <w:marBottom w:val="0"/>
      <w:divBdr>
        <w:top w:val="none" w:sz="0" w:space="0" w:color="auto"/>
        <w:left w:val="none" w:sz="0" w:space="0" w:color="auto"/>
        <w:bottom w:val="none" w:sz="0" w:space="0" w:color="auto"/>
        <w:right w:val="none" w:sz="0" w:space="0" w:color="auto"/>
      </w:divBdr>
    </w:div>
    <w:div w:id="1782382628">
      <w:bodyDiv w:val="1"/>
      <w:marLeft w:val="0"/>
      <w:marRight w:val="0"/>
      <w:marTop w:val="0"/>
      <w:marBottom w:val="0"/>
      <w:divBdr>
        <w:top w:val="none" w:sz="0" w:space="0" w:color="auto"/>
        <w:left w:val="none" w:sz="0" w:space="0" w:color="auto"/>
        <w:bottom w:val="none" w:sz="0" w:space="0" w:color="auto"/>
        <w:right w:val="none" w:sz="0" w:space="0" w:color="auto"/>
      </w:divBdr>
    </w:div>
    <w:div w:id="1782845699">
      <w:bodyDiv w:val="1"/>
      <w:marLeft w:val="0"/>
      <w:marRight w:val="0"/>
      <w:marTop w:val="0"/>
      <w:marBottom w:val="0"/>
      <w:divBdr>
        <w:top w:val="none" w:sz="0" w:space="0" w:color="auto"/>
        <w:left w:val="none" w:sz="0" w:space="0" w:color="auto"/>
        <w:bottom w:val="none" w:sz="0" w:space="0" w:color="auto"/>
        <w:right w:val="none" w:sz="0" w:space="0" w:color="auto"/>
      </w:divBdr>
    </w:div>
    <w:div w:id="1783106566">
      <w:bodyDiv w:val="1"/>
      <w:marLeft w:val="0"/>
      <w:marRight w:val="0"/>
      <w:marTop w:val="0"/>
      <w:marBottom w:val="0"/>
      <w:divBdr>
        <w:top w:val="none" w:sz="0" w:space="0" w:color="auto"/>
        <w:left w:val="none" w:sz="0" w:space="0" w:color="auto"/>
        <w:bottom w:val="none" w:sz="0" w:space="0" w:color="auto"/>
        <w:right w:val="none" w:sz="0" w:space="0" w:color="auto"/>
      </w:divBdr>
    </w:div>
    <w:div w:id="1784107649">
      <w:bodyDiv w:val="1"/>
      <w:marLeft w:val="0"/>
      <w:marRight w:val="0"/>
      <w:marTop w:val="0"/>
      <w:marBottom w:val="0"/>
      <w:divBdr>
        <w:top w:val="none" w:sz="0" w:space="0" w:color="auto"/>
        <w:left w:val="none" w:sz="0" w:space="0" w:color="auto"/>
        <w:bottom w:val="none" w:sz="0" w:space="0" w:color="auto"/>
        <w:right w:val="none" w:sz="0" w:space="0" w:color="auto"/>
      </w:divBdr>
    </w:div>
    <w:div w:id="1784376483">
      <w:bodyDiv w:val="1"/>
      <w:marLeft w:val="0"/>
      <w:marRight w:val="0"/>
      <w:marTop w:val="0"/>
      <w:marBottom w:val="0"/>
      <w:divBdr>
        <w:top w:val="none" w:sz="0" w:space="0" w:color="auto"/>
        <w:left w:val="none" w:sz="0" w:space="0" w:color="auto"/>
        <w:bottom w:val="none" w:sz="0" w:space="0" w:color="auto"/>
        <w:right w:val="none" w:sz="0" w:space="0" w:color="auto"/>
      </w:divBdr>
    </w:div>
    <w:div w:id="1785034140">
      <w:bodyDiv w:val="1"/>
      <w:marLeft w:val="0"/>
      <w:marRight w:val="0"/>
      <w:marTop w:val="0"/>
      <w:marBottom w:val="0"/>
      <w:divBdr>
        <w:top w:val="none" w:sz="0" w:space="0" w:color="auto"/>
        <w:left w:val="none" w:sz="0" w:space="0" w:color="auto"/>
        <w:bottom w:val="none" w:sz="0" w:space="0" w:color="auto"/>
        <w:right w:val="none" w:sz="0" w:space="0" w:color="auto"/>
      </w:divBdr>
    </w:div>
    <w:div w:id="1785268997">
      <w:bodyDiv w:val="1"/>
      <w:marLeft w:val="0"/>
      <w:marRight w:val="0"/>
      <w:marTop w:val="0"/>
      <w:marBottom w:val="0"/>
      <w:divBdr>
        <w:top w:val="none" w:sz="0" w:space="0" w:color="auto"/>
        <w:left w:val="none" w:sz="0" w:space="0" w:color="auto"/>
        <w:bottom w:val="none" w:sz="0" w:space="0" w:color="auto"/>
        <w:right w:val="none" w:sz="0" w:space="0" w:color="auto"/>
      </w:divBdr>
    </w:div>
    <w:div w:id="1785689819">
      <w:bodyDiv w:val="1"/>
      <w:marLeft w:val="0"/>
      <w:marRight w:val="0"/>
      <w:marTop w:val="0"/>
      <w:marBottom w:val="0"/>
      <w:divBdr>
        <w:top w:val="none" w:sz="0" w:space="0" w:color="auto"/>
        <w:left w:val="none" w:sz="0" w:space="0" w:color="auto"/>
        <w:bottom w:val="none" w:sz="0" w:space="0" w:color="auto"/>
        <w:right w:val="none" w:sz="0" w:space="0" w:color="auto"/>
      </w:divBdr>
    </w:div>
    <w:div w:id="1786537597">
      <w:bodyDiv w:val="1"/>
      <w:marLeft w:val="0"/>
      <w:marRight w:val="0"/>
      <w:marTop w:val="0"/>
      <w:marBottom w:val="0"/>
      <w:divBdr>
        <w:top w:val="none" w:sz="0" w:space="0" w:color="auto"/>
        <w:left w:val="none" w:sz="0" w:space="0" w:color="auto"/>
        <w:bottom w:val="none" w:sz="0" w:space="0" w:color="auto"/>
        <w:right w:val="none" w:sz="0" w:space="0" w:color="auto"/>
      </w:divBdr>
    </w:div>
    <w:div w:id="1786583948">
      <w:bodyDiv w:val="1"/>
      <w:marLeft w:val="0"/>
      <w:marRight w:val="0"/>
      <w:marTop w:val="0"/>
      <w:marBottom w:val="0"/>
      <w:divBdr>
        <w:top w:val="none" w:sz="0" w:space="0" w:color="auto"/>
        <w:left w:val="none" w:sz="0" w:space="0" w:color="auto"/>
        <w:bottom w:val="none" w:sz="0" w:space="0" w:color="auto"/>
        <w:right w:val="none" w:sz="0" w:space="0" w:color="auto"/>
      </w:divBdr>
    </w:div>
    <w:div w:id="1787574655">
      <w:bodyDiv w:val="1"/>
      <w:marLeft w:val="0"/>
      <w:marRight w:val="0"/>
      <w:marTop w:val="0"/>
      <w:marBottom w:val="0"/>
      <w:divBdr>
        <w:top w:val="none" w:sz="0" w:space="0" w:color="auto"/>
        <w:left w:val="none" w:sz="0" w:space="0" w:color="auto"/>
        <w:bottom w:val="none" w:sz="0" w:space="0" w:color="auto"/>
        <w:right w:val="none" w:sz="0" w:space="0" w:color="auto"/>
      </w:divBdr>
    </w:div>
    <w:div w:id="1787580175">
      <w:bodyDiv w:val="1"/>
      <w:marLeft w:val="0"/>
      <w:marRight w:val="0"/>
      <w:marTop w:val="0"/>
      <w:marBottom w:val="0"/>
      <w:divBdr>
        <w:top w:val="none" w:sz="0" w:space="0" w:color="auto"/>
        <w:left w:val="none" w:sz="0" w:space="0" w:color="auto"/>
        <w:bottom w:val="none" w:sz="0" w:space="0" w:color="auto"/>
        <w:right w:val="none" w:sz="0" w:space="0" w:color="auto"/>
      </w:divBdr>
    </w:div>
    <w:div w:id="1787651073">
      <w:bodyDiv w:val="1"/>
      <w:marLeft w:val="0"/>
      <w:marRight w:val="0"/>
      <w:marTop w:val="0"/>
      <w:marBottom w:val="0"/>
      <w:divBdr>
        <w:top w:val="none" w:sz="0" w:space="0" w:color="auto"/>
        <w:left w:val="none" w:sz="0" w:space="0" w:color="auto"/>
        <w:bottom w:val="none" w:sz="0" w:space="0" w:color="auto"/>
        <w:right w:val="none" w:sz="0" w:space="0" w:color="auto"/>
      </w:divBdr>
    </w:div>
    <w:div w:id="1788232180">
      <w:bodyDiv w:val="1"/>
      <w:marLeft w:val="0"/>
      <w:marRight w:val="0"/>
      <w:marTop w:val="0"/>
      <w:marBottom w:val="0"/>
      <w:divBdr>
        <w:top w:val="none" w:sz="0" w:space="0" w:color="auto"/>
        <w:left w:val="none" w:sz="0" w:space="0" w:color="auto"/>
        <w:bottom w:val="none" w:sz="0" w:space="0" w:color="auto"/>
        <w:right w:val="none" w:sz="0" w:space="0" w:color="auto"/>
      </w:divBdr>
    </w:div>
    <w:div w:id="1788698116">
      <w:bodyDiv w:val="1"/>
      <w:marLeft w:val="0"/>
      <w:marRight w:val="0"/>
      <w:marTop w:val="0"/>
      <w:marBottom w:val="0"/>
      <w:divBdr>
        <w:top w:val="none" w:sz="0" w:space="0" w:color="auto"/>
        <w:left w:val="none" w:sz="0" w:space="0" w:color="auto"/>
        <w:bottom w:val="none" w:sz="0" w:space="0" w:color="auto"/>
        <w:right w:val="none" w:sz="0" w:space="0" w:color="auto"/>
      </w:divBdr>
    </w:div>
    <w:div w:id="1789885998">
      <w:bodyDiv w:val="1"/>
      <w:marLeft w:val="0"/>
      <w:marRight w:val="0"/>
      <w:marTop w:val="0"/>
      <w:marBottom w:val="0"/>
      <w:divBdr>
        <w:top w:val="none" w:sz="0" w:space="0" w:color="auto"/>
        <w:left w:val="none" w:sz="0" w:space="0" w:color="auto"/>
        <w:bottom w:val="none" w:sz="0" w:space="0" w:color="auto"/>
        <w:right w:val="none" w:sz="0" w:space="0" w:color="auto"/>
      </w:divBdr>
    </w:div>
    <w:div w:id="1790011077">
      <w:bodyDiv w:val="1"/>
      <w:marLeft w:val="0"/>
      <w:marRight w:val="0"/>
      <w:marTop w:val="0"/>
      <w:marBottom w:val="0"/>
      <w:divBdr>
        <w:top w:val="none" w:sz="0" w:space="0" w:color="auto"/>
        <w:left w:val="none" w:sz="0" w:space="0" w:color="auto"/>
        <w:bottom w:val="none" w:sz="0" w:space="0" w:color="auto"/>
        <w:right w:val="none" w:sz="0" w:space="0" w:color="auto"/>
      </w:divBdr>
    </w:div>
    <w:div w:id="1790540145">
      <w:bodyDiv w:val="1"/>
      <w:marLeft w:val="0"/>
      <w:marRight w:val="0"/>
      <w:marTop w:val="0"/>
      <w:marBottom w:val="0"/>
      <w:divBdr>
        <w:top w:val="none" w:sz="0" w:space="0" w:color="auto"/>
        <w:left w:val="none" w:sz="0" w:space="0" w:color="auto"/>
        <w:bottom w:val="none" w:sz="0" w:space="0" w:color="auto"/>
        <w:right w:val="none" w:sz="0" w:space="0" w:color="auto"/>
      </w:divBdr>
    </w:div>
    <w:div w:id="1791165849">
      <w:bodyDiv w:val="1"/>
      <w:marLeft w:val="0"/>
      <w:marRight w:val="0"/>
      <w:marTop w:val="0"/>
      <w:marBottom w:val="0"/>
      <w:divBdr>
        <w:top w:val="none" w:sz="0" w:space="0" w:color="auto"/>
        <w:left w:val="none" w:sz="0" w:space="0" w:color="auto"/>
        <w:bottom w:val="none" w:sz="0" w:space="0" w:color="auto"/>
        <w:right w:val="none" w:sz="0" w:space="0" w:color="auto"/>
      </w:divBdr>
    </w:div>
    <w:div w:id="1791241228">
      <w:bodyDiv w:val="1"/>
      <w:marLeft w:val="0"/>
      <w:marRight w:val="0"/>
      <w:marTop w:val="0"/>
      <w:marBottom w:val="0"/>
      <w:divBdr>
        <w:top w:val="none" w:sz="0" w:space="0" w:color="auto"/>
        <w:left w:val="none" w:sz="0" w:space="0" w:color="auto"/>
        <w:bottom w:val="none" w:sz="0" w:space="0" w:color="auto"/>
        <w:right w:val="none" w:sz="0" w:space="0" w:color="auto"/>
      </w:divBdr>
    </w:div>
    <w:div w:id="1792284758">
      <w:bodyDiv w:val="1"/>
      <w:marLeft w:val="0"/>
      <w:marRight w:val="0"/>
      <w:marTop w:val="0"/>
      <w:marBottom w:val="0"/>
      <w:divBdr>
        <w:top w:val="none" w:sz="0" w:space="0" w:color="auto"/>
        <w:left w:val="none" w:sz="0" w:space="0" w:color="auto"/>
        <w:bottom w:val="none" w:sz="0" w:space="0" w:color="auto"/>
        <w:right w:val="none" w:sz="0" w:space="0" w:color="auto"/>
      </w:divBdr>
    </w:div>
    <w:div w:id="1794443390">
      <w:bodyDiv w:val="1"/>
      <w:marLeft w:val="0"/>
      <w:marRight w:val="0"/>
      <w:marTop w:val="0"/>
      <w:marBottom w:val="0"/>
      <w:divBdr>
        <w:top w:val="none" w:sz="0" w:space="0" w:color="auto"/>
        <w:left w:val="none" w:sz="0" w:space="0" w:color="auto"/>
        <w:bottom w:val="none" w:sz="0" w:space="0" w:color="auto"/>
        <w:right w:val="none" w:sz="0" w:space="0" w:color="auto"/>
      </w:divBdr>
    </w:div>
    <w:div w:id="1795056565">
      <w:bodyDiv w:val="1"/>
      <w:marLeft w:val="0"/>
      <w:marRight w:val="0"/>
      <w:marTop w:val="0"/>
      <w:marBottom w:val="0"/>
      <w:divBdr>
        <w:top w:val="none" w:sz="0" w:space="0" w:color="auto"/>
        <w:left w:val="none" w:sz="0" w:space="0" w:color="auto"/>
        <w:bottom w:val="none" w:sz="0" w:space="0" w:color="auto"/>
        <w:right w:val="none" w:sz="0" w:space="0" w:color="auto"/>
      </w:divBdr>
    </w:div>
    <w:div w:id="1795362309">
      <w:bodyDiv w:val="1"/>
      <w:marLeft w:val="0"/>
      <w:marRight w:val="0"/>
      <w:marTop w:val="0"/>
      <w:marBottom w:val="0"/>
      <w:divBdr>
        <w:top w:val="none" w:sz="0" w:space="0" w:color="auto"/>
        <w:left w:val="none" w:sz="0" w:space="0" w:color="auto"/>
        <w:bottom w:val="none" w:sz="0" w:space="0" w:color="auto"/>
        <w:right w:val="none" w:sz="0" w:space="0" w:color="auto"/>
      </w:divBdr>
    </w:div>
    <w:div w:id="1795831526">
      <w:bodyDiv w:val="1"/>
      <w:marLeft w:val="0"/>
      <w:marRight w:val="0"/>
      <w:marTop w:val="0"/>
      <w:marBottom w:val="0"/>
      <w:divBdr>
        <w:top w:val="none" w:sz="0" w:space="0" w:color="auto"/>
        <w:left w:val="none" w:sz="0" w:space="0" w:color="auto"/>
        <w:bottom w:val="none" w:sz="0" w:space="0" w:color="auto"/>
        <w:right w:val="none" w:sz="0" w:space="0" w:color="auto"/>
      </w:divBdr>
    </w:div>
    <w:div w:id="1795902933">
      <w:bodyDiv w:val="1"/>
      <w:marLeft w:val="0"/>
      <w:marRight w:val="0"/>
      <w:marTop w:val="0"/>
      <w:marBottom w:val="0"/>
      <w:divBdr>
        <w:top w:val="none" w:sz="0" w:space="0" w:color="auto"/>
        <w:left w:val="none" w:sz="0" w:space="0" w:color="auto"/>
        <w:bottom w:val="none" w:sz="0" w:space="0" w:color="auto"/>
        <w:right w:val="none" w:sz="0" w:space="0" w:color="auto"/>
      </w:divBdr>
    </w:div>
    <w:div w:id="1797915755">
      <w:bodyDiv w:val="1"/>
      <w:marLeft w:val="0"/>
      <w:marRight w:val="0"/>
      <w:marTop w:val="0"/>
      <w:marBottom w:val="0"/>
      <w:divBdr>
        <w:top w:val="none" w:sz="0" w:space="0" w:color="auto"/>
        <w:left w:val="none" w:sz="0" w:space="0" w:color="auto"/>
        <w:bottom w:val="none" w:sz="0" w:space="0" w:color="auto"/>
        <w:right w:val="none" w:sz="0" w:space="0" w:color="auto"/>
      </w:divBdr>
    </w:div>
    <w:div w:id="1801148660">
      <w:bodyDiv w:val="1"/>
      <w:marLeft w:val="0"/>
      <w:marRight w:val="0"/>
      <w:marTop w:val="0"/>
      <w:marBottom w:val="0"/>
      <w:divBdr>
        <w:top w:val="none" w:sz="0" w:space="0" w:color="auto"/>
        <w:left w:val="none" w:sz="0" w:space="0" w:color="auto"/>
        <w:bottom w:val="none" w:sz="0" w:space="0" w:color="auto"/>
        <w:right w:val="none" w:sz="0" w:space="0" w:color="auto"/>
      </w:divBdr>
    </w:div>
    <w:div w:id="1802337009">
      <w:bodyDiv w:val="1"/>
      <w:marLeft w:val="0"/>
      <w:marRight w:val="0"/>
      <w:marTop w:val="0"/>
      <w:marBottom w:val="0"/>
      <w:divBdr>
        <w:top w:val="none" w:sz="0" w:space="0" w:color="auto"/>
        <w:left w:val="none" w:sz="0" w:space="0" w:color="auto"/>
        <w:bottom w:val="none" w:sz="0" w:space="0" w:color="auto"/>
        <w:right w:val="none" w:sz="0" w:space="0" w:color="auto"/>
      </w:divBdr>
    </w:div>
    <w:div w:id="1803619214">
      <w:bodyDiv w:val="1"/>
      <w:marLeft w:val="0"/>
      <w:marRight w:val="0"/>
      <w:marTop w:val="0"/>
      <w:marBottom w:val="0"/>
      <w:divBdr>
        <w:top w:val="none" w:sz="0" w:space="0" w:color="auto"/>
        <w:left w:val="none" w:sz="0" w:space="0" w:color="auto"/>
        <w:bottom w:val="none" w:sz="0" w:space="0" w:color="auto"/>
        <w:right w:val="none" w:sz="0" w:space="0" w:color="auto"/>
      </w:divBdr>
    </w:div>
    <w:div w:id="1804302082">
      <w:bodyDiv w:val="1"/>
      <w:marLeft w:val="0"/>
      <w:marRight w:val="0"/>
      <w:marTop w:val="0"/>
      <w:marBottom w:val="0"/>
      <w:divBdr>
        <w:top w:val="none" w:sz="0" w:space="0" w:color="auto"/>
        <w:left w:val="none" w:sz="0" w:space="0" w:color="auto"/>
        <w:bottom w:val="none" w:sz="0" w:space="0" w:color="auto"/>
        <w:right w:val="none" w:sz="0" w:space="0" w:color="auto"/>
      </w:divBdr>
    </w:div>
    <w:div w:id="1804888230">
      <w:bodyDiv w:val="1"/>
      <w:marLeft w:val="0"/>
      <w:marRight w:val="0"/>
      <w:marTop w:val="0"/>
      <w:marBottom w:val="0"/>
      <w:divBdr>
        <w:top w:val="none" w:sz="0" w:space="0" w:color="auto"/>
        <w:left w:val="none" w:sz="0" w:space="0" w:color="auto"/>
        <w:bottom w:val="none" w:sz="0" w:space="0" w:color="auto"/>
        <w:right w:val="none" w:sz="0" w:space="0" w:color="auto"/>
      </w:divBdr>
    </w:div>
    <w:div w:id="1805268925">
      <w:bodyDiv w:val="1"/>
      <w:marLeft w:val="0"/>
      <w:marRight w:val="0"/>
      <w:marTop w:val="0"/>
      <w:marBottom w:val="0"/>
      <w:divBdr>
        <w:top w:val="none" w:sz="0" w:space="0" w:color="auto"/>
        <w:left w:val="none" w:sz="0" w:space="0" w:color="auto"/>
        <w:bottom w:val="none" w:sz="0" w:space="0" w:color="auto"/>
        <w:right w:val="none" w:sz="0" w:space="0" w:color="auto"/>
      </w:divBdr>
    </w:div>
    <w:div w:id="1806046255">
      <w:bodyDiv w:val="1"/>
      <w:marLeft w:val="0"/>
      <w:marRight w:val="0"/>
      <w:marTop w:val="0"/>
      <w:marBottom w:val="0"/>
      <w:divBdr>
        <w:top w:val="none" w:sz="0" w:space="0" w:color="auto"/>
        <w:left w:val="none" w:sz="0" w:space="0" w:color="auto"/>
        <w:bottom w:val="none" w:sz="0" w:space="0" w:color="auto"/>
        <w:right w:val="none" w:sz="0" w:space="0" w:color="auto"/>
      </w:divBdr>
    </w:div>
    <w:div w:id="1806047263">
      <w:bodyDiv w:val="1"/>
      <w:marLeft w:val="0"/>
      <w:marRight w:val="0"/>
      <w:marTop w:val="0"/>
      <w:marBottom w:val="0"/>
      <w:divBdr>
        <w:top w:val="none" w:sz="0" w:space="0" w:color="auto"/>
        <w:left w:val="none" w:sz="0" w:space="0" w:color="auto"/>
        <w:bottom w:val="none" w:sz="0" w:space="0" w:color="auto"/>
        <w:right w:val="none" w:sz="0" w:space="0" w:color="auto"/>
      </w:divBdr>
    </w:div>
    <w:div w:id="1807426624">
      <w:bodyDiv w:val="1"/>
      <w:marLeft w:val="0"/>
      <w:marRight w:val="0"/>
      <w:marTop w:val="0"/>
      <w:marBottom w:val="0"/>
      <w:divBdr>
        <w:top w:val="none" w:sz="0" w:space="0" w:color="auto"/>
        <w:left w:val="none" w:sz="0" w:space="0" w:color="auto"/>
        <w:bottom w:val="none" w:sz="0" w:space="0" w:color="auto"/>
        <w:right w:val="none" w:sz="0" w:space="0" w:color="auto"/>
      </w:divBdr>
    </w:div>
    <w:div w:id="1809276915">
      <w:bodyDiv w:val="1"/>
      <w:marLeft w:val="0"/>
      <w:marRight w:val="0"/>
      <w:marTop w:val="0"/>
      <w:marBottom w:val="0"/>
      <w:divBdr>
        <w:top w:val="none" w:sz="0" w:space="0" w:color="auto"/>
        <w:left w:val="none" w:sz="0" w:space="0" w:color="auto"/>
        <w:bottom w:val="none" w:sz="0" w:space="0" w:color="auto"/>
        <w:right w:val="none" w:sz="0" w:space="0" w:color="auto"/>
      </w:divBdr>
    </w:div>
    <w:div w:id="1810587674">
      <w:bodyDiv w:val="1"/>
      <w:marLeft w:val="0"/>
      <w:marRight w:val="0"/>
      <w:marTop w:val="0"/>
      <w:marBottom w:val="0"/>
      <w:divBdr>
        <w:top w:val="none" w:sz="0" w:space="0" w:color="auto"/>
        <w:left w:val="none" w:sz="0" w:space="0" w:color="auto"/>
        <w:bottom w:val="none" w:sz="0" w:space="0" w:color="auto"/>
        <w:right w:val="none" w:sz="0" w:space="0" w:color="auto"/>
      </w:divBdr>
    </w:div>
    <w:div w:id="1812018710">
      <w:bodyDiv w:val="1"/>
      <w:marLeft w:val="0"/>
      <w:marRight w:val="0"/>
      <w:marTop w:val="0"/>
      <w:marBottom w:val="0"/>
      <w:divBdr>
        <w:top w:val="none" w:sz="0" w:space="0" w:color="auto"/>
        <w:left w:val="none" w:sz="0" w:space="0" w:color="auto"/>
        <w:bottom w:val="none" w:sz="0" w:space="0" w:color="auto"/>
        <w:right w:val="none" w:sz="0" w:space="0" w:color="auto"/>
      </w:divBdr>
    </w:div>
    <w:div w:id="1812209246">
      <w:bodyDiv w:val="1"/>
      <w:marLeft w:val="0"/>
      <w:marRight w:val="0"/>
      <w:marTop w:val="0"/>
      <w:marBottom w:val="0"/>
      <w:divBdr>
        <w:top w:val="none" w:sz="0" w:space="0" w:color="auto"/>
        <w:left w:val="none" w:sz="0" w:space="0" w:color="auto"/>
        <w:bottom w:val="none" w:sz="0" w:space="0" w:color="auto"/>
        <w:right w:val="none" w:sz="0" w:space="0" w:color="auto"/>
      </w:divBdr>
    </w:div>
    <w:div w:id="1812557907">
      <w:bodyDiv w:val="1"/>
      <w:marLeft w:val="0"/>
      <w:marRight w:val="0"/>
      <w:marTop w:val="0"/>
      <w:marBottom w:val="0"/>
      <w:divBdr>
        <w:top w:val="none" w:sz="0" w:space="0" w:color="auto"/>
        <w:left w:val="none" w:sz="0" w:space="0" w:color="auto"/>
        <w:bottom w:val="none" w:sz="0" w:space="0" w:color="auto"/>
        <w:right w:val="none" w:sz="0" w:space="0" w:color="auto"/>
      </w:divBdr>
    </w:div>
    <w:div w:id="1814444154">
      <w:bodyDiv w:val="1"/>
      <w:marLeft w:val="0"/>
      <w:marRight w:val="0"/>
      <w:marTop w:val="0"/>
      <w:marBottom w:val="0"/>
      <w:divBdr>
        <w:top w:val="none" w:sz="0" w:space="0" w:color="auto"/>
        <w:left w:val="none" w:sz="0" w:space="0" w:color="auto"/>
        <w:bottom w:val="none" w:sz="0" w:space="0" w:color="auto"/>
        <w:right w:val="none" w:sz="0" w:space="0" w:color="auto"/>
      </w:divBdr>
    </w:div>
    <w:div w:id="1814519843">
      <w:bodyDiv w:val="1"/>
      <w:marLeft w:val="0"/>
      <w:marRight w:val="0"/>
      <w:marTop w:val="0"/>
      <w:marBottom w:val="0"/>
      <w:divBdr>
        <w:top w:val="none" w:sz="0" w:space="0" w:color="auto"/>
        <w:left w:val="none" w:sz="0" w:space="0" w:color="auto"/>
        <w:bottom w:val="none" w:sz="0" w:space="0" w:color="auto"/>
        <w:right w:val="none" w:sz="0" w:space="0" w:color="auto"/>
      </w:divBdr>
    </w:div>
    <w:div w:id="1814642068">
      <w:bodyDiv w:val="1"/>
      <w:marLeft w:val="0"/>
      <w:marRight w:val="0"/>
      <w:marTop w:val="0"/>
      <w:marBottom w:val="0"/>
      <w:divBdr>
        <w:top w:val="none" w:sz="0" w:space="0" w:color="auto"/>
        <w:left w:val="none" w:sz="0" w:space="0" w:color="auto"/>
        <w:bottom w:val="none" w:sz="0" w:space="0" w:color="auto"/>
        <w:right w:val="none" w:sz="0" w:space="0" w:color="auto"/>
      </w:divBdr>
    </w:div>
    <w:div w:id="1814786810">
      <w:bodyDiv w:val="1"/>
      <w:marLeft w:val="0"/>
      <w:marRight w:val="0"/>
      <w:marTop w:val="0"/>
      <w:marBottom w:val="0"/>
      <w:divBdr>
        <w:top w:val="none" w:sz="0" w:space="0" w:color="auto"/>
        <w:left w:val="none" w:sz="0" w:space="0" w:color="auto"/>
        <w:bottom w:val="none" w:sz="0" w:space="0" w:color="auto"/>
        <w:right w:val="none" w:sz="0" w:space="0" w:color="auto"/>
      </w:divBdr>
    </w:div>
    <w:div w:id="1815833172">
      <w:bodyDiv w:val="1"/>
      <w:marLeft w:val="0"/>
      <w:marRight w:val="0"/>
      <w:marTop w:val="0"/>
      <w:marBottom w:val="0"/>
      <w:divBdr>
        <w:top w:val="none" w:sz="0" w:space="0" w:color="auto"/>
        <w:left w:val="none" w:sz="0" w:space="0" w:color="auto"/>
        <w:bottom w:val="none" w:sz="0" w:space="0" w:color="auto"/>
        <w:right w:val="none" w:sz="0" w:space="0" w:color="auto"/>
      </w:divBdr>
    </w:div>
    <w:div w:id="1816292622">
      <w:bodyDiv w:val="1"/>
      <w:marLeft w:val="0"/>
      <w:marRight w:val="0"/>
      <w:marTop w:val="0"/>
      <w:marBottom w:val="0"/>
      <w:divBdr>
        <w:top w:val="none" w:sz="0" w:space="0" w:color="auto"/>
        <w:left w:val="none" w:sz="0" w:space="0" w:color="auto"/>
        <w:bottom w:val="none" w:sz="0" w:space="0" w:color="auto"/>
        <w:right w:val="none" w:sz="0" w:space="0" w:color="auto"/>
      </w:divBdr>
    </w:div>
    <w:div w:id="1816413526">
      <w:bodyDiv w:val="1"/>
      <w:marLeft w:val="0"/>
      <w:marRight w:val="0"/>
      <w:marTop w:val="0"/>
      <w:marBottom w:val="0"/>
      <w:divBdr>
        <w:top w:val="none" w:sz="0" w:space="0" w:color="auto"/>
        <w:left w:val="none" w:sz="0" w:space="0" w:color="auto"/>
        <w:bottom w:val="none" w:sz="0" w:space="0" w:color="auto"/>
        <w:right w:val="none" w:sz="0" w:space="0" w:color="auto"/>
      </w:divBdr>
    </w:div>
    <w:div w:id="1816487504">
      <w:bodyDiv w:val="1"/>
      <w:marLeft w:val="0"/>
      <w:marRight w:val="0"/>
      <w:marTop w:val="0"/>
      <w:marBottom w:val="0"/>
      <w:divBdr>
        <w:top w:val="none" w:sz="0" w:space="0" w:color="auto"/>
        <w:left w:val="none" w:sz="0" w:space="0" w:color="auto"/>
        <w:bottom w:val="none" w:sz="0" w:space="0" w:color="auto"/>
        <w:right w:val="none" w:sz="0" w:space="0" w:color="auto"/>
      </w:divBdr>
    </w:div>
    <w:div w:id="1817408453">
      <w:bodyDiv w:val="1"/>
      <w:marLeft w:val="0"/>
      <w:marRight w:val="0"/>
      <w:marTop w:val="0"/>
      <w:marBottom w:val="0"/>
      <w:divBdr>
        <w:top w:val="none" w:sz="0" w:space="0" w:color="auto"/>
        <w:left w:val="none" w:sz="0" w:space="0" w:color="auto"/>
        <w:bottom w:val="none" w:sz="0" w:space="0" w:color="auto"/>
        <w:right w:val="none" w:sz="0" w:space="0" w:color="auto"/>
      </w:divBdr>
    </w:div>
    <w:div w:id="1818495020">
      <w:bodyDiv w:val="1"/>
      <w:marLeft w:val="0"/>
      <w:marRight w:val="0"/>
      <w:marTop w:val="0"/>
      <w:marBottom w:val="0"/>
      <w:divBdr>
        <w:top w:val="none" w:sz="0" w:space="0" w:color="auto"/>
        <w:left w:val="none" w:sz="0" w:space="0" w:color="auto"/>
        <w:bottom w:val="none" w:sz="0" w:space="0" w:color="auto"/>
        <w:right w:val="none" w:sz="0" w:space="0" w:color="auto"/>
      </w:divBdr>
    </w:div>
    <w:div w:id="1818717451">
      <w:bodyDiv w:val="1"/>
      <w:marLeft w:val="0"/>
      <w:marRight w:val="0"/>
      <w:marTop w:val="0"/>
      <w:marBottom w:val="0"/>
      <w:divBdr>
        <w:top w:val="none" w:sz="0" w:space="0" w:color="auto"/>
        <w:left w:val="none" w:sz="0" w:space="0" w:color="auto"/>
        <w:bottom w:val="none" w:sz="0" w:space="0" w:color="auto"/>
        <w:right w:val="none" w:sz="0" w:space="0" w:color="auto"/>
      </w:divBdr>
    </w:div>
    <w:div w:id="1819564485">
      <w:bodyDiv w:val="1"/>
      <w:marLeft w:val="0"/>
      <w:marRight w:val="0"/>
      <w:marTop w:val="0"/>
      <w:marBottom w:val="0"/>
      <w:divBdr>
        <w:top w:val="none" w:sz="0" w:space="0" w:color="auto"/>
        <w:left w:val="none" w:sz="0" w:space="0" w:color="auto"/>
        <w:bottom w:val="none" w:sz="0" w:space="0" w:color="auto"/>
        <w:right w:val="none" w:sz="0" w:space="0" w:color="auto"/>
      </w:divBdr>
    </w:div>
    <w:div w:id="1819956538">
      <w:bodyDiv w:val="1"/>
      <w:marLeft w:val="0"/>
      <w:marRight w:val="0"/>
      <w:marTop w:val="0"/>
      <w:marBottom w:val="0"/>
      <w:divBdr>
        <w:top w:val="none" w:sz="0" w:space="0" w:color="auto"/>
        <w:left w:val="none" w:sz="0" w:space="0" w:color="auto"/>
        <w:bottom w:val="none" w:sz="0" w:space="0" w:color="auto"/>
        <w:right w:val="none" w:sz="0" w:space="0" w:color="auto"/>
      </w:divBdr>
    </w:div>
    <w:div w:id="1820994469">
      <w:bodyDiv w:val="1"/>
      <w:marLeft w:val="0"/>
      <w:marRight w:val="0"/>
      <w:marTop w:val="0"/>
      <w:marBottom w:val="0"/>
      <w:divBdr>
        <w:top w:val="none" w:sz="0" w:space="0" w:color="auto"/>
        <w:left w:val="none" w:sz="0" w:space="0" w:color="auto"/>
        <w:bottom w:val="none" w:sz="0" w:space="0" w:color="auto"/>
        <w:right w:val="none" w:sz="0" w:space="0" w:color="auto"/>
      </w:divBdr>
    </w:div>
    <w:div w:id="1821311652">
      <w:bodyDiv w:val="1"/>
      <w:marLeft w:val="0"/>
      <w:marRight w:val="0"/>
      <w:marTop w:val="0"/>
      <w:marBottom w:val="0"/>
      <w:divBdr>
        <w:top w:val="none" w:sz="0" w:space="0" w:color="auto"/>
        <w:left w:val="none" w:sz="0" w:space="0" w:color="auto"/>
        <w:bottom w:val="none" w:sz="0" w:space="0" w:color="auto"/>
        <w:right w:val="none" w:sz="0" w:space="0" w:color="auto"/>
      </w:divBdr>
    </w:div>
    <w:div w:id="1822690361">
      <w:bodyDiv w:val="1"/>
      <w:marLeft w:val="0"/>
      <w:marRight w:val="0"/>
      <w:marTop w:val="0"/>
      <w:marBottom w:val="0"/>
      <w:divBdr>
        <w:top w:val="none" w:sz="0" w:space="0" w:color="auto"/>
        <w:left w:val="none" w:sz="0" w:space="0" w:color="auto"/>
        <w:bottom w:val="none" w:sz="0" w:space="0" w:color="auto"/>
        <w:right w:val="none" w:sz="0" w:space="0" w:color="auto"/>
      </w:divBdr>
    </w:div>
    <w:div w:id="1824077793">
      <w:bodyDiv w:val="1"/>
      <w:marLeft w:val="0"/>
      <w:marRight w:val="0"/>
      <w:marTop w:val="0"/>
      <w:marBottom w:val="0"/>
      <w:divBdr>
        <w:top w:val="none" w:sz="0" w:space="0" w:color="auto"/>
        <w:left w:val="none" w:sz="0" w:space="0" w:color="auto"/>
        <w:bottom w:val="none" w:sz="0" w:space="0" w:color="auto"/>
        <w:right w:val="none" w:sz="0" w:space="0" w:color="auto"/>
      </w:divBdr>
    </w:div>
    <w:div w:id="1824077860">
      <w:bodyDiv w:val="1"/>
      <w:marLeft w:val="0"/>
      <w:marRight w:val="0"/>
      <w:marTop w:val="0"/>
      <w:marBottom w:val="0"/>
      <w:divBdr>
        <w:top w:val="none" w:sz="0" w:space="0" w:color="auto"/>
        <w:left w:val="none" w:sz="0" w:space="0" w:color="auto"/>
        <w:bottom w:val="none" w:sz="0" w:space="0" w:color="auto"/>
        <w:right w:val="none" w:sz="0" w:space="0" w:color="auto"/>
      </w:divBdr>
    </w:div>
    <w:div w:id="1826050583">
      <w:bodyDiv w:val="1"/>
      <w:marLeft w:val="0"/>
      <w:marRight w:val="0"/>
      <w:marTop w:val="0"/>
      <w:marBottom w:val="0"/>
      <w:divBdr>
        <w:top w:val="none" w:sz="0" w:space="0" w:color="auto"/>
        <w:left w:val="none" w:sz="0" w:space="0" w:color="auto"/>
        <w:bottom w:val="none" w:sz="0" w:space="0" w:color="auto"/>
        <w:right w:val="none" w:sz="0" w:space="0" w:color="auto"/>
      </w:divBdr>
    </w:div>
    <w:div w:id="1826362685">
      <w:bodyDiv w:val="1"/>
      <w:marLeft w:val="0"/>
      <w:marRight w:val="0"/>
      <w:marTop w:val="0"/>
      <w:marBottom w:val="0"/>
      <w:divBdr>
        <w:top w:val="none" w:sz="0" w:space="0" w:color="auto"/>
        <w:left w:val="none" w:sz="0" w:space="0" w:color="auto"/>
        <w:bottom w:val="none" w:sz="0" w:space="0" w:color="auto"/>
        <w:right w:val="none" w:sz="0" w:space="0" w:color="auto"/>
      </w:divBdr>
    </w:div>
    <w:div w:id="1826899348">
      <w:bodyDiv w:val="1"/>
      <w:marLeft w:val="0"/>
      <w:marRight w:val="0"/>
      <w:marTop w:val="0"/>
      <w:marBottom w:val="0"/>
      <w:divBdr>
        <w:top w:val="none" w:sz="0" w:space="0" w:color="auto"/>
        <w:left w:val="none" w:sz="0" w:space="0" w:color="auto"/>
        <w:bottom w:val="none" w:sz="0" w:space="0" w:color="auto"/>
        <w:right w:val="none" w:sz="0" w:space="0" w:color="auto"/>
      </w:divBdr>
    </w:div>
    <w:div w:id="1827748539">
      <w:bodyDiv w:val="1"/>
      <w:marLeft w:val="0"/>
      <w:marRight w:val="0"/>
      <w:marTop w:val="0"/>
      <w:marBottom w:val="0"/>
      <w:divBdr>
        <w:top w:val="none" w:sz="0" w:space="0" w:color="auto"/>
        <w:left w:val="none" w:sz="0" w:space="0" w:color="auto"/>
        <w:bottom w:val="none" w:sz="0" w:space="0" w:color="auto"/>
        <w:right w:val="none" w:sz="0" w:space="0" w:color="auto"/>
      </w:divBdr>
    </w:div>
    <w:div w:id="1828596920">
      <w:bodyDiv w:val="1"/>
      <w:marLeft w:val="0"/>
      <w:marRight w:val="0"/>
      <w:marTop w:val="0"/>
      <w:marBottom w:val="0"/>
      <w:divBdr>
        <w:top w:val="none" w:sz="0" w:space="0" w:color="auto"/>
        <w:left w:val="none" w:sz="0" w:space="0" w:color="auto"/>
        <w:bottom w:val="none" w:sz="0" w:space="0" w:color="auto"/>
        <w:right w:val="none" w:sz="0" w:space="0" w:color="auto"/>
      </w:divBdr>
    </w:div>
    <w:div w:id="1828979584">
      <w:bodyDiv w:val="1"/>
      <w:marLeft w:val="0"/>
      <w:marRight w:val="0"/>
      <w:marTop w:val="0"/>
      <w:marBottom w:val="0"/>
      <w:divBdr>
        <w:top w:val="none" w:sz="0" w:space="0" w:color="auto"/>
        <w:left w:val="none" w:sz="0" w:space="0" w:color="auto"/>
        <w:bottom w:val="none" w:sz="0" w:space="0" w:color="auto"/>
        <w:right w:val="none" w:sz="0" w:space="0" w:color="auto"/>
      </w:divBdr>
    </w:div>
    <w:div w:id="1829789353">
      <w:bodyDiv w:val="1"/>
      <w:marLeft w:val="0"/>
      <w:marRight w:val="0"/>
      <w:marTop w:val="0"/>
      <w:marBottom w:val="0"/>
      <w:divBdr>
        <w:top w:val="none" w:sz="0" w:space="0" w:color="auto"/>
        <w:left w:val="none" w:sz="0" w:space="0" w:color="auto"/>
        <w:bottom w:val="none" w:sz="0" w:space="0" w:color="auto"/>
        <w:right w:val="none" w:sz="0" w:space="0" w:color="auto"/>
      </w:divBdr>
    </w:div>
    <w:div w:id="1831018119">
      <w:bodyDiv w:val="1"/>
      <w:marLeft w:val="0"/>
      <w:marRight w:val="0"/>
      <w:marTop w:val="0"/>
      <w:marBottom w:val="0"/>
      <w:divBdr>
        <w:top w:val="none" w:sz="0" w:space="0" w:color="auto"/>
        <w:left w:val="none" w:sz="0" w:space="0" w:color="auto"/>
        <w:bottom w:val="none" w:sz="0" w:space="0" w:color="auto"/>
        <w:right w:val="none" w:sz="0" w:space="0" w:color="auto"/>
      </w:divBdr>
    </w:div>
    <w:div w:id="1834366999">
      <w:bodyDiv w:val="1"/>
      <w:marLeft w:val="0"/>
      <w:marRight w:val="0"/>
      <w:marTop w:val="0"/>
      <w:marBottom w:val="0"/>
      <w:divBdr>
        <w:top w:val="none" w:sz="0" w:space="0" w:color="auto"/>
        <w:left w:val="none" w:sz="0" w:space="0" w:color="auto"/>
        <w:bottom w:val="none" w:sz="0" w:space="0" w:color="auto"/>
        <w:right w:val="none" w:sz="0" w:space="0" w:color="auto"/>
      </w:divBdr>
    </w:div>
    <w:div w:id="1835299945">
      <w:bodyDiv w:val="1"/>
      <w:marLeft w:val="0"/>
      <w:marRight w:val="0"/>
      <w:marTop w:val="0"/>
      <w:marBottom w:val="0"/>
      <w:divBdr>
        <w:top w:val="none" w:sz="0" w:space="0" w:color="auto"/>
        <w:left w:val="none" w:sz="0" w:space="0" w:color="auto"/>
        <w:bottom w:val="none" w:sz="0" w:space="0" w:color="auto"/>
        <w:right w:val="none" w:sz="0" w:space="0" w:color="auto"/>
      </w:divBdr>
    </w:div>
    <w:div w:id="1837261844">
      <w:bodyDiv w:val="1"/>
      <w:marLeft w:val="0"/>
      <w:marRight w:val="0"/>
      <w:marTop w:val="0"/>
      <w:marBottom w:val="0"/>
      <w:divBdr>
        <w:top w:val="none" w:sz="0" w:space="0" w:color="auto"/>
        <w:left w:val="none" w:sz="0" w:space="0" w:color="auto"/>
        <w:bottom w:val="none" w:sz="0" w:space="0" w:color="auto"/>
        <w:right w:val="none" w:sz="0" w:space="0" w:color="auto"/>
      </w:divBdr>
    </w:div>
    <w:div w:id="1837499992">
      <w:bodyDiv w:val="1"/>
      <w:marLeft w:val="0"/>
      <w:marRight w:val="0"/>
      <w:marTop w:val="0"/>
      <w:marBottom w:val="0"/>
      <w:divBdr>
        <w:top w:val="none" w:sz="0" w:space="0" w:color="auto"/>
        <w:left w:val="none" w:sz="0" w:space="0" w:color="auto"/>
        <w:bottom w:val="none" w:sz="0" w:space="0" w:color="auto"/>
        <w:right w:val="none" w:sz="0" w:space="0" w:color="auto"/>
      </w:divBdr>
    </w:div>
    <w:div w:id="1838613024">
      <w:bodyDiv w:val="1"/>
      <w:marLeft w:val="0"/>
      <w:marRight w:val="0"/>
      <w:marTop w:val="0"/>
      <w:marBottom w:val="0"/>
      <w:divBdr>
        <w:top w:val="none" w:sz="0" w:space="0" w:color="auto"/>
        <w:left w:val="none" w:sz="0" w:space="0" w:color="auto"/>
        <w:bottom w:val="none" w:sz="0" w:space="0" w:color="auto"/>
        <w:right w:val="none" w:sz="0" w:space="0" w:color="auto"/>
      </w:divBdr>
    </w:div>
    <w:div w:id="1839926058">
      <w:bodyDiv w:val="1"/>
      <w:marLeft w:val="0"/>
      <w:marRight w:val="0"/>
      <w:marTop w:val="0"/>
      <w:marBottom w:val="0"/>
      <w:divBdr>
        <w:top w:val="none" w:sz="0" w:space="0" w:color="auto"/>
        <w:left w:val="none" w:sz="0" w:space="0" w:color="auto"/>
        <w:bottom w:val="none" w:sz="0" w:space="0" w:color="auto"/>
        <w:right w:val="none" w:sz="0" w:space="0" w:color="auto"/>
      </w:divBdr>
    </w:div>
    <w:div w:id="1840152016">
      <w:bodyDiv w:val="1"/>
      <w:marLeft w:val="0"/>
      <w:marRight w:val="0"/>
      <w:marTop w:val="0"/>
      <w:marBottom w:val="0"/>
      <w:divBdr>
        <w:top w:val="none" w:sz="0" w:space="0" w:color="auto"/>
        <w:left w:val="none" w:sz="0" w:space="0" w:color="auto"/>
        <w:bottom w:val="none" w:sz="0" w:space="0" w:color="auto"/>
        <w:right w:val="none" w:sz="0" w:space="0" w:color="auto"/>
      </w:divBdr>
    </w:div>
    <w:div w:id="1840584428">
      <w:bodyDiv w:val="1"/>
      <w:marLeft w:val="0"/>
      <w:marRight w:val="0"/>
      <w:marTop w:val="0"/>
      <w:marBottom w:val="0"/>
      <w:divBdr>
        <w:top w:val="none" w:sz="0" w:space="0" w:color="auto"/>
        <w:left w:val="none" w:sz="0" w:space="0" w:color="auto"/>
        <w:bottom w:val="none" w:sz="0" w:space="0" w:color="auto"/>
        <w:right w:val="none" w:sz="0" w:space="0" w:color="auto"/>
      </w:divBdr>
    </w:div>
    <w:div w:id="1840777113">
      <w:bodyDiv w:val="1"/>
      <w:marLeft w:val="0"/>
      <w:marRight w:val="0"/>
      <w:marTop w:val="0"/>
      <w:marBottom w:val="0"/>
      <w:divBdr>
        <w:top w:val="none" w:sz="0" w:space="0" w:color="auto"/>
        <w:left w:val="none" w:sz="0" w:space="0" w:color="auto"/>
        <w:bottom w:val="none" w:sz="0" w:space="0" w:color="auto"/>
        <w:right w:val="none" w:sz="0" w:space="0" w:color="auto"/>
      </w:divBdr>
    </w:div>
    <w:div w:id="1841000018">
      <w:bodyDiv w:val="1"/>
      <w:marLeft w:val="0"/>
      <w:marRight w:val="0"/>
      <w:marTop w:val="0"/>
      <w:marBottom w:val="0"/>
      <w:divBdr>
        <w:top w:val="none" w:sz="0" w:space="0" w:color="auto"/>
        <w:left w:val="none" w:sz="0" w:space="0" w:color="auto"/>
        <w:bottom w:val="none" w:sz="0" w:space="0" w:color="auto"/>
        <w:right w:val="none" w:sz="0" w:space="0" w:color="auto"/>
      </w:divBdr>
    </w:div>
    <w:div w:id="1842156503">
      <w:bodyDiv w:val="1"/>
      <w:marLeft w:val="0"/>
      <w:marRight w:val="0"/>
      <w:marTop w:val="0"/>
      <w:marBottom w:val="0"/>
      <w:divBdr>
        <w:top w:val="none" w:sz="0" w:space="0" w:color="auto"/>
        <w:left w:val="none" w:sz="0" w:space="0" w:color="auto"/>
        <w:bottom w:val="none" w:sz="0" w:space="0" w:color="auto"/>
        <w:right w:val="none" w:sz="0" w:space="0" w:color="auto"/>
      </w:divBdr>
    </w:div>
    <w:div w:id="1842741644">
      <w:bodyDiv w:val="1"/>
      <w:marLeft w:val="0"/>
      <w:marRight w:val="0"/>
      <w:marTop w:val="0"/>
      <w:marBottom w:val="0"/>
      <w:divBdr>
        <w:top w:val="none" w:sz="0" w:space="0" w:color="auto"/>
        <w:left w:val="none" w:sz="0" w:space="0" w:color="auto"/>
        <w:bottom w:val="none" w:sz="0" w:space="0" w:color="auto"/>
        <w:right w:val="none" w:sz="0" w:space="0" w:color="auto"/>
      </w:divBdr>
    </w:div>
    <w:div w:id="1844661715">
      <w:bodyDiv w:val="1"/>
      <w:marLeft w:val="0"/>
      <w:marRight w:val="0"/>
      <w:marTop w:val="0"/>
      <w:marBottom w:val="0"/>
      <w:divBdr>
        <w:top w:val="none" w:sz="0" w:space="0" w:color="auto"/>
        <w:left w:val="none" w:sz="0" w:space="0" w:color="auto"/>
        <w:bottom w:val="none" w:sz="0" w:space="0" w:color="auto"/>
        <w:right w:val="none" w:sz="0" w:space="0" w:color="auto"/>
      </w:divBdr>
    </w:div>
    <w:div w:id="1847015905">
      <w:bodyDiv w:val="1"/>
      <w:marLeft w:val="0"/>
      <w:marRight w:val="0"/>
      <w:marTop w:val="0"/>
      <w:marBottom w:val="0"/>
      <w:divBdr>
        <w:top w:val="none" w:sz="0" w:space="0" w:color="auto"/>
        <w:left w:val="none" w:sz="0" w:space="0" w:color="auto"/>
        <w:bottom w:val="none" w:sz="0" w:space="0" w:color="auto"/>
        <w:right w:val="none" w:sz="0" w:space="0" w:color="auto"/>
      </w:divBdr>
    </w:div>
    <w:div w:id="1848475125">
      <w:bodyDiv w:val="1"/>
      <w:marLeft w:val="0"/>
      <w:marRight w:val="0"/>
      <w:marTop w:val="0"/>
      <w:marBottom w:val="0"/>
      <w:divBdr>
        <w:top w:val="none" w:sz="0" w:space="0" w:color="auto"/>
        <w:left w:val="none" w:sz="0" w:space="0" w:color="auto"/>
        <w:bottom w:val="none" w:sz="0" w:space="0" w:color="auto"/>
        <w:right w:val="none" w:sz="0" w:space="0" w:color="auto"/>
      </w:divBdr>
    </w:div>
    <w:div w:id="1851138642">
      <w:bodyDiv w:val="1"/>
      <w:marLeft w:val="0"/>
      <w:marRight w:val="0"/>
      <w:marTop w:val="0"/>
      <w:marBottom w:val="0"/>
      <w:divBdr>
        <w:top w:val="none" w:sz="0" w:space="0" w:color="auto"/>
        <w:left w:val="none" w:sz="0" w:space="0" w:color="auto"/>
        <w:bottom w:val="none" w:sz="0" w:space="0" w:color="auto"/>
        <w:right w:val="none" w:sz="0" w:space="0" w:color="auto"/>
      </w:divBdr>
    </w:div>
    <w:div w:id="1852337003">
      <w:bodyDiv w:val="1"/>
      <w:marLeft w:val="0"/>
      <w:marRight w:val="0"/>
      <w:marTop w:val="0"/>
      <w:marBottom w:val="0"/>
      <w:divBdr>
        <w:top w:val="none" w:sz="0" w:space="0" w:color="auto"/>
        <w:left w:val="none" w:sz="0" w:space="0" w:color="auto"/>
        <w:bottom w:val="none" w:sz="0" w:space="0" w:color="auto"/>
        <w:right w:val="none" w:sz="0" w:space="0" w:color="auto"/>
      </w:divBdr>
    </w:div>
    <w:div w:id="1853102032">
      <w:bodyDiv w:val="1"/>
      <w:marLeft w:val="0"/>
      <w:marRight w:val="0"/>
      <w:marTop w:val="0"/>
      <w:marBottom w:val="0"/>
      <w:divBdr>
        <w:top w:val="none" w:sz="0" w:space="0" w:color="auto"/>
        <w:left w:val="none" w:sz="0" w:space="0" w:color="auto"/>
        <w:bottom w:val="none" w:sz="0" w:space="0" w:color="auto"/>
        <w:right w:val="none" w:sz="0" w:space="0" w:color="auto"/>
      </w:divBdr>
    </w:div>
    <w:div w:id="1853178226">
      <w:bodyDiv w:val="1"/>
      <w:marLeft w:val="0"/>
      <w:marRight w:val="0"/>
      <w:marTop w:val="0"/>
      <w:marBottom w:val="0"/>
      <w:divBdr>
        <w:top w:val="none" w:sz="0" w:space="0" w:color="auto"/>
        <w:left w:val="none" w:sz="0" w:space="0" w:color="auto"/>
        <w:bottom w:val="none" w:sz="0" w:space="0" w:color="auto"/>
        <w:right w:val="none" w:sz="0" w:space="0" w:color="auto"/>
      </w:divBdr>
    </w:div>
    <w:div w:id="1854148993">
      <w:bodyDiv w:val="1"/>
      <w:marLeft w:val="0"/>
      <w:marRight w:val="0"/>
      <w:marTop w:val="0"/>
      <w:marBottom w:val="0"/>
      <w:divBdr>
        <w:top w:val="none" w:sz="0" w:space="0" w:color="auto"/>
        <w:left w:val="none" w:sz="0" w:space="0" w:color="auto"/>
        <w:bottom w:val="none" w:sz="0" w:space="0" w:color="auto"/>
        <w:right w:val="none" w:sz="0" w:space="0" w:color="auto"/>
      </w:divBdr>
    </w:div>
    <w:div w:id="1854568562">
      <w:bodyDiv w:val="1"/>
      <w:marLeft w:val="0"/>
      <w:marRight w:val="0"/>
      <w:marTop w:val="0"/>
      <w:marBottom w:val="0"/>
      <w:divBdr>
        <w:top w:val="none" w:sz="0" w:space="0" w:color="auto"/>
        <w:left w:val="none" w:sz="0" w:space="0" w:color="auto"/>
        <w:bottom w:val="none" w:sz="0" w:space="0" w:color="auto"/>
        <w:right w:val="none" w:sz="0" w:space="0" w:color="auto"/>
      </w:divBdr>
    </w:div>
    <w:div w:id="1854763599">
      <w:bodyDiv w:val="1"/>
      <w:marLeft w:val="0"/>
      <w:marRight w:val="0"/>
      <w:marTop w:val="0"/>
      <w:marBottom w:val="0"/>
      <w:divBdr>
        <w:top w:val="none" w:sz="0" w:space="0" w:color="auto"/>
        <w:left w:val="none" w:sz="0" w:space="0" w:color="auto"/>
        <w:bottom w:val="none" w:sz="0" w:space="0" w:color="auto"/>
        <w:right w:val="none" w:sz="0" w:space="0" w:color="auto"/>
      </w:divBdr>
    </w:div>
    <w:div w:id="1856264848">
      <w:bodyDiv w:val="1"/>
      <w:marLeft w:val="0"/>
      <w:marRight w:val="0"/>
      <w:marTop w:val="0"/>
      <w:marBottom w:val="0"/>
      <w:divBdr>
        <w:top w:val="none" w:sz="0" w:space="0" w:color="auto"/>
        <w:left w:val="none" w:sz="0" w:space="0" w:color="auto"/>
        <w:bottom w:val="none" w:sz="0" w:space="0" w:color="auto"/>
        <w:right w:val="none" w:sz="0" w:space="0" w:color="auto"/>
      </w:divBdr>
    </w:div>
    <w:div w:id="1858082651">
      <w:bodyDiv w:val="1"/>
      <w:marLeft w:val="0"/>
      <w:marRight w:val="0"/>
      <w:marTop w:val="0"/>
      <w:marBottom w:val="0"/>
      <w:divBdr>
        <w:top w:val="none" w:sz="0" w:space="0" w:color="auto"/>
        <w:left w:val="none" w:sz="0" w:space="0" w:color="auto"/>
        <w:bottom w:val="none" w:sz="0" w:space="0" w:color="auto"/>
        <w:right w:val="none" w:sz="0" w:space="0" w:color="auto"/>
      </w:divBdr>
    </w:div>
    <w:div w:id="1858615154">
      <w:bodyDiv w:val="1"/>
      <w:marLeft w:val="0"/>
      <w:marRight w:val="0"/>
      <w:marTop w:val="0"/>
      <w:marBottom w:val="0"/>
      <w:divBdr>
        <w:top w:val="none" w:sz="0" w:space="0" w:color="auto"/>
        <w:left w:val="none" w:sz="0" w:space="0" w:color="auto"/>
        <w:bottom w:val="none" w:sz="0" w:space="0" w:color="auto"/>
        <w:right w:val="none" w:sz="0" w:space="0" w:color="auto"/>
      </w:divBdr>
    </w:div>
    <w:div w:id="1858688844">
      <w:bodyDiv w:val="1"/>
      <w:marLeft w:val="0"/>
      <w:marRight w:val="0"/>
      <w:marTop w:val="0"/>
      <w:marBottom w:val="0"/>
      <w:divBdr>
        <w:top w:val="none" w:sz="0" w:space="0" w:color="auto"/>
        <w:left w:val="none" w:sz="0" w:space="0" w:color="auto"/>
        <w:bottom w:val="none" w:sz="0" w:space="0" w:color="auto"/>
        <w:right w:val="none" w:sz="0" w:space="0" w:color="auto"/>
      </w:divBdr>
    </w:div>
    <w:div w:id="1860003328">
      <w:bodyDiv w:val="1"/>
      <w:marLeft w:val="0"/>
      <w:marRight w:val="0"/>
      <w:marTop w:val="0"/>
      <w:marBottom w:val="0"/>
      <w:divBdr>
        <w:top w:val="none" w:sz="0" w:space="0" w:color="auto"/>
        <w:left w:val="none" w:sz="0" w:space="0" w:color="auto"/>
        <w:bottom w:val="none" w:sz="0" w:space="0" w:color="auto"/>
        <w:right w:val="none" w:sz="0" w:space="0" w:color="auto"/>
      </w:divBdr>
    </w:div>
    <w:div w:id="1860584230">
      <w:bodyDiv w:val="1"/>
      <w:marLeft w:val="0"/>
      <w:marRight w:val="0"/>
      <w:marTop w:val="0"/>
      <w:marBottom w:val="0"/>
      <w:divBdr>
        <w:top w:val="none" w:sz="0" w:space="0" w:color="auto"/>
        <w:left w:val="none" w:sz="0" w:space="0" w:color="auto"/>
        <w:bottom w:val="none" w:sz="0" w:space="0" w:color="auto"/>
        <w:right w:val="none" w:sz="0" w:space="0" w:color="auto"/>
      </w:divBdr>
    </w:div>
    <w:div w:id="1860968310">
      <w:bodyDiv w:val="1"/>
      <w:marLeft w:val="0"/>
      <w:marRight w:val="0"/>
      <w:marTop w:val="0"/>
      <w:marBottom w:val="0"/>
      <w:divBdr>
        <w:top w:val="none" w:sz="0" w:space="0" w:color="auto"/>
        <w:left w:val="none" w:sz="0" w:space="0" w:color="auto"/>
        <w:bottom w:val="none" w:sz="0" w:space="0" w:color="auto"/>
        <w:right w:val="none" w:sz="0" w:space="0" w:color="auto"/>
      </w:divBdr>
    </w:div>
    <w:div w:id="1862624137">
      <w:bodyDiv w:val="1"/>
      <w:marLeft w:val="0"/>
      <w:marRight w:val="0"/>
      <w:marTop w:val="0"/>
      <w:marBottom w:val="0"/>
      <w:divBdr>
        <w:top w:val="none" w:sz="0" w:space="0" w:color="auto"/>
        <w:left w:val="none" w:sz="0" w:space="0" w:color="auto"/>
        <w:bottom w:val="none" w:sz="0" w:space="0" w:color="auto"/>
        <w:right w:val="none" w:sz="0" w:space="0" w:color="auto"/>
      </w:divBdr>
    </w:div>
    <w:div w:id="1863127893">
      <w:bodyDiv w:val="1"/>
      <w:marLeft w:val="0"/>
      <w:marRight w:val="0"/>
      <w:marTop w:val="0"/>
      <w:marBottom w:val="0"/>
      <w:divBdr>
        <w:top w:val="none" w:sz="0" w:space="0" w:color="auto"/>
        <w:left w:val="none" w:sz="0" w:space="0" w:color="auto"/>
        <w:bottom w:val="none" w:sz="0" w:space="0" w:color="auto"/>
        <w:right w:val="none" w:sz="0" w:space="0" w:color="auto"/>
      </w:divBdr>
    </w:div>
    <w:div w:id="1866747846">
      <w:bodyDiv w:val="1"/>
      <w:marLeft w:val="0"/>
      <w:marRight w:val="0"/>
      <w:marTop w:val="0"/>
      <w:marBottom w:val="0"/>
      <w:divBdr>
        <w:top w:val="none" w:sz="0" w:space="0" w:color="auto"/>
        <w:left w:val="none" w:sz="0" w:space="0" w:color="auto"/>
        <w:bottom w:val="none" w:sz="0" w:space="0" w:color="auto"/>
        <w:right w:val="none" w:sz="0" w:space="0" w:color="auto"/>
      </w:divBdr>
    </w:div>
    <w:div w:id="1868325848">
      <w:bodyDiv w:val="1"/>
      <w:marLeft w:val="0"/>
      <w:marRight w:val="0"/>
      <w:marTop w:val="0"/>
      <w:marBottom w:val="0"/>
      <w:divBdr>
        <w:top w:val="none" w:sz="0" w:space="0" w:color="auto"/>
        <w:left w:val="none" w:sz="0" w:space="0" w:color="auto"/>
        <w:bottom w:val="none" w:sz="0" w:space="0" w:color="auto"/>
        <w:right w:val="none" w:sz="0" w:space="0" w:color="auto"/>
      </w:divBdr>
    </w:div>
    <w:div w:id="1869369086">
      <w:bodyDiv w:val="1"/>
      <w:marLeft w:val="0"/>
      <w:marRight w:val="0"/>
      <w:marTop w:val="0"/>
      <w:marBottom w:val="0"/>
      <w:divBdr>
        <w:top w:val="none" w:sz="0" w:space="0" w:color="auto"/>
        <w:left w:val="none" w:sz="0" w:space="0" w:color="auto"/>
        <w:bottom w:val="none" w:sz="0" w:space="0" w:color="auto"/>
        <w:right w:val="none" w:sz="0" w:space="0" w:color="auto"/>
      </w:divBdr>
    </w:div>
    <w:div w:id="1869635677">
      <w:bodyDiv w:val="1"/>
      <w:marLeft w:val="0"/>
      <w:marRight w:val="0"/>
      <w:marTop w:val="0"/>
      <w:marBottom w:val="0"/>
      <w:divBdr>
        <w:top w:val="none" w:sz="0" w:space="0" w:color="auto"/>
        <w:left w:val="none" w:sz="0" w:space="0" w:color="auto"/>
        <w:bottom w:val="none" w:sz="0" w:space="0" w:color="auto"/>
        <w:right w:val="none" w:sz="0" w:space="0" w:color="auto"/>
      </w:divBdr>
    </w:div>
    <w:div w:id="1874610393">
      <w:bodyDiv w:val="1"/>
      <w:marLeft w:val="0"/>
      <w:marRight w:val="0"/>
      <w:marTop w:val="0"/>
      <w:marBottom w:val="0"/>
      <w:divBdr>
        <w:top w:val="none" w:sz="0" w:space="0" w:color="auto"/>
        <w:left w:val="none" w:sz="0" w:space="0" w:color="auto"/>
        <w:bottom w:val="none" w:sz="0" w:space="0" w:color="auto"/>
        <w:right w:val="none" w:sz="0" w:space="0" w:color="auto"/>
      </w:divBdr>
    </w:div>
    <w:div w:id="1876889869">
      <w:bodyDiv w:val="1"/>
      <w:marLeft w:val="0"/>
      <w:marRight w:val="0"/>
      <w:marTop w:val="0"/>
      <w:marBottom w:val="0"/>
      <w:divBdr>
        <w:top w:val="none" w:sz="0" w:space="0" w:color="auto"/>
        <w:left w:val="none" w:sz="0" w:space="0" w:color="auto"/>
        <w:bottom w:val="none" w:sz="0" w:space="0" w:color="auto"/>
        <w:right w:val="none" w:sz="0" w:space="0" w:color="auto"/>
      </w:divBdr>
    </w:div>
    <w:div w:id="1877035969">
      <w:bodyDiv w:val="1"/>
      <w:marLeft w:val="0"/>
      <w:marRight w:val="0"/>
      <w:marTop w:val="0"/>
      <w:marBottom w:val="0"/>
      <w:divBdr>
        <w:top w:val="none" w:sz="0" w:space="0" w:color="auto"/>
        <w:left w:val="none" w:sz="0" w:space="0" w:color="auto"/>
        <w:bottom w:val="none" w:sz="0" w:space="0" w:color="auto"/>
        <w:right w:val="none" w:sz="0" w:space="0" w:color="auto"/>
      </w:divBdr>
    </w:div>
    <w:div w:id="1879973360">
      <w:bodyDiv w:val="1"/>
      <w:marLeft w:val="0"/>
      <w:marRight w:val="0"/>
      <w:marTop w:val="0"/>
      <w:marBottom w:val="0"/>
      <w:divBdr>
        <w:top w:val="none" w:sz="0" w:space="0" w:color="auto"/>
        <w:left w:val="none" w:sz="0" w:space="0" w:color="auto"/>
        <w:bottom w:val="none" w:sz="0" w:space="0" w:color="auto"/>
        <w:right w:val="none" w:sz="0" w:space="0" w:color="auto"/>
      </w:divBdr>
    </w:div>
    <w:div w:id="1880433867">
      <w:bodyDiv w:val="1"/>
      <w:marLeft w:val="0"/>
      <w:marRight w:val="0"/>
      <w:marTop w:val="0"/>
      <w:marBottom w:val="0"/>
      <w:divBdr>
        <w:top w:val="none" w:sz="0" w:space="0" w:color="auto"/>
        <w:left w:val="none" w:sz="0" w:space="0" w:color="auto"/>
        <w:bottom w:val="none" w:sz="0" w:space="0" w:color="auto"/>
        <w:right w:val="none" w:sz="0" w:space="0" w:color="auto"/>
      </w:divBdr>
    </w:div>
    <w:div w:id="1881673476">
      <w:bodyDiv w:val="1"/>
      <w:marLeft w:val="0"/>
      <w:marRight w:val="0"/>
      <w:marTop w:val="0"/>
      <w:marBottom w:val="0"/>
      <w:divBdr>
        <w:top w:val="none" w:sz="0" w:space="0" w:color="auto"/>
        <w:left w:val="none" w:sz="0" w:space="0" w:color="auto"/>
        <w:bottom w:val="none" w:sz="0" w:space="0" w:color="auto"/>
        <w:right w:val="none" w:sz="0" w:space="0" w:color="auto"/>
      </w:divBdr>
    </w:div>
    <w:div w:id="1881749040">
      <w:bodyDiv w:val="1"/>
      <w:marLeft w:val="0"/>
      <w:marRight w:val="0"/>
      <w:marTop w:val="0"/>
      <w:marBottom w:val="0"/>
      <w:divBdr>
        <w:top w:val="none" w:sz="0" w:space="0" w:color="auto"/>
        <w:left w:val="none" w:sz="0" w:space="0" w:color="auto"/>
        <w:bottom w:val="none" w:sz="0" w:space="0" w:color="auto"/>
        <w:right w:val="none" w:sz="0" w:space="0" w:color="auto"/>
      </w:divBdr>
    </w:div>
    <w:div w:id="1887063579">
      <w:bodyDiv w:val="1"/>
      <w:marLeft w:val="0"/>
      <w:marRight w:val="0"/>
      <w:marTop w:val="0"/>
      <w:marBottom w:val="0"/>
      <w:divBdr>
        <w:top w:val="none" w:sz="0" w:space="0" w:color="auto"/>
        <w:left w:val="none" w:sz="0" w:space="0" w:color="auto"/>
        <w:bottom w:val="none" w:sz="0" w:space="0" w:color="auto"/>
        <w:right w:val="none" w:sz="0" w:space="0" w:color="auto"/>
      </w:divBdr>
    </w:div>
    <w:div w:id="1887403844">
      <w:bodyDiv w:val="1"/>
      <w:marLeft w:val="0"/>
      <w:marRight w:val="0"/>
      <w:marTop w:val="0"/>
      <w:marBottom w:val="0"/>
      <w:divBdr>
        <w:top w:val="none" w:sz="0" w:space="0" w:color="auto"/>
        <w:left w:val="none" w:sz="0" w:space="0" w:color="auto"/>
        <w:bottom w:val="none" w:sz="0" w:space="0" w:color="auto"/>
        <w:right w:val="none" w:sz="0" w:space="0" w:color="auto"/>
      </w:divBdr>
    </w:div>
    <w:div w:id="1887522620">
      <w:bodyDiv w:val="1"/>
      <w:marLeft w:val="0"/>
      <w:marRight w:val="0"/>
      <w:marTop w:val="0"/>
      <w:marBottom w:val="0"/>
      <w:divBdr>
        <w:top w:val="none" w:sz="0" w:space="0" w:color="auto"/>
        <w:left w:val="none" w:sz="0" w:space="0" w:color="auto"/>
        <w:bottom w:val="none" w:sz="0" w:space="0" w:color="auto"/>
        <w:right w:val="none" w:sz="0" w:space="0" w:color="auto"/>
      </w:divBdr>
    </w:div>
    <w:div w:id="1889141005">
      <w:bodyDiv w:val="1"/>
      <w:marLeft w:val="0"/>
      <w:marRight w:val="0"/>
      <w:marTop w:val="0"/>
      <w:marBottom w:val="0"/>
      <w:divBdr>
        <w:top w:val="none" w:sz="0" w:space="0" w:color="auto"/>
        <w:left w:val="none" w:sz="0" w:space="0" w:color="auto"/>
        <w:bottom w:val="none" w:sz="0" w:space="0" w:color="auto"/>
        <w:right w:val="none" w:sz="0" w:space="0" w:color="auto"/>
      </w:divBdr>
    </w:div>
    <w:div w:id="1889680271">
      <w:bodyDiv w:val="1"/>
      <w:marLeft w:val="0"/>
      <w:marRight w:val="0"/>
      <w:marTop w:val="0"/>
      <w:marBottom w:val="0"/>
      <w:divBdr>
        <w:top w:val="none" w:sz="0" w:space="0" w:color="auto"/>
        <w:left w:val="none" w:sz="0" w:space="0" w:color="auto"/>
        <w:bottom w:val="none" w:sz="0" w:space="0" w:color="auto"/>
        <w:right w:val="none" w:sz="0" w:space="0" w:color="auto"/>
      </w:divBdr>
    </w:div>
    <w:div w:id="1889688015">
      <w:bodyDiv w:val="1"/>
      <w:marLeft w:val="0"/>
      <w:marRight w:val="0"/>
      <w:marTop w:val="0"/>
      <w:marBottom w:val="0"/>
      <w:divBdr>
        <w:top w:val="none" w:sz="0" w:space="0" w:color="auto"/>
        <w:left w:val="none" w:sz="0" w:space="0" w:color="auto"/>
        <w:bottom w:val="none" w:sz="0" w:space="0" w:color="auto"/>
        <w:right w:val="none" w:sz="0" w:space="0" w:color="auto"/>
      </w:divBdr>
    </w:div>
    <w:div w:id="1889804873">
      <w:bodyDiv w:val="1"/>
      <w:marLeft w:val="0"/>
      <w:marRight w:val="0"/>
      <w:marTop w:val="0"/>
      <w:marBottom w:val="0"/>
      <w:divBdr>
        <w:top w:val="none" w:sz="0" w:space="0" w:color="auto"/>
        <w:left w:val="none" w:sz="0" w:space="0" w:color="auto"/>
        <w:bottom w:val="none" w:sz="0" w:space="0" w:color="auto"/>
        <w:right w:val="none" w:sz="0" w:space="0" w:color="auto"/>
      </w:divBdr>
    </w:div>
    <w:div w:id="1890648680">
      <w:bodyDiv w:val="1"/>
      <w:marLeft w:val="0"/>
      <w:marRight w:val="0"/>
      <w:marTop w:val="0"/>
      <w:marBottom w:val="0"/>
      <w:divBdr>
        <w:top w:val="none" w:sz="0" w:space="0" w:color="auto"/>
        <w:left w:val="none" w:sz="0" w:space="0" w:color="auto"/>
        <w:bottom w:val="none" w:sz="0" w:space="0" w:color="auto"/>
        <w:right w:val="none" w:sz="0" w:space="0" w:color="auto"/>
      </w:divBdr>
    </w:div>
    <w:div w:id="1891383063">
      <w:bodyDiv w:val="1"/>
      <w:marLeft w:val="0"/>
      <w:marRight w:val="0"/>
      <w:marTop w:val="0"/>
      <w:marBottom w:val="0"/>
      <w:divBdr>
        <w:top w:val="none" w:sz="0" w:space="0" w:color="auto"/>
        <w:left w:val="none" w:sz="0" w:space="0" w:color="auto"/>
        <w:bottom w:val="none" w:sz="0" w:space="0" w:color="auto"/>
        <w:right w:val="none" w:sz="0" w:space="0" w:color="auto"/>
      </w:divBdr>
    </w:div>
    <w:div w:id="1892886468">
      <w:bodyDiv w:val="1"/>
      <w:marLeft w:val="0"/>
      <w:marRight w:val="0"/>
      <w:marTop w:val="0"/>
      <w:marBottom w:val="0"/>
      <w:divBdr>
        <w:top w:val="none" w:sz="0" w:space="0" w:color="auto"/>
        <w:left w:val="none" w:sz="0" w:space="0" w:color="auto"/>
        <w:bottom w:val="none" w:sz="0" w:space="0" w:color="auto"/>
        <w:right w:val="none" w:sz="0" w:space="0" w:color="auto"/>
      </w:divBdr>
    </w:div>
    <w:div w:id="1893809685">
      <w:bodyDiv w:val="1"/>
      <w:marLeft w:val="0"/>
      <w:marRight w:val="0"/>
      <w:marTop w:val="0"/>
      <w:marBottom w:val="0"/>
      <w:divBdr>
        <w:top w:val="none" w:sz="0" w:space="0" w:color="auto"/>
        <w:left w:val="none" w:sz="0" w:space="0" w:color="auto"/>
        <w:bottom w:val="none" w:sz="0" w:space="0" w:color="auto"/>
        <w:right w:val="none" w:sz="0" w:space="0" w:color="auto"/>
      </w:divBdr>
    </w:div>
    <w:div w:id="1894804112">
      <w:bodyDiv w:val="1"/>
      <w:marLeft w:val="0"/>
      <w:marRight w:val="0"/>
      <w:marTop w:val="0"/>
      <w:marBottom w:val="0"/>
      <w:divBdr>
        <w:top w:val="none" w:sz="0" w:space="0" w:color="auto"/>
        <w:left w:val="none" w:sz="0" w:space="0" w:color="auto"/>
        <w:bottom w:val="none" w:sz="0" w:space="0" w:color="auto"/>
        <w:right w:val="none" w:sz="0" w:space="0" w:color="auto"/>
      </w:divBdr>
    </w:div>
    <w:div w:id="1895461449">
      <w:bodyDiv w:val="1"/>
      <w:marLeft w:val="0"/>
      <w:marRight w:val="0"/>
      <w:marTop w:val="0"/>
      <w:marBottom w:val="0"/>
      <w:divBdr>
        <w:top w:val="none" w:sz="0" w:space="0" w:color="auto"/>
        <w:left w:val="none" w:sz="0" w:space="0" w:color="auto"/>
        <w:bottom w:val="none" w:sz="0" w:space="0" w:color="auto"/>
        <w:right w:val="none" w:sz="0" w:space="0" w:color="auto"/>
      </w:divBdr>
    </w:div>
    <w:div w:id="1895696267">
      <w:bodyDiv w:val="1"/>
      <w:marLeft w:val="0"/>
      <w:marRight w:val="0"/>
      <w:marTop w:val="0"/>
      <w:marBottom w:val="0"/>
      <w:divBdr>
        <w:top w:val="none" w:sz="0" w:space="0" w:color="auto"/>
        <w:left w:val="none" w:sz="0" w:space="0" w:color="auto"/>
        <w:bottom w:val="none" w:sz="0" w:space="0" w:color="auto"/>
        <w:right w:val="none" w:sz="0" w:space="0" w:color="auto"/>
      </w:divBdr>
    </w:div>
    <w:div w:id="1896240554">
      <w:bodyDiv w:val="1"/>
      <w:marLeft w:val="0"/>
      <w:marRight w:val="0"/>
      <w:marTop w:val="0"/>
      <w:marBottom w:val="0"/>
      <w:divBdr>
        <w:top w:val="none" w:sz="0" w:space="0" w:color="auto"/>
        <w:left w:val="none" w:sz="0" w:space="0" w:color="auto"/>
        <w:bottom w:val="none" w:sz="0" w:space="0" w:color="auto"/>
        <w:right w:val="none" w:sz="0" w:space="0" w:color="auto"/>
      </w:divBdr>
    </w:div>
    <w:div w:id="1897202209">
      <w:bodyDiv w:val="1"/>
      <w:marLeft w:val="0"/>
      <w:marRight w:val="0"/>
      <w:marTop w:val="0"/>
      <w:marBottom w:val="0"/>
      <w:divBdr>
        <w:top w:val="none" w:sz="0" w:space="0" w:color="auto"/>
        <w:left w:val="none" w:sz="0" w:space="0" w:color="auto"/>
        <w:bottom w:val="none" w:sz="0" w:space="0" w:color="auto"/>
        <w:right w:val="none" w:sz="0" w:space="0" w:color="auto"/>
      </w:divBdr>
    </w:div>
    <w:div w:id="1897664598">
      <w:bodyDiv w:val="1"/>
      <w:marLeft w:val="0"/>
      <w:marRight w:val="0"/>
      <w:marTop w:val="0"/>
      <w:marBottom w:val="0"/>
      <w:divBdr>
        <w:top w:val="none" w:sz="0" w:space="0" w:color="auto"/>
        <w:left w:val="none" w:sz="0" w:space="0" w:color="auto"/>
        <w:bottom w:val="none" w:sz="0" w:space="0" w:color="auto"/>
        <w:right w:val="none" w:sz="0" w:space="0" w:color="auto"/>
      </w:divBdr>
    </w:div>
    <w:div w:id="1898053908">
      <w:bodyDiv w:val="1"/>
      <w:marLeft w:val="0"/>
      <w:marRight w:val="0"/>
      <w:marTop w:val="0"/>
      <w:marBottom w:val="0"/>
      <w:divBdr>
        <w:top w:val="none" w:sz="0" w:space="0" w:color="auto"/>
        <w:left w:val="none" w:sz="0" w:space="0" w:color="auto"/>
        <w:bottom w:val="none" w:sz="0" w:space="0" w:color="auto"/>
        <w:right w:val="none" w:sz="0" w:space="0" w:color="auto"/>
      </w:divBdr>
    </w:div>
    <w:div w:id="1898544907">
      <w:bodyDiv w:val="1"/>
      <w:marLeft w:val="0"/>
      <w:marRight w:val="0"/>
      <w:marTop w:val="0"/>
      <w:marBottom w:val="0"/>
      <w:divBdr>
        <w:top w:val="none" w:sz="0" w:space="0" w:color="auto"/>
        <w:left w:val="none" w:sz="0" w:space="0" w:color="auto"/>
        <w:bottom w:val="none" w:sz="0" w:space="0" w:color="auto"/>
        <w:right w:val="none" w:sz="0" w:space="0" w:color="auto"/>
      </w:divBdr>
    </w:div>
    <w:div w:id="1900359368">
      <w:bodyDiv w:val="1"/>
      <w:marLeft w:val="0"/>
      <w:marRight w:val="0"/>
      <w:marTop w:val="0"/>
      <w:marBottom w:val="0"/>
      <w:divBdr>
        <w:top w:val="none" w:sz="0" w:space="0" w:color="auto"/>
        <w:left w:val="none" w:sz="0" w:space="0" w:color="auto"/>
        <w:bottom w:val="none" w:sz="0" w:space="0" w:color="auto"/>
        <w:right w:val="none" w:sz="0" w:space="0" w:color="auto"/>
      </w:divBdr>
    </w:div>
    <w:div w:id="1901164837">
      <w:bodyDiv w:val="1"/>
      <w:marLeft w:val="0"/>
      <w:marRight w:val="0"/>
      <w:marTop w:val="0"/>
      <w:marBottom w:val="0"/>
      <w:divBdr>
        <w:top w:val="none" w:sz="0" w:space="0" w:color="auto"/>
        <w:left w:val="none" w:sz="0" w:space="0" w:color="auto"/>
        <w:bottom w:val="none" w:sz="0" w:space="0" w:color="auto"/>
        <w:right w:val="none" w:sz="0" w:space="0" w:color="auto"/>
      </w:divBdr>
    </w:div>
    <w:div w:id="1902519947">
      <w:bodyDiv w:val="1"/>
      <w:marLeft w:val="0"/>
      <w:marRight w:val="0"/>
      <w:marTop w:val="0"/>
      <w:marBottom w:val="0"/>
      <w:divBdr>
        <w:top w:val="none" w:sz="0" w:space="0" w:color="auto"/>
        <w:left w:val="none" w:sz="0" w:space="0" w:color="auto"/>
        <w:bottom w:val="none" w:sz="0" w:space="0" w:color="auto"/>
        <w:right w:val="none" w:sz="0" w:space="0" w:color="auto"/>
      </w:divBdr>
    </w:div>
    <w:div w:id="1902867228">
      <w:bodyDiv w:val="1"/>
      <w:marLeft w:val="0"/>
      <w:marRight w:val="0"/>
      <w:marTop w:val="0"/>
      <w:marBottom w:val="0"/>
      <w:divBdr>
        <w:top w:val="none" w:sz="0" w:space="0" w:color="auto"/>
        <w:left w:val="none" w:sz="0" w:space="0" w:color="auto"/>
        <w:bottom w:val="none" w:sz="0" w:space="0" w:color="auto"/>
        <w:right w:val="none" w:sz="0" w:space="0" w:color="auto"/>
      </w:divBdr>
    </w:div>
    <w:div w:id="1902983070">
      <w:bodyDiv w:val="1"/>
      <w:marLeft w:val="0"/>
      <w:marRight w:val="0"/>
      <w:marTop w:val="0"/>
      <w:marBottom w:val="0"/>
      <w:divBdr>
        <w:top w:val="none" w:sz="0" w:space="0" w:color="auto"/>
        <w:left w:val="none" w:sz="0" w:space="0" w:color="auto"/>
        <w:bottom w:val="none" w:sz="0" w:space="0" w:color="auto"/>
        <w:right w:val="none" w:sz="0" w:space="0" w:color="auto"/>
      </w:divBdr>
    </w:div>
    <w:div w:id="1905947675">
      <w:bodyDiv w:val="1"/>
      <w:marLeft w:val="0"/>
      <w:marRight w:val="0"/>
      <w:marTop w:val="0"/>
      <w:marBottom w:val="0"/>
      <w:divBdr>
        <w:top w:val="none" w:sz="0" w:space="0" w:color="auto"/>
        <w:left w:val="none" w:sz="0" w:space="0" w:color="auto"/>
        <w:bottom w:val="none" w:sz="0" w:space="0" w:color="auto"/>
        <w:right w:val="none" w:sz="0" w:space="0" w:color="auto"/>
      </w:divBdr>
    </w:div>
    <w:div w:id="1907837992">
      <w:bodyDiv w:val="1"/>
      <w:marLeft w:val="0"/>
      <w:marRight w:val="0"/>
      <w:marTop w:val="0"/>
      <w:marBottom w:val="0"/>
      <w:divBdr>
        <w:top w:val="none" w:sz="0" w:space="0" w:color="auto"/>
        <w:left w:val="none" w:sz="0" w:space="0" w:color="auto"/>
        <w:bottom w:val="none" w:sz="0" w:space="0" w:color="auto"/>
        <w:right w:val="none" w:sz="0" w:space="0" w:color="auto"/>
      </w:divBdr>
    </w:div>
    <w:div w:id="1908105316">
      <w:bodyDiv w:val="1"/>
      <w:marLeft w:val="0"/>
      <w:marRight w:val="0"/>
      <w:marTop w:val="0"/>
      <w:marBottom w:val="0"/>
      <w:divBdr>
        <w:top w:val="none" w:sz="0" w:space="0" w:color="auto"/>
        <w:left w:val="none" w:sz="0" w:space="0" w:color="auto"/>
        <w:bottom w:val="none" w:sz="0" w:space="0" w:color="auto"/>
        <w:right w:val="none" w:sz="0" w:space="0" w:color="auto"/>
      </w:divBdr>
    </w:div>
    <w:div w:id="1909029442">
      <w:bodyDiv w:val="1"/>
      <w:marLeft w:val="0"/>
      <w:marRight w:val="0"/>
      <w:marTop w:val="0"/>
      <w:marBottom w:val="0"/>
      <w:divBdr>
        <w:top w:val="none" w:sz="0" w:space="0" w:color="auto"/>
        <w:left w:val="none" w:sz="0" w:space="0" w:color="auto"/>
        <w:bottom w:val="none" w:sz="0" w:space="0" w:color="auto"/>
        <w:right w:val="none" w:sz="0" w:space="0" w:color="auto"/>
      </w:divBdr>
    </w:div>
    <w:div w:id="1909068373">
      <w:bodyDiv w:val="1"/>
      <w:marLeft w:val="0"/>
      <w:marRight w:val="0"/>
      <w:marTop w:val="0"/>
      <w:marBottom w:val="0"/>
      <w:divBdr>
        <w:top w:val="none" w:sz="0" w:space="0" w:color="auto"/>
        <w:left w:val="none" w:sz="0" w:space="0" w:color="auto"/>
        <w:bottom w:val="none" w:sz="0" w:space="0" w:color="auto"/>
        <w:right w:val="none" w:sz="0" w:space="0" w:color="auto"/>
      </w:divBdr>
    </w:div>
    <w:div w:id="1909149952">
      <w:bodyDiv w:val="1"/>
      <w:marLeft w:val="0"/>
      <w:marRight w:val="0"/>
      <w:marTop w:val="0"/>
      <w:marBottom w:val="0"/>
      <w:divBdr>
        <w:top w:val="none" w:sz="0" w:space="0" w:color="auto"/>
        <w:left w:val="none" w:sz="0" w:space="0" w:color="auto"/>
        <w:bottom w:val="none" w:sz="0" w:space="0" w:color="auto"/>
        <w:right w:val="none" w:sz="0" w:space="0" w:color="auto"/>
      </w:divBdr>
    </w:div>
    <w:div w:id="1909416029">
      <w:bodyDiv w:val="1"/>
      <w:marLeft w:val="0"/>
      <w:marRight w:val="0"/>
      <w:marTop w:val="0"/>
      <w:marBottom w:val="0"/>
      <w:divBdr>
        <w:top w:val="none" w:sz="0" w:space="0" w:color="auto"/>
        <w:left w:val="none" w:sz="0" w:space="0" w:color="auto"/>
        <w:bottom w:val="none" w:sz="0" w:space="0" w:color="auto"/>
        <w:right w:val="none" w:sz="0" w:space="0" w:color="auto"/>
      </w:divBdr>
    </w:div>
    <w:div w:id="1910192255">
      <w:bodyDiv w:val="1"/>
      <w:marLeft w:val="0"/>
      <w:marRight w:val="0"/>
      <w:marTop w:val="0"/>
      <w:marBottom w:val="0"/>
      <w:divBdr>
        <w:top w:val="none" w:sz="0" w:space="0" w:color="auto"/>
        <w:left w:val="none" w:sz="0" w:space="0" w:color="auto"/>
        <w:bottom w:val="none" w:sz="0" w:space="0" w:color="auto"/>
        <w:right w:val="none" w:sz="0" w:space="0" w:color="auto"/>
      </w:divBdr>
    </w:div>
    <w:div w:id="1913081492">
      <w:bodyDiv w:val="1"/>
      <w:marLeft w:val="0"/>
      <w:marRight w:val="0"/>
      <w:marTop w:val="0"/>
      <w:marBottom w:val="0"/>
      <w:divBdr>
        <w:top w:val="none" w:sz="0" w:space="0" w:color="auto"/>
        <w:left w:val="none" w:sz="0" w:space="0" w:color="auto"/>
        <w:bottom w:val="none" w:sz="0" w:space="0" w:color="auto"/>
        <w:right w:val="none" w:sz="0" w:space="0" w:color="auto"/>
      </w:divBdr>
    </w:div>
    <w:div w:id="1913391264">
      <w:bodyDiv w:val="1"/>
      <w:marLeft w:val="0"/>
      <w:marRight w:val="0"/>
      <w:marTop w:val="0"/>
      <w:marBottom w:val="0"/>
      <w:divBdr>
        <w:top w:val="none" w:sz="0" w:space="0" w:color="auto"/>
        <w:left w:val="none" w:sz="0" w:space="0" w:color="auto"/>
        <w:bottom w:val="none" w:sz="0" w:space="0" w:color="auto"/>
        <w:right w:val="none" w:sz="0" w:space="0" w:color="auto"/>
      </w:divBdr>
    </w:div>
    <w:div w:id="1913732280">
      <w:bodyDiv w:val="1"/>
      <w:marLeft w:val="0"/>
      <w:marRight w:val="0"/>
      <w:marTop w:val="0"/>
      <w:marBottom w:val="0"/>
      <w:divBdr>
        <w:top w:val="none" w:sz="0" w:space="0" w:color="auto"/>
        <w:left w:val="none" w:sz="0" w:space="0" w:color="auto"/>
        <w:bottom w:val="none" w:sz="0" w:space="0" w:color="auto"/>
        <w:right w:val="none" w:sz="0" w:space="0" w:color="auto"/>
      </w:divBdr>
    </w:div>
    <w:div w:id="1914468225">
      <w:bodyDiv w:val="1"/>
      <w:marLeft w:val="0"/>
      <w:marRight w:val="0"/>
      <w:marTop w:val="0"/>
      <w:marBottom w:val="0"/>
      <w:divBdr>
        <w:top w:val="none" w:sz="0" w:space="0" w:color="auto"/>
        <w:left w:val="none" w:sz="0" w:space="0" w:color="auto"/>
        <w:bottom w:val="none" w:sz="0" w:space="0" w:color="auto"/>
        <w:right w:val="none" w:sz="0" w:space="0" w:color="auto"/>
      </w:divBdr>
    </w:div>
    <w:div w:id="1915580624">
      <w:bodyDiv w:val="1"/>
      <w:marLeft w:val="0"/>
      <w:marRight w:val="0"/>
      <w:marTop w:val="0"/>
      <w:marBottom w:val="0"/>
      <w:divBdr>
        <w:top w:val="none" w:sz="0" w:space="0" w:color="auto"/>
        <w:left w:val="none" w:sz="0" w:space="0" w:color="auto"/>
        <w:bottom w:val="none" w:sz="0" w:space="0" w:color="auto"/>
        <w:right w:val="none" w:sz="0" w:space="0" w:color="auto"/>
      </w:divBdr>
    </w:div>
    <w:div w:id="1916012213">
      <w:bodyDiv w:val="1"/>
      <w:marLeft w:val="0"/>
      <w:marRight w:val="0"/>
      <w:marTop w:val="0"/>
      <w:marBottom w:val="0"/>
      <w:divBdr>
        <w:top w:val="none" w:sz="0" w:space="0" w:color="auto"/>
        <w:left w:val="none" w:sz="0" w:space="0" w:color="auto"/>
        <w:bottom w:val="none" w:sz="0" w:space="0" w:color="auto"/>
        <w:right w:val="none" w:sz="0" w:space="0" w:color="auto"/>
      </w:divBdr>
    </w:div>
    <w:div w:id="1918394255">
      <w:bodyDiv w:val="1"/>
      <w:marLeft w:val="0"/>
      <w:marRight w:val="0"/>
      <w:marTop w:val="0"/>
      <w:marBottom w:val="0"/>
      <w:divBdr>
        <w:top w:val="none" w:sz="0" w:space="0" w:color="auto"/>
        <w:left w:val="none" w:sz="0" w:space="0" w:color="auto"/>
        <w:bottom w:val="none" w:sz="0" w:space="0" w:color="auto"/>
        <w:right w:val="none" w:sz="0" w:space="0" w:color="auto"/>
      </w:divBdr>
    </w:div>
    <w:div w:id="1920862883">
      <w:bodyDiv w:val="1"/>
      <w:marLeft w:val="0"/>
      <w:marRight w:val="0"/>
      <w:marTop w:val="0"/>
      <w:marBottom w:val="0"/>
      <w:divBdr>
        <w:top w:val="none" w:sz="0" w:space="0" w:color="auto"/>
        <w:left w:val="none" w:sz="0" w:space="0" w:color="auto"/>
        <w:bottom w:val="none" w:sz="0" w:space="0" w:color="auto"/>
        <w:right w:val="none" w:sz="0" w:space="0" w:color="auto"/>
      </w:divBdr>
    </w:div>
    <w:div w:id="1920868322">
      <w:bodyDiv w:val="1"/>
      <w:marLeft w:val="0"/>
      <w:marRight w:val="0"/>
      <w:marTop w:val="0"/>
      <w:marBottom w:val="0"/>
      <w:divBdr>
        <w:top w:val="none" w:sz="0" w:space="0" w:color="auto"/>
        <w:left w:val="none" w:sz="0" w:space="0" w:color="auto"/>
        <w:bottom w:val="none" w:sz="0" w:space="0" w:color="auto"/>
        <w:right w:val="none" w:sz="0" w:space="0" w:color="auto"/>
      </w:divBdr>
    </w:div>
    <w:div w:id="1922987680">
      <w:bodyDiv w:val="1"/>
      <w:marLeft w:val="0"/>
      <w:marRight w:val="0"/>
      <w:marTop w:val="0"/>
      <w:marBottom w:val="0"/>
      <w:divBdr>
        <w:top w:val="none" w:sz="0" w:space="0" w:color="auto"/>
        <w:left w:val="none" w:sz="0" w:space="0" w:color="auto"/>
        <w:bottom w:val="none" w:sz="0" w:space="0" w:color="auto"/>
        <w:right w:val="none" w:sz="0" w:space="0" w:color="auto"/>
      </w:divBdr>
    </w:div>
    <w:div w:id="1924530237">
      <w:bodyDiv w:val="1"/>
      <w:marLeft w:val="0"/>
      <w:marRight w:val="0"/>
      <w:marTop w:val="0"/>
      <w:marBottom w:val="0"/>
      <w:divBdr>
        <w:top w:val="none" w:sz="0" w:space="0" w:color="auto"/>
        <w:left w:val="none" w:sz="0" w:space="0" w:color="auto"/>
        <w:bottom w:val="none" w:sz="0" w:space="0" w:color="auto"/>
        <w:right w:val="none" w:sz="0" w:space="0" w:color="auto"/>
      </w:divBdr>
    </w:div>
    <w:div w:id="1924995316">
      <w:bodyDiv w:val="1"/>
      <w:marLeft w:val="0"/>
      <w:marRight w:val="0"/>
      <w:marTop w:val="0"/>
      <w:marBottom w:val="0"/>
      <w:divBdr>
        <w:top w:val="none" w:sz="0" w:space="0" w:color="auto"/>
        <w:left w:val="none" w:sz="0" w:space="0" w:color="auto"/>
        <w:bottom w:val="none" w:sz="0" w:space="0" w:color="auto"/>
        <w:right w:val="none" w:sz="0" w:space="0" w:color="auto"/>
      </w:divBdr>
    </w:div>
    <w:div w:id="1925340297">
      <w:bodyDiv w:val="1"/>
      <w:marLeft w:val="0"/>
      <w:marRight w:val="0"/>
      <w:marTop w:val="0"/>
      <w:marBottom w:val="0"/>
      <w:divBdr>
        <w:top w:val="none" w:sz="0" w:space="0" w:color="auto"/>
        <w:left w:val="none" w:sz="0" w:space="0" w:color="auto"/>
        <w:bottom w:val="none" w:sz="0" w:space="0" w:color="auto"/>
        <w:right w:val="none" w:sz="0" w:space="0" w:color="auto"/>
      </w:divBdr>
    </w:div>
    <w:div w:id="1926300553">
      <w:bodyDiv w:val="1"/>
      <w:marLeft w:val="0"/>
      <w:marRight w:val="0"/>
      <w:marTop w:val="0"/>
      <w:marBottom w:val="0"/>
      <w:divBdr>
        <w:top w:val="none" w:sz="0" w:space="0" w:color="auto"/>
        <w:left w:val="none" w:sz="0" w:space="0" w:color="auto"/>
        <w:bottom w:val="none" w:sz="0" w:space="0" w:color="auto"/>
        <w:right w:val="none" w:sz="0" w:space="0" w:color="auto"/>
      </w:divBdr>
    </w:div>
    <w:div w:id="1928033631">
      <w:bodyDiv w:val="1"/>
      <w:marLeft w:val="0"/>
      <w:marRight w:val="0"/>
      <w:marTop w:val="0"/>
      <w:marBottom w:val="0"/>
      <w:divBdr>
        <w:top w:val="none" w:sz="0" w:space="0" w:color="auto"/>
        <w:left w:val="none" w:sz="0" w:space="0" w:color="auto"/>
        <w:bottom w:val="none" w:sz="0" w:space="0" w:color="auto"/>
        <w:right w:val="none" w:sz="0" w:space="0" w:color="auto"/>
      </w:divBdr>
    </w:div>
    <w:div w:id="1928805508">
      <w:bodyDiv w:val="1"/>
      <w:marLeft w:val="0"/>
      <w:marRight w:val="0"/>
      <w:marTop w:val="0"/>
      <w:marBottom w:val="0"/>
      <w:divBdr>
        <w:top w:val="none" w:sz="0" w:space="0" w:color="auto"/>
        <w:left w:val="none" w:sz="0" w:space="0" w:color="auto"/>
        <w:bottom w:val="none" w:sz="0" w:space="0" w:color="auto"/>
        <w:right w:val="none" w:sz="0" w:space="0" w:color="auto"/>
      </w:divBdr>
    </w:div>
    <w:div w:id="1930119825">
      <w:bodyDiv w:val="1"/>
      <w:marLeft w:val="0"/>
      <w:marRight w:val="0"/>
      <w:marTop w:val="0"/>
      <w:marBottom w:val="0"/>
      <w:divBdr>
        <w:top w:val="none" w:sz="0" w:space="0" w:color="auto"/>
        <w:left w:val="none" w:sz="0" w:space="0" w:color="auto"/>
        <w:bottom w:val="none" w:sz="0" w:space="0" w:color="auto"/>
        <w:right w:val="none" w:sz="0" w:space="0" w:color="auto"/>
      </w:divBdr>
    </w:div>
    <w:div w:id="1932202246">
      <w:bodyDiv w:val="1"/>
      <w:marLeft w:val="0"/>
      <w:marRight w:val="0"/>
      <w:marTop w:val="0"/>
      <w:marBottom w:val="0"/>
      <w:divBdr>
        <w:top w:val="none" w:sz="0" w:space="0" w:color="auto"/>
        <w:left w:val="none" w:sz="0" w:space="0" w:color="auto"/>
        <w:bottom w:val="none" w:sz="0" w:space="0" w:color="auto"/>
        <w:right w:val="none" w:sz="0" w:space="0" w:color="auto"/>
      </w:divBdr>
    </w:div>
    <w:div w:id="1934126755">
      <w:bodyDiv w:val="1"/>
      <w:marLeft w:val="0"/>
      <w:marRight w:val="0"/>
      <w:marTop w:val="0"/>
      <w:marBottom w:val="0"/>
      <w:divBdr>
        <w:top w:val="none" w:sz="0" w:space="0" w:color="auto"/>
        <w:left w:val="none" w:sz="0" w:space="0" w:color="auto"/>
        <w:bottom w:val="none" w:sz="0" w:space="0" w:color="auto"/>
        <w:right w:val="none" w:sz="0" w:space="0" w:color="auto"/>
      </w:divBdr>
    </w:div>
    <w:div w:id="1934316649">
      <w:bodyDiv w:val="1"/>
      <w:marLeft w:val="0"/>
      <w:marRight w:val="0"/>
      <w:marTop w:val="0"/>
      <w:marBottom w:val="0"/>
      <w:divBdr>
        <w:top w:val="none" w:sz="0" w:space="0" w:color="auto"/>
        <w:left w:val="none" w:sz="0" w:space="0" w:color="auto"/>
        <w:bottom w:val="none" w:sz="0" w:space="0" w:color="auto"/>
        <w:right w:val="none" w:sz="0" w:space="0" w:color="auto"/>
      </w:divBdr>
    </w:div>
    <w:div w:id="1934780000">
      <w:bodyDiv w:val="1"/>
      <w:marLeft w:val="0"/>
      <w:marRight w:val="0"/>
      <w:marTop w:val="0"/>
      <w:marBottom w:val="0"/>
      <w:divBdr>
        <w:top w:val="none" w:sz="0" w:space="0" w:color="auto"/>
        <w:left w:val="none" w:sz="0" w:space="0" w:color="auto"/>
        <w:bottom w:val="none" w:sz="0" w:space="0" w:color="auto"/>
        <w:right w:val="none" w:sz="0" w:space="0" w:color="auto"/>
      </w:divBdr>
    </w:div>
    <w:div w:id="1934780209">
      <w:bodyDiv w:val="1"/>
      <w:marLeft w:val="0"/>
      <w:marRight w:val="0"/>
      <w:marTop w:val="0"/>
      <w:marBottom w:val="0"/>
      <w:divBdr>
        <w:top w:val="none" w:sz="0" w:space="0" w:color="auto"/>
        <w:left w:val="none" w:sz="0" w:space="0" w:color="auto"/>
        <w:bottom w:val="none" w:sz="0" w:space="0" w:color="auto"/>
        <w:right w:val="none" w:sz="0" w:space="0" w:color="auto"/>
      </w:divBdr>
    </w:div>
    <w:div w:id="1936935997">
      <w:bodyDiv w:val="1"/>
      <w:marLeft w:val="0"/>
      <w:marRight w:val="0"/>
      <w:marTop w:val="0"/>
      <w:marBottom w:val="0"/>
      <w:divBdr>
        <w:top w:val="none" w:sz="0" w:space="0" w:color="auto"/>
        <w:left w:val="none" w:sz="0" w:space="0" w:color="auto"/>
        <w:bottom w:val="none" w:sz="0" w:space="0" w:color="auto"/>
        <w:right w:val="none" w:sz="0" w:space="0" w:color="auto"/>
      </w:divBdr>
    </w:div>
    <w:div w:id="1937013709">
      <w:bodyDiv w:val="1"/>
      <w:marLeft w:val="0"/>
      <w:marRight w:val="0"/>
      <w:marTop w:val="0"/>
      <w:marBottom w:val="0"/>
      <w:divBdr>
        <w:top w:val="none" w:sz="0" w:space="0" w:color="auto"/>
        <w:left w:val="none" w:sz="0" w:space="0" w:color="auto"/>
        <w:bottom w:val="none" w:sz="0" w:space="0" w:color="auto"/>
        <w:right w:val="none" w:sz="0" w:space="0" w:color="auto"/>
      </w:divBdr>
    </w:div>
    <w:div w:id="1937014313">
      <w:bodyDiv w:val="1"/>
      <w:marLeft w:val="0"/>
      <w:marRight w:val="0"/>
      <w:marTop w:val="0"/>
      <w:marBottom w:val="0"/>
      <w:divBdr>
        <w:top w:val="none" w:sz="0" w:space="0" w:color="auto"/>
        <w:left w:val="none" w:sz="0" w:space="0" w:color="auto"/>
        <w:bottom w:val="none" w:sz="0" w:space="0" w:color="auto"/>
        <w:right w:val="none" w:sz="0" w:space="0" w:color="auto"/>
      </w:divBdr>
    </w:div>
    <w:div w:id="1937209292">
      <w:bodyDiv w:val="1"/>
      <w:marLeft w:val="0"/>
      <w:marRight w:val="0"/>
      <w:marTop w:val="0"/>
      <w:marBottom w:val="0"/>
      <w:divBdr>
        <w:top w:val="none" w:sz="0" w:space="0" w:color="auto"/>
        <w:left w:val="none" w:sz="0" w:space="0" w:color="auto"/>
        <w:bottom w:val="none" w:sz="0" w:space="0" w:color="auto"/>
        <w:right w:val="none" w:sz="0" w:space="0" w:color="auto"/>
      </w:divBdr>
    </w:div>
    <w:div w:id="1940067125">
      <w:bodyDiv w:val="1"/>
      <w:marLeft w:val="0"/>
      <w:marRight w:val="0"/>
      <w:marTop w:val="0"/>
      <w:marBottom w:val="0"/>
      <w:divBdr>
        <w:top w:val="none" w:sz="0" w:space="0" w:color="auto"/>
        <w:left w:val="none" w:sz="0" w:space="0" w:color="auto"/>
        <w:bottom w:val="none" w:sz="0" w:space="0" w:color="auto"/>
        <w:right w:val="none" w:sz="0" w:space="0" w:color="auto"/>
      </w:divBdr>
    </w:div>
    <w:div w:id="1941524704">
      <w:bodyDiv w:val="1"/>
      <w:marLeft w:val="0"/>
      <w:marRight w:val="0"/>
      <w:marTop w:val="0"/>
      <w:marBottom w:val="0"/>
      <w:divBdr>
        <w:top w:val="none" w:sz="0" w:space="0" w:color="auto"/>
        <w:left w:val="none" w:sz="0" w:space="0" w:color="auto"/>
        <w:bottom w:val="none" w:sz="0" w:space="0" w:color="auto"/>
        <w:right w:val="none" w:sz="0" w:space="0" w:color="auto"/>
      </w:divBdr>
    </w:div>
    <w:div w:id="1941644931">
      <w:bodyDiv w:val="1"/>
      <w:marLeft w:val="0"/>
      <w:marRight w:val="0"/>
      <w:marTop w:val="0"/>
      <w:marBottom w:val="0"/>
      <w:divBdr>
        <w:top w:val="none" w:sz="0" w:space="0" w:color="auto"/>
        <w:left w:val="none" w:sz="0" w:space="0" w:color="auto"/>
        <w:bottom w:val="none" w:sz="0" w:space="0" w:color="auto"/>
        <w:right w:val="none" w:sz="0" w:space="0" w:color="auto"/>
      </w:divBdr>
    </w:div>
    <w:div w:id="1941988422">
      <w:bodyDiv w:val="1"/>
      <w:marLeft w:val="0"/>
      <w:marRight w:val="0"/>
      <w:marTop w:val="0"/>
      <w:marBottom w:val="0"/>
      <w:divBdr>
        <w:top w:val="none" w:sz="0" w:space="0" w:color="auto"/>
        <w:left w:val="none" w:sz="0" w:space="0" w:color="auto"/>
        <w:bottom w:val="none" w:sz="0" w:space="0" w:color="auto"/>
        <w:right w:val="none" w:sz="0" w:space="0" w:color="auto"/>
      </w:divBdr>
    </w:div>
    <w:div w:id="1943297834">
      <w:bodyDiv w:val="1"/>
      <w:marLeft w:val="0"/>
      <w:marRight w:val="0"/>
      <w:marTop w:val="0"/>
      <w:marBottom w:val="0"/>
      <w:divBdr>
        <w:top w:val="none" w:sz="0" w:space="0" w:color="auto"/>
        <w:left w:val="none" w:sz="0" w:space="0" w:color="auto"/>
        <w:bottom w:val="none" w:sz="0" w:space="0" w:color="auto"/>
        <w:right w:val="none" w:sz="0" w:space="0" w:color="auto"/>
      </w:divBdr>
    </w:div>
    <w:div w:id="1943370850">
      <w:bodyDiv w:val="1"/>
      <w:marLeft w:val="0"/>
      <w:marRight w:val="0"/>
      <w:marTop w:val="0"/>
      <w:marBottom w:val="0"/>
      <w:divBdr>
        <w:top w:val="none" w:sz="0" w:space="0" w:color="auto"/>
        <w:left w:val="none" w:sz="0" w:space="0" w:color="auto"/>
        <w:bottom w:val="none" w:sz="0" w:space="0" w:color="auto"/>
        <w:right w:val="none" w:sz="0" w:space="0" w:color="auto"/>
      </w:divBdr>
    </w:div>
    <w:div w:id="1943564858">
      <w:bodyDiv w:val="1"/>
      <w:marLeft w:val="0"/>
      <w:marRight w:val="0"/>
      <w:marTop w:val="0"/>
      <w:marBottom w:val="0"/>
      <w:divBdr>
        <w:top w:val="none" w:sz="0" w:space="0" w:color="auto"/>
        <w:left w:val="none" w:sz="0" w:space="0" w:color="auto"/>
        <w:bottom w:val="none" w:sz="0" w:space="0" w:color="auto"/>
        <w:right w:val="none" w:sz="0" w:space="0" w:color="auto"/>
      </w:divBdr>
    </w:div>
    <w:div w:id="1944528571">
      <w:bodyDiv w:val="1"/>
      <w:marLeft w:val="0"/>
      <w:marRight w:val="0"/>
      <w:marTop w:val="0"/>
      <w:marBottom w:val="0"/>
      <w:divBdr>
        <w:top w:val="none" w:sz="0" w:space="0" w:color="auto"/>
        <w:left w:val="none" w:sz="0" w:space="0" w:color="auto"/>
        <w:bottom w:val="none" w:sz="0" w:space="0" w:color="auto"/>
        <w:right w:val="none" w:sz="0" w:space="0" w:color="auto"/>
      </w:divBdr>
    </w:div>
    <w:div w:id="1944728313">
      <w:bodyDiv w:val="1"/>
      <w:marLeft w:val="0"/>
      <w:marRight w:val="0"/>
      <w:marTop w:val="0"/>
      <w:marBottom w:val="0"/>
      <w:divBdr>
        <w:top w:val="none" w:sz="0" w:space="0" w:color="auto"/>
        <w:left w:val="none" w:sz="0" w:space="0" w:color="auto"/>
        <w:bottom w:val="none" w:sz="0" w:space="0" w:color="auto"/>
        <w:right w:val="none" w:sz="0" w:space="0" w:color="auto"/>
      </w:divBdr>
    </w:div>
    <w:div w:id="1944875215">
      <w:bodyDiv w:val="1"/>
      <w:marLeft w:val="0"/>
      <w:marRight w:val="0"/>
      <w:marTop w:val="0"/>
      <w:marBottom w:val="0"/>
      <w:divBdr>
        <w:top w:val="none" w:sz="0" w:space="0" w:color="auto"/>
        <w:left w:val="none" w:sz="0" w:space="0" w:color="auto"/>
        <w:bottom w:val="none" w:sz="0" w:space="0" w:color="auto"/>
        <w:right w:val="none" w:sz="0" w:space="0" w:color="auto"/>
      </w:divBdr>
    </w:div>
    <w:div w:id="1947230650">
      <w:bodyDiv w:val="1"/>
      <w:marLeft w:val="0"/>
      <w:marRight w:val="0"/>
      <w:marTop w:val="0"/>
      <w:marBottom w:val="0"/>
      <w:divBdr>
        <w:top w:val="none" w:sz="0" w:space="0" w:color="auto"/>
        <w:left w:val="none" w:sz="0" w:space="0" w:color="auto"/>
        <w:bottom w:val="none" w:sz="0" w:space="0" w:color="auto"/>
        <w:right w:val="none" w:sz="0" w:space="0" w:color="auto"/>
      </w:divBdr>
    </w:div>
    <w:div w:id="1947687936">
      <w:bodyDiv w:val="1"/>
      <w:marLeft w:val="0"/>
      <w:marRight w:val="0"/>
      <w:marTop w:val="0"/>
      <w:marBottom w:val="0"/>
      <w:divBdr>
        <w:top w:val="none" w:sz="0" w:space="0" w:color="auto"/>
        <w:left w:val="none" w:sz="0" w:space="0" w:color="auto"/>
        <w:bottom w:val="none" w:sz="0" w:space="0" w:color="auto"/>
        <w:right w:val="none" w:sz="0" w:space="0" w:color="auto"/>
      </w:divBdr>
    </w:div>
    <w:div w:id="1948850382">
      <w:bodyDiv w:val="1"/>
      <w:marLeft w:val="0"/>
      <w:marRight w:val="0"/>
      <w:marTop w:val="0"/>
      <w:marBottom w:val="0"/>
      <w:divBdr>
        <w:top w:val="none" w:sz="0" w:space="0" w:color="auto"/>
        <w:left w:val="none" w:sz="0" w:space="0" w:color="auto"/>
        <w:bottom w:val="none" w:sz="0" w:space="0" w:color="auto"/>
        <w:right w:val="none" w:sz="0" w:space="0" w:color="auto"/>
      </w:divBdr>
    </w:div>
    <w:div w:id="1950699242">
      <w:bodyDiv w:val="1"/>
      <w:marLeft w:val="0"/>
      <w:marRight w:val="0"/>
      <w:marTop w:val="0"/>
      <w:marBottom w:val="0"/>
      <w:divBdr>
        <w:top w:val="none" w:sz="0" w:space="0" w:color="auto"/>
        <w:left w:val="none" w:sz="0" w:space="0" w:color="auto"/>
        <w:bottom w:val="none" w:sz="0" w:space="0" w:color="auto"/>
        <w:right w:val="none" w:sz="0" w:space="0" w:color="auto"/>
      </w:divBdr>
    </w:div>
    <w:div w:id="1951740372">
      <w:bodyDiv w:val="1"/>
      <w:marLeft w:val="0"/>
      <w:marRight w:val="0"/>
      <w:marTop w:val="0"/>
      <w:marBottom w:val="0"/>
      <w:divBdr>
        <w:top w:val="none" w:sz="0" w:space="0" w:color="auto"/>
        <w:left w:val="none" w:sz="0" w:space="0" w:color="auto"/>
        <w:bottom w:val="none" w:sz="0" w:space="0" w:color="auto"/>
        <w:right w:val="none" w:sz="0" w:space="0" w:color="auto"/>
      </w:divBdr>
    </w:div>
    <w:div w:id="1951743379">
      <w:bodyDiv w:val="1"/>
      <w:marLeft w:val="0"/>
      <w:marRight w:val="0"/>
      <w:marTop w:val="0"/>
      <w:marBottom w:val="0"/>
      <w:divBdr>
        <w:top w:val="none" w:sz="0" w:space="0" w:color="auto"/>
        <w:left w:val="none" w:sz="0" w:space="0" w:color="auto"/>
        <w:bottom w:val="none" w:sz="0" w:space="0" w:color="auto"/>
        <w:right w:val="none" w:sz="0" w:space="0" w:color="auto"/>
      </w:divBdr>
    </w:div>
    <w:div w:id="1952542031">
      <w:bodyDiv w:val="1"/>
      <w:marLeft w:val="0"/>
      <w:marRight w:val="0"/>
      <w:marTop w:val="0"/>
      <w:marBottom w:val="0"/>
      <w:divBdr>
        <w:top w:val="none" w:sz="0" w:space="0" w:color="auto"/>
        <w:left w:val="none" w:sz="0" w:space="0" w:color="auto"/>
        <w:bottom w:val="none" w:sz="0" w:space="0" w:color="auto"/>
        <w:right w:val="none" w:sz="0" w:space="0" w:color="auto"/>
      </w:divBdr>
    </w:div>
    <w:div w:id="1952667032">
      <w:bodyDiv w:val="1"/>
      <w:marLeft w:val="0"/>
      <w:marRight w:val="0"/>
      <w:marTop w:val="0"/>
      <w:marBottom w:val="0"/>
      <w:divBdr>
        <w:top w:val="none" w:sz="0" w:space="0" w:color="auto"/>
        <w:left w:val="none" w:sz="0" w:space="0" w:color="auto"/>
        <w:bottom w:val="none" w:sz="0" w:space="0" w:color="auto"/>
        <w:right w:val="none" w:sz="0" w:space="0" w:color="auto"/>
      </w:divBdr>
    </w:div>
    <w:div w:id="1952737055">
      <w:bodyDiv w:val="1"/>
      <w:marLeft w:val="0"/>
      <w:marRight w:val="0"/>
      <w:marTop w:val="0"/>
      <w:marBottom w:val="0"/>
      <w:divBdr>
        <w:top w:val="none" w:sz="0" w:space="0" w:color="auto"/>
        <w:left w:val="none" w:sz="0" w:space="0" w:color="auto"/>
        <w:bottom w:val="none" w:sz="0" w:space="0" w:color="auto"/>
        <w:right w:val="none" w:sz="0" w:space="0" w:color="auto"/>
      </w:divBdr>
    </w:div>
    <w:div w:id="1954289782">
      <w:bodyDiv w:val="1"/>
      <w:marLeft w:val="0"/>
      <w:marRight w:val="0"/>
      <w:marTop w:val="0"/>
      <w:marBottom w:val="0"/>
      <w:divBdr>
        <w:top w:val="none" w:sz="0" w:space="0" w:color="auto"/>
        <w:left w:val="none" w:sz="0" w:space="0" w:color="auto"/>
        <w:bottom w:val="none" w:sz="0" w:space="0" w:color="auto"/>
        <w:right w:val="none" w:sz="0" w:space="0" w:color="auto"/>
      </w:divBdr>
    </w:div>
    <w:div w:id="1955596718">
      <w:bodyDiv w:val="1"/>
      <w:marLeft w:val="0"/>
      <w:marRight w:val="0"/>
      <w:marTop w:val="0"/>
      <w:marBottom w:val="0"/>
      <w:divBdr>
        <w:top w:val="none" w:sz="0" w:space="0" w:color="auto"/>
        <w:left w:val="none" w:sz="0" w:space="0" w:color="auto"/>
        <w:bottom w:val="none" w:sz="0" w:space="0" w:color="auto"/>
        <w:right w:val="none" w:sz="0" w:space="0" w:color="auto"/>
      </w:divBdr>
    </w:div>
    <w:div w:id="1956329902">
      <w:bodyDiv w:val="1"/>
      <w:marLeft w:val="0"/>
      <w:marRight w:val="0"/>
      <w:marTop w:val="0"/>
      <w:marBottom w:val="0"/>
      <w:divBdr>
        <w:top w:val="none" w:sz="0" w:space="0" w:color="auto"/>
        <w:left w:val="none" w:sz="0" w:space="0" w:color="auto"/>
        <w:bottom w:val="none" w:sz="0" w:space="0" w:color="auto"/>
        <w:right w:val="none" w:sz="0" w:space="0" w:color="auto"/>
      </w:divBdr>
    </w:div>
    <w:div w:id="1956865221">
      <w:bodyDiv w:val="1"/>
      <w:marLeft w:val="0"/>
      <w:marRight w:val="0"/>
      <w:marTop w:val="0"/>
      <w:marBottom w:val="0"/>
      <w:divBdr>
        <w:top w:val="none" w:sz="0" w:space="0" w:color="auto"/>
        <w:left w:val="none" w:sz="0" w:space="0" w:color="auto"/>
        <w:bottom w:val="none" w:sz="0" w:space="0" w:color="auto"/>
        <w:right w:val="none" w:sz="0" w:space="0" w:color="auto"/>
      </w:divBdr>
    </w:div>
    <w:div w:id="1958022150">
      <w:bodyDiv w:val="1"/>
      <w:marLeft w:val="0"/>
      <w:marRight w:val="0"/>
      <w:marTop w:val="0"/>
      <w:marBottom w:val="0"/>
      <w:divBdr>
        <w:top w:val="none" w:sz="0" w:space="0" w:color="auto"/>
        <w:left w:val="none" w:sz="0" w:space="0" w:color="auto"/>
        <w:bottom w:val="none" w:sz="0" w:space="0" w:color="auto"/>
        <w:right w:val="none" w:sz="0" w:space="0" w:color="auto"/>
      </w:divBdr>
    </w:div>
    <w:div w:id="1959529269">
      <w:bodyDiv w:val="1"/>
      <w:marLeft w:val="0"/>
      <w:marRight w:val="0"/>
      <w:marTop w:val="0"/>
      <w:marBottom w:val="0"/>
      <w:divBdr>
        <w:top w:val="none" w:sz="0" w:space="0" w:color="auto"/>
        <w:left w:val="none" w:sz="0" w:space="0" w:color="auto"/>
        <w:bottom w:val="none" w:sz="0" w:space="0" w:color="auto"/>
        <w:right w:val="none" w:sz="0" w:space="0" w:color="auto"/>
      </w:divBdr>
    </w:div>
    <w:div w:id="1959603978">
      <w:bodyDiv w:val="1"/>
      <w:marLeft w:val="0"/>
      <w:marRight w:val="0"/>
      <w:marTop w:val="0"/>
      <w:marBottom w:val="0"/>
      <w:divBdr>
        <w:top w:val="none" w:sz="0" w:space="0" w:color="auto"/>
        <w:left w:val="none" w:sz="0" w:space="0" w:color="auto"/>
        <w:bottom w:val="none" w:sz="0" w:space="0" w:color="auto"/>
        <w:right w:val="none" w:sz="0" w:space="0" w:color="auto"/>
      </w:divBdr>
    </w:div>
    <w:div w:id="1959753335">
      <w:bodyDiv w:val="1"/>
      <w:marLeft w:val="0"/>
      <w:marRight w:val="0"/>
      <w:marTop w:val="0"/>
      <w:marBottom w:val="0"/>
      <w:divBdr>
        <w:top w:val="none" w:sz="0" w:space="0" w:color="auto"/>
        <w:left w:val="none" w:sz="0" w:space="0" w:color="auto"/>
        <w:bottom w:val="none" w:sz="0" w:space="0" w:color="auto"/>
        <w:right w:val="none" w:sz="0" w:space="0" w:color="auto"/>
      </w:divBdr>
    </w:div>
    <w:div w:id="1960144589">
      <w:bodyDiv w:val="1"/>
      <w:marLeft w:val="0"/>
      <w:marRight w:val="0"/>
      <w:marTop w:val="0"/>
      <w:marBottom w:val="0"/>
      <w:divBdr>
        <w:top w:val="none" w:sz="0" w:space="0" w:color="auto"/>
        <w:left w:val="none" w:sz="0" w:space="0" w:color="auto"/>
        <w:bottom w:val="none" w:sz="0" w:space="0" w:color="auto"/>
        <w:right w:val="none" w:sz="0" w:space="0" w:color="auto"/>
      </w:divBdr>
    </w:div>
    <w:div w:id="1960641604">
      <w:bodyDiv w:val="1"/>
      <w:marLeft w:val="0"/>
      <w:marRight w:val="0"/>
      <w:marTop w:val="0"/>
      <w:marBottom w:val="0"/>
      <w:divBdr>
        <w:top w:val="none" w:sz="0" w:space="0" w:color="auto"/>
        <w:left w:val="none" w:sz="0" w:space="0" w:color="auto"/>
        <w:bottom w:val="none" w:sz="0" w:space="0" w:color="auto"/>
        <w:right w:val="none" w:sz="0" w:space="0" w:color="auto"/>
      </w:divBdr>
    </w:div>
    <w:div w:id="1961453436">
      <w:bodyDiv w:val="1"/>
      <w:marLeft w:val="0"/>
      <w:marRight w:val="0"/>
      <w:marTop w:val="0"/>
      <w:marBottom w:val="0"/>
      <w:divBdr>
        <w:top w:val="none" w:sz="0" w:space="0" w:color="auto"/>
        <w:left w:val="none" w:sz="0" w:space="0" w:color="auto"/>
        <w:bottom w:val="none" w:sz="0" w:space="0" w:color="auto"/>
        <w:right w:val="none" w:sz="0" w:space="0" w:color="auto"/>
      </w:divBdr>
    </w:div>
    <w:div w:id="1961572580">
      <w:bodyDiv w:val="1"/>
      <w:marLeft w:val="0"/>
      <w:marRight w:val="0"/>
      <w:marTop w:val="0"/>
      <w:marBottom w:val="0"/>
      <w:divBdr>
        <w:top w:val="none" w:sz="0" w:space="0" w:color="auto"/>
        <w:left w:val="none" w:sz="0" w:space="0" w:color="auto"/>
        <w:bottom w:val="none" w:sz="0" w:space="0" w:color="auto"/>
        <w:right w:val="none" w:sz="0" w:space="0" w:color="auto"/>
      </w:divBdr>
    </w:div>
    <w:div w:id="1962028060">
      <w:bodyDiv w:val="1"/>
      <w:marLeft w:val="0"/>
      <w:marRight w:val="0"/>
      <w:marTop w:val="0"/>
      <w:marBottom w:val="0"/>
      <w:divBdr>
        <w:top w:val="none" w:sz="0" w:space="0" w:color="auto"/>
        <w:left w:val="none" w:sz="0" w:space="0" w:color="auto"/>
        <w:bottom w:val="none" w:sz="0" w:space="0" w:color="auto"/>
        <w:right w:val="none" w:sz="0" w:space="0" w:color="auto"/>
      </w:divBdr>
    </w:div>
    <w:div w:id="1962805277">
      <w:bodyDiv w:val="1"/>
      <w:marLeft w:val="0"/>
      <w:marRight w:val="0"/>
      <w:marTop w:val="0"/>
      <w:marBottom w:val="0"/>
      <w:divBdr>
        <w:top w:val="none" w:sz="0" w:space="0" w:color="auto"/>
        <w:left w:val="none" w:sz="0" w:space="0" w:color="auto"/>
        <w:bottom w:val="none" w:sz="0" w:space="0" w:color="auto"/>
        <w:right w:val="none" w:sz="0" w:space="0" w:color="auto"/>
      </w:divBdr>
    </w:div>
    <w:div w:id="1963069179">
      <w:bodyDiv w:val="1"/>
      <w:marLeft w:val="0"/>
      <w:marRight w:val="0"/>
      <w:marTop w:val="0"/>
      <w:marBottom w:val="0"/>
      <w:divBdr>
        <w:top w:val="none" w:sz="0" w:space="0" w:color="auto"/>
        <w:left w:val="none" w:sz="0" w:space="0" w:color="auto"/>
        <w:bottom w:val="none" w:sz="0" w:space="0" w:color="auto"/>
        <w:right w:val="none" w:sz="0" w:space="0" w:color="auto"/>
      </w:divBdr>
    </w:div>
    <w:div w:id="1963539271">
      <w:bodyDiv w:val="1"/>
      <w:marLeft w:val="0"/>
      <w:marRight w:val="0"/>
      <w:marTop w:val="0"/>
      <w:marBottom w:val="0"/>
      <w:divBdr>
        <w:top w:val="none" w:sz="0" w:space="0" w:color="auto"/>
        <w:left w:val="none" w:sz="0" w:space="0" w:color="auto"/>
        <w:bottom w:val="none" w:sz="0" w:space="0" w:color="auto"/>
        <w:right w:val="none" w:sz="0" w:space="0" w:color="auto"/>
      </w:divBdr>
    </w:div>
    <w:div w:id="1964800539">
      <w:bodyDiv w:val="1"/>
      <w:marLeft w:val="0"/>
      <w:marRight w:val="0"/>
      <w:marTop w:val="0"/>
      <w:marBottom w:val="0"/>
      <w:divBdr>
        <w:top w:val="none" w:sz="0" w:space="0" w:color="auto"/>
        <w:left w:val="none" w:sz="0" w:space="0" w:color="auto"/>
        <w:bottom w:val="none" w:sz="0" w:space="0" w:color="auto"/>
        <w:right w:val="none" w:sz="0" w:space="0" w:color="auto"/>
      </w:divBdr>
    </w:div>
    <w:div w:id="1964966464">
      <w:bodyDiv w:val="1"/>
      <w:marLeft w:val="0"/>
      <w:marRight w:val="0"/>
      <w:marTop w:val="0"/>
      <w:marBottom w:val="0"/>
      <w:divBdr>
        <w:top w:val="none" w:sz="0" w:space="0" w:color="auto"/>
        <w:left w:val="none" w:sz="0" w:space="0" w:color="auto"/>
        <w:bottom w:val="none" w:sz="0" w:space="0" w:color="auto"/>
        <w:right w:val="none" w:sz="0" w:space="0" w:color="auto"/>
      </w:divBdr>
    </w:div>
    <w:div w:id="1965503151">
      <w:bodyDiv w:val="1"/>
      <w:marLeft w:val="0"/>
      <w:marRight w:val="0"/>
      <w:marTop w:val="0"/>
      <w:marBottom w:val="0"/>
      <w:divBdr>
        <w:top w:val="none" w:sz="0" w:space="0" w:color="auto"/>
        <w:left w:val="none" w:sz="0" w:space="0" w:color="auto"/>
        <w:bottom w:val="none" w:sz="0" w:space="0" w:color="auto"/>
        <w:right w:val="none" w:sz="0" w:space="0" w:color="auto"/>
      </w:divBdr>
    </w:div>
    <w:div w:id="1967152221">
      <w:bodyDiv w:val="1"/>
      <w:marLeft w:val="0"/>
      <w:marRight w:val="0"/>
      <w:marTop w:val="0"/>
      <w:marBottom w:val="0"/>
      <w:divBdr>
        <w:top w:val="none" w:sz="0" w:space="0" w:color="auto"/>
        <w:left w:val="none" w:sz="0" w:space="0" w:color="auto"/>
        <w:bottom w:val="none" w:sz="0" w:space="0" w:color="auto"/>
        <w:right w:val="none" w:sz="0" w:space="0" w:color="auto"/>
      </w:divBdr>
    </w:div>
    <w:div w:id="1968393450">
      <w:bodyDiv w:val="1"/>
      <w:marLeft w:val="0"/>
      <w:marRight w:val="0"/>
      <w:marTop w:val="0"/>
      <w:marBottom w:val="0"/>
      <w:divBdr>
        <w:top w:val="none" w:sz="0" w:space="0" w:color="auto"/>
        <w:left w:val="none" w:sz="0" w:space="0" w:color="auto"/>
        <w:bottom w:val="none" w:sz="0" w:space="0" w:color="auto"/>
        <w:right w:val="none" w:sz="0" w:space="0" w:color="auto"/>
      </w:divBdr>
    </w:div>
    <w:div w:id="1968777664">
      <w:bodyDiv w:val="1"/>
      <w:marLeft w:val="0"/>
      <w:marRight w:val="0"/>
      <w:marTop w:val="0"/>
      <w:marBottom w:val="0"/>
      <w:divBdr>
        <w:top w:val="none" w:sz="0" w:space="0" w:color="auto"/>
        <w:left w:val="none" w:sz="0" w:space="0" w:color="auto"/>
        <w:bottom w:val="none" w:sz="0" w:space="0" w:color="auto"/>
        <w:right w:val="none" w:sz="0" w:space="0" w:color="auto"/>
      </w:divBdr>
    </w:div>
    <w:div w:id="1969892417">
      <w:bodyDiv w:val="1"/>
      <w:marLeft w:val="0"/>
      <w:marRight w:val="0"/>
      <w:marTop w:val="0"/>
      <w:marBottom w:val="0"/>
      <w:divBdr>
        <w:top w:val="none" w:sz="0" w:space="0" w:color="auto"/>
        <w:left w:val="none" w:sz="0" w:space="0" w:color="auto"/>
        <w:bottom w:val="none" w:sz="0" w:space="0" w:color="auto"/>
        <w:right w:val="none" w:sz="0" w:space="0" w:color="auto"/>
      </w:divBdr>
    </w:div>
    <w:div w:id="1970282724">
      <w:bodyDiv w:val="1"/>
      <w:marLeft w:val="0"/>
      <w:marRight w:val="0"/>
      <w:marTop w:val="0"/>
      <w:marBottom w:val="0"/>
      <w:divBdr>
        <w:top w:val="none" w:sz="0" w:space="0" w:color="auto"/>
        <w:left w:val="none" w:sz="0" w:space="0" w:color="auto"/>
        <w:bottom w:val="none" w:sz="0" w:space="0" w:color="auto"/>
        <w:right w:val="none" w:sz="0" w:space="0" w:color="auto"/>
      </w:divBdr>
    </w:div>
    <w:div w:id="1974825773">
      <w:bodyDiv w:val="1"/>
      <w:marLeft w:val="0"/>
      <w:marRight w:val="0"/>
      <w:marTop w:val="0"/>
      <w:marBottom w:val="0"/>
      <w:divBdr>
        <w:top w:val="none" w:sz="0" w:space="0" w:color="auto"/>
        <w:left w:val="none" w:sz="0" w:space="0" w:color="auto"/>
        <w:bottom w:val="none" w:sz="0" w:space="0" w:color="auto"/>
        <w:right w:val="none" w:sz="0" w:space="0" w:color="auto"/>
      </w:divBdr>
    </w:div>
    <w:div w:id="1977222600">
      <w:bodyDiv w:val="1"/>
      <w:marLeft w:val="0"/>
      <w:marRight w:val="0"/>
      <w:marTop w:val="0"/>
      <w:marBottom w:val="0"/>
      <w:divBdr>
        <w:top w:val="none" w:sz="0" w:space="0" w:color="auto"/>
        <w:left w:val="none" w:sz="0" w:space="0" w:color="auto"/>
        <w:bottom w:val="none" w:sz="0" w:space="0" w:color="auto"/>
        <w:right w:val="none" w:sz="0" w:space="0" w:color="auto"/>
      </w:divBdr>
    </w:div>
    <w:div w:id="1977640333">
      <w:bodyDiv w:val="1"/>
      <w:marLeft w:val="0"/>
      <w:marRight w:val="0"/>
      <w:marTop w:val="0"/>
      <w:marBottom w:val="0"/>
      <w:divBdr>
        <w:top w:val="none" w:sz="0" w:space="0" w:color="auto"/>
        <w:left w:val="none" w:sz="0" w:space="0" w:color="auto"/>
        <w:bottom w:val="none" w:sz="0" w:space="0" w:color="auto"/>
        <w:right w:val="none" w:sz="0" w:space="0" w:color="auto"/>
      </w:divBdr>
    </w:div>
    <w:div w:id="1978408514">
      <w:bodyDiv w:val="1"/>
      <w:marLeft w:val="0"/>
      <w:marRight w:val="0"/>
      <w:marTop w:val="0"/>
      <w:marBottom w:val="0"/>
      <w:divBdr>
        <w:top w:val="none" w:sz="0" w:space="0" w:color="auto"/>
        <w:left w:val="none" w:sz="0" w:space="0" w:color="auto"/>
        <w:bottom w:val="none" w:sz="0" w:space="0" w:color="auto"/>
        <w:right w:val="none" w:sz="0" w:space="0" w:color="auto"/>
      </w:divBdr>
    </w:div>
    <w:div w:id="1978758934">
      <w:bodyDiv w:val="1"/>
      <w:marLeft w:val="0"/>
      <w:marRight w:val="0"/>
      <w:marTop w:val="0"/>
      <w:marBottom w:val="0"/>
      <w:divBdr>
        <w:top w:val="none" w:sz="0" w:space="0" w:color="auto"/>
        <w:left w:val="none" w:sz="0" w:space="0" w:color="auto"/>
        <w:bottom w:val="none" w:sz="0" w:space="0" w:color="auto"/>
        <w:right w:val="none" w:sz="0" w:space="0" w:color="auto"/>
      </w:divBdr>
    </w:div>
    <w:div w:id="1981612720">
      <w:bodyDiv w:val="1"/>
      <w:marLeft w:val="0"/>
      <w:marRight w:val="0"/>
      <w:marTop w:val="0"/>
      <w:marBottom w:val="0"/>
      <w:divBdr>
        <w:top w:val="none" w:sz="0" w:space="0" w:color="auto"/>
        <w:left w:val="none" w:sz="0" w:space="0" w:color="auto"/>
        <w:bottom w:val="none" w:sz="0" w:space="0" w:color="auto"/>
        <w:right w:val="none" w:sz="0" w:space="0" w:color="auto"/>
      </w:divBdr>
    </w:div>
    <w:div w:id="1981685885">
      <w:bodyDiv w:val="1"/>
      <w:marLeft w:val="0"/>
      <w:marRight w:val="0"/>
      <w:marTop w:val="0"/>
      <w:marBottom w:val="0"/>
      <w:divBdr>
        <w:top w:val="none" w:sz="0" w:space="0" w:color="auto"/>
        <w:left w:val="none" w:sz="0" w:space="0" w:color="auto"/>
        <w:bottom w:val="none" w:sz="0" w:space="0" w:color="auto"/>
        <w:right w:val="none" w:sz="0" w:space="0" w:color="auto"/>
      </w:divBdr>
    </w:div>
    <w:div w:id="1981961439">
      <w:bodyDiv w:val="1"/>
      <w:marLeft w:val="0"/>
      <w:marRight w:val="0"/>
      <w:marTop w:val="0"/>
      <w:marBottom w:val="0"/>
      <w:divBdr>
        <w:top w:val="none" w:sz="0" w:space="0" w:color="auto"/>
        <w:left w:val="none" w:sz="0" w:space="0" w:color="auto"/>
        <w:bottom w:val="none" w:sz="0" w:space="0" w:color="auto"/>
        <w:right w:val="none" w:sz="0" w:space="0" w:color="auto"/>
      </w:divBdr>
    </w:div>
    <w:div w:id="1983339470">
      <w:bodyDiv w:val="1"/>
      <w:marLeft w:val="0"/>
      <w:marRight w:val="0"/>
      <w:marTop w:val="0"/>
      <w:marBottom w:val="0"/>
      <w:divBdr>
        <w:top w:val="none" w:sz="0" w:space="0" w:color="auto"/>
        <w:left w:val="none" w:sz="0" w:space="0" w:color="auto"/>
        <w:bottom w:val="none" w:sz="0" w:space="0" w:color="auto"/>
        <w:right w:val="none" w:sz="0" w:space="0" w:color="auto"/>
      </w:divBdr>
    </w:div>
    <w:div w:id="1984040172">
      <w:bodyDiv w:val="1"/>
      <w:marLeft w:val="0"/>
      <w:marRight w:val="0"/>
      <w:marTop w:val="0"/>
      <w:marBottom w:val="0"/>
      <w:divBdr>
        <w:top w:val="none" w:sz="0" w:space="0" w:color="auto"/>
        <w:left w:val="none" w:sz="0" w:space="0" w:color="auto"/>
        <w:bottom w:val="none" w:sz="0" w:space="0" w:color="auto"/>
        <w:right w:val="none" w:sz="0" w:space="0" w:color="auto"/>
      </w:divBdr>
    </w:div>
    <w:div w:id="1984197252">
      <w:bodyDiv w:val="1"/>
      <w:marLeft w:val="0"/>
      <w:marRight w:val="0"/>
      <w:marTop w:val="0"/>
      <w:marBottom w:val="0"/>
      <w:divBdr>
        <w:top w:val="none" w:sz="0" w:space="0" w:color="auto"/>
        <w:left w:val="none" w:sz="0" w:space="0" w:color="auto"/>
        <w:bottom w:val="none" w:sz="0" w:space="0" w:color="auto"/>
        <w:right w:val="none" w:sz="0" w:space="0" w:color="auto"/>
      </w:divBdr>
    </w:div>
    <w:div w:id="1984502452">
      <w:bodyDiv w:val="1"/>
      <w:marLeft w:val="0"/>
      <w:marRight w:val="0"/>
      <w:marTop w:val="0"/>
      <w:marBottom w:val="0"/>
      <w:divBdr>
        <w:top w:val="none" w:sz="0" w:space="0" w:color="auto"/>
        <w:left w:val="none" w:sz="0" w:space="0" w:color="auto"/>
        <w:bottom w:val="none" w:sz="0" w:space="0" w:color="auto"/>
        <w:right w:val="none" w:sz="0" w:space="0" w:color="auto"/>
      </w:divBdr>
    </w:div>
    <w:div w:id="1985313874">
      <w:bodyDiv w:val="1"/>
      <w:marLeft w:val="0"/>
      <w:marRight w:val="0"/>
      <w:marTop w:val="0"/>
      <w:marBottom w:val="0"/>
      <w:divBdr>
        <w:top w:val="none" w:sz="0" w:space="0" w:color="auto"/>
        <w:left w:val="none" w:sz="0" w:space="0" w:color="auto"/>
        <w:bottom w:val="none" w:sz="0" w:space="0" w:color="auto"/>
        <w:right w:val="none" w:sz="0" w:space="0" w:color="auto"/>
      </w:divBdr>
    </w:div>
    <w:div w:id="1988001751">
      <w:bodyDiv w:val="1"/>
      <w:marLeft w:val="0"/>
      <w:marRight w:val="0"/>
      <w:marTop w:val="0"/>
      <w:marBottom w:val="0"/>
      <w:divBdr>
        <w:top w:val="none" w:sz="0" w:space="0" w:color="auto"/>
        <w:left w:val="none" w:sz="0" w:space="0" w:color="auto"/>
        <w:bottom w:val="none" w:sz="0" w:space="0" w:color="auto"/>
        <w:right w:val="none" w:sz="0" w:space="0" w:color="auto"/>
      </w:divBdr>
    </w:div>
    <w:div w:id="1991401982">
      <w:bodyDiv w:val="1"/>
      <w:marLeft w:val="0"/>
      <w:marRight w:val="0"/>
      <w:marTop w:val="0"/>
      <w:marBottom w:val="0"/>
      <w:divBdr>
        <w:top w:val="none" w:sz="0" w:space="0" w:color="auto"/>
        <w:left w:val="none" w:sz="0" w:space="0" w:color="auto"/>
        <w:bottom w:val="none" w:sz="0" w:space="0" w:color="auto"/>
        <w:right w:val="none" w:sz="0" w:space="0" w:color="auto"/>
      </w:divBdr>
    </w:div>
    <w:div w:id="1993827818">
      <w:bodyDiv w:val="1"/>
      <w:marLeft w:val="0"/>
      <w:marRight w:val="0"/>
      <w:marTop w:val="0"/>
      <w:marBottom w:val="0"/>
      <w:divBdr>
        <w:top w:val="none" w:sz="0" w:space="0" w:color="auto"/>
        <w:left w:val="none" w:sz="0" w:space="0" w:color="auto"/>
        <w:bottom w:val="none" w:sz="0" w:space="0" w:color="auto"/>
        <w:right w:val="none" w:sz="0" w:space="0" w:color="auto"/>
      </w:divBdr>
    </w:div>
    <w:div w:id="1994290900">
      <w:bodyDiv w:val="1"/>
      <w:marLeft w:val="0"/>
      <w:marRight w:val="0"/>
      <w:marTop w:val="0"/>
      <w:marBottom w:val="0"/>
      <w:divBdr>
        <w:top w:val="none" w:sz="0" w:space="0" w:color="auto"/>
        <w:left w:val="none" w:sz="0" w:space="0" w:color="auto"/>
        <w:bottom w:val="none" w:sz="0" w:space="0" w:color="auto"/>
        <w:right w:val="none" w:sz="0" w:space="0" w:color="auto"/>
      </w:divBdr>
    </w:div>
    <w:div w:id="1994410842">
      <w:bodyDiv w:val="1"/>
      <w:marLeft w:val="0"/>
      <w:marRight w:val="0"/>
      <w:marTop w:val="0"/>
      <w:marBottom w:val="0"/>
      <w:divBdr>
        <w:top w:val="none" w:sz="0" w:space="0" w:color="auto"/>
        <w:left w:val="none" w:sz="0" w:space="0" w:color="auto"/>
        <w:bottom w:val="none" w:sz="0" w:space="0" w:color="auto"/>
        <w:right w:val="none" w:sz="0" w:space="0" w:color="auto"/>
      </w:divBdr>
    </w:div>
    <w:div w:id="1995255635">
      <w:bodyDiv w:val="1"/>
      <w:marLeft w:val="0"/>
      <w:marRight w:val="0"/>
      <w:marTop w:val="0"/>
      <w:marBottom w:val="0"/>
      <w:divBdr>
        <w:top w:val="none" w:sz="0" w:space="0" w:color="auto"/>
        <w:left w:val="none" w:sz="0" w:space="0" w:color="auto"/>
        <w:bottom w:val="none" w:sz="0" w:space="0" w:color="auto"/>
        <w:right w:val="none" w:sz="0" w:space="0" w:color="auto"/>
      </w:divBdr>
    </w:div>
    <w:div w:id="1997420110">
      <w:bodyDiv w:val="1"/>
      <w:marLeft w:val="0"/>
      <w:marRight w:val="0"/>
      <w:marTop w:val="0"/>
      <w:marBottom w:val="0"/>
      <w:divBdr>
        <w:top w:val="none" w:sz="0" w:space="0" w:color="auto"/>
        <w:left w:val="none" w:sz="0" w:space="0" w:color="auto"/>
        <w:bottom w:val="none" w:sz="0" w:space="0" w:color="auto"/>
        <w:right w:val="none" w:sz="0" w:space="0" w:color="auto"/>
      </w:divBdr>
    </w:div>
    <w:div w:id="1999381401">
      <w:bodyDiv w:val="1"/>
      <w:marLeft w:val="0"/>
      <w:marRight w:val="0"/>
      <w:marTop w:val="0"/>
      <w:marBottom w:val="0"/>
      <w:divBdr>
        <w:top w:val="none" w:sz="0" w:space="0" w:color="auto"/>
        <w:left w:val="none" w:sz="0" w:space="0" w:color="auto"/>
        <w:bottom w:val="none" w:sz="0" w:space="0" w:color="auto"/>
        <w:right w:val="none" w:sz="0" w:space="0" w:color="auto"/>
      </w:divBdr>
    </w:div>
    <w:div w:id="2000040987">
      <w:bodyDiv w:val="1"/>
      <w:marLeft w:val="0"/>
      <w:marRight w:val="0"/>
      <w:marTop w:val="0"/>
      <w:marBottom w:val="0"/>
      <w:divBdr>
        <w:top w:val="none" w:sz="0" w:space="0" w:color="auto"/>
        <w:left w:val="none" w:sz="0" w:space="0" w:color="auto"/>
        <w:bottom w:val="none" w:sz="0" w:space="0" w:color="auto"/>
        <w:right w:val="none" w:sz="0" w:space="0" w:color="auto"/>
      </w:divBdr>
    </w:div>
    <w:div w:id="2000646960">
      <w:bodyDiv w:val="1"/>
      <w:marLeft w:val="0"/>
      <w:marRight w:val="0"/>
      <w:marTop w:val="0"/>
      <w:marBottom w:val="0"/>
      <w:divBdr>
        <w:top w:val="none" w:sz="0" w:space="0" w:color="auto"/>
        <w:left w:val="none" w:sz="0" w:space="0" w:color="auto"/>
        <w:bottom w:val="none" w:sz="0" w:space="0" w:color="auto"/>
        <w:right w:val="none" w:sz="0" w:space="0" w:color="auto"/>
      </w:divBdr>
    </w:div>
    <w:div w:id="2001231671">
      <w:bodyDiv w:val="1"/>
      <w:marLeft w:val="0"/>
      <w:marRight w:val="0"/>
      <w:marTop w:val="0"/>
      <w:marBottom w:val="0"/>
      <w:divBdr>
        <w:top w:val="none" w:sz="0" w:space="0" w:color="auto"/>
        <w:left w:val="none" w:sz="0" w:space="0" w:color="auto"/>
        <w:bottom w:val="none" w:sz="0" w:space="0" w:color="auto"/>
        <w:right w:val="none" w:sz="0" w:space="0" w:color="auto"/>
      </w:divBdr>
    </w:div>
    <w:div w:id="2001691276">
      <w:bodyDiv w:val="1"/>
      <w:marLeft w:val="0"/>
      <w:marRight w:val="0"/>
      <w:marTop w:val="0"/>
      <w:marBottom w:val="0"/>
      <w:divBdr>
        <w:top w:val="none" w:sz="0" w:space="0" w:color="auto"/>
        <w:left w:val="none" w:sz="0" w:space="0" w:color="auto"/>
        <w:bottom w:val="none" w:sz="0" w:space="0" w:color="auto"/>
        <w:right w:val="none" w:sz="0" w:space="0" w:color="auto"/>
      </w:divBdr>
    </w:div>
    <w:div w:id="2001691367">
      <w:bodyDiv w:val="1"/>
      <w:marLeft w:val="0"/>
      <w:marRight w:val="0"/>
      <w:marTop w:val="0"/>
      <w:marBottom w:val="0"/>
      <w:divBdr>
        <w:top w:val="none" w:sz="0" w:space="0" w:color="auto"/>
        <w:left w:val="none" w:sz="0" w:space="0" w:color="auto"/>
        <w:bottom w:val="none" w:sz="0" w:space="0" w:color="auto"/>
        <w:right w:val="none" w:sz="0" w:space="0" w:color="auto"/>
      </w:divBdr>
    </w:div>
    <w:div w:id="2001809891">
      <w:bodyDiv w:val="1"/>
      <w:marLeft w:val="0"/>
      <w:marRight w:val="0"/>
      <w:marTop w:val="0"/>
      <w:marBottom w:val="0"/>
      <w:divBdr>
        <w:top w:val="none" w:sz="0" w:space="0" w:color="auto"/>
        <w:left w:val="none" w:sz="0" w:space="0" w:color="auto"/>
        <w:bottom w:val="none" w:sz="0" w:space="0" w:color="auto"/>
        <w:right w:val="none" w:sz="0" w:space="0" w:color="auto"/>
      </w:divBdr>
    </w:div>
    <w:div w:id="2001880658">
      <w:bodyDiv w:val="1"/>
      <w:marLeft w:val="0"/>
      <w:marRight w:val="0"/>
      <w:marTop w:val="0"/>
      <w:marBottom w:val="0"/>
      <w:divBdr>
        <w:top w:val="none" w:sz="0" w:space="0" w:color="auto"/>
        <w:left w:val="none" w:sz="0" w:space="0" w:color="auto"/>
        <w:bottom w:val="none" w:sz="0" w:space="0" w:color="auto"/>
        <w:right w:val="none" w:sz="0" w:space="0" w:color="auto"/>
      </w:divBdr>
    </w:div>
    <w:div w:id="2004117023">
      <w:bodyDiv w:val="1"/>
      <w:marLeft w:val="0"/>
      <w:marRight w:val="0"/>
      <w:marTop w:val="0"/>
      <w:marBottom w:val="0"/>
      <w:divBdr>
        <w:top w:val="none" w:sz="0" w:space="0" w:color="auto"/>
        <w:left w:val="none" w:sz="0" w:space="0" w:color="auto"/>
        <w:bottom w:val="none" w:sz="0" w:space="0" w:color="auto"/>
        <w:right w:val="none" w:sz="0" w:space="0" w:color="auto"/>
      </w:divBdr>
    </w:div>
    <w:div w:id="2005008449">
      <w:bodyDiv w:val="1"/>
      <w:marLeft w:val="0"/>
      <w:marRight w:val="0"/>
      <w:marTop w:val="0"/>
      <w:marBottom w:val="0"/>
      <w:divBdr>
        <w:top w:val="none" w:sz="0" w:space="0" w:color="auto"/>
        <w:left w:val="none" w:sz="0" w:space="0" w:color="auto"/>
        <w:bottom w:val="none" w:sz="0" w:space="0" w:color="auto"/>
        <w:right w:val="none" w:sz="0" w:space="0" w:color="auto"/>
      </w:divBdr>
    </w:div>
    <w:div w:id="2005232834">
      <w:bodyDiv w:val="1"/>
      <w:marLeft w:val="0"/>
      <w:marRight w:val="0"/>
      <w:marTop w:val="0"/>
      <w:marBottom w:val="0"/>
      <w:divBdr>
        <w:top w:val="none" w:sz="0" w:space="0" w:color="auto"/>
        <w:left w:val="none" w:sz="0" w:space="0" w:color="auto"/>
        <w:bottom w:val="none" w:sz="0" w:space="0" w:color="auto"/>
        <w:right w:val="none" w:sz="0" w:space="0" w:color="auto"/>
      </w:divBdr>
    </w:div>
    <w:div w:id="2006400859">
      <w:bodyDiv w:val="1"/>
      <w:marLeft w:val="0"/>
      <w:marRight w:val="0"/>
      <w:marTop w:val="0"/>
      <w:marBottom w:val="0"/>
      <w:divBdr>
        <w:top w:val="none" w:sz="0" w:space="0" w:color="auto"/>
        <w:left w:val="none" w:sz="0" w:space="0" w:color="auto"/>
        <w:bottom w:val="none" w:sz="0" w:space="0" w:color="auto"/>
        <w:right w:val="none" w:sz="0" w:space="0" w:color="auto"/>
      </w:divBdr>
    </w:div>
    <w:div w:id="2007047663">
      <w:bodyDiv w:val="1"/>
      <w:marLeft w:val="0"/>
      <w:marRight w:val="0"/>
      <w:marTop w:val="0"/>
      <w:marBottom w:val="0"/>
      <w:divBdr>
        <w:top w:val="none" w:sz="0" w:space="0" w:color="auto"/>
        <w:left w:val="none" w:sz="0" w:space="0" w:color="auto"/>
        <w:bottom w:val="none" w:sz="0" w:space="0" w:color="auto"/>
        <w:right w:val="none" w:sz="0" w:space="0" w:color="auto"/>
      </w:divBdr>
    </w:div>
    <w:div w:id="2007586298">
      <w:bodyDiv w:val="1"/>
      <w:marLeft w:val="0"/>
      <w:marRight w:val="0"/>
      <w:marTop w:val="0"/>
      <w:marBottom w:val="0"/>
      <w:divBdr>
        <w:top w:val="none" w:sz="0" w:space="0" w:color="auto"/>
        <w:left w:val="none" w:sz="0" w:space="0" w:color="auto"/>
        <w:bottom w:val="none" w:sz="0" w:space="0" w:color="auto"/>
        <w:right w:val="none" w:sz="0" w:space="0" w:color="auto"/>
      </w:divBdr>
    </w:div>
    <w:div w:id="2007709236">
      <w:bodyDiv w:val="1"/>
      <w:marLeft w:val="0"/>
      <w:marRight w:val="0"/>
      <w:marTop w:val="0"/>
      <w:marBottom w:val="0"/>
      <w:divBdr>
        <w:top w:val="none" w:sz="0" w:space="0" w:color="auto"/>
        <w:left w:val="none" w:sz="0" w:space="0" w:color="auto"/>
        <w:bottom w:val="none" w:sz="0" w:space="0" w:color="auto"/>
        <w:right w:val="none" w:sz="0" w:space="0" w:color="auto"/>
      </w:divBdr>
    </w:div>
    <w:div w:id="2008364172">
      <w:bodyDiv w:val="1"/>
      <w:marLeft w:val="0"/>
      <w:marRight w:val="0"/>
      <w:marTop w:val="0"/>
      <w:marBottom w:val="0"/>
      <w:divBdr>
        <w:top w:val="none" w:sz="0" w:space="0" w:color="auto"/>
        <w:left w:val="none" w:sz="0" w:space="0" w:color="auto"/>
        <w:bottom w:val="none" w:sz="0" w:space="0" w:color="auto"/>
        <w:right w:val="none" w:sz="0" w:space="0" w:color="auto"/>
      </w:divBdr>
    </w:div>
    <w:div w:id="2008705319">
      <w:bodyDiv w:val="1"/>
      <w:marLeft w:val="0"/>
      <w:marRight w:val="0"/>
      <w:marTop w:val="0"/>
      <w:marBottom w:val="0"/>
      <w:divBdr>
        <w:top w:val="none" w:sz="0" w:space="0" w:color="auto"/>
        <w:left w:val="none" w:sz="0" w:space="0" w:color="auto"/>
        <w:bottom w:val="none" w:sz="0" w:space="0" w:color="auto"/>
        <w:right w:val="none" w:sz="0" w:space="0" w:color="auto"/>
      </w:divBdr>
    </w:div>
    <w:div w:id="2010332121">
      <w:bodyDiv w:val="1"/>
      <w:marLeft w:val="0"/>
      <w:marRight w:val="0"/>
      <w:marTop w:val="0"/>
      <w:marBottom w:val="0"/>
      <w:divBdr>
        <w:top w:val="none" w:sz="0" w:space="0" w:color="auto"/>
        <w:left w:val="none" w:sz="0" w:space="0" w:color="auto"/>
        <w:bottom w:val="none" w:sz="0" w:space="0" w:color="auto"/>
        <w:right w:val="none" w:sz="0" w:space="0" w:color="auto"/>
      </w:divBdr>
    </w:div>
    <w:div w:id="2010669128">
      <w:bodyDiv w:val="1"/>
      <w:marLeft w:val="0"/>
      <w:marRight w:val="0"/>
      <w:marTop w:val="0"/>
      <w:marBottom w:val="0"/>
      <w:divBdr>
        <w:top w:val="none" w:sz="0" w:space="0" w:color="auto"/>
        <w:left w:val="none" w:sz="0" w:space="0" w:color="auto"/>
        <w:bottom w:val="none" w:sz="0" w:space="0" w:color="auto"/>
        <w:right w:val="none" w:sz="0" w:space="0" w:color="auto"/>
      </w:divBdr>
    </w:div>
    <w:div w:id="2012101983">
      <w:bodyDiv w:val="1"/>
      <w:marLeft w:val="0"/>
      <w:marRight w:val="0"/>
      <w:marTop w:val="0"/>
      <w:marBottom w:val="0"/>
      <w:divBdr>
        <w:top w:val="none" w:sz="0" w:space="0" w:color="auto"/>
        <w:left w:val="none" w:sz="0" w:space="0" w:color="auto"/>
        <w:bottom w:val="none" w:sz="0" w:space="0" w:color="auto"/>
        <w:right w:val="none" w:sz="0" w:space="0" w:color="auto"/>
      </w:divBdr>
    </w:div>
    <w:div w:id="2012682574">
      <w:bodyDiv w:val="1"/>
      <w:marLeft w:val="0"/>
      <w:marRight w:val="0"/>
      <w:marTop w:val="0"/>
      <w:marBottom w:val="0"/>
      <w:divBdr>
        <w:top w:val="none" w:sz="0" w:space="0" w:color="auto"/>
        <w:left w:val="none" w:sz="0" w:space="0" w:color="auto"/>
        <w:bottom w:val="none" w:sz="0" w:space="0" w:color="auto"/>
        <w:right w:val="none" w:sz="0" w:space="0" w:color="auto"/>
      </w:divBdr>
    </w:div>
    <w:div w:id="2014138694">
      <w:bodyDiv w:val="1"/>
      <w:marLeft w:val="0"/>
      <w:marRight w:val="0"/>
      <w:marTop w:val="0"/>
      <w:marBottom w:val="0"/>
      <w:divBdr>
        <w:top w:val="none" w:sz="0" w:space="0" w:color="auto"/>
        <w:left w:val="none" w:sz="0" w:space="0" w:color="auto"/>
        <w:bottom w:val="none" w:sz="0" w:space="0" w:color="auto"/>
        <w:right w:val="none" w:sz="0" w:space="0" w:color="auto"/>
      </w:divBdr>
    </w:div>
    <w:div w:id="2014213380">
      <w:bodyDiv w:val="1"/>
      <w:marLeft w:val="0"/>
      <w:marRight w:val="0"/>
      <w:marTop w:val="0"/>
      <w:marBottom w:val="0"/>
      <w:divBdr>
        <w:top w:val="none" w:sz="0" w:space="0" w:color="auto"/>
        <w:left w:val="none" w:sz="0" w:space="0" w:color="auto"/>
        <w:bottom w:val="none" w:sz="0" w:space="0" w:color="auto"/>
        <w:right w:val="none" w:sz="0" w:space="0" w:color="auto"/>
      </w:divBdr>
    </w:div>
    <w:div w:id="2014648987">
      <w:bodyDiv w:val="1"/>
      <w:marLeft w:val="0"/>
      <w:marRight w:val="0"/>
      <w:marTop w:val="0"/>
      <w:marBottom w:val="0"/>
      <w:divBdr>
        <w:top w:val="none" w:sz="0" w:space="0" w:color="auto"/>
        <w:left w:val="none" w:sz="0" w:space="0" w:color="auto"/>
        <w:bottom w:val="none" w:sz="0" w:space="0" w:color="auto"/>
        <w:right w:val="none" w:sz="0" w:space="0" w:color="auto"/>
      </w:divBdr>
    </w:div>
    <w:div w:id="2015304069">
      <w:bodyDiv w:val="1"/>
      <w:marLeft w:val="0"/>
      <w:marRight w:val="0"/>
      <w:marTop w:val="0"/>
      <w:marBottom w:val="0"/>
      <w:divBdr>
        <w:top w:val="none" w:sz="0" w:space="0" w:color="auto"/>
        <w:left w:val="none" w:sz="0" w:space="0" w:color="auto"/>
        <w:bottom w:val="none" w:sz="0" w:space="0" w:color="auto"/>
        <w:right w:val="none" w:sz="0" w:space="0" w:color="auto"/>
      </w:divBdr>
    </w:div>
    <w:div w:id="2015646638">
      <w:bodyDiv w:val="1"/>
      <w:marLeft w:val="0"/>
      <w:marRight w:val="0"/>
      <w:marTop w:val="0"/>
      <w:marBottom w:val="0"/>
      <w:divBdr>
        <w:top w:val="none" w:sz="0" w:space="0" w:color="auto"/>
        <w:left w:val="none" w:sz="0" w:space="0" w:color="auto"/>
        <w:bottom w:val="none" w:sz="0" w:space="0" w:color="auto"/>
        <w:right w:val="none" w:sz="0" w:space="0" w:color="auto"/>
      </w:divBdr>
    </w:div>
    <w:div w:id="2016028997">
      <w:bodyDiv w:val="1"/>
      <w:marLeft w:val="0"/>
      <w:marRight w:val="0"/>
      <w:marTop w:val="0"/>
      <w:marBottom w:val="0"/>
      <w:divBdr>
        <w:top w:val="none" w:sz="0" w:space="0" w:color="auto"/>
        <w:left w:val="none" w:sz="0" w:space="0" w:color="auto"/>
        <w:bottom w:val="none" w:sz="0" w:space="0" w:color="auto"/>
        <w:right w:val="none" w:sz="0" w:space="0" w:color="auto"/>
      </w:divBdr>
    </w:div>
    <w:div w:id="2016834034">
      <w:bodyDiv w:val="1"/>
      <w:marLeft w:val="0"/>
      <w:marRight w:val="0"/>
      <w:marTop w:val="0"/>
      <w:marBottom w:val="0"/>
      <w:divBdr>
        <w:top w:val="none" w:sz="0" w:space="0" w:color="auto"/>
        <w:left w:val="none" w:sz="0" w:space="0" w:color="auto"/>
        <w:bottom w:val="none" w:sz="0" w:space="0" w:color="auto"/>
        <w:right w:val="none" w:sz="0" w:space="0" w:color="auto"/>
      </w:divBdr>
    </w:div>
    <w:div w:id="2017153246">
      <w:bodyDiv w:val="1"/>
      <w:marLeft w:val="0"/>
      <w:marRight w:val="0"/>
      <w:marTop w:val="0"/>
      <w:marBottom w:val="0"/>
      <w:divBdr>
        <w:top w:val="none" w:sz="0" w:space="0" w:color="auto"/>
        <w:left w:val="none" w:sz="0" w:space="0" w:color="auto"/>
        <w:bottom w:val="none" w:sz="0" w:space="0" w:color="auto"/>
        <w:right w:val="none" w:sz="0" w:space="0" w:color="auto"/>
      </w:divBdr>
    </w:div>
    <w:div w:id="2018800779">
      <w:bodyDiv w:val="1"/>
      <w:marLeft w:val="0"/>
      <w:marRight w:val="0"/>
      <w:marTop w:val="0"/>
      <w:marBottom w:val="0"/>
      <w:divBdr>
        <w:top w:val="none" w:sz="0" w:space="0" w:color="auto"/>
        <w:left w:val="none" w:sz="0" w:space="0" w:color="auto"/>
        <w:bottom w:val="none" w:sz="0" w:space="0" w:color="auto"/>
        <w:right w:val="none" w:sz="0" w:space="0" w:color="auto"/>
      </w:divBdr>
    </w:div>
    <w:div w:id="2019261054">
      <w:bodyDiv w:val="1"/>
      <w:marLeft w:val="0"/>
      <w:marRight w:val="0"/>
      <w:marTop w:val="0"/>
      <w:marBottom w:val="0"/>
      <w:divBdr>
        <w:top w:val="none" w:sz="0" w:space="0" w:color="auto"/>
        <w:left w:val="none" w:sz="0" w:space="0" w:color="auto"/>
        <w:bottom w:val="none" w:sz="0" w:space="0" w:color="auto"/>
        <w:right w:val="none" w:sz="0" w:space="0" w:color="auto"/>
      </w:divBdr>
    </w:div>
    <w:div w:id="2019505005">
      <w:bodyDiv w:val="1"/>
      <w:marLeft w:val="0"/>
      <w:marRight w:val="0"/>
      <w:marTop w:val="0"/>
      <w:marBottom w:val="0"/>
      <w:divBdr>
        <w:top w:val="none" w:sz="0" w:space="0" w:color="auto"/>
        <w:left w:val="none" w:sz="0" w:space="0" w:color="auto"/>
        <w:bottom w:val="none" w:sz="0" w:space="0" w:color="auto"/>
        <w:right w:val="none" w:sz="0" w:space="0" w:color="auto"/>
      </w:divBdr>
    </w:div>
    <w:div w:id="2021227287">
      <w:bodyDiv w:val="1"/>
      <w:marLeft w:val="0"/>
      <w:marRight w:val="0"/>
      <w:marTop w:val="0"/>
      <w:marBottom w:val="0"/>
      <w:divBdr>
        <w:top w:val="none" w:sz="0" w:space="0" w:color="auto"/>
        <w:left w:val="none" w:sz="0" w:space="0" w:color="auto"/>
        <w:bottom w:val="none" w:sz="0" w:space="0" w:color="auto"/>
        <w:right w:val="none" w:sz="0" w:space="0" w:color="auto"/>
      </w:divBdr>
    </w:div>
    <w:div w:id="2021853782">
      <w:bodyDiv w:val="1"/>
      <w:marLeft w:val="0"/>
      <w:marRight w:val="0"/>
      <w:marTop w:val="0"/>
      <w:marBottom w:val="0"/>
      <w:divBdr>
        <w:top w:val="none" w:sz="0" w:space="0" w:color="auto"/>
        <w:left w:val="none" w:sz="0" w:space="0" w:color="auto"/>
        <w:bottom w:val="none" w:sz="0" w:space="0" w:color="auto"/>
        <w:right w:val="none" w:sz="0" w:space="0" w:color="auto"/>
      </w:divBdr>
    </w:div>
    <w:div w:id="2022588576">
      <w:bodyDiv w:val="1"/>
      <w:marLeft w:val="0"/>
      <w:marRight w:val="0"/>
      <w:marTop w:val="0"/>
      <w:marBottom w:val="0"/>
      <w:divBdr>
        <w:top w:val="none" w:sz="0" w:space="0" w:color="auto"/>
        <w:left w:val="none" w:sz="0" w:space="0" w:color="auto"/>
        <w:bottom w:val="none" w:sz="0" w:space="0" w:color="auto"/>
        <w:right w:val="none" w:sz="0" w:space="0" w:color="auto"/>
      </w:divBdr>
    </w:div>
    <w:div w:id="2023120066">
      <w:bodyDiv w:val="1"/>
      <w:marLeft w:val="0"/>
      <w:marRight w:val="0"/>
      <w:marTop w:val="0"/>
      <w:marBottom w:val="0"/>
      <w:divBdr>
        <w:top w:val="none" w:sz="0" w:space="0" w:color="auto"/>
        <w:left w:val="none" w:sz="0" w:space="0" w:color="auto"/>
        <w:bottom w:val="none" w:sz="0" w:space="0" w:color="auto"/>
        <w:right w:val="none" w:sz="0" w:space="0" w:color="auto"/>
      </w:divBdr>
    </w:div>
    <w:div w:id="2023513012">
      <w:bodyDiv w:val="1"/>
      <w:marLeft w:val="0"/>
      <w:marRight w:val="0"/>
      <w:marTop w:val="0"/>
      <w:marBottom w:val="0"/>
      <w:divBdr>
        <w:top w:val="none" w:sz="0" w:space="0" w:color="auto"/>
        <w:left w:val="none" w:sz="0" w:space="0" w:color="auto"/>
        <w:bottom w:val="none" w:sz="0" w:space="0" w:color="auto"/>
        <w:right w:val="none" w:sz="0" w:space="0" w:color="auto"/>
      </w:divBdr>
    </w:div>
    <w:div w:id="2023513535">
      <w:bodyDiv w:val="1"/>
      <w:marLeft w:val="0"/>
      <w:marRight w:val="0"/>
      <w:marTop w:val="0"/>
      <w:marBottom w:val="0"/>
      <w:divBdr>
        <w:top w:val="none" w:sz="0" w:space="0" w:color="auto"/>
        <w:left w:val="none" w:sz="0" w:space="0" w:color="auto"/>
        <w:bottom w:val="none" w:sz="0" w:space="0" w:color="auto"/>
        <w:right w:val="none" w:sz="0" w:space="0" w:color="auto"/>
      </w:divBdr>
    </w:div>
    <w:div w:id="2023513556">
      <w:bodyDiv w:val="1"/>
      <w:marLeft w:val="0"/>
      <w:marRight w:val="0"/>
      <w:marTop w:val="0"/>
      <w:marBottom w:val="0"/>
      <w:divBdr>
        <w:top w:val="none" w:sz="0" w:space="0" w:color="auto"/>
        <w:left w:val="none" w:sz="0" w:space="0" w:color="auto"/>
        <w:bottom w:val="none" w:sz="0" w:space="0" w:color="auto"/>
        <w:right w:val="none" w:sz="0" w:space="0" w:color="auto"/>
      </w:divBdr>
    </w:div>
    <w:div w:id="2024045861">
      <w:bodyDiv w:val="1"/>
      <w:marLeft w:val="0"/>
      <w:marRight w:val="0"/>
      <w:marTop w:val="0"/>
      <w:marBottom w:val="0"/>
      <w:divBdr>
        <w:top w:val="none" w:sz="0" w:space="0" w:color="auto"/>
        <w:left w:val="none" w:sz="0" w:space="0" w:color="auto"/>
        <w:bottom w:val="none" w:sz="0" w:space="0" w:color="auto"/>
        <w:right w:val="none" w:sz="0" w:space="0" w:color="auto"/>
      </w:divBdr>
    </w:div>
    <w:div w:id="2025936832">
      <w:bodyDiv w:val="1"/>
      <w:marLeft w:val="0"/>
      <w:marRight w:val="0"/>
      <w:marTop w:val="0"/>
      <w:marBottom w:val="0"/>
      <w:divBdr>
        <w:top w:val="none" w:sz="0" w:space="0" w:color="auto"/>
        <w:left w:val="none" w:sz="0" w:space="0" w:color="auto"/>
        <w:bottom w:val="none" w:sz="0" w:space="0" w:color="auto"/>
        <w:right w:val="none" w:sz="0" w:space="0" w:color="auto"/>
      </w:divBdr>
    </w:div>
    <w:div w:id="2027443164">
      <w:bodyDiv w:val="1"/>
      <w:marLeft w:val="0"/>
      <w:marRight w:val="0"/>
      <w:marTop w:val="0"/>
      <w:marBottom w:val="0"/>
      <w:divBdr>
        <w:top w:val="none" w:sz="0" w:space="0" w:color="auto"/>
        <w:left w:val="none" w:sz="0" w:space="0" w:color="auto"/>
        <w:bottom w:val="none" w:sz="0" w:space="0" w:color="auto"/>
        <w:right w:val="none" w:sz="0" w:space="0" w:color="auto"/>
      </w:divBdr>
    </w:div>
    <w:div w:id="2029139745">
      <w:bodyDiv w:val="1"/>
      <w:marLeft w:val="0"/>
      <w:marRight w:val="0"/>
      <w:marTop w:val="0"/>
      <w:marBottom w:val="0"/>
      <w:divBdr>
        <w:top w:val="none" w:sz="0" w:space="0" w:color="auto"/>
        <w:left w:val="none" w:sz="0" w:space="0" w:color="auto"/>
        <w:bottom w:val="none" w:sz="0" w:space="0" w:color="auto"/>
        <w:right w:val="none" w:sz="0" w:space="0" w:color="auto"/>
      </w:divBdr>
    </w:div>
    <w:div w:id="2036300079">
      <w:bodyDiv w:val="1"/>
      <w:marLeft w:val="0"/>
      <w:marRight w:val="0"/>
      <w:marTop w:val="0"/>
      <w:marBottom w:val="0"/>
      <w:divBdr>
        <w:top w:val="none" w:sz="0" w:space="0" w:color="auto"/>
        <w:left w:val="none" w:sz="0" w:space="0" w:color="auto"/>
        <w:bottom w:val="none" w:sz="0" w:space="0" w:color="auto"/>
        <w:right w:val="none" w:sz="0" w:space="0" w:color="auto"/>
      </w:divBdr>
    </w:div>
    <w:div w:id="2036808337">
      <w:bodyDiv w:val="1"/>
      <w:marLeft w:val="0"/>
      <w:marRight w:val="0"/>
      <w:marTop w:val="0"/>
      <w:marBottom w:val="0"/>
      <w:divBdr>
        <w:top w:val="none" w:sz="0" w:space="0" w:color="auto"/>
        <w:left w:val="none" w:sz="0" w:space="0" w:color="auto"/>
        <w:bottom w:val="none" w:sz="0" w:space="0" w:color="auto"/>
        <w:right w:val="none" w:sz="0" w:space="0" w:color="auto"/>
      </w:divBdr>
    </w:div>
    <w:div w:id="2036925228">
      <w:bodyDiv w:val="1"/>
      <w:marLeft w:val="0"/>
      <w:marRight w:val="0"/>
      <w:marTop w:val="0"/>
      <w:marBottom w:val="0"/>
      <w:divBdr>
        <w:top w:val="none" w:sz="0" w:space="0" w:color="auto"/>
        <w:left w:val="none" w:sz="0" w:space="0" w:color="auto"/>
        <w:bottom w:val="none" w:sz="0" w:space="0" w:color="auto"/>
        <w:right w:val="none" w:sz="0" w:space="0" w:color="auto"/>
      </w:divBdr>
    </w:div>
    <w:div w:id="2037080192">
      <w:bodyDiv w:val="1"/>
      <w:marLeft w:val="0"/>
      <w:marRight w:val="0"/>
      <w:marTop w:val="0"/>
      <w:marBottom w:val="0"/>
      <w:divBdr>
        <w:top w:val="none" w:sz="0" w:space="0" w:color="auto"/>
        <w:left w:val="none" w:sz="0" w:space="0" w:color="auto"/>
        <w:bottom w:val="none" w:sz="0" w:space="0" w:color="auto"/>
        <w:right w:val="none" w:sz="0" w:space="0" w:color="auto"/>
      </w:divBdr>
    </w:div>
    <w:div w:id="2037536614">
      <w:bodyDiv w:val="1"/>
      <w:marLeft w:val="0"/>
      <w:marRight w:val="0"/>
      <w:marTop w:val="0"/>
      <w:marBottom w:val="0"/>
      <w:divBdr>
        <w:top w:val="none" w:sz="0" w:space="0" w:color="auto"/>
        <w:left w:val="none" w:sz="0" w:space="0" w:color="auto"/>
        <w:bottom w:val="none" w:sz="0" w:space="0" w:color="auto"/>
        <w:right w:val="none" w:sz="0" w:space="0" w:color="auto"/>
      </w:divBdr>
    </w:div>
    <w:div w:id="2037924595">
      <w:bodyDiv w:val="1"/>
      <w:marLeft w:val="0"/>
      <w:marRight w:val="0"/>
      <w:marTop w:val="0"/>
      <w:marBottom w:val="0"/>
      <w:divBdr>
        <w:top w:val="none" w:sz="0" w:space="0" w:color="auto"/>
        <w:left w:val="none" w:sz="0" w:space="0" w:color="auto"/>
        <w:bottom w:val="none" w:sz="0" w:space="0" w:color="auto"/>
        <w:right w:val="none" w:sz="0" w:space="0" w:color="auto"/>
      </w:divBdr>
    </w:div>
    <w:div w:id="2038507602">
      <w:bodyDiv w:val="1"/>
      <w:marLeft w:val="0"/>
      <w:marRight w:val="0"/>
      <w:marTop w:val="0"/>
      <w:marBottom w:val="0"/>
      <w:divBdr>
        <w:top w:val="none" w:sz="0" w:space="0" w:color="auto"/>
        <w:left w:val="none" w:sz="0" w:space="0" w:color="auto"/>
        <w:bottom w:val="none" w:sz="0" w:space="0" w:color="auto"/>
        <w:right w:val="none" w:sz="0" w:space="0" w:color="auto"/>
      </w:divBdr>
    </w:div>
    <w:div w:id="2038774059">
      <w:bodyDiv w:val="1"/>
      <w:marLeft w:val="0"/>
      <w:marRight w:val="0"/>
      <w:marTop w:val="0"/>
      <w:marBottom w:val="0"/>
      <w:divBdr>
        <w:top w:val="none" w:sz="0" w:space="0" w:color="auto"/>
        <w:left w:val="none" w:sz="0" w:space="0" w:color="auto"/>
        <w:bottom w:val="none" w:sz="0" w:space="0" w:color="auto"/>
        <w:right w:val="none" w:sz="0" w:space="0" w:color="auto"/>
      </w:divBdr>
    </w:div>
    <w:div w:id="2039894612">
      <w:bodyDiv w:val="1"/>
      <w:marLeft w:val="0"/>
      <w:marRight w:val="0"/>
      <w:marTop w:val="0"/>
      <w:marBottom w:val="0"/>
      <w:divBdr>
        <w:top w:val="none" w:sz="0" w:space="0" w:color="auto"/>
        <w:left w:val="none" w:sz="0" w:space="0" w:color="auto"/>
        <w:bottom w:val="none" w:sz="0" w:space="0" w:color="auto"/>
        <w:right w:val="none" w:sz="0" w:space="0" w:color="auto"/>
      </w:divBdr>
    </w:div>
    <w:div w:id="2041085043">
      <w:bodyDiv w:val="1"/>
      <w:marLeft w:val="0"/>
      <w:marRight w:val="0"/>
      <w:marTop w:val="0"/>
      <w:marBottom w:val="0"/>
      <w:divBdr>
        <w:top w:val="none" w:sz="0" w:space="0" w:color="auto"/>
        <w:left w:val="none" w:sz="0" w:space="0" w:color="auto"/>
        <w:bottom w:val="none" w:sz="0" w:space="0" w:color="auto"/>
        <w:right w:val="none" w:sz="0" w:space="0" w:color="auto"/>
      </w:divBdr>
    </w:div>
    <w:div w:id="2041591873">
      <w:bodyDiv w:val="1"/>
      <w:marLeft w:val="0"/>
      <w:marRight w:val="0"/>
      <w:marTop w:val="0"/>
      <w:marBottom w:val="0"/>
      <w:divBdr>
        <w:top w:val="none" w:sz="0" w:space="0" w:color="auto"/>
        <w:left w:val="none" w:sz="0" w:space="0" w:color="auto"/>
        <w:bottom w:val="none" w:sz="0" w:space="0" w:color="auto"/>
        <w:right w:val="none" w:sz="0" w:space="0" w:color="auto"/>
      </w:divBdr>
    </w:div>
    <w:div w:id="2042705833">
      <w:bodyDiv w:val="1"/>
      <w:marLeft w:val="0"/>
      <w:marRight w:val="0"/>
      <w:marTop w:val="0"/>
      <w:marBottom w:val="0"/>
      <w:divBdr>
        <w:top w:val="none" w:sz="0" w:space="0" w:color="auto"/>
        <w:left w:val="none" w:sz="0" w:space="0" w:color="auto"/>
        <w:bottom w:val="none" w:sz="0" w:space="0" w:color="auto"/>
        <w:right w:val="none" w:sz="0" w:space="0" w:color="auto"/>
      </w:divBdr>
    </w:div>
    <w:div w:id="2042899797">
      <w:bodyDiv w:val="1"/>
      <w:marLeft w:val="0"/>
      <w:marRight w:val="0"/>
      <w:marTop w:val="0"/>
      <w:marBottom w:val="0"/>
      <w:divBdr>
        <w:top w:val="none" w:sz="0" w:space="0" w:color="auto"/>
        <w:left w:val="none" w:sz="0" w:space="0" w:color="auto"/>
        <w:bottom w:val="none" w:sz="0" w:space="0" w:color="auto"/>
        <w:right w:val="none" w:sz="0" w:space="0" w:color="auto"/>
      </w:divBdr>
    </w:div>
    <w:div w:id="2043238037">
      <w:bodyDiv w:val="1"/>
      <w:marLeft w:val="0"/>
      <w:marRight w:val="0"/>
      <w:marTop w:val="0"/>
      <w:marBottom w:val="0"/>
      <w:divBdr>
        <w:top w:val="none" w:sz="0" w:space="0" w:color="auto"/>
        <w:left w:val="none" w:sz="0" w:space="0" w:color="auto"/>
        <w:bottom w:val="none" w:sz="0" w:space="0" w:color="auto"/>
        <w:right w:val="none" w:sz="0" w:space="0" w:color="auto"/>
      </w:divBdr>
    </w:div>
    <w:div w:id="2044212660">
      <w:bodyDiv w:val="1"/>
      <w:marLeft w:val="0"/>
      <w:marRight w:val="0"/>
      <w:marTop w:val="0"/>
      <w:marBottom w:val="0"/>
      <w:divBdr>
        <w:top w:val="none" w:sz="0" w:space="0" w:color="auto"/>
        <w:left w:val="none" w:sz="0" w:space="0" w:color="auto"/>
        <w:bottom w:val="none" w:sz="0" w:space="0" w:color="auto"/>
        <w:right w:val="none" w:sz="0" w:space="0" w:color="auto"/>
      </w:divBdr>
    </w:div>
    <w:div w:id="2044674263">
      <w:bodyDiv w:val="1"/>
      <w:marLeft w:val="0"/>
      <w:marRight w:val="0"/>
      <w:marTop w:val="0"/>
      <w:marBottom w:val="0"/>
      <w:divBdr>
        <w:top w:val="none" w:sz="0" w:space="0" w:color="auto"/>
        <w:left w:val="none" w:sz="0" w:space="0" w:color="auto"/>
        <w:bottom w:val="none" w:sz="0" w:space="0" w:color="auto"/>
        <w:right w:val="none" w:sz="0" w:space="0" w:color="auto"/>
      </w:divBdr>
    </w:div>
    <w:div w:id="2045711628">
      <w:bodyDiv w:val="1"/>
      <w:marLeft w:val="0"/>
      <w:marRight w:val="0"/>
      <w:marTop w:val="0"/>
      <w:marBottom w:val="0"/>
      <w:divBdr>
        <w:top w:val="none" w:sz="0" w:space="0" w:color="auto"/>
        <w:left w:val="none" w:sz="0" w:space="0" w:color="auto"/>
        <w:bottom w:val="none" w:sz="0" w:space="0" w:color="auto"/>
        <w:right w:val="none" w:sz="0" w:space="0" w:color="auto"/>
      </w:divBdr>
    </w:div>
    <w:div w:id="2045711950">
      <w:bodyDiv w:val="1"/>
      <w:marLeft w:val="0"/>
      <w:marRight w:val="0"/>
      <w:marTop w:val="0"/>
      <w:marBottom w:val="0"/>
      <w:divBdr>
        <w:top w:val="none" w:sz="0" w:space="0" w:color="auto"/>
        <w:left w:val="none" w:sz="0" w:space="0" w:color="auto"/>
        <w:bottom w:val="none" w:sz="0" w:space="0" w:color="auto"/>
        <w:right w:val="none" w:sz="0" w:space="0" w:color="auto"/>
      </w:divBdr>
    </w:div>
    <w:div w:id="2046707502">
      <w:bodyDiv w:val="1"/>
      <w:marLeft w:val="0"/>
      <w:marRight w:val="0"/>
      <w:marTop w:val="0"/>
      <w:marBottom w:val="0"/>
      <w:divBdr>
        <w:top w:val="none" w:sz="0" w:space="0" w:color="auto"/>
        <w:left w:val="none" w:sz="0" w:space="0" w:color="auto"/>
        <w:bottom w:val="none" w:sz="0" w:space="0" w:color="auto"/>
        <w:right w:val="none" w:sz="0" w:space="0" w:color="auto"/>
      </w:divBdr>
    </w:div>
    <w:div w:id="2047437654">
      <w:bodyDiv w:val="1"/>
      <w:marLeft w:val="0"/>
      <w:marRight w:val="0"/>
      <w:marTop w:val="0"/>
      <w:marBottom w:val="0"/>
      <w:divBdr>
        <w:top w:val="none" w:sz="0" w:space="0" w:color="auto"/>
        <w:left w:val="none" w:sz="0" w:space="0" w:color="auto"/>
        <w:bottom w:val="none" w:sz="0" w:space="0" w:color="auto"/>
        <w:right w:val="none" w:sz="0" w:space="0" w:color="auto"/>
      </w:divBdr>
    </w:div>
    <w:div w:id="2048140931">
      <w:bodyDiv w:val="1"/>
      <w:marLeft w:val="0"/>
      <w:marRight w:val="0"/>
      <w:marTop w:val="0"/>
      <w:marBottom w:val="0"/>
      <w:divBdr>
        <w:top w:val="none" w:sz="0" w:space="0" w:color="auto"/>
        <w:left w:val="none" w:sz="0" w:space="0" w:color="auto"/>
        <w:bottom w:val="none" w:sz="0" w:space="0" w:color="auto"/>
        <w:right w:val="none" w:sz="0" w:space="0" w:color="auto"/>
      </w:divBdr>
    </w:div>
    <w:div w:id="2048219222">
      <w:bodyDiv w:val="1"/>
      <w:marLeft w:val="0"/>
      <w:marRight w:val="0"/>
      <w:marTop w:val="0"/>
      <w:marBottom w:val="0"/>
      <w:divBdr>
        <w:top w:val="none" w:sz="0" w:space="0" w:color="auto"/>
        <w:left w:val="none" w:sz="0" w:space="0" w:color="auto"/>
        <w:bottom w:val="none" w:sz="0" w:space="0" w:color="auto"/>
        <w:right w:val="none" w:sz="0" w:space="0" w:color="auto"/>
      </w:divBdr>
    </w:div>
    <w:div w:id="2052071528">
      <w:bodyDiv w:val="1"/>
      <w:marLeft w:val="0"/>
      <w:marRight w:val="0"/>
      <w:marTop w:val="0"/>
      <w:marBottom w:val="0"/>
      <w:divBdr>
        <w:top w:val="none" w:sz="0" w:space="0" w:color="auto"/>
        <w:left w:val="none" w:sz="0" w:space="0" w:color="auto"/>
        <w:bottom w:val="none" w:sz="0" w:space="0" w:color="auto"/>
        <w:right w:val="none" w:sz="0" w:space="0" w:color="auto"/>
      </w:divBdr>
    </w:div>
    <w:div w:id="2053118052">
      <w:bodyDiv w:val="1"/>
      <w:marLeft w:val="0"/>
      <w:marRight w:val="0"/>
      <w:marTop w:val="0"/>
      <w:marBottom w:val="0"/>
      <w:divBdr>
        <w:top w:val="none" w:sz="0" w:space="0" w:color="auto"/>
        <w:left w:val="none" w:sz="0" w:space="0" w:color="auto"/>
        <w:bottom w:val="none" w:sz="0" w:space="0" w:color="auto"/>
        <w:right w:val="none" w:sz="0" w:space="0" w:color="auto"/>
      </w:divBdr>
    </w:div>
    <w:div w:id="2054453442">
      <w:bodyDiv w:val="1"/>
      <w:marLeft w:val="0"/>
      <w:marRight w:val="0"/>
      <w:marTop w:val="0"/>
      <w:marBottom w:val="0"/>
      <w:divBdr>
        <w:top w:val="none" w:sz="0" w:space="0" w:color="auto"/>
        <w:left w:val="none" w:sz="0" w:space="0" w:color="auto"/>
        <w:bottom w:val="none" w:sz="0" w:space="0" w:color="auto"/>
        <w:right w:val="none" w:sz="0" w:space="0" w:color="auto"/>
      </w:divBdr>
    </w:div>
    <w:div w:id="2054651631">
      <w:bodyDiv w:val="1"/>
      <w:marLeft w:val="0"/>
      <w:marRight w:val="0"/>
      <w:marTop w:val="0"/>
      <w:marBottom w:val="0"/>
      <w:divBdr>
        <w:top w:val="none" w:sz="0" w:space="0" w:color="auto"/>
        <w:left w:val="none" w:sz="0" w:space="0" w:color="auto"/>
        <w:bottom w:val="none" w:sz="0" w:space="0" w:color="auto"/>
        <w:right w:val="none" w:sz="0" w:space="0" w:color="auto"/>
      </w:divBdr>
    </w:div>
    <w:div w:id="2054690158">
      <w:bodyDiv w:val="1"/>
      <w:marLeft w:val="0"/>
      <w:marRight w:val="0"/>
      <w:marTop w:val="0"/>
      <w:marBottom w:val="0"/>
      <w:divBdr>
        <w:top w:val="none" w:sz="0" w:space="0" w:color="auto"/>
        <w:left w:val="none" w:sz="0" w:space="0" w:color="auto"/>
        <w:bottom w:val="none" w:sz="0" w:space="0" w:color="auto"/>
        <w:right w:val="none" w:sz="0" w:space="0" w:color="auto"/>
      </w:divBdr>
    </w:div>
    <w:div w:id="2054957031">
      <w:bodyDiv w:val="1"/>
      <w:marLeft w:val="0"/>
      <w:marRight w:val="0"/>
      <w:marTop w:val="0"/>
      <w:marBottom w:val="0"/>
      <w:divBdr>
        <w:top w:val="none" w:sz="0" w:space="0" w:color="auto"/>
        <w:left w:val="none" w:sz="0" w:space="0" w:color="auto"/>
        <w:bottom w:val="none" w:sz="0" w:space="0" w:color="auto"/>
        <w:right w:val="none" w:sz="0" w:space="0" w:color="auto"/>
      </w:divBdr>
    </w:div>
    <w:div w:id="2056083538">
      <w:bodyDiv w:val="1"/>
      <w:marLeft w:val="0"/>
      <w:marRight w:val="0"/>
      <w:marTop w:val="0"/>
      <w:marBottom w:val="0"/>
      <w:divBdr>
        <w:top w:val="none" w:sz="0" w:space="0" w:color="auto"/>
        <w:left w:val="none" w:sz="0" w:space="0" w:color="auto"/>
        <w:bottom w:val="none" w:sz="0" w:space="0" w:color="auto"/>
        <w:right w:val="none" w:sz="0" w:space="0" w:color="auto"/>
      </w:divBdr>
    </w:div>
    <w:div w:id="2057115955">
      <w:bodyDiv w:val="1"/>
      <w:marLeft w:val="0"/>
      <w:marRight w:val="0"/>
      <w:marTop w:val="0"/>
      <w:marBottom w:val="0"/>
      <w:divBdr>
        <w:top w:val="none" w:sz="0" w:space="0" w:color="auto"/>
        <w:left w:val="none" w:sz="0" w:space="0" w:color="auto"/>
        <w:bottom w:val="none" w:sz="0" w:space="0" w:color="auto"/>
        <w:right w:val="none" w:sz="0" w:space="0" w:color="auto"/>
      </w:divBdr>
    </w:div>
    <w:div w:id="2057660928">
      <w:bodyDiv w:val="1"/>
      <w:marLeft w:val="0"/>
      <w:marRight w:val="0"/>
      <w:marTop w:val="0"/>
      <w:marBottom w:val="0"/>
      <w:divBdr>
        <w:top w:val="none" w:sz="0" w:space="0" w:color="auto"/>
        <w:left w:val="none" w:sz="0" w:space="0" w:color="auto"/>
        <w:bottom w:val="none" w:sz="0" w:space="0" w:color="auto"/>
        <w:right w:val="none" w:sz="0" w:space="0" w:color="auto"/>
      </w:divBdr>
    </w:div>
    <w:div w:id="2057968454">
      <w:bodyDiv w:val="1"/>
      <w:marLeft w:val="0"/>
      <w:marRight w:val="0"/>
      <w:marTop w:val="0"/>
      <w:marBottom w:val="0"/>
      <w:divBdr>
        <w:top w:val="none" w:sz="0" w:space="0" w:color="auto"/>
        <w:left w:val="none" w:sz="0" w:space="0" w:color="auto"/>
        <w:bottom w:val="none" w:sz="0" w:space="0" w:color="auto"/>
        <w:right w:val="none" w:sz="0" w:space="0" w:color="auto"/>
      </w:divBdr>
    </w:div>
    <w:div w:id="2065135060">
      <w:bodyDiv w:val="1"/>
      <w:marLeft w:val="0"/>
      <w:marRight w:val="0"/>
      <w:marTop w:val="0"/>
      <w:marBottom w:val="0"/>
      <w:divBdr>
        <w:top w:val="none" w:sz="0" w:space="0" w:color="auto"/>
        <w:left w:val="none" w:sz="0" w:space="0" w:color="auto"/>
        <w:bottom w:val="none" w:sz="0" w:space="0" w:color="auto"/>
        <w:right w:val="none" w:sz="0" w:space="0" w:color="auto"/>
      </w:divBdr>
    </w:div>
    <w:div w:id="2065253759">
      <w:bodyDiv w:val="1"/>
      <w:marLeft w:val="0"/>
      <w:marRight w:val="0"/>
      <w:marTop w:val="0"/>
      <w:marBottom w:val="0"/>
      <w:divBdr>
        <w:top w:val="none" w:sz="0" w:space="0" w:color="auto"/>
        <w:left w:val="none" w:sz="0" w:space="0" w:color="auto"/>
        <w:bottom w:val="none" w:sz="0" w:space="0" w:color="auto"/>
        <w:right w:val="none" w:sz="0" w:space="0" w:color="auto"/>
      </w:divBdr>
    </w:div>
    <w:div w:id="2065330031">
      <w:bodyDiv w:val="1"/>
      <w:marLeft w:val="0"/>
      <w:marRight w:val="0"/>
      <w:marTop w:val="0"/>
      <w:marBottom w:val="0"/>
      <w:divBdr>
        <w:top w:val="none" w:sz="0" w:space="0" w:color="auto"/>
        <w:left w:val="none" w:sz="0" w:space="0" w:color="auto"/>
        <w:bottom w:val="none" w:sz="0" w:space="0" w:color="auto"/>
        <w:right w:val="none" w:sz="0" w:space="0" w:color="auto"/>
      </w:divBdr>
    </w:div>
    <w:div w:id="2066299258">
      <w:bodyDiv w:val="1"/>
      <w:marLeft w:val="0"/>
      <w:marRight w:val="0"/>
      <w:marTop w:val="0"/>
      <w:marBottom w:val="0"/>
      <w:divBdr>
        <w:top w:val="none" w:sz="0" w:space="0" w:color="auto"/>
        <w:left w:val="none" w:sz="0" w:space="0" w:color="auto"/>
        <w:bottom w:val="none" w:sz="0" w:space="0" w:color="auto"/>
        <w:right w:val="none" w:sz="0" w:space="0" w:color="auto"/>
      </w:divBdr>
    </w:div>
    <w:div w:id="2067221836">
      <w:bodyDiv w:val="1"/>
      <w:marLeft w:val="0"/>
      <w:marRight w:val="0"/>
      <w:marTop w:val="0"/>
      <w:marBottom w:val="0"/>
      <w:divBdr>
        <w:top w:val="none" w:sz="0" w:space="0" w:color="auto"/>
        <w:left w:val="none" w:sz="0" w:space="0" w:color="auto"/>
        <w:bottom w:val="none" w:sz="0" w:space="0" w:color="auto"/>
        <w:right w:val="none" w:sz="0" w:space="0" w:color="auto"/>
      </w:divBdr>
    </w:div>
    <w:div w:id="2067561052">
      <w:bodyDiv w:val="1"/>
      <w:marLeft w:val="0"/>
      <w:marRight w:val="0"/>
      <w:marTop w:val="0"/>
      <w:marBottom w:val="0"/>
      <w:divBdr>
        <w:top w:val="none" w:sz="0" w:space="0" w:color="auto"/>
        <w:left w:val="none" w:sz="0" w:space="0" w:color="auto"/>
        <w:bottom w:val="none" w:sz="0" w:space="0" w:color="auto"/>
        <w:right w:val="none" w:sz="0" w:space="0" w:color="auto"/>
      </w:divBdr>
    </w:div>
    <w:div w:id="2068802154">
      <w:bodyDiv w:val="1"/>
      <w:marLeft w:val="0"/>
      <w:marRight w:val="0"/>
      <w:marTop w:val="0"/>
      <w:marBottom w:val="0"/>
      <w:divBdr>
        <w:top w:val="none" w:sz="0" w:space="0" w:color="auto"/>
        <w:left w:val="none" w:sz="0" w:space="0" w:color="auto"/>
        <w:bottom w:val="none" w:sz="0" w:space="0" w:color="auto"/>
        <w:right w:val="none" w:sz="0" w:space="0" w:color="auto"/>
      </w:divBdr>
    </w:div>
    <w:div w:id="2068844602">
      <w:bodyDiv w:val="1"/>
      <w:marLeft w:val="0"/>
      <w:marRight w:val="0"/>
      <w:marTop w:val="0"/>
      <w:marBottom w:val="0"/>
      <w:divBdr>
        <w:top w:val="none" w:sz="0" w:space="0" w:color="auto"/>
        <w:left w:val="none" w:sz="0" w:space="0" w:color="auto"/>
        <w:bottom w:val="none" w:sz="0" w:space="0" w:color="auto"/>
        <w:right w:val="none" w:sz="0" w:space="0" w:color="auto"/>
      </w:divBdr>
    </w:div>
    <w:div w:id="2068994951">
      <w:bodyDiv w:val="1"/>
      <w:marLeft w:val="0"/>
      <w:marRight w:val="0"/>
      <w:marTop w:val="0"/>
      <w:marBottom w:val="0"/>
      <w:divBdr>
        <w:top w:val="none" w:sz="0" w:space="0" w:color="auto"/>
        <w:left w:val="none" w:sz="0" w:space="0" w:color="auto"/>
        <w:bottom w:val="none" w:sz="0" w:space="0" w:color="auto"/>
        <w:right w:val="none" w:sz="0" w:space="0" w:color="auto"/>
      </w:divBdr>
    </w:div>
    <w:div w:id="2069299985">
      <w:bodyDiv w:val="1"/>
      <w:marLeft w:val="0"/>
      <w:marRight w:val="0"/>
      <w:marTop w:val="0"/>
      <w:marBottom w:val="0"/>
      <w:divBdr>
        <w:top w:val="none" w:sz="0" w:space="0" w:color="auto"/>
        <w:left w:val="none" w:sz="0" w:space="0" w:color="auto"/>
        <w:bottom w:val="none" w:sz="0" w:space="0" w:color="auto"/>
        <w:right w:val="none" w:sz="0" w:space="0" w:color="auto"/>
      </w:divBdr>
    </w:div>
    <w:div w:id="2069449952">
      <w:bodyDiv w:val="1"/>
      <w:marLeft w:val="0"/>
      <w:marRight w:val="0"/>
      <w:marTop w:val="0"/>
      <w:marBottom w:val="0"/>
      <w:divBdr>
        <w:top w:val="none" w:sz="0" w:space="0" w:color="auto"/>
        <w:left w:val="none" w:sz="0" w:space="0" w:color="auto"/>
        <w:bottom w:val="none" w:sz="0" w:space="0" w:color="auto"/>
        <w:right w:val="none" w:sz="0" w:space="0" w:color="auto"/>
      </w:divBdr>
    </w:div>
    <w:div w:id="2069956431">
      <w:bodyDiv w:val="1"/>
      <w:marLeft w:val="0"/>
      <w:marRight w:val="0"/>
      <w:marTop w:val="0"/>
      <w:marBottom w:val="0"/>
      <w:divBdr>
        <w:top w:val="none" w:sz="0" w:space="0" w:color="auto"/>
        <w:left w:val="none" w:sz="0" w:space="0" w:color="auto"/>
        <w:bottom w:val="none" w:sz="0" w:space="0" w:color="auto"/>
        <w:right w:val="none" w:sz="0" w:space="0" w:color="auto"/>
      </w:divBdr>
    </w:div>
    <w:div w:id="2070110364">
      <w:bodyDiv w:val="1"/>
      <w:marLeft w:val="0"/>
      <w:marRight w:val="0"/>
      <w:marTop w:val="0"/>
      <w:marBottom w:val="0"/>
      <w:divBdr>
        <w:top w:val="none" w:sz="0" w:space="0" w:color="auto"/>
        <w:left w:val="none" w:sz="0" w:space="0" w:color="auto"/>
        <w:bottom w:val="none" w:sz="0" w:space="0" w:color="auto"/>
        <w:right w:val="none" w:sz="0" w:space="0" w:color="auto"/>
      </w:divBdr>
    </w:div>
    <w:div w:id="2070305524">
      <w:bodyDiv w:val="1"/>
      <w:marLeft w:val="0"/>
      <w:marRight w:val="0"/>
      <w:marTop w:val="0"/>
      <w:marBottom w:val="0"/>
      <w:divBdr>
        <w:top w:val="none" w:sz="0" w:space="0" w:color="auto"/>
        <w:left w:val="none" w:sz="0" w:space="0" w:color="auto"/>
        <w:bottom w:val="none" w:sz="0" w:space="0" w:color="auto"/>
        <w:right w:val="none" w:sz="0" w:space="0" w:color="auto"/>
      </w:divBdr>
    </w:div>
    <w:div w:id="2071347458">
      <w:bodyDiv w:val="1"/>
      <w:marLeft w:val="0"/>
      <w:marRight w:val="0"/>
      <w:marTop w:val="0"/>
      <w:marBottom w:val="0"/>
      <w:divBdr>
        <w:top w:val="none" w:sz="0" w:space="0" w:color="auto"/>
        <w:left w:val="none" w:sz="0" w:space="0" w:color="auto"/>
        <w:bottom w:val="none" w:sz="0" w:space="0" w:color="auto"/>
        <w:right w:val="none" w:sz="0" w:space="0" w:color="auto"/>
      </w:divBdr>
    </w:div>
    <w:div w:id="2071615218">
      <w:bodyDiv w:val="1"/>
      <w:marLeft w:val="0"/>
      <w:marRight w:val="0"/>
      <w:marTop w:val="0"/>
      <w:marBottom w:val="0"/>
      <w:divBdr>
        <w:top w:val="none" w:sz="0" w:space="0" w:color="auto"/>
        <w:left w:val="none" w:sz="0" w:space="0" w:color="auto"/>
        <w:bottom w:val="none" w:sz="0" w:space="0" w:color="auto"/>
        <w:right w:val="none" w:sz="0" w:space="0" w:color="auto"/>
      </w:divBdr>
    </w:div>
    <w:div w:id="2073692437">
      <w:bodyDiv w:val="1"/>
      <w:marLeft w:val="0"/>
      <w:marRight w:val="0"/>
      <w:marTop w:val="0"/>
      <w:marBottom w:val="0"/>
      <w:divBdr>
        <w:top w:val="none" w:sz="0" w:space="0" w:color="auto"/>
        <w:left w:val="none" w:sz="0" w:space="0" w:color="auto"/>
        <w:bottom w:val="none" w:sz="0" w:space="0" w:color="auto"/>
        <w:right w:val="none" w:sz="0" w:space="0" w:color="auto"/>
      </w:divBdr>
    </w:div>
    <w:div w:id="2075657896">
      <w:bodyDiv w:val="1"/>
      <w:marLeft w:val="0"/>
      <w:marRight w:val="0"/>
      <w:marTop w:val="0"/>
      <w:marBottom w:val="0"/>
      <w:divBdr>
        <w:top w:val="none" w:sz="0" w:space="0" w:color="auto"/>
        <w:left w:val="none" w:sz="0" w:space="0" w:color="auto"/>
        <w:bottom w:val="none" w:sz="0" w:space="0" w:color="auto"/>
        <w:right w:val="none" w:sz="0" w:space="0" w:color="auto"/>
      </w:divBdr>
    </w:div>
    <w:div w:id="2075809311">
      <w:bodyDiv w:val="1"/>
      <w:marLeft w:val="0"/>
      <w:marRight w:val="0"/>
      <w:marTop w:val="0"/>
      <w:marBottom w:val="0"/>
      <w:divBdr>
        <w:top w:val="none" w:sz="0" w:space="0" w:color="auto"/>
        <w:left w:val="none" w:sz="0" w:space="0" w:color="auto"/>
        <w:bottom w:val="none" w:sz="0" w:space="0" w:color="auto"/>
        <w:right w:val="none" w:sz="0" w:space="0" w:color="auto"/>
      </w:divBdr>
    </w:div>
    <w:div w:id="2077392068">
      <w:bodyDiv w:val="1"/>
      <w:marLeft w:val="0"/>
      <w:marRight w:val="0"/>
      <w:marTop w:val="0"/>
      <w:marBottom w:val="0"/>
      <w:divBdr>
        <w:top w:val="none" w:sz="0" w:space="0" w:color="auto"/>
        <w:left w:val="none" w:sz="0" w:space="0" w:color="auto"/>
        <w:bottom w:val="none" w:sz="0" w:space="0" w:color="auto"/>
        <w:right w:val="none" w:sz="0" w:space="0" w:color="auto"/>
      </w:divBdr>
    </w:div>
    <w:div w:id="2077972859">
      <w:bodyDiv w:val="1"/>
      <w:marLeft w:val="0"/>
      <w:marRight w:val="0"/>
      <w:marTop w:val="0"/>
      <w:marBottom w:val="0"/>
      <w:divBdr>
        <w:top w:val="none" w:sz="0" w:space="0" w:color="auto"/>
        <w:left w:val="none" w:sz="0" w:space="0" w:color="auto"/>
        <w:bottom w:val="none" w:sz="0" w:space="0" w:color="auto"/>
        <w:right w:val="none" w:sz="0" w:space="0" w:color="auto"/>
      </w:divBdr>
    </w:div>
    <w:div w:id="2080398197">
      <w:bodyDiv w:val="1"/>
      <w:marLeft w:val="0"/>
      <w:marRight w:val="0"/>
      <w:marTop w:val="0"/>
      <w:marBottom w:val="0"/>
      <w:divBdr>
        <w:top w:val="none" w:sz="0" w:space="0" w:color="auto"/>
        <w:left w:val="none" w:sz="0" w:space="0" w:color="auto"/>
        <w:bottom w:val="none" w:sz="0" w:space="0" w:color="auto"/>
        <w:right w:val="none" w:sz="0" w:space="0" w:color="auto"/>
      </w:divBdr>
    </w:div>
    <w:div w:id="2082674074">
      <w:bodyDiv w:val="1"/>
      <w:marLeft w:val="0"/>
      <w:marRight w:val="0"/>
      <w:marTop w:val="0"/>
      <w:marBottom w:val="0"/>
      <w:divBdr>
        <w:top w:val="none" w:sz="0" w:space="0" w:color="auto"/>
        <w:left w:val="none" w:sz="0" w:space="0" w:color="auto"/>
        <w:bottom w:val="none" w:sz="0" w:space="0" w:color="auto"/>
        <w:right w:val="none" w:sz="0" w:space="0" w:color="auto"/>
      </w:divBdr>
    </w:div>
    <w:div w:id="2083941976">
      <w:bodyDiv w:val="1"/>
      <w:marLeft w:val="0"/>
      <w:marRight w:val="0"/>
      <w:marTop w:val="0"/>
      <w:marBottom w:val="0"/>
      <w:divBdr>
        <w:top w:val="none" w:sz="0" w:space="0" w:color="auto"/>
        <w:left w:val="none" w:sz="0" w:space="0" w:color="auto"/>
        <w:bottom w:val="none" w:sz="0" w:space="0" w:color="auto"/>
        <w:right w:val="none" w:sz="0" w:space="0" w:color="auto"/>
      </w:divBdr>
    </w:div>
    <w:div w:id="2084792465">
      <w:bodyDiv w:val="1"/>
      <w:marLeft w:val="0"/>
      <w:marRight w:val="0"/>
      <w:marTop w:val="0"/>
      <w:marBottom w:val="0"/>
      <w:divBdr>
        <w:top w:val="none" w:sz="0" w:space="0" w:color="auto"/>
        <w:left w:val="none" w:sz="0" w:space="0" w:color="auto"/>
        <w:bottom w:val="none" w:sz="0" w:space="0" w:color="auto"/>
        <w:right w:val="none" w:sz="0" w:space="0" w:color="auto"/>
      </w:divBdr>
    </w:div>
    <w:div w:id="2086107249">
      <w:bodyDiv w:val="1"/>
      <w:marLeft w:val="0"/>
      <w:marRight w:val="0"/>
      <w:marTop w:val="0"/>
      <w:marBottom w:val="0"/>
      <w:divBdr>
        <w:top w:val="none" w:sz="0" w:space="0" w:color="auto"/>
        <w:left w:val="none" w:sz="0" w:space="0" w:color="auto"/>
        <w:bottom w:val="none" w:sz="0" w:space="0" w:color="auto"/>
        <w:right w:val="none" w:sz="0" w:space="0" w:color="auto"/>
      </w:divBdr>
    </w:div>
    <w:div w:id="2086300481">
      <w:bodyDiv w:val="1"/>
      <w:marLeft w:val="0"/>
      <w:marRight w:val="0"/>
      <w:marTop w:val="0"/>
      <w:marBottom w:val="0"/>
      <w:divBdr>
        <w:top w:val="none" w:sz="0" w:space="0" w:color="auto"/>
        <w:left w:val="none" w:sz="0" w:space="0" w:color="auto"/>
        <w:bottom w:val="none" w:sz="0" w:space="0" w:color="auto"/>
        <w:right w:val="none" w:sz="0" w:space="0" w:color="auto"/>
      </w:divBdr>
    </w:div>
    <w:div w:id="2086367715">
      <w:bodyDiv w:val="1"/>
      <w:marLeft w:val="0"/>
      <w:marRight w:val="0"/>
      <w:marTop w:val="0"/>
      <w:marBottom w:val="0"/>
      <w:divBdr>
        <w:top w:val="none" w:sz="0" w:space="0" w:color="auto"/>
        <w:left w:val="none" w:sz="0" w:space="0" w:color="auto"/>
        <w:bottom w:val="none" w:sz="0" w:space="0" w:color="auto"/>
        <w:right w:val="none" w:sz="0" w:space="0" w:color="auto"/>
      </w:divBdr>
    </w:div>
    <w:div w:id="2086605830">
      <w:bodyDiv w:val="1"/>
      <w:marLeft w:val="0"/>
      <w:marRight w:val="0"/>
      <w:marTop w:val="0"/>
      <w:marBottom w:val="0"/>
      <w:divBdr>
        <w:top w:val="none" w:sz="0" w:space="0" w:color="auto"/>
        <w:left w:val="none" w:sz="0" w:space="0" w:color="auto"/>
        <w:bottom w:val="none" w:sz="0" w:space="0" w:color="auto"/>
        <w:right w:val="none" w:sz="0" w:space="0" w:color="auto"/>
      </w:divBdr>
    </w:div>
    <w:div w:id="2086949568">
      <w:bodyDiv w:val="1"/>
      <w:marLeft w:val="0"/>
      <w:marRight w:val="0"/>
      <w:marTop w:val="0"/>
      <w:marBottom w:val="0"/>
      <w:divBdr>
        <w:top w:val="none" w:sz="0" w:space="0" w:color="auto"/>
        <w:left w:val="none" w:sz="0" w:space="0" w:color="auto"/>
        <w:bottom w:val="none" w:sz="0" w:space="0" w:color="auto"/>
        <w:right w:val="none" w:sz="0" w:space="0" w:color="auto"/>
      </w:divBdr>
    </w:div>
    <w:div w:id="2087145006">
      <w:bodyDiv w:val="1"/>
      <w:marLeft w:val="0"/>
      <w:marRight w:val="0"/>
      <w:marTop w:val="0"/>
      <w:marBottom w:val="0"/>
      <w:divBdr>
        <w:top w:val="none" w:sz="0" w:space="0" w:color="auto"/>
        <w:left w:val="none" w:sz="0" w:space="0" w:color="auto"/>
        <w:bottom w:val="none" w:sz="0" w:space="0" w:color="auto"/>
        <w:right w:val="none" w:sz="0" w:space="0" w:color="auto"/>
      </w:divBdr>
    </w:div>
    <w:div w:id="2087409734">
      <w:bodyDiv w:val="1"/>
      <w:marLeft w:val="0"/>
      <w:marRight w:val="0"/>
      <w:marTop w:val="0"/>
      <w:marBottom w:val="0"/>
      <w:divBdr>
        <w:top w:val="none" w:sz="0" w:space="0" w:color="auto"/>
        <w:left w:val="none" w:sz="0" w:space="0" w:color="auto"/>
        <w:bottom w:val="none" w:sz="0" w:space="0" w:color="auto"/>
        <w:right w:val="none" w:sz="0" w:space="0" w:color="auto"/>
      </w:divBdr>
    </w:div>
    <w:div w:id="2089495834">
      <w:bodyDiv w:val="1"/>
      <w:marLeft w:val="0"/>
      <w:marRight w:val="0"/>
      <w:marTop w:val="0"/>
      <w:marBottom w:val="0"/>
      <w:divBdr>
        <w:top w:val="none" w:sz="0" w:space="0" w:color="auto"/>
        <w:left w:val="none" w:sz="0" w:space="0" w:color="auto"/>
        <w:bottom w:val="none" w:sz="0" w:space="0" w:color="auto"/>
        <w:right w:val="none" w:sz="0" w:space="0" w:color="auto"/>
      </w:divBdr>
    </w:div>
    <w:div w:id="2090080411">
      <w:bodyDiv w:val="1"/>
      <w:marLeft w:val="0"/>
      <w:marRight w:val="0"/>
      <w:marTop w:val="0"/>
      <w:marBottom w:val="0"/>
      <w:divBdr>
        <w:top w:val="none" w:sz="0" w:space="0" w:color="auto"/>
        <w:left w:val="none" w:sz="0" w:space="0" w:color="auto"/>
        <w:bottom w:val="none" w:sz="0" w:space="0" w:color="auto"/>
        <w:right w:val="none" w:sz="0" w:space="0" w:color="auto"/>
      </w:divBdr>
    </w:div>
    <w:div w:id="2090693971">
      <w:bodyDiv w:val="1"/>
      <w:marLeft w:val="0"/>
      <w:marRight w:val="0"/>
      <w:marTop w:val="0"/>
      <w:marBottom w:val="0"/>
      <w:divBdr>
        <w:top w:val="none" w:sz="0" w:space="0" w:color="auto"/>
        <w:left w:val="none" w:sz="0" w:space="0" w:color="auto"/>
        <w:bottom w:val="none" w:sz="0" w:space="0" w:color="auto"/>
        <w:right w:val="none" w:sz="0" w:space="0" w:color="auto"/>
      </w:divBdr>
    </w:div>
    <w:div w:id="2092389396">
      <w:bodyDiv w:val="1"/>
      <w:marLeft w:val="0"/>
      <w:marRight w:val="0"/>
      <w:marTop w:val="0"/>
      <w:marBottom w:val="0"/>
      <w:divBdr>
        <w:top w:val="none" w:sz="0" w:space="0" w:color="auto"/>
        <w:left w:val="none" w:sz="0" w:space="0" w:color="auto"/>
        <w:bottom w:val="none" w:sz="0" w:space="0" w:color="auto"/>
        <w:right w:val="none" w:sz="0" w:space="0" w:color="auto"/>
      </w:divBdr>
    </w:div>
    <w:div w:id="2092583338">
      <w:bodyDiv w:val="1"/>
      <w:marLeft w:val="0"/>
      <w:marRight w:val="0"/>
      <w:marTop w:val="0"/>
      <w:marBottom w:val="0"/>
      <w:divBdr>
        <w:top w:val="none" w:sz="0" w:space="0" w:color="auto"/>
        <w:left w:val="none" w:sz="0" w:space="0" w:color="auto"/>
        <w:bottom w:val="none" w:sz="0" w:space="0" w:color="auto"/>
        <w:right w:val="none" w:sz="0" w:space="0" w:color="auto"/>
      </w:divBdr>
    </w:div>
    <w:div w:id="2097748869">
      <w:bodyDiv w:val="1"/>
      <w:marLeft w:val="0"/>
      <w:marRight w:val="0"/>
      <w:marTop w:val="0"/>
      <w:marBottom w:val="0"/>
      <w:divBdr>
        <w:top w:val="none" w:sz="0" w:space="0" w:color="auto"/>
        <w:left w:val="none" w:sz="0" w:space="0" w:color="auto"/>
        <w:bottom w:val="none" w:sz="0" w:space="0" w:color="auto"/>
        <w:right w:val="none" w:sz="0" w:space="0" w:color="auto"/>
      </w:divBdr>
    </w:div>
    <w:div w:id="2099011438">
      <w:bodyDiv w:val="1"/>
      <w:marLeft w:val="0"/>
      <w:marRight w:val="0"/>
      <w:marTop w:val="0"/>
      <w:marBottom w:val="0"/>
      <w:divBdr>
        <w:top w:val="none" w:sz="0" w:space="0" w:color="auto"/>
        <w:left w:val="none" w:sz="0" w:space="0" w:color="auto"/>
        <w:bottom w:val="none" w:sz="0" w:space="0" w:color="auto"/>
        <w:right w:val="none" w:sz="0" w:space="0" w:color="auto"/>
      </w:divBdr>
    </w:div>
    <w:div w:id="2099477934">
      <w:bodyDiv w:val="1"/>
      <w:marLeft w:val="0"/>
      <w:marRight w:val="0"/>
      <w:marTop w:val="0"/>
      <w:marBottom w:val="0"/>
      <w:divBdr>
        <w:top w:val="none" w:sz="0" w:space="0" w:color="auto"/>
        <w:left w:val="none" w:sz="0" w:space="0" w:color="auto"/>
        <w:bottom w:val="none" w:sz="0" w:space="0" w:color="auto"/>
        <w:right w:val="none" w:sz="0" w:space="0" w:color="auto"/>
      </w:divBdr>
    </w:div>
    <w:div w:id="2100636344">
      <w:bodyDiv w:val="1"/>
      <w:marLeft w:val="0"/>
      <w:marRight w:val="0"/>
      <w:marTop w:val="0"/>
      <w:marBottom w:val="0"/>
      <w:divBdr>
        <w:top w:val="none" w:sz="0" w:space="0" w:color="auto"/>
        <w:left w:val="none" w:sz="0" w:space="0" w:color="auto"/>
        <w:bottom w:val="none" w:sz="0" w:space="0" w:color="auto"/>
        <w:right w:val="none" w:sz="0" w:space="0" w:color="auto"/>
      </w:divBdr>
    </w:div>
    <w:div w:id="2101634003">
      <w:bodyDiv w:val="1"/>
      <w:marLeft w:val="0"/>
      <w:marRight w:val="0"/>
      <w:marTop w:val="0"/>
      <w:marBottom w:val="0"/>
      <w:divBdr>
        <w:top w:val="none" w:sz="0" w:space="0" w:color="auto"/>
        <w:left w:val="none" w:sz="0" w:space="0" w:color="auto"/>
        <w:bottom w:val="none" w:sz="0" w:space="0" w:color="auto"/>
        <w:right w:val="none" w:sz="0" w:space="0" w:color="auto"/>
      </w:divBdr>
    </w:div>
    <w:div w:id="2109882933">
      <w:bodyDiv w:val="1"/>
      <w:marLeft w:val="0"/>
      <w:marRight w:val="0"/>
      <w:marTop w:val="0"/>
      <w:marBottom w:val="0"/>
      <w:divBdr>
        <w:top w:val="none" w:sz="0" w:space="0" w:color="auto"/>
        <w:left w:val="none" w:sz="0" w:space="0" w:color="auto"/>
        <w:bottom w:val="none" w:sz="0" w:space="0" w:color="auto"/>
        <w:right w:val="none" w:sz="0" w:space="0" w:color="auto"/>
      </w:divBdr>
    </w:div>
    <w:div w:id="2110081060">
      <w:bodyDiv w:val="1"/>
      <w:marLeft w:val="0"/>
      <w:marRight w:val="0"/>
      <w:marTop w:val="0"/>
      <w:marBottom w:val="0"/>
      <w:divBdr>
        <w:top w:val="none" w:sz="0" w:space="0" w:color="auto"/>
        <w:left w:val="none" w:sz="0" w:space="0" w:color="auto"/>
        <w:bottom w:val="none" w:sz="0" w:space="0" w:color="auto"/>
        <w:right w:val="none" w:sz="0" w:space="0" w:color="auto"/>
      </w:divBdr>
    </w:div>
    <w:div w:id="2110194729">
      <w:bodyDiv w:val="1"/>
      <w:marLeft w:val="0"/>
      <w:marRight w:val="0"/>
      <w:marTop w:val="0"/>
      <w:marBottom w:val="0"/>
      <w:divBdr>
        <w:top w:val="none" w:sz="0" w:space="0" w:color="auto"/>
        <w:left w:val="none" w:sz="0" w:space="0" w:color="auto"/>
        <w:bottom w:val="none" w:sz="0" w:space="0" w:color="auto"/>
        <w:right w:val="none" w:sz="0" w:space="0" w:color="auto"/>
      </w:divBdr>
    </w:div>
    <w:div w:id="2111242506">
      <w:bodyDiv w:val="1"/>
      <w:marLeft w:val="0"/>
      <w:marRight w:val="0"/>
      <w:marTop w:val="0"/>
      <w:marBottom w:val="0"/>
      <w:divBdr>
        <w:top w:val="none" w:sz="0" w:space="0" w:color="auto"/>
        <w:left w:val="none" w:sz="0" w:space="0" w:color="auto"/>
        <w:bottom w:val="none" w:sz="0" w:space="0" w:color="auto"/>
        <w:right w:val="none" w:sz="0" w:space="0" w:color="auto"/>
      </w:divBdr>
    </w:div>
    <w:div w:id="2111705110">
      <w:bodyDiv w:val="1"/>
      <w:marLeft w:val="0"/>
      <w:marRight w:val="0"/>
      <w:marTop w:val="0"/>
      <w:marBottom w:val="0"/>
      <w:divBdr>
        <w:top w:val="none" w:sz="0" w:space="0" w:color="auto"/>
        <w:left w:val="none" w:sz="0" w:space="0" w:color="auto"/>
        <w:bottom w:val="none" w:sz="0" w:space="0" w:color="auto"/>
        <w:right w:val="none" w:sz="0" w:space="0" w:color="auto"/>
      </w:divBdr>
    </w:div>
    <w:div w:id="2112309173">
      <w:bodyDiv w:val="1"/>
      <w:marLeft w:val="0"/>
      <w:marRight w:val="0"/>
      <w:marTop w:val="0"/>
      <w:marBottom w:val="0"/>
      <w:divBdr>
        <w:top w:val="none" w:sz="0" w:space="0" w:color="auto"/>
        <w:left w:val="none" w:sz="0" w:space="0" w:color="auto"/>
        <w:bottom w:val="none" w:sz="0" w:space="0" w:color="auto"/>
        <w:right w:val="none" w:sz="0" w:space="0" w:color="auto"/>
      </w:divBdr>
    </w:div>
    <w:div w:id="2112819649">
      <w:bodyDiv w:val="1"/>
      <w:marLeft w:val="0"/>
      <w:marRight w:val="0"/>
      <w:marTop w:val="0"/>
      <w:marBottom w:val="0"/>
      <w:divBdr>
        <w:top w:val="none" w:sz="0" w:space="0" w:color="auto"/>
        <w:left w:val="none" w:sz="0" w:space="0" w:color="auto"/>
        <w:bottom w:val="none" w:sz="0" w:space="0" w:color="auto"/>
        <w:right w:val="none" w:sz="0" w:space="0" w:color="auto"/>
      </w:divBdr>
    </w:div>
    <w:div w:id="2113011803">
      <w:bodyDiv w:val="1"/>
      <w:marLeft w:val="0"/>
      <w:marRight w:val="0"/>
      <w:marTop w:val="0"/>
      <w:marBottom w:val="0"/>
      <w:divBdr>
        <w:top w:val="none" w:sz="0" w:space="0" w:color="auto"/>
        <w:left w:val="none" w:sz="0" w:space="0" w:color="auto"/>
        <w:bottom w:val="none" w:sz="0" w:space="0" w:color="auto"/>
        <w:right w:val="none" w:sz="0" w:space="0" w:color="auto"/>
      </w:divBdr>
    </w:div>
    <w:div w:id="2113087747">
      <w:bodyDiv w:val="1"/>
      <w:marLeft w:val="0"/>
      <w:marRight w:val="0"/>
      <w:marTop w:val="0"/>
      <w:marBottom w:val="0"/>
      <w:divBdr>
        <w:top w:val="none" w:sz="0" w:space="0" w:color="auto"/>
        <w:left w:val="none" w:sz="0" w:space="0" w:color="auto"/>
        <w:bottom w:val="none" w:sz="0" w:space="0" w:color="auto"/>
        <w:right w:val="none" w:sz="0" w:space="0" w:color="auto"/>
      </w:divBdr>
    </w:div>
    <w:div w:id="2114281029">
      <w:bodyDiv w:val="1"/>
      <w:marLeft w:val="0"/>
      <w:marRight w:val="0"/>
      <w:marTop w:val="0"/>
      <w:marBottom w:val="0"/>
      <w:divBdr>
        <w:top w:val="none" w:sz="0" w:space="0" w:color="auto"/>
        <w:left w:val="none" w:sz="0" w:space="0" w:color="auto"/>
        <w:bottom w:val="none" w:sz="0" w:space="0" w:color="auto"/>
        <w:right w:val="none" w:sz="0" w:space="0" w:color="auto"/>
      </w:divBdr>
    </w:div>
    <w:div w:id="2116123268">
      <w:bodyDiv w:val="1"/>
      <w:marLeft w:val="0"/>
      <w:marRight w:val="0"/>
      <w:marTop w:val="0"/>
      <w:marBottom w:val="0"/>
      <w:divBdr>
        <w:top w:val="none" w:sz="0" w:space="0" w:color="auto"/>
        <w:left w:val="none" w:sz="0" w:space="0" w:color="auto"/>
        <w:bottom w:val="none" w:sz="0" w:space="0" w:color="auto"/>
        <w:right w:val="none" w:sz="0" w:space="0" w:color="auto"/>
      </w:divBdr>
    </w:div>
    <w:div w:id="2116827887">
      <w:bodyDiv w:val="1"/>
      <w:marLeft w:val="0"/>
      <w:marRight w:val="0"/>
      <w:marTop w:val="0"/>
      <w:marBottom w:val="0"/>
      <w:divBdr>
        <w:top w:val="none" w:sz="0" w:space="0" w:color="auto"/>
        <w:left w:val="none" w:sz="0" w:space="0" w:color="auto"/>
        <w:bottom w:val="none" w:sz="0" w:space="0" w:color="auto"/>
        <w:right w:val="none" w:sz="0" w:space="0" w:color="auto"/>
      </w:divBdr>
    </w:div>
    <w:div w:id="2117014320">
      <w:bodyDiv w:val="1"/>
      <w:marLeft w:val="0"/>
      <w:marRight w:val="0"/>
      <w:marTop w:val="0"/>
      <w:marBottom w:val="0"/>
      <w:divBdr>
        <w:top w:val="none" w:sz="0" w:space="0" w:color="auto"/>
        <w:left w:val="none" w:sz="0" w:space="0" w:color="auto"/>
        <w:bottom w:val="none" w:sz="0" w:space="0" w:color="auto"/>
        <w:right w:val="none" w:sz="0" w:space="0" w:color="auto"/>
      </w:divBdr>
    </w:div>
    <w:div w:id="2117823131">
      <w:bodyDiv w:val="1"/>
      <w:marLeft w:val="0"/>
      <w:marRight w:val="0"/>
      <w:marTop w:val="0"/>
      <w:marBottom w:val="0"/>
      <w:divBdr>
        <w:top w:val="none" w:sz="0" w:space="0" w:color="auto"/>
        <w:left w:val="none" w:sz="0" w:space="0" w:color="auto"/>
        <w:bottom w:val="none" w:sz="0" w:space="0" w:color="auto"/>
        <w:right w:val="none" w:sz="0" w:space="0" w:color="auto"/>
      </w:divBdr>
    </w:div>
    <w:div w:id="2119254543">
      <w:bodyDiv w:val="1"/>
      <w:marLeft w:val="0"/>
      <w:marRight w:val="0"/>
      <w:marTop w:val="0"/>
      <w:marBottom w:val="0"/>
      <w:divBdr>
        <w:top w:val="none" w:sz="0" w:space="0" w:color="auto"/>
        <w:left w:val="none" w:sz="0" w:space="0" w:color="auto"/>
        <w:bottom w:val="none" w:sz="0" w:space="0" w:color="auto"/>
        <w:right w:val="none" w:sz="0" w:space="0" w:color="auto"/>
      </w:divBdr>
    </w:div>
    <w:div w:id="2119255013">
      <w:bodyDiv w:val="1"/>
      <w:marLeft w:val="0"/>
      <w:marRight w:val="0"/>
      <w:marTop w:val="0"/>
      <w:marBottom w:val="0"/>
      <w:divBdr>
        <w:top w:val="none" w:sz="0" w:space="0" w:color="auto"/>
        <w:left w:val="none" w:sz="0" w:space="0" w:color="auto"/>
        <w:bottom w:val="none" w:sz="0" w:space="0" w:color="auto"/>
        <w:right w:val="none" w:sz="0" w:space="0" w:color="auto"/>
      </w:divBdr>
    </w:div>
    <w:div w:id="2120371433">
      <w:bodyDiv w:val="1"/>
      <w:marLeft w:val="0"/>
      <w:marRight w:val="0"/>
      <w:marTop w:val="0"/>
      <w:marBottom w:val="0"/>
      <w:divBdr>
        <w:top w:val="none" w:sz="0" w:space="0" w:color="auto"/>
        <w:left w:val="none" w:sz="0" w:space="0" w:color="auto"/>
        <w:bottom w:val="none" w:sz="0" w:space="0" w:color="auto"/>
        <w:right w:val="none" w:sz="0" w:space="0" w:color="auto"/>
      </w:divBdr>
    </w:div>
    <w:div w:id="2120564492">
      <w:bodyDiv w:val="1"/>
      <w:marLeft w:val="0"/>
      <w:marRight w:val="0"/>
      <w:marTop w:val="0"/>
      <w:marBottom w:val="0"/>
      <w:divBdr>
        <w:top w:val="none" w:sz="0" w:space="0" w:color="auto"/>
        <w:left w:val="none" w:sz="0" w:space="0" w:color="auto"/>
        <w:bottom w:val="none" w:sz="0" w:space="0" w:color="auto"/>
        <w:right w:val="none" w:sz="0" w:space="0" w:color="auto"/>
      </w:divBdr>
    </w:div>
    <w:div w:id="2120760364">
      <w:bodyDiv w:val="1"/>
      <w:marLeft w:val="0"/>
      <w:marRight w:val="0"/>
      <w:marTop w:val="0"/>
      <w:marBottom w:val="0"/>
      <w:divBdr>
        <w:top w:val="none" w:sz="0" w:space="0" w:color="auto"/>
        <w:left w:val="none" w:sz="0" w:space="0" w:color="auto"/>
        <w:bottom w:val="none" w:sz="0" w:space="0" w:color="auto"/>
        <w:right w:val="none" w:sz="0" w:space="0" w:color="auto"/>
      </w:divBdr>
    </w:div>
    <w:div w:id="2123381319">
      <w:bodyDiv w:val="1"/>
      <w:marLeft w:val="0"/>
      <w:marRight w:val="0"/>
      <w:marTop w:val="0"/>
      <w:marBottom w:val="0"/>
      <w:divBdr>
        <w:top w:val="none" w:sz="0" w:space="0" w:color="auto"/>
        <w:left w:val="none" w:sz="0" w:space="0" w:color="auto"/>
        <w:bottom w:val="none" w:sz="0" w:space="0" w:color="auto"/>
        <w:right w:val="none" w:sz="0" w:space="0" w:color="auto"/>
      </w:divBdr>
    </w:div>
    <w:div w:id="2126196806">
      <w:bodyDiv w:val="1"/>
      <w:marLeft w:val="0"/>
      <w:marRight w:val="0"/>
      <w:marTop w:val="0"/>
      <w:marBottom w:val="0"/>
      <w:divBdr>
        <w:top w:val="none" w:sz="0" w:space="0" w:color="auto"/>
        <w:left w:val="none" w:sz="0" w:space="0" w:color="auto"/>
        <w:bottom w:val="none" w:sz="0" w:space="0" w:color="auto"/>
        <w:right w:val="none" w:sz="0" w:space="0" w:color="auto"/>
      </w:divBdr>
    </w:div>
    <w:div w:id="2126928031">
      <w:bodyDiv w:val="1"/>
      <w:marLeft w:val="0"/>
      <w:marRight w:val="0"/>
      <w:marTop w:val="0"/>
      <w:marBottom w:val="0"/>
      <w:divBdr>
        <w:top w:val="none" w:sz="0" w:space="0" w:color="auto"/>
        <w:left w:val="none" w:sz="0" w:space="0" w:color="auto"/>
        <w:bottom w:val="none" w:sz="0" w:space="0" w:color="auto"/>
        <w:right w:val="none" w:sz="0" w:space="0" w:color="auto"/>
      </w:divBdr>
    </w:div>
    <w:div w:id="2127656716">
      <w:bodyDiv w:val="1"/>
      <w:marLeft w:val="0"/>
      <w:marRight w:val="0"/>
      <w:marTop w:val="0"/>
      <w:marBottom w:val="0"/>
      <w:divBdr>
        <w:top w:val="none" w:sz="0" w:space="0" w:color="auto"/>
        <w:left w:val="none" w:sz="0" w:space="0" w:color="auto"/>
        <w:bottom w:val="none" w:sz="0" w:space="0" w:color="auto"/>
        <w:right w:val="none" w:sz="0" w:space="0" w:color="auto"/>
      </w:divBdr>
    </w:div>
    <w:div w:id="2127848232">
      <w:bodyDiv w:val="1"/>
      <w:marLeft w:val="0"/>
      <w:marRight w:val="0"/>
      <w:marTop w:val="0"/>
      <w:marBottom w:val="0"/>
      <w:divBdr>
        <w:top w:val="none" w:sz="0" w:space="0" w:color="auto"/>
        <w:left w:val="none" w:sz="0" w:space="0" w:color="auto"/>
        <w:bottom w:val="none" w:sz="0" w:space="0" w:color="auto"/>
        <w:right w:val="none" w:sz="0" w:space="0" w:color="auto"/>
      </w:divBdr>
    </w:div>
    <w:div w:id="2130540863">
      <w:bodyDiv w:val="1"/>
      <w:marLeft w:val="0"/>
      <w:marRight w:val="0"/>
      <w:marTop w:val="0"/>
      <w:marBottom w:val="0"/>
      <w:divBdr>
        <w:top w:val="none" w:sz="0" w:space="0" w:color="auto"/>
        <w:left w:val="none" w:sz="0" w:space="0" w:color="auto"/>
        <w:bottom w:val="none" w:sz="0" w:space="0" w:color="auto"/>
        <w:right w:val="none" w:sz="0" w:space="0" w:color="auto"/>
      </w:divBdr>
    </w:div>
    <w:div w:id="2131429975">
      <w:bodyDiv w:val="1"/>
      <w:marLeft w:val="0"/>
      <w:marRight w:val="0"/>
      <w:marTop w:val="0"/>
      <w:marBottom w:val="0"/>
      <w:divBdr>
        <w:top w:val="none" w:sz="0" w:space="0" w:color="auto"/>
        <w:left w:val="none" w:sz="0" w:space="0" w:color="auto"/>
        <w:bottom w:val="none" w:sz="0" w:space="0" w:color="auto"/>
        <w:right w:val="none" w:sz="0" w:space="0" w:color="auto"/>
      </w:divBdr>
    </w:div>
    <w:div w:id="2132161126">
      <w:bodyDiv w:val="1"/>
      <w:marLeft w:val="0"/>
      <w:marRight w:val="0"/>
      <w:marTop w:val="0"/>
      <w:marBottom w:val="0"/>
      <w:divBdr>
        <w:top w:val="none" w:sz="0" w:space="0" w:color="auto"/>
        <w:left w:val="none" w:sz="0" w:space="0" w:color="auto"/>
        <w:bottom w:val="none" w:sz="0" w:space="0" w:color="auto"/>
        <w:right w:val="none" w:sz="0" w:space="0" w:color="auto"/>
      </w:divBdr>
    </w:div>
    <w:div w:id="2132672695">
      <w:bodyDiv w:val="1"/>
      <w:marLeft w:val="0"/>
      <w:marRight w:val="0"/>
      <w:marTop w:val="0"/>
      <w:marBottom w:val="0"/>
      <w:divBdr>
        <w:top w:val="none" w:sz="0" w:space="0" w:color="auto"/>
        <w:left w:val="none" w:sz="0" w:space="0" w:color="auto"/>
        <w:bottom w:val="none" w:sz="0" w:space="0" w:color="auto"/>
        <w:right w:val="none" w:sz="0" w:space="0" w:color="auto"/>
      </w:divBdr>
    </w:div>
    <w:div w:id="2133210521">
      <w:bodyDiv w:val="1"/>
      <w:marLeft w:val="0"/>
      <w:marRight w:val="0"/>
      <w:marTop w:val="0"/>
      <w:marBottom w:val="0"/>
      <w:divBdr>
        <w:top w:val="none" w:sz="0" w:space="0" w:color="auto"/>
        <w:left w:val="none" w:sz="0" w:space="0" w:color="auto"/>
        <w:bottom w:val="none" w:sz="0" w:space="0" w:color="auto"/>
        <w:right w:val="none" w:sz="0" w:space="0" w:color="auto"/>
      </w:divBdr>
    </w:div>
    <w:div w:id="2133818736">
      <w:bodyDiv w:val="1"/>
      <w:marLeft w:val="0"/>
      <w:marRight w:val="0"/>
      <w:marTop w:val="0"/>
      <w:marBottom w:val="0"/>
      <w:divBdr>
        <w:top w:val="none" w:sz="0" w:space="0" w:color="auto"/>
        <w:left w:val="none" w:sz="0" w:space="0" w:color="auto"/>
        <w:bottom w:val="none" w:sz="0" w:space="0" w:color="auto"/>
        <w:right w:val="none" w:sz="0" w:space="0" w:color="auto"/>
      </w:divBdr>
    </w:div>
    <w:div w:id="2135322554">
      <w:bodyDiv w:val="1"/>
      <w:marLeft w:val="0"/>
      <w:marRight w:val="0"/>
      <w:marTop w:val="0"/>
      <w:marBottom w:val="0"/>
      <w:divBdr>
        <w:top w:val="none" w:sz="0" w:space="0" w:color="auto"/>
        <w:left w:val="none" w:sz="0" w:space="0" w:color="auto"/>
        <w:bottom w:val="none" w:sz="0" w:space="0" w:color="auto"/>
        <w:right w:val="none" w:sz="0" w:space="0" w:color="auto"/>
      </w:divBdr>
    </w:div>
    <w:div w:id="2136017261">
      <w:bodyDiv w:val="1"/>
      <w:marLeft w:val="0"/>
      <w:marRight w:val="0"/>
      <w:marTop w:val="0"/>
      <w:marBottom w:val="0"/>
      <w:divBdr>
        <w:top w:val="none" w:sz="0" w:space="0" w:color="auto"/>
        <w:left w:val="none" w:sz="0" w:space="0" w:color="auto"/>
        <w:bottom w:val="none" w:sz="0" w:space="0" w:color="auto"/>
        <w:right w:val="none" w:sz="0" w:space="0" w:color="auto"/>
      </w:divBdr>
    </w:div>
    <w:div w:id="2138335813">
      <w:bodyDiv w:val="1"/>
      <w:marLeft w:val="0"/>
      <w:marRight w:val="0"/>
      <w:marTop w:val="0"/>
      <w:marBottom w:val="0"/>
      <w:divBdr>
        <w:top w:val="none" w:sz="0" w:space="0" w:color="auto"/>
        <w:left w:val="none" w:sz="0" w:space="0" w:color="auto"/>
        <w:bottom w:val="none" w:sz="0" w:space="0" w:color="auto"/>
        <w:right w:val="none" w:sz="0" w:space="0" w:color="auto"/>
      </w:divBdr>
    </w:div>
    <w:div w:id="2138405937">
      <w:bodyDiv w:val="1"/>
      <w:marLeft w:val="0"/>
      <w:marRight w:val="0"/>
      <w:marTop w:val="0"/>
      <w:marBottom w:val="0"/>
      <w:divBdr>
        <w:top w:val="none" w:sz="0" w:space="0" w:color="auto"/>
        <w:left w:val="none" w:sz="0" w:space="0" w:color="auto"/>
        <w:bottom w:val="none" w:sz="0" w:space="0" w:color="auto"/>
        <w:right w:val="none" w:sz="0" w:space="0" w:color="auto"/>
      </w:divBdr>
    </w:div>
    <w:div w:id="2140223895">
      <w:bodyDiv w:val="1"/>
      <w:marLeft w:val="0"/>
      <w:marRight w:val="0"/>
      <w:marTop w:val="0"/>
      <w:marBottom w:val="0"/>
      <w:divBdr>
        <w:top w:val="none" w:sz="0" w:space="0" w:color="auto"/>
        <w:left w:val="none" w:sz="0" w:space="0" w:color="auto"/>
        <w:bottom w:val="none" w:sz="0" w:space="0" w:color="auto"/>
        <w:right w:val="none" w:sz="0" w:space="0" w:color="auto"/>
      </w:divBdr>
    </w:div>
    <w:div w:id="2141603097">
      <w:bodyDiv w:val="1"/>
      <w:marLeft w:val="0"/>
      <w:marRight w:val="0"/>
      <w:marTop w:val="0"/>
      <w:marBottom w:val="0"/>
      <w:divBdr>
        <w:top w:val="none" w:sz="0" w:space="0" w:color="auto"/>
        <w:left w:val="none" w:sz="0" w:space="0" w:color="auto"/>
        <w:bottom w:val="none" w:sz="0" w:space="0" w:color="auto"/>
        <w:right w:val="none" w:sz="0" w:space="0" w:color="auto"/>
      </w:divBdr>
    </w:div>
    <w:div w:id="2142647372">
      <w:bodyDiv w:val="1"/>
      <w:marLeft w:val="0"/>
      <w:marRight w:val="0"/>
      <w:marTop w:val="0"/>
      <w:marBottom w:val="0"/>
      <w:divBdr>
        <w:top w:val="none" w:sz="0" w:space="0" w:color="auto"/>
        <w:left w:val="none" w:sz="0" w:space="0" w:color="auto"/>
        <w:bottom w:val="none" w:sz="0" w:space="0" w:color="auto"/>
        <w:right w:val="none" w:sz="0" w:space="0" w:color="auto"/>
      </w:divBdr>
    </w:div>
    <w:div w:id="2143569327">
      <w:bodyDiv w:val="1"/>
      <w:marLeft w:val="0"/>
      <w:marRight w:val="0"/>
      <w:marTop w:val="0"/>
      <w:marBottom w:val="0"/>
      <w:divBdr>
        <w:top w:val="none" w:sz="0" w:space="0" w:color="auto"/>
        <w:left w:val="none" w:sz="0" w:space="0" w:color="auto"/>
        <w:bottom w:val="none" w:sz="0" w:space="0" w:color="auto"/>
        <w:right w:val="none" w:sz="0" w:space="0" w:color="auto"/>
      </w:divBdr>
    </w:div>
    <w:div w:id="2144031367">
      <w:bodyDiv w:val="1"/>
      <w:marLeft w:val="0"/>
      <w:marRight w:val="0"/>
      <w:marTop w:val="0"/>
      <w:marBottom w:val="0"/>
      <w:divBdr>
        <w:top w:val="none" w:sz="0" w:space="0" w:color="auto"/>
        <w:left w:val="none" w:sz="0" w:space="0" w:color="auto"/>
        <w:bottom w:val="none" w:sz="0" w:space="0" w:color="auto"/>
        <w:right w:val="none" w:sz="0" w:space="0" w:color="auto"/>
      </w:divBdr>
    </w:div>
    <w:div w:id="2144228219">
      <w:bodyDiv w:val="1"/>
      <w:marLeft w:val="0"/>
      <w:marRight w:val="0"/>
      <w:marTop w:val="0"/>
      <w:marBottom w:val="0"/>
      <w:divBdr>
        <w:top w:val="none" w:sz="0" w:space="0" w:color="auto"/>
        <w:left w:val="none" w:sz="0" w:space="0" w:color="auto"/>
        <w:bottom w:val="none" w:sz="0" w:space="0" w:color="auto"/>
        <w:right w:val="none" w:sz="0" w:space="0" w:color="auto"/>
      </w:divBdr>
    </w:div>
    <w:div w:id="2144805202">
      <w:bodyDiv w:val="1"/>
      <w:marLeft w:val="0"/>
      <w:marRight w:val="0"/>
      <w:marTop w:val="0"/>
      <w:marBottom w:val="0"/>
      <w:divBdr>
        <w:top w:val="none" w:sz="0" w:space="0" w:color="auto"/>
        <w:left w:val="none" w:sz="0" w:space="0" w:color="auto"/>
        <w:bottom w:val="none" w:sz="0" w:space="0" w:color="auto"/>
        <w:right w:val="none" w:sz="0" w:space="0" w:color="auto"/>
      </w:divBdr>
    </w:div>
    <w:div w:id="2145852251">
      <w:bodyDiv w:val="1"/>
      <w:marLeft w:val="0"/>
      <w:marRight w:val="0"/>
      <w:marTop w:val="0"/>
      <w:marBottom w:val="0"/>
      <w:divBdr>
        <w:top w:val="none" w:sz="0" w:space="0" w:color="auto"/>
        <w:left w:val="none" w:sz="0" w:space="0" w:color="auto"/>
        <w:bottom w:val="none" w:sz="0" w:space="0" w:color="auto"/>
        <w:right w:val="none" w:sz="0" w:space="0" w:color="auto"/>
      </w:divBdr>
    </w:div>
    <w:div w:id="2146000837">
      <w:bodyDiv w:val="1"/>
      <w:marLeft w:val="0"/>
      <w:marRight w:val="0"/>
      <w:marTop w:val="0"/>
      <w:marBottom w:val="0"/>
      <w:divBdr>
        <w:top w:val="none" w:sz="0" w:space="0" w:color="auto"/>
        <w:left w:val="none" w:sz="0" w:space="0" w:color="auto"/>
        <w:bottom w:val="none" w:sz="0" w:space="0" w:color="auto"/>
        <w:right w:val="none" w:sz="0" w:space="0" w:color="auto"/>
      </w:divBdr>
    </w:div>
    <w:div w:id="2146463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2.png"/><Relationship Id="rId299" Type="http://schemas.openxmlformats.org/officeDocument/2006/relationships/hyperlink" Target="https://doi.org/10.1016/j.applthermaleng.2021.117448" TargetMode="External"/><Relationship Id="rId21" Type="http://schemas.openxmlformats.org/officeDocument/2006/relationships/footer" Target="footer7.xml"/><Relationship Id="rId63" Type="http://schemas.openxmlformats.org/officeDocument/2006/relationships/image" Target="media/image25.png"/><Relationship Id="rId159" Type="http://schemas.openxmlformats.org/officeDocument/2006/relationships/image" Target="media/image104.png"/><Relationship Id="rId324" Type="http://schemas.openxmlformats.org/officeDocument/2006/relationships/hyperlink" Target="https://doi.org/10.1016/j.jclepro.2022.133514" TargetMode="External"/><Relationship Id="rId366" Type="http://schemas.openxmlformats.org/officeDocument/2006/relationships/hyperlink" Target="https://www.dl.begellhouse.com/journals/4c8f5faa331b09ea,0659af8a587efd7c,7e1cefa62403b1a0.html" TargetMode="External"/><Relationship Id="rId170" Type="http://schemas.openxmlformats.org/officeDocument/2006/relationships/hyperlink" Target="https://doi.org/10.1016/j.apenergy.2011.08.025" TargetMode="External"/><Relationship Id="rId226" Type="http://schemas.openxmlformats.org/officeDocument/2006/relationships/hyperlink" Target="https://doi.org/10.1016/j.rser.2016.05.033" TargetMode="External"/><Relationship Id="rId268" Type="http://schemas.openxmlformats.org/officeDocument/2006/relationships/hyperlink" Target="https://doi.org/10.1016/j.buildenv.2019.02.036" TargetMode="External"/><Relationship Id="rId32" Type="http://schemas.openxmlformats.org/officeDocument/2006/relationships/image" Target="media/image5.png"/><Relationship Id="rId74" Type="http://schemas.openxmlformats.org/officeDocument/2006/relationships/image" Target="media/image32.png"/><Relationship Id="rId128" Type="http://schemas.openxmlformats.org/officeDocument/2006/relationships/image" Target="media/image73.png"/><Relationship Id="rId335" Type="http://schemas.openxmlformats.org/officeDocument/2006/relationships/hyperlink" Target="https://doi.org/10.1177/152808303038859" TargetMode="External"/><Relationship Id="rId377" Type="http://schemas.openxmlformats.org/officeDocument/2006/relationships/footer" Target="footer17.xml"/><Relationship Id="rId5" Type="http://schemas.openxmlformats.org/officeDocument/2006/relationships/webSettings" Target="webSettings.xml"/><Relationship Id="rId181" Type="http://schemas.openxmlformats.org/officeDocument/2006/relationships/hyperlink" Target="https://doi.org/10.1016/j.ensm.2018.08.024" TargetMode="External"/><Relationship Id="rId237" Type="http://schemas.openxmlformats.org/officeDocument/2006/relationships/hyperlink" Target="https://doi.org/10.1016/j.applthermaleng.2025.128222" TargetMode="External"/><Relationship Id="rId279" Type="http://schemas.openxmlformats.org/officeDocument/2006/relationships/hyperlink" Target="https://doi.org/10.1016/j.ijthermalsci.2018.07.014" TargetMode="External"/><Relationship Id="rId43" Type="http://schemas.openxmlformats.org/officeDocument/2006/relationships/diagramQuickStyle" Target="diagrams/quickStyle2.xml"/><Relationship Id="rId139" Type="http://schemas.openxmlformats.org/officeDocument/2006/relationships/image" Target="media/image84.png"/><Relationship Id="rId290" Type="http://schemas.openxmlformats.org/officeDocument/2006/relationships/hyperlink" Target="https://doi.org/10.1016/j.enbuild.2007.02.016" TargetMode="External"/><Relationship Id="rId304" Type="http://schemas.openxmlformats.org/officeDocument/2006/relationships/hyperlink" Target="https://doi.org/10.1016/j.est.2021.102815" TargetMode="External"/><Relationship Id="rId346" Type="http://schemas.openxmlformats.org/officeDocument/2006/relationships/hyperlink" Target="https://doi.org/10.1177/15280837241262518" TargetMode="External"/><Relationship Id="rId85" Type="http://schemas.openxmlformats.org/officeDocument/2006/relationships/image" Target="media/image39.png"/><Relationship Id="rId150" Type="http://schemas.openxmlformats.org/officeDocument/2006/relationships/image" Target="media/image95.png"/><Relationship Id="rId192" Type="http://schemas.openxmlformats.org/officeDocument/2006/relationships/hyperlink" Target="https://www.sciencedirect.com/book/9780750648332/crystallization?utm_source=chatgpt.com" TargetMode="External"/><Relationship Id="rId206" Type="http://schemas.openxmlformats.org/officeDocument/2006/relationships/hyperlink" Target="https://doi.org/10.1088/0957-0233/10/3/015" TargetMode="External"/><Relationship Id="rId248" Type="http://schemas.openxmlformats.org/officeDocument/2006/relationships/hyperlink" Target="https://doi.org/10.1093/ijlct/ctu033" TargetMode="External"/><Relationship Id="rId12" Type="http://schemas.openxmlformats.org/officeDocument/2006/relationships/footer" Target="footer2.xml"/><Relationship Id="rId108" Type="http://schemas.openxmlformats.org/officeDocument/2006/relationships/image" Target="media/image53.png"/><Relationship Id="rId315" Type="http://schemas.openxmlformats.org/officeDocument/2006/relationships/hyperlink" Target="https://doi.org/10.1016/j.ijrefrig.2025.03.011" TargetMode="External"/><Relationship Id="rId357" Type="http://schemas.openxmlformats.org/officeDocument/2006/relationships/hyperlink" Target="https://doi.org/10.1016/j.apenergy.2009.04.025" TargetMode="External"/><Relationship Id="rId54" Type="http://schemas.openxmlformats.org/officeDocument/2006/relationships/image" Target="media/image17.png"/><Relationship Id="rId96" Type="http://schemas.openxmlformats.org/officeDocument/2006/relationships/hyperlink" Target="https://puretemp.com/" TargetMode="External"/><Relationship Id="rId161" Type="http://schemas.openxmlformats.org/officeDocument/2006/relationships/image" Target="media/image106.png"/><Relationship Id="rId217" Type="http://schemas.openxmlformats.org/officeDocument/2006/relationships/hyperlink" Target="https://doi.org/10.1016/j.enconman.2012.08.014" TargetMode="External"/><Relationship Id="rId259" Type="http://schemas.openxmlformats.org/officeDocument/2006/relationships/hyperlink" Target="https://doi.org/10.1016/j.est.2021.102321" TargetMode="External"/><Relationship Id="rId23" Type="http://schemas.openxmlformats.org/officeDocument/2006/relationships/footer" Target="footer8.xml"/><Relationship Id="rId119" Type="http://schemas.openxmlformats.org/officeDocument/2006/relationships/image" Target="media/image64.png"/><Relationship Id="rId270" Type="http://schemas.openxmlformats.org/officeDocument/2006/relationships/hyperlink" Target="https://doi.org/10.1016/j.jobe.2021.102418" TargetMode="External"/><Relationship Id="rId326" Type="http://schemas.openxmlformats.org/officeDocument/2006/relationships/hyperlink" Target="https://doi.org/10.1016/j.enconman.2023.116716" TargetMode="External"/><Relationship Id="rId65" Type="http://schemas.openxmlformats.org/officeDocument/2006/relationships/hyperlink" Target="https://www.rubitherm.eu/en/productCategories.html" TargetMode="External"/><Relationship Id="rId130" Type="http://schemas.openxmlformats.org/officeDocument/2006/relationships/image" Target="media/image75.png"/><Relationship Id="rId368" Type="http://schemas.openxmlformats.org/officeDocument/2006/relationships/hyperlink" Target="https://doi.org/10.1016/j.icheatmasstransfer.2020.104918" TargetMode="External"/><Relationship Id="rId172" Type="http://schemas.openxmlformats.org/officeDocument/2006/relationships/hyperlink" Target="https://doi.org/10.1080/15435070701332112" TargetMode="External"/><Relationship Id="rId228" Type="http://schemas.openxmlformats.org/officeDocument/2006/relationships/hyperlink" Target="https://doi.org/10.1016/j.jpowsour.2014.07.147" TargetMode="External"/><Relationship Id="rId281" Type="http://schemas.openxmlformats.org/officeDocument/2006/relationships/hyperlink" Target="https://doi.org/10.1016/j.seta.2021.101349" TargetMode="External"/><Relationship Id="rId337" Type="http://schemas.openxmlformats.org/officeDocument/2006/relationships/hyperlink" Target="https://doi.org/10.1080/00140139.2019.1596318" TargetMode="External"/><Relationship Id="rId34" Type="http://schemas.openxmlformats.org/officeDocument/2006/relationships/diagramLayout" Target="diagrams/layout1.xml"/><Relationship Id="rId76" Type="http://schemas.openxmlformats.org/officeDocument/2006/relationships/image" Target="media/image33.png"/><Relationship Id="rId141" Type="http://schemas.openxmlformats.org/officeDocument/2006/relationships/image" Target="media/image86.png"/><Relationship Id="rId379" Type="http://schemas.openxmlformats.org/officeDocument/2006/relationships/header" Target="header19.xml"/><Relationship Id="rId7" Type="http://schemas.openxmlformats.org/officeDocument/2006/relationships/endnotes" Target="endnotes.xml"/><Relationship Id="rId183" Type="http://schemas.openxmlformats.org/officeDocument/2006/relationships/hyperlink" Target="https://doi.org/10.1016/j.ijheatmasstransfer.2014.08.009" TargetMode="External"/><Relationship Id="rId239" Type="http://schemas.openxmlformats.org/officeDocument/2006/relationships/hyperlink" Target="https://doi.org/10.1016/j.apenergy.2022.119027" TargetMode="External"/><Relationship Id="rId250" Type="http://schemas.openxmlformats.org/officeDocument/2006/relationships/hyperlink" Target="https://doi.org/10.1016/j.renene.2017.02.032" TargetMode="External"/><Relationship Id="rId292" Type="http://schemas.openxmlformats.org/officeDocument/2006/relationships/hyperlink" Target="https://doi.org/10.1016/j.applthermaleng.2021.117773" TargetMode="External"/><Relationship Id="rId306" Type="http://schemas.openxmlformats.org/officeDocument/2006/relationships/hyperlink" Target="https://doi.org/10.1016/j.enbuild.2015.10.040" TargetMode="External"/><Relationship Id="rId45" Type="http://schemas.microsoft.com/office/2007/relationships/diagramDrawing" Target="diagrams/drawing2.xml"/><Relationship Id="rId87" Type="http://schemas.openxmlformats.org/officeDocument/2006/relationships/image" Target="media/image41.png"/><Relationship Id="rId110" Type="http://schemas.openxmlformats.org/officeDocument/2006/relationships/image" Target="media/image55.png"/><Relationship Id="rId348" Type="http://schemas.openxmlformats.org/officeDocument/2006/relationships/hyperlink" Target="https://doi.org/10.1039/D4SU00411F" TargetMode="External"/><Relationship Id="rId152" Type="http://schemas.openxmlformats.org/officeDocument/2006/relationships/image" Target="media/image97.png"/><Relationship Id="rId194" Type="http://schemas.openxmlformats.org/officeDocument/2006/relationships/hyperlink" Target="https://doi.org/10.1016/j.molliq.2020.113760" TargetMode="External"/><Relationship Id="rId208" Type="http://schemas.openxmlformats.org/officeDocument/2006/relationships/hyperlink" Target="https://doi.org/10.1155/2013/695762" TargetMode="External"/><Relationship Id="rId261" Type="http://schemas.openxmlformats.org/officeDocument/2006/relationships/hyperlink" Target="https://doi.org/10.1016/j.enbuild.2017.10.066" TargetMode="External"/><Relationship Id="rId14" Type="http://schemas.openxmlformats.org/officeDocument/2006/relationships/header" Target="header4.xml"/><Relationship Id="rId56" Type="http://schemas.openxmlformats.org/officeDocument/2006/relationships/image" Target="media/image19.png"/><Relationship Id="rId317" Type="http://schemas.openxmlformats.org/officeDocument/2006/relationships/hyperlink" Target="https://doi.org/10.1016/j.est.2024.111258" TargetMode="External"/><Relationship Id="rId359" Type="http://schemas.openxmlformats.org/officeDocument/2006/relationships/hyperlink" Target="https://doi.org/10.1016/j.applthermaleng.2010.11.032" TargetMode="External"/><Relationship Id="rId98" Type="http://schemas.openxmlformats.org/officeDocument/2006/relationships/image" Target="media/image50.png"/><Relationship Id="rId121" Type="http://schemas.openxmlformats.org/officeDocument/2006/relationships/image" Target="media/image66.png"/><Relationship Id="rId163" Type="http://schemas.openxmlformats.org/officeDocument/2006/relationships/hyperlink" Target="https://doi.org/10.1007/s10973-024-13877-z" TargetMode="External"/><Relationship Id="rId219" Type="http://schemas.openxmlformats.org/officeDocument/2006/relationships/hyperlink" Target="https://doi.org/10.1149/1.2113792" TargetMode="External"/><Relationship Id="rId370" Type="http://schemas.openxmlformats.org/officeDocument/2006/relationships/hyperlink" Target="https://doi.org/10.1016/j.ijheatmasstransfer.2021.121459" TargetMode="External"/><Relationship Id="rId230" Type="http://schemas.openxmlformats.org/officeDocument/2006/relationships/hyperlink" Target="https://doi.org/10.1016/j.energy.2017.06.168" TargetMode="External"/><Relationship Id="rId25" Type="http://schemas.openxmlformats.org/officeDocument/2006/relationships/header" Target="header9.xml"/><Relationship Id="rId67" Type="http://schemas.openxmlformats.org/officeDocument/2006/relationships/image" Target="media/image27.png"/><Relationship Id="rId272" Type="http://schemas.openxmlformats.org/officeDocument/2006/relationships/hyperlink" Target="https://doi.org/10.1016/j.applthermaleng.2013.11.050" TargetMode="External"/><Relationship Id="rId328" Type="http://schemas.openxmlformats.org/officeDocument/2006/relationships/hyperlink" Target="https://doi.org/10.1016/j.energy.2021.121564" TargetMode="External"/><Relationship Id="rId132" Type="http://schemas.openxmlformats.org/officeDocument/2006/relationships/image" Target="media/image77.png"/><Relationship Id="rId174" Type="http://schemas.openxmlformats.org/officeDocument/2006/relationships/hyperlink" Target="https://doi.org/10.1107/S0567740873002104" TargetMode="External"/><Relationship Id="rId381" Type="http://schemas.openxmlformats.org/officeDocument/2006/relationships/footer" Target="footer19.xml"/><Relationship Id="rId241" Type="http://schemas.openxmlformats.org/officeDocument/2006/relationships/hyperlink" Target="https://doi.org/10.1016/0017-9310(87)90094-9" TargetMode="External"/><Relationship Id="rId36" Type="http://schemas.openxmlformats.org/officeDocument/2006/relationships/diagramColors" Target="diagrams/colors1.xml"/><Relationship Id="rId283" Type="http://schemas.openxmlformats.org/officeDocument/2006/relationships/hyperlink" Target="https://doi.org/10.1016/j.conbuildmat.2023.131844" TargetMode="External"/><Relationship Id="rId339" Type="http://schemas.openxmlformats.org/officeDocument/2006/relationships/hyperlink" Target="https://doi.org/10.1016/j.apergo.2016.10.001" TargetMode="External"/><Relationship Id="rId78" Type="http://schemas.openxmlformats.org/officeDocument/2006/relationships/image" Target="media/image34.png"/><Relationship Id="rId101" Type="http://schemas.openxmlformats.org/officeDocument/2006/relationships/image" Target="media/image52.png"/><Relationship Id="rId143" Type="http://schemas.openxmlformats.org/officeDocument/2006/relationships/image" Target="media/image88.png"/><Relationship Id="rId185" Type="http://schemas.openxmlformats.org/officeDocument/2006/relationships/hyperlink" Target="https://doi.org/10.26434/chemrxiv-2025-62hqs" TargetMode="External"/><Relationship Id="rId350" Type="http://schemas.openxmlformats.org/officeDocument/2006/relationships/hyperlink" Target="https://doi.org/10.1021/acsomega.3c05702" TargetMode="External"/><Relationship Id="rId9" Type="http://schemas.openxmlformats.org/officeDocument/2006/relationships/footer" Target="footer1.xml"/><Relationship Id="rId210" Type="http://schemas.openxmlformats.org/officeDocument/2006/relationships/hyperlink" Target="https://doi.org/10.1016/j.applthermaleng.2022.118839" TargetMode="External"/><Relationship Id="rId252" Type="http://schemas.openxmlformats.org/officeDocument/2006/relationships/hyperlink" Target="https://doi.org/10.1016/j.energy.2022.126355" TargetMode="External"/><Relationship Id="rId294" Type="http://schemas.openxmlformats.org/officeDocument/2006/relationships/hyperlink" Target="https://doi.org/10.1016/j.buildenv.2019.106381" TargetMode="External"/><Relationship Id="rId308" Type="http://schemas.openxmlformats.org/officeDocument/2006/relationships/hyperlink" Target="https://doi.org/10.1016/j.enbuild.2013.01.029" TargetMode="External"/><Relationship Id="rId47" Type="http://schemas.openxmlformats.org/officeDocument/2006/relationships/image" Target="media/image10.png"/><Relationship Id="rId68" Type="http://schemas.openxmlformats.org/officeDocument/2006/relationships/image" Target="media/image28.png"/><Relationship Id="rId89" Type="http://schemas.openxmlformats.org/officeDocument/2006/relationships/image" Target="media/image43.png"/><Relationship Id="rId112" Type="http://schemas.openxmlformats.org/officeDocument/2006/relationships/image" Target="media/image57.png"/><Relationship Id="rId133" Type="http://schemas.openxmlformats.org/officeDocument/2006/relationships/image" Target="media/image78.png"/><Relationship Id="rId154" Type="http://schemas.openxmlformats.org/officeDocument/2006/relationships/image" Target="media/image99.png"/><Relationship Id="rId175" Type="http://schemas.openxmlformats.org/officeDocument/2006/relationships/hyperlink" Target="https://doi.org/10.1246/bcsj.42.3367" TargetMode="External"/><Relationship Id="rId340" Type="http://schemas.openxmlformats.org/officeDocument/2006/relationships/hyperlink" Target="https://doi.org/10.1007/s00421-007-0665-7" TargetMode="External"/><Relationship Id="rId361" Type="http://schemas.openxmlformats.org/officeDocument/2006/relationships/hyperlink" Target="https://doi.org/10.1115/1.1929783" TargetMode="External"/><Relationship Id="rId196" Type="http://schemas.openxmlformats.org/officeDocument/2006/relationships/hyperlink" Target="https://doi.org/10.1016/B978-0-12-803440-8.00013-0" TargetMode="External"/><Relationship Id="rId200" Type="http://schemas.openxmlformats.org/officeDocument/2006/relationships/hyperlink" Target="https://doi.org/10.1002/er.1560" TargetMode="External"/><Relationship Id="rId382" Type="http://schemas.openxmlformats.org/officeDocument/2006/relationships/header" Target="header20.xml"/><Relationship Id="rId16" Type="http://schemas.openxmlformats.org/officeDocument/2006/relationships/header" Target="header5.xml"/><Relationship Id="rId221" Type="http://schemas.openxmlformats.org/officeDocument/2006/relationships/hyperlink" Target="https://doi.org/10.1016/j.ensm.2021.06.008" TargetMode="External"/><Relationship Id="rId242" Type="http://schemas.openxmlformats.org/officeDocument/2006/relationships/hyperlink" Target="https://doi.org/10.1016/j.jocs.2022.101593" TargetMode="External"/><Relationship Id="rId263" Type="http://schemas.openxmlformats.org/officeDocument/2006/relationships/hyperlink" Target="https://doi.org/10.1016/j.jobe.2025.112106" TargetMode="External"/><Relationship Id="rId284" Type="http://schemas.openxmlformats.org/officeDocument/2006/relationships/hyperlink" Target="https://doi.org/10.1016/j.cscm.2024.e02958" TargetMode="External"/><Relationship Id="rId319" Type="http://schemas.openxmlformats.org/officeDocument/2006/relationships/hyperlink" Target="https://doi.org/10.1016/j.scitotenv.2020.142974" TargetMode="External"/><Relationship Id="rId37" Type="http://schemas.microsoft.com/office/2007/relationships/diagramDrawing" Target="diagrams/drawing1.xml"/><Relationship Id="rId58" Type="http://schemas.openxmlformats.org/officeDocument/2006/relationships/image" Target="media/image21.png"/><Relationship Id="rId79" Type="http://schemas.openxmlformats.org/officeDocument/2006/relationships/oleObject" Target="embeddings/oleObject4.bin"/><Relationship Id="rId102" Type="http://schemas.openxmlformats.org/officeDocument/2006/relationships/header" Target="header12.xml"/><Relationship Id="rId123" Type="http://schemas.openxmlformats.org/officeDocument/2006/relationships/image" Target="media/image68.png"/><Relationship Id="rId144" Type="http://schemas.openxmlformats.org/officeDocument/2006/relationships/image" Target="media/image89.png"/><Relationship Id="rId330" Type="http://schemas.openxmlformats.org/officeDocument/2006/relationships/hyperlink" Target="https://doi.org/10.1016/j.rineng.2024.103603" TargetMode="External"/><Relationship Id="rId90" Type="http://schemas.openxmlformats.org/officeDocument/2006/relationships/hyperlink" Target="https://www.axiotherm.de/en/produkte/axiotherm-pcm/" TargetMode="External"/><Relationship Id="rId165" Type="http://schemas.openxmlformats.org/officeDocument/2006/relationships/hyperlink" Target="https://doi.org/10.1021/acs.chemrev.8b00315" TargetMode="External"/><Relationship Id="rId186" Type="http://schemas.openxmlformats.org/officeDocument/2006/relationships/hyperlink" Target="https://doi.org/10.1007/978-1-4020-5356-6_3" TargetMode="External"/><Relationship Id="rId351" Type="http://schemas.openxmlformats.org/officeDocument/2006/relationships/hyperlink" Target="https://doi.org/10.1016/j.heliyon.2024.e37981" TargetMode="External"/><Relationship Id="rId372" Type="http://schemas.openxmlformats.org/officeDocument/2006/relationships/header" Target="header15.xml"/><Relationship Id="rId211" Type="http://schemas.openxmlformats.org/officeDocument/2006/relationships/hyperlink" Target="https://doi.org/10.17485/ijst/2016/v9iS1/107939" TargetMode="External"/><Relationship Id="rId232" Type="http://schemas.openxmlformats.org/officeDocument/2006/relationships/hyperlink" Target="https://doi.org/10.1016/j.rser.2024.115039" TargetMode="External"/><Relationship Id="rId253" Type="http://schemas.openxmlformats.org/officeDocument/2006/relationships/hyperlink" Target="https://doi.org/10.1016/j.solener.2015.02.003" TargetMode="External"/><Relationship Id="rId274" Type="http://schemas.openxmlformats.org/officeDocument/2006/relationships/hyperlink" Target="https://doi.org/10.1016/j.conbuildmat.2021.123540" TargetMode="External"/><Relationship Id="rId295" Type="http://schemas.openxmlformats.org/officeDocument/2006/relationships/hyperlink" Target="https://doi.org/10.1016/j.renene.2021.11.008" TargetMode="External"/><Relationship Id="rId309" Type="http://schemas.openxmlformats.org/officeDocument/2006/relationships/hyperlink" Target="https://doi.org/10.1016/j.enbuild.2015.02.024" TargetMode="External"/><Relationship Id="rId27" Type="http://schemas.openxmlformats.org/officeDocument/2006/relationships/footer" Target="footer9.xml"/><Relationship Id="rId48" Type="http://schemas.openxmlformats.org/officeDocument/2006/relationships/image" Target="media/image11.png"/><Relationship Id="rId69" Type="http://schemas.openxmlformats.org/officeDocument/2006/relationships/image" Target="media/image29.png"/><Relationship Id="rId113" Type="http://schemas.openxmlformats.org/officeDocument/2006/relationships/image" Target="media/image58.png"/><Relationship Id="rId134" Type="http://schemas.openxmlformats.org/officeDocument/2006/relationships/image" Target="media/image79.png"/><Relationship Id="rId320" Type="http://schemas.openxmlformats.org/officeDocument/2006/relationships/hyperlink" Target="https://doi.org/10.1016/j.jclepro.2016.03.049" TargetMode="External"/><Relationship Id="rId80" Type="http://schemas.openxmlformats.org/officeDocument/2006/relationships/image" Target="media/image35.png"/><Relationship Id="rId155" Type="http://schemas.openxmlformats.org/officeDocument/2006/relationships/image" Target="media/image100.png"/><Relationship Id="rId176" Type="http://schemas.openxmlformats.org/officeDocument/2006/relationships/hyperlink" Target="https://doi.org/10.1002/pat.276" TargetMode="External"/><Relationship Id="rId197" Type="http://schemas.openxmlformats.org/officeDocument/2006/relationships/hyperlink" Target="https://doi.org/10.1007/s12273-015-0241-8" TargetMode="External"/><Relationship Id="rId341" Type="http://schemas.openxmlformats.org/officeDocument/2006/relationships/hyperlink" Target="https://doi.org/10.1016/0038-092X(80)90332-1" TargetMode="External"/><Relationship Id="rId362" Type="http://schemas.openxmlformats.org/officeDocument/2006/relationships/hyperlink" Target="https://doi.org/10.1080/10407782.2019.1595817" TargetMode="External"/><Relationship Id="rId383" Type="http://schemas.openxmlformats.org/officeDocument/2006/relationships/footer" Target="footer20.xml"/><Relationship Id="rId201" Type="http://schemas.openxmlformats.org/officeDocument/2006/relationships/hyperlink" Target="https://doi.org/10.1016/j.rser.2005.10.002" TargetMode="External"/><Relationship Id="rId222" Type="http://schemas.openxmlformats.org/officeDocument/2006/relationships/hyperlink" Target="https://doi.org/10.1016/j.egypro.2017.03.687" TargetMode="External"/><Relationship Id="rId243" Type="http://schemas.openxmlformats.org/officeDocument/2006/relationships/hyperlink" Target="https://doi.org/10.1016/j.solmat.2010.04.003" TargetMode="External"/><Relationship Id="rId264" Type="http://schemas.openxmlformats.org/officeDocument/2006/relationships/hyperlink" Target="https://doi.org/10.1016/j.conbuildmat.2020.121315" TargetMode="External"/><Relationship Id="rId285" Type="http://schemas.openxmlformats.org/officeDocument/2006/relationships/hyperlink" Target="https://doi.org/10.1016/j.proeng.2017.04.259" TargetMode="External"/><Relationship Id="rId17" Type="http://schemas.openxmlformats.org/officeDocument/2006/relationships/footer" Target="footer5.xml"/><Relationship Id="rId38" Type="http://schemas.openxmlformats.org/officeDocument/2006/relationships/image" Target="media/image6.png"/><Relationship Id="rId59" Type="http://schemas.openxmlformats.org/officeDocument/2006/relationships/hyperlink" Target="https://advancedmaterials.honeywell.com/us/en/products/advanced-semiconductor-materials/thermal-management/phase-change-materials" TargetMode="External"/><Relationship Id="rId103" Type="http://schemas.openxmlformats.org/officeDocument/2006/relationships/header" Target="header13.xml"/><Relationship Id="rId124" Type="http://schemas.openxmlformats.org/officeDocument/2006/relationships/image" Target="media/image69.png"/><Relationship Id="rId310" Type="http://schemas.openxmlformats.org/officeDocument/2006/relationships/hyperlink" Target="https://doi.org/10.1016/j.applthermaleng.2023.119976" TargetMode="External"/><Relationship Id="rId70" Type="http://schemas.openxmlformats.org/officeDocument/2006/relationships/image" Target="media/image30.png"/><Relationship Id="rId91" Type="http://schemas.openxmlformats.org/officeDocument/2006/relationships/image" Target="media/image44.png"/><Relationship Id="rId145" Type="http://schemas.openxmlformats.org/officeDocument/2006/relationships/image" Target="media/image90.png"/><Relationship Id="rId166" Type="http://schemas.openxmlformats.org/officeDocument/2006/relationships/hyperlink" Target="https://doi.org/10.1007/978-981-10-7206-2_9" TargetMode="External"/><Relationship Id="rId187" Type="http://schemas.openxmlformats.org/officeDocument/2006/relationships/hyperlink" Target="https://doi.org/10.1016/j.rser.2022.112172" TargetMode="External"/><Relationship Id="rId331" Type="http://schemas.openxmlformats.org/officeDocument/2006/relationships/hyperlink" Target="https://doi.org/10.1007/s00421-010-1748-4" TargetMode="External"/><Relationship Id="rId352" Type="http://schemas.openxmlformats.org/officeDocument/2006/relationships/hyperlink" Target="https://doi.org/10.1016/j.nanoso.2024.101332" TargetMode="External"/><Relationship Id="rId373" Type="http://schemas.openxmlformats.org/officeDocument/2006/relationships/header" Target="header16.xml"/><Relationship Id="rId1" Type="http://schemas.openxmlformats.org/officeDocument/2006/relationships/customXml" Target="../customXml/item1.xml"/><Relationship Id="rId212" Type="http://schemas.openxmlformats.org/officeDocument/2006/relationships/hyperlink" Target="https://doi.org/10.1016/j.applthermaleng.2022.118059" TargetMode="External"/><Relationship Id="rId233" Type="http://schemas.openxmlformats.org/officeDocument/2006/relationships/hyperlink" Target="https://doi.org/10.1016/j.apenergy.2010.12.004" TargetMode="External"/><Relationship Id="rId254" Type="http://schemas.openxmlformats.org/officeDocument/2006/relationships/hyperlink" Target="https://doi.org/10.1016/j.solener.2017.05.016" TargetMode="External"/><Relationship Id="rId28" Type="http://schemas.openxmlformats.org/officeDocument/2006/relationships/footer" Target="footer10.xml"/><Relationship Id="rId49" Type="http://schemas.openxmlformats.org/officeDocument/2006/relationships/image" Target="media/image12.png"/><Relationship Id="rId114" Type="http://schemas.openxmlformats.org/officeDocument/2006/relationships/image" Target="media/image59.png"/><Relationship Id="rId275" Type="http://schemas.openxmlformats.org/officeDocument/2006/relationships/hyperlink" Target="https://doi.org/10.1016/j.cemconres.2019.02.002" TargetMode="External"/><Relationship Id="rId296" Type="http://schemas.openxmlformats.org/officeDocument/2006/relationships/hyperlink" Target="https://doi.org/10.1016/j.est.2024.111478" TargetMode="External"/><Relationship Id="rId300" Type="http://schemas.openxmlformats.org/officeDocument/2006/relationships/hyperlink" Target="https://doi.org/10.1016/j.enbuild.2020.109806" TargetMode="External"/><Relationship Id="rId60" Type="http://schemas.openxmlformats.org/officeDocument/2006/relationships/image" Target="media/image22.png"/><Relationship Id="rId81" Type="http://schemas.openxmlformats.org/officeDocument/2006/relationships/image" Target="media/image36.png"/><Relationship Id="rId135" Type="http://schemas.openxmlformats.org/officeDocument/2006/relationships/image" Target="media/image80.png"/><Relationship Id="rId156" Type="http://schemas.openxmlformats.org/officeDocument/2006/relationships/image" Target="media/image101.png"/><Relationship Id="rId177" Type="http://schemas.openxmlformats.org/officeDocument/2006/relationships/hyperlink" Target="https://doi.org/10.1016/j.est.2018.11.008" TargetMode="External"/><Relationship Id="rId198" Type="http://schemas.openxmlformats.org/officeDocument/2006/relationships/hyperlink" Target="https://doi.org/10.1016/j.nanoen.2018.06.021" TargetMode="External"/><Relationship Id="rId321" Type="http://schemas.openxmlformats.org/officeDocument/2006/relationships/hyperlink" Target="https://doi.org/10.1016/j.apenergy.2019.113586" TargetMode="External"/><Relationship Id="rId342" Type="http://schemas.openxmlformats.org/officeDocument/2006/relationships/hyperlink" Target="https://doi.org/10.1111/j.1600-0668.2012.00778.x" TargetMode="External"/><Relationship Id="rId363" Type="http://schemas.openxmlformats.org/officeDocument/2006/relationships/hyperlink" Target="https://doi.org/10.1016/S0017-9310(02)00034-0" TargetMode="External"/><Relationship Id="rId384" Type="http://schemas.openxmlformats.org/officeDocument/2006/relationships/header" Target="header21.xml"/><Relationship Id="rId202" Type="http://schemas.openxmlformats.org/officeDocument/2006/relationships/hyperlink" Target="https://doi.org/10.1016/j.rser.2007.10.005" TargetMode="External"/><Relationship Id="rId223" Type="http://schemas.openxmlformats.org/officeDocument/2006/relationships/hyperlink" Target="https://doi.org/10.1016/j.ijrefrig.2017.12.005" TargetMode="External"/><Relationship Id="rId244" Type="http://schemas.openxmlformats.org/officeDocument/2006/relationships/hyperlink" Target="https://doi.org/10.1016/j.solener.2019.11.075" TargetMode="External"/><Relationship Id="rId18" Type="http://schemas.openxmlformats.org/officeDocument/2006/relationships/header" Target="header6.xml"/><Relationship Id="rId39" Type="http://schemas.openxmlformats.org/officeDocument/2006/relationships/image" Target="media/image7.png"/><Relationship Id="rId265" Type="http://schemas.openxmlformats.org/officeDocument/2006/relationships/hyperlink" Target="https://doi.org/10.1080/23744731.2018.1469918" TargetMode="External"/><Relationship Id="rId286" Type="http://schemas.openxmlformats.org/officeDocument/2006/relationships/hyperlink" Target="https://doi.org/10.1016/j.est.2022.103975" TargetMode="External"/><Relationship Id="rId50" Type="http://schemas.openxmlformats.org/officeDocument/2006/relationships/image" Target="media/image13.png"/><Relationship Id="rId104" Type="http://schemas.openxmlformats.org/officeDocument/2006/relationships/footer" Target="footer12.xml"/><Relationship Id="rId125" Type="http://schemas.openxmlformats.org/officeDocument/2006/relationships/image" Target="media/image70.png"/><Relationship Id="rId146" Type="http://schemas.openxmlformats.org/officeDocument/2006/relationships/image" Target="media/image91.png"/><Relationship Id="rId167" Type="http://schemas.openxmlformats.org/officeDocument/2006/relationships/hyperlink" Target="https://doi.org/10.1016/0038-092X(83)90186-X" TargetMode="External"/><Relationship Id="rId188" Type="http://schemas.openxmlformats.org/officeDocument/2006/relationships/hyperlink" Target="https://doi.org/10.1038/35048537" TargetMode="External"/><Relationship Id="rId311" Type="http://schemas.openxmlformats.org/officeDocument/2006/relationships/hyperlink" Target="https://doi.org/10.1016/j.matpr.2021.09.099" TargetMode="External"/><Relationship Id="rId332" Type="http://schemas.openxmlformats.org/officeDocument/2006/relationships/hyperlink" Target="https://doi.org/10.1016/j.jtherbio.2020.102634" TargetMode="External"/><Relationship Id="rId353" Type="http://schemas.openxmlformats.org/officeDocument/2006/relationships/hyperlink" Target="https://doi.org/10.1002/adfm.202213455" TargetMode="External"/><Relationship Id="rId374" Type="http://schemas.openxmlformats.org/officeDocument/2006/relationships/footer" Target="footer15.xml"/><Relationship Id="rId71" Type="http://schemas.openxmlformats.org/officeDocument/2006/relationships/hyperlink" Target="https://phasechange.com/products-biopcm/" TargetMode="External"/><Relationship Id="rId92" Type="http://schemas.openxmlformats.org/officeDocument/2006/relationships/image" Target="media/image45.png"/><Relationship Id="rId213" Type="http://schemas.openxmlformats.org/officeDocument/2006/relationships/hyperlink" Target="https://doi.org/10.1115/1.4053803" TargetMode="External"/><Relationship Id="rId234" Type="http://schemas.openxmlformats.org/officeDocument/2006/relationships/hyperlink" Target="https://doi.org/10.1016/j.segan.2025.101814" TargetMode="External"/><Relationship Id="rId2" Type="http://schemas.openxmlformats.org/officeDocument/2006/relationships/numbering" Target="numbering.xml"/><Relationship Id="rId29" Type="http://schemas.openxmlformats.org/officeDocument/2006/relationships/header" Target="header11.xml"/><Relationship Id="rId255" Type="http://schemas.openxmlformats.org/officeDocument/2006/relationships/hyperlink" Target="https://doi.org/10.1016/j.rser.2022.112147" TargetMode="External"/><Relationship Id="rId276" Type="http://schemas.openxmlformats.org/officeDocument/2006/relationships/hyperlink" Target="https://doi.org/10.1016/j.matchemphys.2022.126745" TargetMode="External"/><Relationship Id="rId297" Type="http://schemas.openxmlformats.org/officeDocument/2006/relationships/hyperlink" Target="https://doi.org/10.1016/j.enbuild.2015.04.039" TargetMode="External"/><Relationship Id="rId40" Type="http://schemas.openxmlformats.org/officeDocument/2006/relationships/image" Target="media/image8.png"/><Relationship Id="rId115" Type="http://schemas.openxmlformats.org/officeDocument/2006/relationships/image" Target="media/image60.png"/><Relationship Id="rId136" Type="http://schemas.openxmlformats.org/officeDocument/2006/relationships/image" Target="media/image81.png"/><Relationship Id="rId157" Type="http://schemas.openxmlformats.org/officeDocument/2006/relationships/image" Target="media/image102.png"/><Relationship Id="rId178" Type="http://schemas.openxmlformats.org/officeDocument/2006/relationships/hyperlink" Target="https://doi.org/10.1016/j.solmat.2021.111309" TargetMode="External"/><Relationship Id="rId301" Type="http://schemas.openxmlformats.org/officeDocument/2006/relationships/hyperlink" Target="https://doi.org/10.1016/j.buildenv.2021.108442" TargetMode="External"/><Relationship Id="rId322" Type="http://schemas.openxmlformats.org/officeDocument/2006/relationships/hyperlink" Target="https://doi.org/10.1016/j.energy.2012.05.040" TargetMode="External"/><Relationship Id="rId343" Type="http://schemas.openxmlformats.org/officeDocument/2006/relationships/hyperlink" Target="https://doi.org/10.1177/0040517512460294" TargetMode="External"/><Relationship Id="rId364" Type="http://schemas.openxmlformats.org/officeDocument/2006/relationships/hyperlink" Target="https://doi.org/10.1016/j.ijheatmasstransfer.2017.10.130" TargetMode="External"/><Relationship Id="rId61" Type="http://schemas.openxmlformats.org/officeDocument/2006/relationships/image" Target="media/image23.png"/><Relationship Id="rId82" Type="http://schemas.openxmlformats.org/officeDocument/2006/relationships/hyperlink" Target="https://www.pcmproducts.net/Phase-Change-Material-Solutions.htm" TargetMode="External"/><Relationship Id="rId199" Type="http://schemas.openxmlformats.org/officeDocument/2006/relationships/hyperlink" Target="https://doi.org/10.1016/j.renene.2018.12.029" TargetMode="External"/><Relationship Id="rId203" Type="http://schemas.openxmlformats.org/officeDocument/2006/relationships/hyperlink" Target="https://doi.org/10.1016/j.solmat.2021.111392" TargetMode="External"/><Relationship Id="rId385" Type="http://schemas.openxmlformats.org/officeDocument/2006/relationships/footer" Target="footer21.xml"/><Relationship Id="rId19" Type="http://schemas.openxmlformats.org/officeDocument/2006/relationships/header" Target="header7.xml"/><Relationship Id="rId224" Type="http://schemas.openxmlformats.org/officeDocument/2006/relationships/hyperlink" Target="https://doi.org/10.1016/j.applthermaleng.2013.08.004" TargetMode="External"/><Relationship Id="rId245" Type="http://schemas.openxmlformats.org/officeDocument/2006/relationships/hyperlink" Target="https://doi.org/10.1155/2016/5917028" TargetMode="External"/><Relationship Id="rId266" Type="http://schemas.openxmlformats.org/officeDocument/2006/relationships/hyperlink" Target="https://doi.org/10.1155/2016/6359414" TargetMode="External"/><Relationship Id="rId287" Type="http://schemas.openxmlformats.org/officeDocument/2006/relationships/hyperlink" Target="https://doi.org/10.1016/j.enbuild.2016.03.031" TargetMode="External"/><Relationship Id="rId30" Type="http://schemas.openxmlformats.org/officeDocument/2006/relationships/footer" Target="footer11.xml"/><Relationship Id="rId105" Type="http://schemas.openxmlformats.org/officeDocument/2006/relationships/footer" Target="footer13.xml"/><Relationship Id="rId126" Type="http://schemas.openxmlformats.org/officeDocument/2006/relationships/image" Target="media/image71.png"/><Relationship Id="rId147" Type="http://schemas.openxmlformats.org/officeDocument/2006/relationships/image" Target="media/image92.png"/><Relationship Id="rId168" Type="http://schemas.openxmlformats.org/officeDocument/2006/relationships/hyperlink" Target="https://doi.org/10.1016/j.rser.2016.09.070" TargetMode="External"/><Relationship Id="rId312" Type="http://schemas.openxmlformats.org/officeDocument/2006/relationships/hyperlink" Target="https://doi.org/10.1016/j.scs.2018.12.003" TargetMode="External"/><Relationship Id="rId333" Type="http://schemas.openxmlformats.org/officeDocument/2006/relationships/hyperlink" Target="https://doi.org/10.1016/j.jobe.2019.01.003" TargetMode="External"/><Relationship Id="rId354" Type="http://schemas.openxmlformats.org/officeDocument/2006/relationships/hyperlink" Target="https://www.strategicmarketresearch.com/market-report/phase-change-materials-market" TargetMode="External"/><Relationship Id="rId51" Type="http://schemas.openxmlformats.org/officeDocument/2006/relationships/image" Target="media/image14.png"/><Relationship Id="rId72" Type="http://schemas.openxmlformats.org/officeDocument/2006/relationships/image" Target="media/image31.png"/><Relationship Id="rId93" Type="http://schemas.openxmlformats.org/officeDocument/2006/relationships/image" Target="media/image46.png"/><Relationship Id="rId189" Type="http://schemas.openxmlformats.org/officeDocument/2006/relationships/hyperlink" Target="https://doi.org/10.1126/science.1118611" TargetMode="External"/><Relationship Id="rId375" Type="http://schemas.openxmlformats.org/officeDocument/2006/relationships/footer" Target="footer16.xml"/><Relationship Id="rId3" Type="http://schemas.openxmlformats.org/officeDocument/2006/relationships/styles" Target="styles.xml"/><Relationship Id="rId214" Type="http://schemas.openxmlformats.org/officeDocument/2006/relationships/hyperlink" Target="https://doi.org/10.1016/j.icheatmasstransfer.2016.04.024" TargetMode="External"/><Relationship Id="rId235" Type="http://schemas.openxmlformats.org/officeDocument/2006/relationships/hyperlink" Target="https://doi.org/10.1016/j.solener.2010.06.010" TargetMode="External"/><Relationship Id="rId256" Type="http://schemas.openxmlformats.org/officeDocument/2006/relationships/hyperlink" Target="https://doi.org/10.1016/j.enbuild.2024.114923" TargetMode="External"/><Relationship Id="rId277" Type="http://schemas.openxmlformats.org/officeDocument/2006/relationships/hyperlink" Target="https://doi.org/10.1016/j.apenergy.2022.120284" TargetMode="External"/><Relationship Id="rId298" Type="http://schemas.openxmlformats.org/officeDocument/2006/relationships/hyperlink" Target="https://doi.org/10.1016/j.enbuild.2013.08.056" TargetMode="External"/><Relationship Id="rId116" Type="http://schemas.openxmlformats.org/officeDocument/2006/relationships/image" Target="media/image61.png"/><Relationship Id="rId137" Type="http://schemas.openxmlformats.org/officeDocument/2006/relationships/image" Target="media/image82.png"/><Relationship Id="rId158" Type="http://schemas.openxmlformats.org/officeDocument/2006/relationships/image" Target="media/image103.png"/><Relationship Id="rId302" Type="http://schemas.openxmlformats.org/officeDocument/2006/relationships/hyperlink" Target="https://doi.org/10.1016/j.applthermaleng.2023.119976" TargetMode="External"/><Relationship Id="rId323" Type="http://schemas.openxmlformats.org/officeDocument/2006/relationships/hyperlink" Target="https://doi.org/10.1016/j.trd.2017.11.008" TargetMode="External"/><Relationship Id="rId344" Type="http://schemas.openxmlformats.org/officeDocument/2006/relationships/hyperlink" Target="https://doi.org/10.1007/s12221-015-1403-0" TargetMode="External"/><Relationship Id="rId20" Type="http://schemas.openxmlformats.org/officeDocument/2006/relationships/footer" Target="footer6.xml"/><Relationship Id="rId41" Type="http://schemas.openxmlformats.org/officeDocument/2006/relationships/diagramData" Target="diagrams/data2.xml"/><Relationship Id="rId62" Type="http://schemas.openxmlformats.org/officeDocument/2006/relationships/image" Target="media/image24.png"/><Relationship Id="rId83" Type="http://schemas.openxmlformats.org/officeDocument/2006/relationships/image" Target="media/image37.png"/><Relationship Id="rId179" Type="http://schemas.openxmlformats.org/officeDocument/2006/relationships/hyperlink" Target="https://doi.org/10.1016/j.apenergy.2017.12.025" TargetMode="External"/><Relationship Id="rId365" Type="http://schemas.openxmlformats.org/officeDocument/2006/relationships/hyperlink" Target="https://doi.org/10.1016/j.energy.2021.120128" TargetMode="External"/><Relationship Id="rId386" Type="http://schemas.openxmlformats.org/officeDocument/2006/relationships/fontTable" Target="fontTable.xml"/><Relationship Id="rId190" Type="http://schemas.openxmlformats.org/officeDocument/2006/relationships/hyperlink" Target="https://doi.org/10.1038/nmat1557" TargetMode="External"/><Relationship Id="rId204" Type="http://schemas.openxmlformats.org/officeDocument/2006/relationships/hyperlink" Target="https://doi.org/10.1007/978-3-662-06710-9_1" TargetMode="External"/><Relationship Id="rId225" Type="http://schemas.openxmlformats.org/officeDocument/2006/relationships/hyperlink" Target="https://doi.org/10.1016/j.jpowsour.2017.05.116" TargetMode="External"/><Relationship Id="rId246" Type="http://schemas.openxmlformats.org/officeDocument/2006/relationships/hyperlink" Target="https://doi.org/10.1016/j.solener.2005.10.006" TargetMode="External"/><Relationship Id="rId267" Type="http://schemas.openxmlformats.org/officeDocument/2006/relationships/hyperlink" Target="https://doi.org/10.1016/j.egyr.2021.08.108" TargetMode="External"/><Relationship Id="rId288" Type="http://schemas.openxmlformats.org/officeDocument/2006/relationships/hyperlink" Target="https://doi.org/10.1016/j.jobe.2022.104894" TargetMode="External"/><Relationship Id="rId106" Type="http://schemas.openxmlformats.org/officeDocument/2006/relationships/header" Target="header14.xml"/><Relationship Id="rId127" Type="http://schemas.openxmlformats.org/officeDocument/2006/relationships/image" Target="media/image72.png"/><Relationship Id="rId313" Type="http://schemas.openxmlformats.org/officeDocument/2006/relationships/hyperlink" Target="https://doi.org/10.1016/j.apenergy.2021.117736" TargetMode="External"/><Relationship Id="rId10" Type="http://schemas.openxmlformats.org/officeDocument/2006/relationships/header" Target="header2.xml"/><Relationship Id="rId31" Type="http://schemas.openxmlformats.org/officeDocument/2006/relationships/image" Target="media/image4.png"/><Relationship Id="rId52" Type="http://schemas.openxmlformats.org/officeDocument/2006/relationships/image" Target="media/image15.png"/><Relationship Id="rId73" Type="http://schemas.openxmlformats.org/officeDocument/2006/relationships/oleObject" Target="embeddings/oleObject1.bin"/><Relationship Id="rId94" Type="http://schemas.openxmlformats.org/officeDocument/2006/relationships/image" Target="media/image47.png"/><Relationship Id="rId148" Type="http://schemas.openxmlformats.org/officeDocument/2006/relationships/image" Target="media/image93.png"/><Relationship Id="rId169" Type="http://schemas.openxmlformats.org/officeDocument/2006/relationships/hyperlink" Target="https://www.biopreferred.gov" TargetMode="External"/><Relationship Id="rId334" Type="http://schemas.openxmlformats.org/officeDocument/2006/relationships/hyperlink" Target="https://doi.org/10.1016/j.renene.2017.07.004" TargetMode="External"/><Relationship Id="rId355" Type="http://schemas.openxmlformats.org/officeDocument/2006/relationships/hyperlink" Target="https://doi.org/10.3390/en16062914" TargetMode="External"/><Relationship Id="rId376" Type="http://schemas.openxmlformats.org/officeDocument/2006/relationships/header" Target="header17.xml"/><Relationship Id="rId4" Type="http://schemas.openxmlformats.org/officeDocument/2006/relationships/settings" Target="settings.xml"/><Relationship Id="rId180" Type="http://schemas.openxmlformats.org/officeDocument/2006/relationships/hyperlink" Target="https://doi.org/10.1016/j.apenergy.2014.08.100" TargetMode="External"/><Relationship Id="rId215" Type="http://schemas.openxmlformats.org/officeDocument/2006/relationships/hyperlink" Target="https://doi.org/10.1016/j.cej.2021.132741" TargetMode="External"/><Relationship Id="rId236" Type="http://schemas.openxmlformats.org/officeDocument/2006/relationships/hyperlink" Target="https://doi.org/10.1016/j.solener.2008.10.008" TargetMode="External"/><Relationship Id="rId257" Type="http://schemas.openxmlformats.org/officeDocument/2006/relationships/hyperlink" Target="https://doi.org/10.1016/j.apenergy.2019.01.116" TargetMode="External"/><Relationship Id="rId278" Type="http://schemas.openxmlformats.org/officeDocument/2006/relationships/hyperlink" Target="https://doi.org/10.1016/j.cemconcomp.2017.09.002" TargetMode="External"/><Relationship Id="rId303" Type="http://schemas.openxmlformats.org/officeDocument/2006/relationships/hyperlink" Target="https://doi.org/10.1016/j.solmat.2021.111221" TargetMode="External"/><Relationship Id="rId42" Type="http://schemas.openxmlformats.org/officeDocument/2006/relationships/diagramLayout" Target="diagrams/layout2.xml"/><Relationship Id="rId84" Type="http://schemas.openxmlformats.org/officeDocument/2006/relationships/image" Target="media/image38.png"/><Relationship Id="rId138" Type="http://schemas.openxmlformats.org/officeDocument/2006/relationships/image" Target="media/image83.png"/><Relationship Id="rId345" Type="http://schemas.openxmlformats.org/officeDocument/2006/relationships/hyperlink" Target="https://doi.org/10.1016/j.enbuild.2017.09.057" TargetMode="External"/><Relationship Id="rId387" Type="http://schemas.openxmlformats.org/officeDocument/2006/relationships/theme" Target="theme/theme1.xml"/><Relationship Id="rId191" Type="http://schemas.openxmlformats.org/officeDocument/2006/relationships/hyperlink" Target="https://doi.org/10.1007/978-3-030-34572-3_13" TargetMode="External"/><Relationship Id="rId205" Type="http://schemas.openxmlformats.org/officeDocument/2006/relationships/hyperlink" Target="https://doi.org/10.1016/0040-6031(94)80118-5" TargetMode="External"/><Relationship Id="rId247" Type="http://schemas.openxmlformats.org/officeDocument/2006/relationships/hyperlink" Target="https://doi.org/10.1016/j.solmat.2011.01.008" TargetMode="External"/><Relationship Id="rId107" Type="http://schemas.openxmlformats.org/officeDocument/2006/relationships/footer" Target="footer14.xml"/><Relationship Id="rId289" Type="http://schemas.openxmlformats.org/officeDocument/2006/relationships/hyperlink" Target="https://doi.org/10.1142/S2010132519300027" TargetMode="External"/><Relationship Id="rId11" Type="http://schemas.openxmlformats.org/officeDocument/2006/relationships/header" Target="header3.xml"/><Relationship Id="rId53" Type="http://schemas.openxmlformats.org/officeDocument/2006/relationships/image" Target="media/image16.png"/><Relationship Id="rId149" Type="http://schemas.openxmlformats.org/officeDocument/2006/relationships/image" Target="media/image94.png"/><Relationship Id="rId314" Type="http://schemas.openxmlformats.org/officeDocument/2006/relationships/hyperlink" Target="https://doi.org/10.1016/j.seta.2021.101657" TargetMode="External"/><Relationship Id="rId356" Type="http://schemas.openxmlformats.org/officeDocument/2006/relationships/hyperlink" Target="https://doi.org/10.1299/jtst.1.66" TargetMode="External"/><Relationship Id="rId95" Type="http://schemas.openxmlformats.org/officeDocument/2006/relationships/image" Target="media/image48.png"/><Relationship Id="rId160" Type="http://schemas.openxmlformats.org/officeDocument/2006/relationships/image" Target="media/image105.png"/><Relationship Id="rId216" Type="http://schemas.openxmlformats.org/officeDocument/2006/relationships/hyperlink" Target="https://doi.org/10.1016/j.jclepro.2015.11.011" TargetMode="External"/><Relationship Id="rId258" Type="http://schemas.openxmlformats.org/officeDocument/2006/relationships/hyperlink" Target="https://doi.org/10.1016/j.energy.2023.128033" TargetMode="External"/><Relationship Id="rId22" Type="http://schemas.openxmlformats.org/officeDocument/2006/relationships/header" Target="header8.xml"/><Relationship Id="rId64" Type="http://schemas.openxmlformats.org/officeDocument/2006/relationships/hyperlink" Target="https://www.crodaindustrialspecialties.com/en-gb/functions/phase-change-materials" TargetMode="External"/><Relationship Id="rId118" Type="http://schemas.openxmlformats.org/officeDocument/2006/relationships/image" Target="media/image63.png"/><Relationship Id="rId325" Type="http://schemas.openxmlformats.org/officeDocument/2006/relationships/hyperlink" Target="https://doi.org/10.1016/j.ijrefrig.2022.02.003" TargetMode="External"/><Relationship Id="rId367" Type="http://schemas.openxmlformats.org/officeDocument/2006/relationships/hyperlink" Target="https://doi.org/10.1615/JEnhHeatTransf.v10.i3.60" TargetMode="External"/><Relationship Id="rId171" Type="http://schemas.openxmlformats.org/officeDocument/2006/relationships/hyperlink" Target="https://doi.org/10.1007/s10973-019-08703-w" TargetMode="External"/><Relationship Id="rId227" Type="http://schemas.openxmlformats.org/officeDocument/2006/relationships/hyperlink" Target="https://doi.org/10.1016/j.jpowsour.2014.10.007" TargetMode="External"/><Relationship Id="rId269" Type="http://schemas.openxmlformats.org/officeDocument/2006/relationships/hyperlink" Target="https://doi.org/10.1016/j.enbuild.2012.02.010" TargetMode="External"/><Relationship Id="rId33" Type="http://schemas.openxmlformats.org/officeDocument/2006/relationships/diagramData" Target="diagrams/data1.xml"/><Relationship Id="rId129" Type="http://schemas.openxmlformats.org/officeDocument/2006/relationships/image" Target="media/image74.png"/><Relationship Id="rId280" Type="http://schemas.openxmlformats.org/officeDocument/2006/relationships/hyperlink" Target="https://doi.org/10.1016/j.conbuildmat.2020.119166" TargetMode="External"/><Relationship Id="rId336" Type="http://schemas.openxmlformats.org/officeDocument/2006/relationships/hyperlink" Target="https://doi.org/10.1016/j.rser.2023.114063" TargetMode="External"/><Relationship Id="rId75" Type="http://schemas.openxmlformats.org/officeDocument/2006/relationships/oleObject" Target="embeddings/oleObject2.bin"/><Relationship Id="rId140" Type="http://schemas.openxmlformats.org/officeDocument/2006/relationships/image" Target="media/image85.png"/><Relationship Id="rId182" Type="http://schemas.openxmlformats.org/officeDocument/2006/relationships/hyperlink" Target="https://doi.org/10.1016/j.mtener.2019.01.011" TargetMode="External"/><Relationship Id="rId378" Type="http://schemas.openxmlformats.org/officeDocument/2006/relationships/header" Target="header18.xml"/><Relationship Id="rId6" Type="http://schemas.openxmlformats.org/officeDocument/2006/relationships/footnotes" Target="footnotes.xml"/><Relationship Id="rId238" Type="http://schemas.openxmlformats.org/officeDocument/2006/relationships/hyperlink" Target="https://doi.org/10.1016/j.energy.2019.04.166" TargetMode="External"/><Relationship Id="rId291" Type="http://schemas.openxmlformats.org/officeDocument/2006/relationships/hyperlink" Target="https://doi.org/10.1016/j.solener.2012.05.020" TargetMode="External"/><Relationship Id="rId305" Type="http://schemas.openxmlformats.org/officeDocument/2006/relationships/hyperlink" Target="https://doi.org/10.1016/j.buildenv.2022.109491" TargetMode="External"/><Relationship Id="rId347" Type="http://schemas.openxmlformats.org/officeDocument/2006/relationships/hyperlink" Target="https://doi.org/10.1007/s42765-024-00432-6" TargetMode="External"/><Relationship Id="rId44" Type="http://schemas.openxmlformats.org/officeDocument/2006/relationships/diagramColors" Target="diagrams/colors2.xml"/><Relationship Id="rId86" Type="http://schemas.openxmlformats.org/officeDocument/2006/relationships/image" Target="media/image40.png"/><Relationship Id="rId151" Type="http://schemas.openxmlformats.org/officeDocument/2006/relationships/image" Target="media/image96.png"/><Relationship Id="rId193" Type="http://schemas.openxmlformats.org/officeDocument/2006/relationships/hyperlink" Target="https://doi.org/10.1016/j.apenergy.2016.02.038" TargetMode="External"/><Relationship Id="rId207" Type="http://schemas.openxmlformats.org/officeDocument/2006/relationships/hyperlink" Target="https://doi.org/10.1016/j.rser.2013.05.066" TargetMode="External"/><Relationship Id="rId249" Type="http://schemas.openxmlformats.org/officeDocument/2006/relationships/hyperlink" Target="https://doi.org/10.1016/j.solener.2015.01.037" TargetMode="External"/><Relationship Id="rId13" Type="http://schemas.openxmlformats.org/officeDocument/2006/relationships/footer" Target="footer3.xml"/><Relationship Id="rId109" Type="http://schemas.openxmlformats.org/officeDocument/2006/relationships/image" Target="media/image54.png"/><Relationship Id="rId260" Type="http://schemas.openxmlformats.org/officeDocument/2006/relationships/hyperlink" Target="https://doi.org/10.1007/s11630-022-1650-5" TargetMode="External"/><Relationship Id="rId316" Type="http://schemas.openxmlformats.org/officeDocument/2006/relationships/hyperlink" Target="https://doi.org/10.1039/D1BM00880J" TargetMode="External"/><Relationship Id="rId55" Type="http://schemas.openxmlformats.org/officeDocument/2006/relationships/image" Target="media/image18.png"/><Relationship Id="rId97" Type="http://schemas.openxmlformats.org/officeDocument/2006/relationships/image" Target="media/image49.jpeg"/><Relationship Id="rId120" Type="http://schemas.openxmlformats.org/officeDocument/2006/relationships/image" Target="media/image65.png"/><Relationship Id="rId358" Type="http://schemas.openxmlformats.org/officeDocument/2006/relationships/hyperlink" Target="https://doi.org/10.1016/j.applthermaleng.2008.03.027" TargetMode="External"/><Relationship Id="rId162" Type="http://schemas.openxmlformats.org/officeDocument/2006/relationships/hyperlink" Target="https://doi.org/10.1038/s41467-023-41888-1" TargetMode="External"/><Relationship Id="rId218" Type="http://schemas.openxmlformats.org/officeDocument/2006/relationships/hyperlink" Target="https://doi.org/10.1016/j.jpowsour.2020.228820" TargetMode="External"/><Relationship Id="rId271" Type="http://schemas.openxmlformats.org/officeDocument/2006/relationships/hyperlink" Target="https://doi.org/10.1016/j.buildenv.2021.107995" TargetMode="External"/><Relationship Id="rId24" Type="http://schemas.openxmlformats.org/officeDocument/2006/relationships/image" Target="media/image3.png"/><Relationship Id="rId66" Type="http://schemas.openxmlformats.org/officeDocument/2006/relationships/image" Target="media/image26.png"/><Relationship Id="rId131" Type="http://schemas.openxmlformats.org/officeDocument/2006/relationships/image" Target="media/image76.png"/><Relationship Id="rId327" Type="http://schemas.openxmlformats.org/officeDocument/2006/relationships/hyperlink" Target="https://iopscience.iop.org/article/10.1088/1748-9326/ab6658" TargetMode="External"/><Relationship Id="rId369" Type="http://schemas.openxmlformats.org/officeDocument/2006/relationships/hyperlink" Target="https://doi.org/10.1016/j.ijheatmasstransfer.2020.120634" TargetMode="External"/><Relationship Id="rId173" Type="http://schemas.openxmlformats.org/officeDocument/2006/relationships/hyperlink" Target="https://doi.org/10.1016/0165-1633(86)90040-7" TargetMode="External"/><Relationship Id="rId229" Type="http://schemas.openxmlformats.org/officeDocument/2006/relationships/hyperlink" Target="https://doi.org/10.1016/j.enconman.2016.12.009" TargetMode="External"/><Relationship Id="rId380" Type="http://schemas.openxmlformats.org/officeDocument/2006/relationships/footer" Target="footer18.xml"/><Relationship Id="rId240" Type="http://schemas.openxmlformats.org/officeDocument/2006/relationships/hyperlink" Target="https://doi.org/10.1016/0017-9310(87)90317-6" TargetMode="External"/><Relationship Id="rId35" Type="http://schemas.openxmlformats.org/officeDocument/2006/relationships/diagramQuickStyle" Target="diagrams/quickStyle1.xml"/><Relationship Id="rId77" Type="http://schemas.openxmlformats.org/officeDocument/2006/relationships/oleObject" Target="embeddings/oleObject3.bin"/><Relationship Id="rId100" Type="http://schemas.openxmlformats.org/officeDocument/2006/relationships/image" Target="media/image51.png"/><Relationship Id="rId282" Type="http://schemas.openxmlformats.org/officeDocument/2006/relationships/hyperlink" Target="https://doi.org/10.1016/j.renene.2012.08.024" TargetMode="External"/><Relationship Id="rId338" Type="http://schemas.openxmlformats.org/officeDocument/2006/relationships/hyperlink" Target="https://doi.org/10.5812/jhealthscope.94739" TargetMode="External"/><Relationship Id="rId8" Type="http://schemas.openxmlformats.org/officeDocument/2006/relationships/header" Target="header1.xml"/><Relationship Id="rId142" Type="http://schemas.openxmlformats.org/officeDocument/2006/relationships/image" Target="media/image87.png"/><Relationship Id="rId184" Type="http://schemas.openxmlformats.org/officeDocument/2006/relationships/hyperlink" Target="https://doi.org/10.1002/adma.201204576" TargetMode="External"/><Relationship Id="rId251" Type="http://schemas.openxmlformats.org/officeDocument/2006/relationships/hyperlink" Target="https://doi.org/10.1016/j.apenergy.2017.09.076" TargetMode="External"/><Relationship Id="rId46" Type="http://schemas.openxmlformats.org/officeDocument/2006/relationships/image" Target="media/image9.png"/><Relationship Id="rId293" Type="http://schemas.openxmlformats.org/officeDocument/2006/relationships/hyperlink" Target="https://doi.org/10.1016/j.enbuild.2017.06.038" TargetMode="External"/><Relationship Id="rId307" Type="http://schemas.openxmlformats.org/officeDocument/2006/relationships/hyperlink" Target="https://doi.org/10.1016/j.enbuild.2014.11.053" TargetMode="External"/><Relationship Id="rId349" Type="http://schemas.openxmlformats.org/officeDocument/2006/relationships/hyperlink" Target="https://doi.org/10.1016/j.est.2024.113741" TargetMode="External"/><Relationship Id="rId88" Type="http://schemas.openxmlformats.org/officeDocument/2006/relationships/image" Target="media/image42.png"/><Relationship Id="rId111" Type="http://schemas.openxmlformats.org/officeDocument/2006/relationships/image" Target="media/image56.png"/><Relationship Id="rId153" Type="http://schemas.openxmlformats.org/officeDocument/2006/relationships/image" Target="media/image98.png"/><Relationship Id="rId195" Type="http://schemas.openxmlformats.org/officeDocument/2006/relationships/hyperlink" Target="https://doi.org/10.1016/j.apenergy.2020.114572" TargetMode="External"/><Relationship Id="rId209" Type="http://schemas.openxmlformats.org/officeDocument/2006/relationships/hyperlink" Target="https://doi.org/10.1016/j.energy.2017.08.045" TargetMode="External"/><Relationship Id="rId360" Type="http://schemas.openxmlformats.org/officeDocument/2006/relationships/hyperlink" Target="https://doi.org/10.1080/10407780490457545" TargetMode="External"/><Relationship Id="rId220" Type="http://schemas.openxmlformats.org/officeDocument/2006/relationships/hyperlink" Target="https://doi.org/10.1016/j.jpowsour.2017.09.046" TargetMode="External"/><Relationship Id="rId15" Type="http://schemas.openxmlformats.org/officeDocument/2006/relationships/footer" Target="footer4.xml"/><Relationship Id="rId57" Type="http://schemas.openxmlformats.org/officeDocument/2006/relationships/image" Target="media/image20.png"/><Relationship Id="rId262" Type="http://schemas.openxmlformats.org/officeDocument/2006/relationships/hyperlink" Target="https://doi.org/10.1007/978-3-319-14286-9" TargetMode="External"/><Relationship Id="rId318" Type="http://schemas.openxmlformats.org/officeDocument/2006/relationships/hyperlink" Target="https://doi.org/10.1016/j.scitotenv.2020.142974%20eprints.whiterose.ac.uk" TargetMode="External"/><Relationship Id="rId99" Type="http://schemas.openxmlformats.org/officeDocument/2006/relationships/oleObject" Target="embeddings/oleObject5.bin"/><Relationship Id="rId122" Type="http://schemas.openxmlformats.org/officeDocument/2006/relationships/image" Target="media/image67.png"/><Relationship Id="rId164" Type="http://schemas.openxmlformats.org/officeDocument/2006/relationships/hyperlink" Target="https://doi.org/10.1016/j.est.2019.03.004" TargetMode="External"/><Relationship Id="rId371" Type="http://schemas.openxmlformats.org/officeDocument/2006/relationships/hyperlink" Target="https://doi.org/10.1016/S0035-3159(99)80013-0" TargetMode="External"/><Relationship Id="rId26" Type="http://schemas.openxmlformats.org/officeDocument/2006/relationships/header" Target="header10.xml"/><Relationship Id="rId231" Type="http://schemas.openxmlformats.org/officeDocument/2006/relationships/hyperlink" Target="https://doi.org/10.1016/j.est.2025.117978" TargetMode="External"/><Relationship Id="rId273" Type="http://schemas.openxmlformats.org/officeDocument/2006/relationships/hyperlink" Target="https://doi.org/10.1016/j.conbuildmat.2016.02.225" TargetMode="External"/><Relationship Id="rId329" Type="http://schemas.openxmlformats.org/officeDocument/2006/relationships/hyperlink" Target="https://doi.org/10.1016/j.eswa.2023.120979"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1.xml.rels><?xml version="1.0" encoding="UTF-8" standalone="yes"?>
<Relationships xmlns="http://schemas.openxmlformats.org/package/2006/relationships"><Relationship Id="rId1" Type="http://schemas.openxmlformats.org/officeDocument/2006/relationships/image" Target="media/image1.png"/></Relationships>
</file>

<file path=word/_rels/footer5.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7533358-99F8-4F44-83C5-26D50017D00A}"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it-IT"/>
        </a:p>
      </dgm:t>
    </dgm:pt>
    <dgm:pt modelId="{0F372CC7-D075-4F0C-AE66-624A98D544B6}">
      <dgm:prSet phldrT="[Testo]"/>
      <dgm:spPr/>
      <dgm:t>
        <a:bodyPr/>
        <a:lstStyle/>
        <a:p>
          <a:r>
            <a:rPr lang="it-IT">
              <a:latin typeface="Times New Roman" panose="02020603050405020304" pitchFamily="18" charset="0"/>
              <a:cs typeface="Times New Roman" panose="02020603050405020304" pitchFamily="18" charset="0"/>
            </a:rPr>
            <a:t>Solid-Solid PCM</a:t>
          </a:r>
        </a:p>
      </dgm:t>
    </dgm:pt>
    <dgm:pt modelId="{CD757C53-1506-4BDA-8FAF-6DED2F0A74C5}" type="parTrans" cxnId="{DAB41A51-E004-488E-A33B-60EBA2E2589D}">
      <dgm:prSet/>
      <dgm:spPr/>
      <dgm:t>
        <a:bodyPr/>
        <a:lstStyle/>
        <a:p>
          <a:endParaRPr lang="it-IT"/>
        </a:p>
      </dgm:t>
    </dgm:pt>
    <dgm:pt modelId="{D59CDF42-5011-4172-9B97-460647CBBB2C}" type="sibTrans" cxnId="{DAB41A51-E004-488E-A33B-60EBA2E2589D}">
      <dgm:prSet/>
      <dgm:spPr/>
      <dgm:t>
        <a:bodyPr/>
        <a:lstStyle/>
        <a:p>
          <a:endParaRPr lang="it-IT"/>
        </a:p>
      </dgm:t>
    </dgm:pt>
    <dgm:pt modelId="{547C7BB0-5356-4ED4-B403-CB44D50CBED0}">
      <dgm:prSet phldrT="[Testo]"/>
      <dgm:spPr/>
      <dgm:t>
        <a:bodyPr/>
        <a:lstStyle/>
        <a:p>
          <a:r>
            <a:rPr lang="it-IT">
              <a:latin typeface="Times New Roman" panose="02020603050405020304" pitchFamily="18" charset="0"/>
              <a:cs typeface="Times New Roman" panose="02020603050405020304" pitchFamily="18" charset="0"/>
            </a:rPr>
            <a:t>Organic</a:t>
          </a:r>
        </a:p>
      </dgm:t>
    </dgm:pt>
    <dgm:pt modelId="{68D31D98-CEDB-45B9-A04B-49F1D49AF524}" type="parTrans" cxnId="{7A9332FA-D456-46F8-BCD3-DD3C12A7738C}">
      <dgm:prSet/>
      <dgm:spPr/>
      <dgm:t>
        <a:bodyPr/>
        <a:lstStyle/>
        <a:p>
          <a:endParaRPr lang="it-IT"/>
        </a:p>
      </dgm:t>
    </dgm:pt>
    <dgm:pt modelId="{B5724568-31C3-4160-BBD2-1EB1ADA7D07A}" type="sibTrans" cxnId="{7A9332FA-D456-46F8-BCD3-DD3C12A7738C}">
      <dgm:prSet/>
      <dgm:spPr/>
      <dgm:t>
        <a:bodyPr/>
        <a:lstStyle/>
        <a:p>
          <a:endParaRPr lang="it-IT"/>
        </a:p>
      </dgm:t>
    </dgm:pt>
    <dgm:pt modelId="{C546EE42-3558-4137-BC85-BF7368A2E2AB}">
      <dgm:prSet phldrT="[Testo]"/>
      <dgm:spPr/>
      <dgm:t>
        <a:bodyPr/>
        <a:lstStyle/>
        <a:p>
          <a:r>
            <a:rPr lang="it-IT">
              <a:latin typeface="Times New Roman" panose="02020603050405020304" pitchFamily="18" charset="0"/>
              <a:cs typeface="Times New Roman" panose="02020603050405020304" pitchFamily="18" charset="0"/>
            </a:rPr>
            <a:t>Organometallic</a:t>
          </a:r>
        </a:p>
      </dgm:t>
    </dgm:pt>
    <dgm:pt modelId="{EE361047-524A-4A83-83FB-F6FA70B5D35C}" type="parTrans" cxnId="{55D43113-2900-4FE5-B160-FDBB514C0A12}">
      <dgm:prSet/>
      <dgm:spPr/>
      <dgm:t>
        <a:bodyPr/>
        <a:lstStyle/>
        <a:p>
          <a:endParaRPr lang="it-IT"/>
        </a:p>
      </dgm:t>
    </dgm:pt>
    <dgm:pt modelId="{7F3086EF-36D7-4F88-BF17-B4CE88EFA8D6}" type="sibTrans" cxnId="{55D43113-2900-4FE5-B160-FDBB514C0A12}">
      <dgm:prSet/>
      <dgm:spPr/>
      <dgm:t>
        <a:bodyPr/>
        <a:lstStyle/>
        <a:p>
          <a:endParaRPr lang="it-IT"/>
        </a:p>
      </dgm:t>
    </dgm:pt>
    <dgm:pt modelId="{D005FB9F-EE53-44FA-85D4-24E27E9D5B96}">
      <dgm:prSet phldrT="[Testo]"/>
      <dgm:spPr/>
      <dgm:t>
        <a:bodyPr/>
        <a:lstStyle/>
        <a:p>
          <a:r>
            <a:rPr lang="it-IT">
              <a:latin typeface="Times New Roman" panose="02020603050405020304" pitchFamily="18" charset="0"/>
              <a:cs typeface="Times New Roman" panose="02020603050405020304" pitchFamily="18" charset="0"/>
            </a:rPr>
            <a:t>Polymeric</a:t>
          </a:r>
        </a:p>
      </dgm:t>
    </dgm:pt>
    <dgm:pt modelId="{E94944E1-45A3-4B73-AFD0-B21CAD05CBE3}" type="parTrans" cxnId="{55E92FE2-4917-471B-8BD9-835D3185D322}">
      <dgm:prSet/>
      <dgm:spPr/>
      <dgm:t>
        <a:bodyPr/>
        <a:lstStyle/>
        <a:p>
          <a:endParaRPr lang="it-IT"/>
        </a:p>
      </dgm:t>
    </dgm:pt>
    <dgm:pt modelId="{96A11B60-AC8F-4E86-955B-5A9638B4465D}" type="sibTrans" cxnId="{55E92FE2-4917-471B-8BD9-835D3185D322}">
      <dgm:prSet/>
      <dgm:spPr/>
      <dgm:t>
        <a:bodyPr/>
        <a:lstStyle/>
        <a:p>
          <a:endParaRPr lang="it-IT"/>
        </a:p>
      </dgm:t>
    </dgm:pt>
    <dgm:pt modelId="{83BA8F77-E33A-4C68-9F5B-4868F7276C9D}" type="pres">
      <dgm:prSet presAssocID="{B7533358-99F8-4F44-83C5-26D50017D00A}" presName="hierChild1" presStyleCnt="0">
        <dgm:presLayoutVars>
          <dgm:orgChart val="1"/>
          <dgm:chPref val="1"/>
          <dgm:dir/>
          <dgm:animOne val="branch"/>
          <dgm:animLvl val="lvl"/>
          <dgm:resizeHandles/>
        </dgm:presLayoutVars>
      </dgm:prSet>
      <dgm:spPr/>
    </dgm:pt>
    <dgm:pt modelId="{C8D89BFF-8778-4BB5-A789-086B1D16EB6B}" type="pres">
      <dgm:prSet presAssocID="{0F372CC7-D075-4F0C-AE66-624A98D544B6}" presName="hierRoot1" presStyleCnt="0">
        <dgm:presLayoutVars>
          <dgm:hierBranch val="init"/>
        </dgm:presLayoutVars>
      </dgm:prSet>
      <dgm:spPr/>
    </dgm:pt>
    <dgm:pt modelId="{16FB2A18-3833-482B-86D4-E4D42334BAC1}" type="pres">
      <dgm:prSet presAssocID="{0F372CC7-D075-4F0C-AE66-624A98D544B6}" presName="rootComposite1" presStyleCnt="0"/>
      <dgm:spPr/>
    </dgm:pt>
    <dgm:pt modelId="{E0FA6706-1396-4A59-96D5-89F4EB910663}" type="pres">
      <dgm:prSet presAssocID="{0F372CC7-D075-4F0C-AE66-624A98D544B6}" presName="rootText1" presStyleLbl="node0" presStyleIdx="0" presStyleCnt="1" custScaleX="190817">
        <dgm:presLayoutVars>
          <dgm:chPref val="3"/>
        </dgm:presLayoutVars>
      </dgm:prSet>
      <dgm:spPr/>
    </dgm:pt>
    <dgm:pt modelId="{E98306CF-AB5C-41A3-99F8-C2E8FE7988CA}" type="pres">
      <dgm:prSet presAssocID="{0F372CC7-D075-4F0C-AE66-624A98D544B6}" presName="rootConnector1" presStyleLbl="node1" presStyleIdx="0" presStyleCnt="0"/>
      <dgm:spPr/>
    </dgm:pt>
    <dgm:pt modelId="{C98A3393-7DBF-4F44-A06B-E6D7C8047A20}" type="pres">
      <dgm:prSet presAssocID="{0F372CC7-D075-4F0C-AE66-624A98D544B6}" presName="hierChild2" presStyleCnt="0"/>
      <dgm:spPr/>
    </dgm:pt>
    <dgm:pt modelId="{DCFF04C9-7AD1-41B9-907B-CC4496E160A3}" type="pres">
      <dgm:prSet presAssocID="{68D31D98-CEDB-45B9-A04B-49F1D49AF524}" presName="Name37" presStyleLbl="parChTrans1D2" presStyleIdx="0" presStyleCnt="3"/>
      <dgm:spPr/>
    </dgm:pt>
    <dgm:pt modelId="{02E58F77-FFD2-4E6C-A9BB-D74EC2EBA4CC}" type="pres">
      <dgm:prSet presAssocID="{547C7BB0-5356-4ED4-B403-CB44D50CBED0}" presName="hierRoot2" presStyleCnt="0">
        <dgm:presLayoutVars>
          <dgm:hierBranch val="init"/>
        </dgm:presLayoutVars>
      </dgm:prSet>
      <dgm:spPr/>
    </dgm:pt>
    <dgm:pt modelId="{2B177683-1050-496E-A448-A99A16C540FB}" type="pres">
      <dgm:prSet presAssocID="{547C7BB0-5356-4ED4-B403-CB44D50CBED0}" presName="rootComposite" presStyleCnt="0"/>
      <dgm:spPr/>
    </dgm:pt>
    <dgm:pt modelId="{9C85B155-6769-4A9B-B5E3-A02C4DAE6CAF}" type="pres">
      <dgm:prSet presAssocID="{547C7BB0-5356-4ED4-B403-CB44D50CBED0}" presName="rootText" presStyleLbl="node2" presStyleIdx="0" presStyleCnt="3">
        <dgm:presLayoutVars>
          <dgm:chPref val="3"/>
        </dgm:presLayoutVars>
      </dgm:prSet>
      <dgm:spPr/>
    </dgm:pt>
    <dgm:pt modelId="{04EE5D81-C5FA-47EE-BECA-F222C5918390}" type="pres">
      <dgm:prSet presAssocID="{547C7BB0-5356-4ED4-B403-CB44D50CBED0}" presName="rootConnector" presStyleLbl="node2" presStyleIdx="0" presStyleCnt="3"/>
      <dgm:spPr/>
    </dgm:pt>
    <dgm:pt modelId="{899CC2BC-DD81-4510-A40F-41D000BD3B0F}" type="pres">
      <dgm:prSet presAssocID="{547C7BB0-5356-4ED4-B403-CB44D50CBED0}" presName="hierChild4" presStyleCnt="0"/>
      <dgm:spPr/>
    </dgm:pt>
    <dgm:pt modelId="{2A31CF77-EFFC-4F5B-9DC5-56652BD598EA}" type="pres">
      <dgm:prSet presAssocID="{547C7BB0-5356-4ED4-B403-CB44D50CBED0}" presName="hierChild5" presStyleCnt="0"/>
      <dgm:spPr/>
    </dgm:pt>
    <dgm:pt modelId="{263618F2-6DBD-433F-9C0B-60F493ED58F1}" type="pres">
      <dgm:prSet presAssocID="{EE361047-524A-4A83-83FB-F6FA70B5D35C}" presName="Name37" presStyleLbl="parChTrans1D2" presStyleIdx="1" presStyleCnt="3"/>
      <dgm:spPr/>
    </dgm:pt>
    <dgm:pt modelId="{A5833BEA-75F2-4372-8F2F-8EE6B1E96A94}" type="pres">
      <dgm:prSet presAssocID="{C546EE42-3558-4137-BC85-BF7368A2E2AB}" presName="hierRoot2" presStyleCnt="0">
        <dgm:presLayoutVars>
          <dgm:hierBranch val="init"/>
        </dgm:presLayoutVars>
      </dgm:prSet>
      <dgm:spPr/>
    </dgm:pt>
    <dgm:pt modelId="{B792EC1E-E02B-4256-870C-738E69AE1703}" type="pres">
      <dgm:prSet presAssocID="{C546EE42-3558-4137-BC85-BF7368A2E2AB}" presName="rootComposite" presStyleCnt="0"/>
      <dgm:spPr/>
    </dgm:pt>
    <dgm:pt modelId="{5623EF87-8375-43A6-8CAE-5A97EF2BB9AC}" type="pres">
      <dgm:prSet presAssocID="{C546EE42-3558-4137-BC85-BF7368A2E2AB}" presName="rootText" presStyleLbl="node2" presStyleIdx="1" presStyleCnt="3" custScaleX="114637">
        <dgm:presLayoutVars>
          <dgm:chPref val="3"/>
        </dgm:presLayoutVars>
      </dgm:prSet>
      <dgm:spPr/>
    </dgm:pt>
    <dgm:pt modelId="{689724AE-E323-4CFE-AC1C-4CFE19F63D0F}" type="pres">
      <dgm:prSet presAssocID="{C546EE42-3558-4137-BC85-BF7368A2E2AB}" presName="rootConnector" presStyleLbl="node2" presStyleIdx="1" presStyleCnt="3"/>
      <dgm:spPr/>
    </dgm:pt>
    <dgm:pt modelId="{5744ABE2-C6E4-4BDC-83CA-13F378CF3F86}" type="pres">
      <dgm:prSet presAssocID="{C546EE42-3558-4137-BC85-BF7368A2E2AB}" presName="hierChild4" presStyleCnt="0"/>
      <dgm:spPr/>
    </dgm:pt>
    <dgm:pt modelId="{C49532DE-215D-4084-B84F-AA64802199B8}" type="pres">
      <dgm:prSet presAssocID="{C546EE42-3558-4137-BC85-BF7368A2E2AB}" presName="hierChild5" presStyleCnt="0"/>
      <dgm:spPr/>
    </dgm:pt>
    <dgm:pt modelId="{29C5A5A3-C709-4910-B021-ABE3842BF2DB}" type="pres">
      <dgm:prSet presAssocID="{E94944E1-45A3-4B73-AFD0-B21CAD05CBE3}" presName="Name37" presStyleLbl="parChTrans1D2" presStyleIdx="2" presStyleCnt="3"/>
      <dgm:spPr/>
    </dgm:pt>
    <dgm:pt modelId="{0C6DB361-D12D-448C-BE2C-99A58589AC22}" type="pres">
      <dgm:prSet presAssocID="{D005FB9F-EE53-44FA-85D4-24E27E9D5B96}" presName="hierRoot2" presStyleCnt="0">
        <dgm:presLayoutVars>
          <dgm:hierBranch val="init"/>
        </dgm:presLayoutVars>
      </dgm:prSet>
      <dgm:spPr/>
    </dgm:pt>
    <dgm:pt modelId="{C5DDC5FC-7CE5-4A16-BFB8-3E2D0C85C455}" type="pres">
      <dgm:prSet presAssocID="{D005FB9F-EE53-44FA-85D4-24E27E9D5B96}" presName="rootComposite" presStyleCnt="0"/>
      <dgm:spPr/>
    </dgm:pt>
    <dgm:pt modelId="{F9D3291A-8CF6-40E7-90F9-91D33583A0EE}" type="pres">
      <dgm:prSet presAssocID="{D005FB9F-EE53-44FA-85D4-24E27E9D5B96}" presName="rootText" presStyleLbl="node2" presStyleIdx="2" presStyleCnt="3">
        <dgm:presLayoutVars>
          <dgm:chPref val="3"/>
        </dgm:presLayoutVars>
      </dgm:prSet>
      <dgm:spPr/>
    </dgm:pt>
    <dgm:pt modelId="{81536E10-5F88-4104-AD07-C67E932F7A0E}" type="pres">
      <dgm:prSet presAssocID="{D005FB9F-EE53-44FA-85D4-24E27E9D5B96}" presName="rootConnector" presStyleLbl="node2" presStyleIdx="2" presStyleCnt="3"/>
      <dgm:spPr/>
    </dgm:pt>
    <dgm:pt modelId="{4E66D46B-586C-45EC-8C32-B334609AFCB0}" type="pres">
      <dgm:prSet presAssocID="{D005FB9F-EE53-44FA-85D4-24E27E9D5B96}" presName="hierChild4" presStyleCnt="0"/>
      <dgm:spPr/>
    </dgm:pt>
    <dgm:pt modelId="{FCEAA573-E306-47CF-94D0-75AAA16591FE}" type="pres">
      <dgm:prSet presAssocID="{D005FB9F-EE53-44FA-85D4-24E27E9D5B96}" presName="hierChild5" presStyleCnt="0"/>
      <dgm:spPr/>
    </dgm:pt>
    <dgm:pt modelId="{F53DE6C2-26CA-4BD1-B187-5BA8795D3556}" type="pres">
      <dgm:prSet presAssocID="{0F372CC7-D075-4F0C-AE66-624A98D544B6}" presName="hierChild3" presStyleCnt="0"/>
      <dgm:spPr/>
    </dgm:pt>
  </dgm:ptLst>
  <dgm:cxnLst>
    <dgm:cxn modelId="{9CD9BD01-5D70-4113-98BD-6ECAA733000C}" type="presOf" srcId="{C546EE42-3558-4137-BC85-BF7368A2E2AB}" destId="{5623EF87-8375-43A6-8CAE-5A97EF2BB9AC}" srcOrd="0" destOrd="0" presId="urn:microsoft.com/office/officeart/2005/8/layout/orgChart1"/>
    <dgm:cxn modelId="{55D43113-2900-4FE5-B160-FDBB514C0A12}" srcId="{0F372CC7-D075-4F0C-AE66-624A98D544B6}" destId="{C546EE42-3558-4137-BC85-BF7368A2E2AB}" srcOrd="1" destOrd="0" parTransId="{EE361047-524A-4A83-83FB-F6FA70B5D35C}" sibTransId="{7F3086EF-36D7-4F88-BF17-B4CE88EFA8D6}"/>
    <dgm:cxn modelId="{A51EFA28-2F7B-48F9-8EDA-9BDCA96908D0}" type="presOf" srcId="{C546EE42-3558-4137-BC85-BF7368A2E2AB}" destId="{689724AE-E323-4CFE-AC1C-4CFE19F63D0F}" srcOrd="1" destOrd="0" presId="urn:microsoft.com/office/officeart/2005/8/layout/orgChart1"/>
    <dgm:cxn modelId="{F9057D62-D18A-4E15-82E9-46C626557BEC}" type="presOf" srcId="{547C7BB0-5356-4ED4-B403-CB44D50CBED0}" destId="{04EE5D81-C5FA-47EE-BECA-F222C5918390}" srcOrd="1" destOrd="0" presId="urn:microsoft.com/office/officeart/2005/8/layout/orgChart1"/>
    <dgm:cxn modelId="{DAB41A51-E004-488E-A33B-60EBA2E2589D}" srcId="{B7533358-99F8-4F44-83C5-26D50017D00A}" destId="{0F372CC7-D075-4F0C-AE66-624A98D544B6}" srcOrd="0" destOrd="0" parTransId="{CD757C53-1506-4BDA-8FAF-6DED2F0A74C5}" sibTransId="{D59CDF42-5011-4172-9B97-460647CBBB2C}"/>
    <dgm:cxn modelId="{CCD37851-4909-464D-87F6-53372B137CA2}" type="presOf" srcId="{68D31D98-CEDB-45B9-A04B-49F1D49AF524}" destId="{DCFF04C9-7AD1-41B9-907B-CC4496E160A3}" srcOrd="0" destOrd="0" presId="urn:microsoft.com/office/officeart/2005/8/layout/orgChart1"/>
    <dgm:cxn modelId="{26D9067F-947A-4789-8AE3-E539F4723C70}" type="presOf" srcId="{0F372CC7-D075-4F0C-AE66-624A98D544B6}" destId="{E0FA6706-1396-4A59-96D5-89F4EB910663}" srcOrd="0" destOrd="0" presId="urn:microsoft.com/office/officeart/2005/8/layout/orgChart1"/>
    <dgm:cxn modelId="{C5048086-BF44-40EE-9F4E-3C1478614B8E}" type="presOf" srcId="{E94944E1-45A3-4B73-AFD0-B21CAD05CBE3}" destId="{29C5A5A3-C709-4910-B021-ABE3842BF2DB}" srcOrd="0" destOrd="0" presId="urn:microsoft.com/office/officeart/2005/8/layout/orgChart1"/>
    <dgm:cxn modelId="{8234B29A-9A38-4FF3-8EDA-A73753007AD3}" type="presOf" srcId="{D005FB9F-EE53-44FA-85D4-24E27E9D5B96}" destId="{81536E10-5F88-4104-AD07-C67E932F7A0E}" srcOrd="1" destOrd="0" presId="urn:microsoft.com/office/officeart/2005/8/layout/orgChart1"/>
    <dgm:cxn modelId="{673DB0CE-EA4B-4BC7-A379-90FAE2F0918C}" type="presOf" srcId="{D005FB9F-EE53-44FA-85D4-24E27E9D5B96}" destId="{F9D3291A-8CF6-40E7-90F9-91D33583A0EE}" srcOrd="0" destOrd="0" presId="urn:microsoft.com/office/officeart/2005/8/layout/orgChart1"/>
    <dgm:cxn modelId="{74F530D0-BAAE-4D5E-8BE0-8E6BF06E98DA}" type="presOf" srcId="{547C7BB0-5356-4ED4-B403-CB44D50CBED0}" destId="{9C85B155-6769-4A9B-B5E3-A02C4DAE6CAF}" srcOrd="0" destOrd="0" presId="urn:microsoft.com/office/officeart/2005/8/layout/orgChart1"/>
    <dgm:cxn modelId="{9394B0D9-7D18-44CF-BD68-6C520D90716A}" type="presOf" srcId="{EE361047-524A-4A83-83FB-F6FA70B5D35C}" destId="{263618F2-6DBD-433F-9C0B-60F493ED58F1}" srcOrd="0" destOrd="0" presId="urn:microsoft.com/office/officeart/2005/8/layout/orgChart1"/>
    <dgm:cxn modelId="{55E92FE2-4917-471B-8BD9-835D3185D322}" srcId="{0F372CC7-D075-4F0C-AE66-624A98D544B6}" destId="{D005FB9F-EE53-44FA-85D4-24E27E9D5B96}" srcOrd="2" destOrd="0" parTransId="{E94944E1-45A3-4B73-AFD0-B21CAD05CBE3}" sibTransId="{96A11B60-AC8F-4E86-955B-5A9638B4465D}"/>
    <dgm:cxn modelId="{8C2058EC-D60B-4814-AAD4-77620844C248}" type="presOf" srcId="{B7533358-99F8-4F44-83C5-26D50017D00A}" destId="{83BA8F77-E33A-4C68-9F5B-4868F7276C9D}" srcOrd="0" destOrd="0" presId="urn:microsoft.com/office/officeart/2005/8/layout/orgChart1"/>
    <dgm:cxn modelId="{0CDA3BF7-FAC2-4638-AE53-13879663FA55}" type="presOf" srcId="{0F372CC7-D075-4F0C-AE66-624A98D544B6}" destId="{E98306CF-AB5C-41A3-99F8-C2E8FE7988CA}" srcOrd="1" destOrd="0" presId="urn:microsoft.com/office/officeart/2005/8/layout/orgChart1"/>
    <dgm:cxn modelId="{7A9332FA-D456-46F8-BCD3-DD3C12A7738C}" srcId="{0F372CC7-D075-4F0C-AE66-624A98D544B6}" destId="{547C7BB0-5356-4ED4-B403-CB44D50CBED0}" srcOrd="0" destOrd="0" parTransId="{68D31D98-CEDB-45B9-A04B-49F1D49AF524}" sibTransId="{B5724568-31C3-4160-BBD2-1EB1ADA7D07A}"/>
    <dgm:cxn modelId="{F13C3F42-BB0B-4CE1-A8C0-4B7EB481F992}" type="presParOf" srcId="{83BA8F77-E33A-4C68-9F5B-4868F7276C9D}" destId="{C8D89BFF-8778-4BB5-A789-086B1D16EB6B}" srcOrd="0" destOrd="0" presId="urn:microsoft.com/office/officeart/2005/8/layout/orgChart1"/>
    <dgm:cxn modelId="{4415F37F-66BF-407B-8CAC-50F0B22C82C1}" type="presParOf" srcId="{C8D89BFF-8778-4BB5-A789-086B1D16EB6B}" destId="{16FB2A18-3833-482B-86D4-E4D42334BAC1}" srcOrd="0" destOrd="0" presId="urn:microsoft.com/office/officeart/2005/8/layout/orgChart1"/>
    <dgm:cxn modelId="{2F4D1FD2-1B47-463E-943C-EF9D551441FA}" type="presParOf" srcId="{16FB2A18-3833-482B-86D4-E4D42334BAC1}" destId="{E0FA6706-1396-4A59-96D5-89F4EB910663}" srcOrd="0" destOrd="0" presId="urn:microsoft.com/office/officeart/2005/8/layout/orgChart1"/>
    <dgm:cxn modelId="{898DCB0A-BDD7-4095-A863-DC4FE81A9120}" type="presParOf" srcId="{16FB2A18-3833-482B-86D4-E4D42334BAC1}" destId="{E98306CF-AB5C-41A3-99F8-C2E8FE7988CA}" srcOrd="1" destOrd="0" presId="urn:microsoft.com/office/officeart/2005/8/layout/orgChart1"/>
    <dgm:cxn modelId="{400BA5EE-7400-45EF-B47A-4AC0E2DB7637}" type="presParOf" srcId="{C8D89BFF-8778-4BB5-A789-086B1D16EB6B}" destId="{C98A3393-7DBF-4F44-A06B-E6D7C8047A20}" srcOrd="1" destOrd="0" presId="urn:microsoft.com/office/officeart/2005/8/layout/orgChart1"/>
    <dgm:cxn modelId="{7826AA65-03F0-4D35-8677-80C24DA4AEA7}" type="presParOf" srcId="{C98A3393-7DBF-4F44-A06B-E6D7C8047A20}" destId="{DCFF04C9-7AD1-41B9-907B-CC4496E160A3}" srcOrd="0" destOrd="0" presId="urn:microsoft.com/office/officeart/2005/8/layout/orgChart1"/>
    <dgm:cxn modelId="{041E36C4-7229-4E2B-A7CF-4261A4A33637}" type="presParOf" srcId="{C98A3393-7DBF-4F44-A06B-E6D7C8047A20}" destId="{02E58F77-FFD2-4E6C-A9BB-D74EC2EBA4CC}" srcOrd="1" destOrd="0" presId="urn:microsoft.com/office/officeart/2005/8/layout/orgChart1"/>
    <dgm:cxn modelId="{DD9904E2-2772-4646-A712-D66145225135}" type="presParOf" srcId="{02E58F77-FFD2-4E6C-A9BB-D74EC2EBA4CC}" destId="{2B177683-1050-496E-A448-A99A16C540FB}" srcOrd="0" destOrd="0" presId="urn:microsoft.com/office/officeart/2005/8/layout/orgChart1"/>
    <dgm:cxn modelId="{75973946-F362-45B1-A6E1-30162504DB8A}" type="presParOf" srcId="{2B177683-1050-496E-A448-A99A16C540FB}" destId="{9C85B155-6769-4A9B-B5E3-A02C4DAE6CAF}" srcOrd="0" destOrd="0" presId="urn:microsoft.com/office/officeart/2005/8/layout/orgChart1"/>
    <dgm:cxn modelId="{FE306DB3-C9B8-43D6-ADA8-6E8DB022204E}" type="presParOf" srcId="{2B177683-1050-496E-A448-A99A16C540FB}" destId="{04EE5D81-C5FA-47EE-BECA-F222C5918390}" srcOrd="1" destOrd="0" presId="urn:microsoft.com/office/officeart/2005/8/layout/orgChart1"/>
    <dgm:cxn modelId="{4F82EFB7-119D-414E-8501-6735DC9055CF}" type="presParOf" srcId="{02E58F77-FFD2-4E6C-A9BB-D74EC2EBA4CC}" destId="{899CC2BC-DD81-4510-A40F-41D000BD3B0F}" srcOrd="1" destOrd="0" presId="urn:microsoft.com/office/officeart/2005/8/layout/orgChart1"/>
    <dgm:cxn modelId="{FCB5C646-90C7-44CC-A377-CA5B75FF62F8}" type="presParOf" srcId="{02E58F77-FFD2-4E6C-A9BB-D74EC2EBA4CC}" destId="{2A31CF77-EFFC-4F5B-9DC5-56652BD598EA}" srcOrd="2" destOrd="0" presId="urn:microsoft.com/office/officeart/2005/8/layout/orgChart1"/>
    <dgm:cxn modelId="{DC3C53ED-CB09-4A5B-AAC4-9F64D13880D6}" type="presParOf" srcId="{C98A3393-7DBF-4F44-A06B-E6D7C8047A20}" destId="{263618F2-6DBD-433F-9C0B-60F493ED58F1}" srcOrd="2" destOrd="0" presId="urn:microsoft.com/office/officeart/2005/8/layout/orgChart1"/>
    <dgm:cxn modelId="{1500C427-2951-423C-9B46-B2DB327DF078}" type="presParOf" srcId="{C98A3393-7DBF-4F44-A06B-E6D7C8047A20}" destId="{A5833BEA-75F2-4372-8F2F-8EE6B1E96A94}" srcOrd="3" destOrd="0" presId="urn:microsoft.com/office/officeart/2005/8/layout/orgChart1"/>
    <dgm:cxn modelId="{C57CCCA3-95B8-4E19-99DB-CFB4D0DEC3D1}" type="presParOf" srcId="{A5833BEA-75F2-4372-8F2F-8EE6B1E96A94}" destId="{B792EC1E-E02B-4256-870C-738E69AE1703}" srcOrd="0" destOrd="0" presId="urn:microsoft.com/office/officeart/2005/8/layout/orgChart1"/>
    <dgm:cxn modelId="{B1C76A03-4830-4517-981E-D08BE1709591}" type="presParOf" srcId="{B792EC1E-E02B-4256-870C-738E69AE1703}" destId="{5623EF87-8375-43A6-8CAE-5A97EF2BB9AC}" srcOrd="0" destOrd="0" presId="urn:microsoft.com/office/officeart/2005/8/layout/orgChart1"/>
    <dgm:cxn modelId="{AF429BC7-F0A9-4A30-9AB0-40C64B8851BB}" type="presParOf" srcId="{B792EC1E-E02B-4256-870C-738E69AE1703}" destId="{689724AE-E323-4CFE-AC1C-4CFE19F63D0F}" srcOrd="1" destOrd="0" presId="urn:microsoft.com/office/officeart/2005/8/layout/orgChart1"/>
    <dgm:cxn modelId="{2A866BE8-99B7-444A-897A-2AC157DBA26B}" type="presParOf" srcId="{A5833BEA-75F2-4372-8F2F-8EE6B1E96A94}" destId="{5744ABE2-C6E4-4BDC-83CA-13F378CF3F86}" srcOrd="1" destOrd="0" presId="urn:microsoft.com/office/officeart/2005/8/layout/orgChart1"/>
    <dgm:cxn modelId="{ACBCDECF-5568-45DB-8DE2-F4C8B5F5A4EC}" type="presParOf" srcId="{A5833BEA-75F2-4372-8F2F-8EE6B1E96A94}" destId="{C49532DE-215D-4084-B84F-AA64802199B8}" srcOrd="2" destOrd="0" presId="urn:microsoft.com/office/officeart/2005/8/layout/orgChart1"/>
    <dgm:cxn modelId="{3E897C12-13A6-4CFB-916C-06492EDFD2B6}" type="presParOf" srcId="{C98A3393-7DBF-4F44-A06B-E6D7C8047A20}" destId="{29C5A5A3-C709-4910-B021-ABE3842BF2DB}" srcOrd="4" destOrd="0" presId="urn:microsoft.com/office/officeart/2005/8/layout/orgChart1"/>
    <dgm:cxn modelId="{1148C7C3-CA94-4CDE-8384-DA1FE6CE2224}" type="presParOf" srcId="{C98A3393-7DBF-4F44-A06B-E6D7C8047A20}" destId="{0C6DB361-D12D-448C-BE2C-99A58589AC22}" srcOrd="5" destOrd="0" presId="urn:microsoft.com/office/officeart/2005/8/layout/orgChart1"/>
    <dgm:cxn modelId="{A5B0C99A-0BE7-4D15-A272-0840587F6E85}" type="presParOf" srcId="{0C6DB361-D12D-448C-BE2C-99A58589AC22}" destId="{C5DDC5FC-7CE5-4A16-BFB8-3E2D0C85C455}" srcOrd="0" destOrd="0" presId="urn:microsoft.com/office/officeart/2005/8/layout/orgChart1"/>
    <dgm:cxn modelId="{0F86F456-56FD-4D9A-99EA-BF57191CE91D}" type="presParOf" srcId="{C5DDC5FC-7CE5-4A16-BFB8-3E2D0C85C455}" destId="{F9D3291A-8CF6-40E7-90F9-91D33583A0EE}" srcOrd="0" destOrd="0" presId="urn:microsoft.com/office/officeart/2005/8/layout/orgChart1"/>
    <dgm:cxn modelId="{1403AD41-42AA-401A-AE35-B36D3EAB9662}" type="presParOf" srcId="{C5DDC5FC-7CE5-4A16-BFB8-3E2D0C85C455}" destId="{81536E10-5F88-4104-AD07-C67E932F7A0E}" srcOrd="1" destOrd="0" presId="urn:microsoft.com/office/officeart/2005/8/layout/orgChart1"/>
    <dgm:cxn modelId="{08DAD0FC-B7AD-4FB4-BBC5-A0D34A9B77A9}" type="presParOf" srcId="{0C6DB361-D12D-448C-BE2C-99A58589AC22}" destId="{4E66D46B-586C-45EC-8C32-B334609AFCB0}" srcOrd="1" destOrd="0" presId="urn:microsoft.com/office/officeart/2005/8/layout/orgChart1"/>
    <dgm:cxn modelId="{BAA04B21-812F-44E6-8E2C-827F10C76FA8}" type="presParOf" srcId="{0C6DB361-D12D-448C-BE2C-99A58589AC22}" destId="{FCEAA573-E306-47CF-94D0-75AAA16591FE}" srcOrd="2" destOrd="0" presId="urn:microsoft.com/office/officeart/2005/8/layout/orgChart1"/>
    <dgm:cxn modelId="{A07BD81A-2831-4E5C-9000-9F966C627F18}" type="presParOf" srcId="{C8D89BFF-8778-4BB5-A789-086B1D16EB6B}" destId="{F53DE6C2-26CA-4BD1-B187-5BA8795D3556}" srcOrd="2" destOrd="0" presId="urn:microsoft.com/office/officeart/2005/8/layout/orgChart1"/>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7533358-99F8-4F44-83C5-26D50017D00A}" type="doc">
      <dgm:prSet loTypeId="urn:microsoft.com/office/officeart/2005/8/layout/orgChart1" loCatId="hierarchy" qsTypeId="urn:microsoft.com/office/officeart/2005/8/quickstyle/simple2" qsCatId="simple" csTypeId="urn:microsoft.com/office/officeart/2005/8/colors/accent0_1" csCatId="mainScheme" phldr="1"/>
      <dgm:spPr/>
      <dgm:t>
        <a:bodyPr/>
        <a:lstStyle/>
        <a:p>
          <a:endParaRPr lang="it-IT"/>
        </a:p>
      </dgm:t>
    </dgm:pt>
    <dgm:pt modelId="{0F372CC7-D075-4F0C-AE66-624A98D544B6}">
      <dgm:prSet phldrT="[Testo]"/>
      <dgm:spPr/>
      <dgm:t>
        <a:bodyPr/>
        <a:lstStyle/>
        <a:p>
          <a:pPr algn="ctr"/>
          <a:r>
            <a:rPr lang="it-IT">
              <a:latin typeface="Times New Roman" panose="02020603050405020304" pitchFamily="18" charset="0"/>
              <a:cs typeface="Times New Roman" panose="02020603050405020304" pitchFamily="18" charset="0"/>
            </a:rPr>
            <a:t>Methods to improve</a:t>
          </a:r>
        </a:p>
        <a:p>
          <a:pPr algn="ctr"/>
          <a:r>
            <a:rPr lang="it-IT">
              <a:latin typeface="Times New Roman" panose="02020603050405020304" pitchFamily="18" charset="0"/>
              <a:cs typeface="Times New Roman" panose="02020603050405020304" pitchFamily="18" charset="0"/>
            </a:rPr>
            <a:t>thermal conductivity</a:t>
          </a:r>
        </a:p>
      </dgm:t>
    </dgm:pt>
    <dgm:pt modelId="{CD757C53-1506-4BDA-8FAF-6DED2F0A74C5}" type="parTrans" cxnId="{DAB41A51-E004-488E-A33B-60EBA2E2589D}">
      <dgm:prSet/>
      <dgm:spPr/>
      <dgm:t>
        <a:bodyPr/>
        <a:lstStyle/>
        <a:p>
          <a:endParaRPr lang="it-IT"/>
        </a:p>
      </dgm:t>
    </dgm:pt>
    <dgm:pt modelId="{D59CDF42-5011-4172-9B97-460647CBBB2C}" type="sibTrans" cxnId="{DAB41A51-E004-488E-A33B-60EBA2E2589D}">
      <dgm:prSet/>
      <dgm:spPr/>
      <dgm:t>
        <a:bodyPr/>
        <a:lstStyle/>
        <a:p>
          <a:endParaRPr lang="it-IT"/>
        </a:p>
      </dgm:t>
    </dgm:pt>
    <dgm:pt modelId="{547C7BB0-5356-4ED4-B403-CB44D50CBED0}">
      <dgm:prSet phldrT="[Testo]"/>
      <dgm:spPr/>
      <dgm:t>
        <a:bodyPr/>
        <a:lstStyle/>
        <a:p>
          <a:r>
            <a:rPr lang="it-IT">
              <a:latin typeface="Times New Roman" panose="02020603050405020304" pitchFamily="18" charset="0"/>
              <a:cs typeface="Times New Roman" panose="02020603050405020304" pitchFamily="18" charset="0"/>
            </a:rPr>
            <a:t>Chemical </a:t>
          </a:r>
        </a:p>
        <a:p>
          <a:r>
            <a:rPr lang="it-IT">
              <a:latin typeface="Times New Roman" panose="02020603050405020304" pitchFamily="18" charset="0"/>
              <a:cs typeface="Times New Roman" panose="02020603050405020304" pitchFamily="18" charset="0"/>
            </a:rPr>
            <a:t>modification </a:t>
          </a:r>
        </a:p>
      </dgm:t>
    </dgm:pt>
    <dgm:pt modelId="{68D31D98-CEDB-45B9-A04B-49F1D49AF524}" type="parTrans" cxnId="{7A9332FA-D456-46F8-BCD3-DD3C12A7738C}">
      <dgm:prSet/>
      <dgm:spPr/>
      <dgm:t>
        <a:bodyPr/>
        <a:lstStyle/>
        <a:p>
          <a:endParaRPr lang="it-IT"/>
        </a:p>
      </dgm:t>
    </dgm:pt>
    <dgm:pt modelId="{B5724568-31C3-4160-BBD2-1EB1ADA7D07A}" type="sibTrans" cxnId="{7A9332FA-D456-46F8-BCD3-DD3C12A7738C}">
      <dgm:prSet/>
      <dgm:spPr/>
      <dgm:t>
        <a:bodyPr/>
        <a:lstStyle/>
        <a:p>
          <a:endParaRPr lang="it-IT"/>
        </a:p>
      </dgm:t>
    </dgm:pt>
    <dgm:pt modelId="{C546EE42-3558-4137-BC85-BF7368A2E2AB}">
      <dgm:prSet phldrT="[Testo]"/>
      <dgm:spPr/>
      <dgm:t>
        <a:bodyPr/>
        <a:lstStyle/>
        <a:p>
          <a:r>
            <a:rPr lang="it-IT">
              <a:latin typeface="Times New Roman" panose="02020603050405020304" pitchFamily="18" charset="0"/>
              <a:cs typeface="Times New Roman" panose="02020603050405020304" pitchFamily="18" charset="0"/>
            </a:rPr>
            <a:t>Addition of structures with different dimensions</a:t>
          </a:r>
        </a:p>
      </dgm:t>
    </dgm:pt>
    <dgm:pt modelId="{7F3086EF-36D7-4F88-BF17-B4CE88EFA8D6}" type="sibTrans" cxnId="{55D43113-2900-4FE5-B160-FDBB514C0A12}">
      <dgm:prSet/>
      <dgm:spPr/>
      <dgm:t>
        <a:bodyPr/>
        <a:lstStyle/>
        <a:p>
          <a:endParaRPr lang="it-IT"/>
        </a:p>
      </dgm:t>
    </dgm:pt>
    <dgm:pt modelId="{EE361047-524A-4A83-83FB-F6FA70B5D35C}" type="parTrans" cxnId="{55D43113-2900-4FE5-B160-FDBB514C0A12}">
      <dgm:prSet/>
      <dgm:spPr/>
      <dgm:t>
        <a:bodyPr/>
        <a:lstStyle/>
        <a:p>
          <a:endParaRPr lang="it-IT"/>
        </a:p>
      </dgm:t>
    </dgm:pt>
    <dgm:pt modelId="{29F3AB2B-F317-497F-AA50-2F4E000A3296}">
      <dgm:prSet phldrT="[Testo]"/>
      <dgm:spPr/>
      <dgm:t>
        <a:bodyPr/>
        <a:lstStyle/>
        <a:p>
          <a:r>
            <a:rPr lang="it-IT">
              <a:latin typeface="Times New Roman" panose="02020603050405020304" pitchFamily="18" charset="0"/>
              <a:cs typeface="Times New Roman" panose="02020603050405020304" pitchFamily="18" charset="0"/>
            </a:rPr>
            <a:t>Doping</a:t>
          </a:r>
        </a:p>
      </dgm:t>
    </dgm:pt>
    <dgm:pt modelId="{4AC848B0-9D66-4BAC-AF87-7242042D9F7D}" type="parTrans" cxnId="{044FFFAA-B3F1-4CF0-9B12-DB7EFF51C279}">
      <dgm:prSet/>
      <dgm:spPr/>
      <dgm:t>
        <a:bodyPr/>
        <a:lstStyle/>
        <a:p>
          <a:endParaRPr lang="it-IT"/>
        </a:p>
      </dgm:t>
    </dgm:pt>
    <dgm:pt modelId="{3A046AD8-B43E-4BD3-A764-5C0020415831}" type="sibTrans" cxnId="{044FFFAA-B3F1-4CF0-9B12-DB7EFF51C279}">
      <dgm:prSet/>
      <dgm:spPr/>
      <dgm:t>
        <a:bodyPr/>
        <a:lstStyle/>
        <a:p>
          <a:endParaRPr lang="it-IT"/>
        </a:p>
      </dgm:t>
    </dgm:pt>
    <dgm:pt modelId="{0797D451-E4F0-4067-B97D-30C935519875}">
      <dgm:prSet phldrT="[Testo]"/>
      <dgm:spPr/>
      <dgm:t>
        <a:bodyPr/>
        <a:lstStyle/>
        <a:p>
          <a:r>
            <a:rPr lang="it-IT">
              <a:latin typeface="Times New Roman" panose="02020603050405020304" pitchFamily="18" charset="0"/>
              <a:cs typeface="Times New Roman" panose="02020603050405020304" pitchFamily="18" charset="0"/>
            </a:rPr>
            <a:t>Grafting</a:t>
          </a:r>
        </a:p>
      </dgm:t>
    </dgm:pt>
    <dgm:pt modelId="{2DE67C7E-8826-4E02-B8FD-D5E5FE9CFFAF}" type="parTrans" cxnId="{DF8EBE58-30A5-4F42-BF72-190927B34F91}">
      <dgm:prSet/>
      <dgm:spPr/>
      <dgm:t>
        <a:bodyPr/>
        <a:lstStyle/>
        <a:p>
          <a:endParaRPr lang="it-IT"/>
        </a:p>
      </dgm:t>
    </dgm:pt>
    <dgm:pt modelId="{AEC15A52-7CC7-4938-A75F-688936ABA63D}" type="sibTrans" cxnId="{DF8EBE58-30A5-4F42-BF72-190927B34F91}">
      <dgm:prSet/>
      <dgm:spPr/>
      <dgm:t>
        <a:bodyPr/>
        <a:lstStyle/>
        <a:p>
          <a:endParaRPr lang="it-IT"/>
        </a:p>
      </dgm:t>
    </dgm:pt>
    <dgm:pt modelId="{83BA8F77-E33A-4C68-9F5B-4868F7276C9D}" type="pres">
      <dgm:prSet presAssocID="{B7533358-99F8-4F44-83C5-26D50017D00A}" presName="hierChild1" presStyleCnt="0">
        <dgm:presLayoutVars>
          <dgm:orgChart val="1"/>
          <dgm:chPref val="1"/>
          <dgm:dir/>
          <dgm:animOne val="branch"/>
          <dgm:animLvl val="lvl"/>
          <dgm:resizeHandles/>
        </dgm:presLayoutVars>
      </dgm:prSet>
      <dgm:spPr/>
    </dgm:pt>
    <dgm:pt modelId="{C8D89BFF-8778-4BB5-A789-086B1D16EB6B}" type="pres">
      <dgm:prSet presAssocID="{0F372CC7-D075-4F0C-AE66-624A98D544B6}" presName="hierRoot1" presStyleCnt="0">
        <dgm:presLayoutVars>
          <dgm:hierBranch val="init"/>
        </dgm:presLayoutVars>
      </dgm:prSet>
      <dgm:spPr/>
    </dgm:pt>
    <dgm:pt modelId="{16FB2A18-3833-482B-86D4-E4D42334BAC1}" type="pres">
      <dgm:prSet presAssocID="{0F372CC7-D075-4F0C-AE66-624A98D544B6}" presName="rootComposite1" presStyleCnt="0"/>
      <dgm:spPr/>
    </dgm:pt>
    <dgm:pt modelId="{E0FA6706-1396-4A59-96D5-89F4EB910663}" type="pres">
      <dgm:prSet presAssocID="{0F372CC7-D075-4F0C-AE66-624A98D544B6}" presName="rootText1" presStyleLbl="node0" presStyleIdx="0" presStyleCnt="1" custScaleX="190817">
        <dgm:presLayoutVars>
          <dgm:chPref val="3"/>
        </dgm:presLayoutVars>
      </dgm:prSet>
      <dgm:spPr/>
    </dgm:pt>
    <dgm:pt modelId="{E98306CF-AB5C-41A3-99F8-C2E8FE7988CA}" type="pres">
      <dgm:prSet presAssocID="{0F372CC7-D075-4F0C-AE66-624A98D544B6}" presName="rootConnector1" presStyleLbl="node1" presStyleIdx="0" presStyleCnt="0"/>
      <dgm:spPr/>
    </dgm:pt>
    <dgm:pt modelId="{C98A3393-7DBF-4F44-A06B-E6D7C8047A20}" type="pres">
      <dgm:prSet presAssocID="{0F372CC7-D075-4F0C-AE66-624A98D544B6}" presName="hierChild2" presStyleCnt="0"/>
      <dgm:spPr/>
    </dgm:pt>
    <dgm:pt modelId="{DCFF04C9-7AD1-41B9-907B-CC4496E160A3}" type="pres">
      <dgm:prSet presAssocID="{68D31D98-CEDB-45B9-A04B-49F1D49AF524}" presName="Name37" presStyleLbl="parChTrans1D2" presStyleIdx="0" presStyleCnt="2"/>
      <dgm:spPr/>
    </dgm:pt>
    <dgm:pt modelId="{02E58F77-FFD2-4E6C-A9BB-D74EC2EBA4CC}" type="pres">
      <dgm:prSet presAssocID="{547C7BB0-5356-4ED4-B403-CB44D50CBED0}" presName="hierRoot2" presStyleCnt="0">
        <dgm:presLayoutVars>
          <dgm:hierBranch val="init"/>
        </dgm:presLayoutVars>
      </dgm:prSet>
      <dgm:spPr/>
    </dgm:pt>
    <dgm:pt modelId="{2B177683-1050-496E-A448-A99A16C540FB}" type="pres">
      <dgm:prSet presAssocID="{547C7BB0-5356-4ED4-B403-CB44D50CBED0}" presName="rootComposite" presStyleCnt="0"/>
      <dgm:spPr/>
    </dgm:pt>
    <dgm:pt modelId="{9C85B155-6769-4A9B-B5E3-A02C4DAE6CAF}" type="pres">
      <dgm:prSet presAssocID="{547C7BB0-5356-4ED4-B403-CB44D50CBED0}" presName="rootText" presStyleLbl="node2" presStyleIdx="0" presStyleCnt="2" custLinFactNeighborX="-3221" custLinFactNeighborY="2148">
        <dgm:presLayoutVars>
          <dgm:chPref val="3"/>
        </dgm:presLayoutVars>
      </dgm:prSet>
      <dgm:spPr/>
    </dgm:pt>
    <dgm:pt modelId="{04EE5D81-C5FA-47EE-BECA-F222C5918390}" type="pres">
      <dgm:prSet presAssocID="{547C7BB0-5356-4ED4-B403-CB44D50CBED0}" presName="rootConnector" presStyleLbl="node2" presStyleIdx="0" presStyleCnt="2"/>
      <dgm:spPr/>
    </dgm:pt>
    <dgm:pt modelId="{899CC2BC-DD81-4510-A40F-41D000BD3B0F}" type="pres">
      <dgm:prSet presAssocID="{547C7BB0-5356-4ED4-B403-CB44D50CBED0}" presName="hierChild4" presStyleCnt="0"/>
      <dgm:spPr/>
    </dgm:pt>
    <dgm:pt modelId="{FBE02D43-52D7-491C-B457-C05336519A8C}" type="pres">
      <dgm:prSet presAssocID="{4AC848B0-9D66-4BAC-AF87-7242042D9F7D}" presName="Name37" presStyleLbl="parChTrans1D3" presStyleIdx="0" presStyleCnt="2"/>
      <dgm:spPr/>
    </dgm:pt>
    <dgm:pt modelId="{B0C83A15-1340-45EA-BAA2-20379576FC97}" type="pres">
      <dgm:prSet presAssocID="{29F3AB2B-F317-497F-AA50-2F4E000A3296}" presName="hierRoot2" presStyleCnt="0">
        <dgm:presLayoutVars>
          <dgm:hierBranch val="init"/>
        </dgm:presLayoutVars>
      </dgm:prSet>
      <dgm:spPr/>
    </dgm:pt>
    <dgm:pt modelId="{A118285D-AA90-4CC5-9408-7AADDFDCA16A}" type="pres">
      <dgm:prSet presAssocID="{29F3AB2B-F317-497F-AA50-2F4E000A3296}" presName="rootComposite" presStyleCnt="0"/>
      <dgm:spPr/>
    </dgm:pt>
    <dgm:pt modelId="{168376BC-4D05-424D-8D88-790030C2E427}" type="pres">
      <dgm:prSet presAssocID="{29F3AB2B-F317-497F-AA50-2F4E000A3296}" presName="rootText" presStyleLbl="node3" presStyleIdx="0" presStyleCnt="2">
        <dgm:presLayoutVars>
          <dgm:chPref val="3"/>
        </dgm:presLayoutVars>
      </dgm:prSet>
      <dgm:spPr/>
    </dgm:pt>
    <dgm:pt modelId="{8791372A-3AE3-457D-A869-2C9976A48FDF}" type="pres">
      <dgm:prSet presAssocID="{29F3AB2B-F317-497F-AA50-2F4E000A3296}" presName="rootConnector" presStyleLbl="node3" presStyleIdx="0" presStyleCnt="2"/>
      <dgm:spPr/>
    </dgm:pt>
    <dgm:pt modelId="{C65D6427-8D25-4361-90F6-6DD1A9E703DE}" type="pres">
      <dgm:prSet presAssocID="{29F3AB2B-F317-497F-AA50-2F4E000A3296}" presName="hierChild4" presStyleCnt="0"/>
      <dgm:spPr/>
    </dgm:pt>
    <dgm:pt modelId="{FFB8AD48-A993-4728-932F-8AC0DE4142B0}" type="pres">
      <dgm:prSet presAssocID="{29F3AB2B-F317-497F-AA50-2F4E000A3296}" presName="hierChild5" presStyleCnt="0"/>
      <dgm:spPr/>
    </dgm:pt>
    <dgm:pt modelId="{B1728B8B-3D89-4A7D-826B-823089F3EBE9}" type="pres">
      <dgm:prSet presAssocID="{2DE67C7E-8826-4E02-B8FD-D5E5FE9CFFAF}" presName="Name37" presStyleLbl="parChTrans1D3" presStyleIdx="1" presStyleCnt="2"/>
      <dgm:spPr/>
    </dgm:pt>
    <dgm:pt modelId="{AE160027-030C-426D-B54D-AD887EDF1929}" type="pres">
      <dgm:prSet presAssocID="{0797D451-E4F0-4067-B97D-30C935519875}" presName="hierRoot2" presStyleCnt="0">
        <dgm:presLayoutVars>
          <dgm:hierBranch val="init"/>
        </dgm:presLayoutVars>
      </dgm:prSet>
      <dgm:spPr/>
    </dgm:pt>
    <dgm:pt modelId="{7B6B6B9C-A89D-4209-AC46-F5E1F5751616}" type="pres">
      <dgm:prSet presAssocID="{0797D451-E4F0-4067-B97D-30C935519875}" presName="rootComposite" presStyleCnt="0"/>
      <dgm:spPr/>
    </dgm:pt>
    <dgm:pt modelId="{23A9B136-E785-4E89-8130-8E85AD3E3AD7}" type="pres">
      <dgm:prSet presAssocID="{0797D451-E4F0-4067-B97D-30C935519875}" presName="rootText" presStyleLbl="node3" presStyleIdx="1" presStyleCnt="2">
        <dgm:presLayoutVars>
          <dgm:chPref val="3"/>
        </dgm:presLayoutVars>
      </dgm:prSet>
      <dgm:spPr/>
    </dgm:pt>
    <dgm:pt modelId="{9F8FA0E5-68BC-4608-973D-6CEC3D37C4E2}" type="pres">
      <dgm:prSet presAssocID="{0797D451-E4F0-4067-B97D-30C935519875}" presName="rootConnector" presStyleLbl="node3" presStyleIdx="1" presStyleCnt="2"/>
      <dgm:spPr/>
    </dgm:pt>
    <dgm:pt modelId="{F9993609-B8EF-4AD6-ABCD-BF9FB4DE2C12}" type="pres">
      <dgm:prSet presAssocID="{0797D451-E4F0-4067-B97D-30C935519875}" presName="hierChild4" presStyleCnt="0"/>
      <dgm:spPr/>
    </dgm:pt>
    <dgm:pt modelId="{1E19F987-190D-46B6-BC8A-1823A899B61F}" type="pres">
      <dgm:prSet presAssocID="{0797D451-E4F0-4067-B97D-30C935519875}" presName="hierChild5" presStyleCnt="0"/>
      <dgm:spPr/>
    </dgm:pt>
    <dgm:pt modelId="{2A31CF77-EFFC-4F5B-9DC5-56652BD598EA}" type="pres">
      <dgm:prSet presAssocID="{547C7BB0-5356-4ED4-B403-CB44D50CBED0}" presName="hierChild5" presStyleCnt="0"/>
      <dgm:spPr/>
    </dgm:pt>
    <dgm:pt modelId="{263618F2-6DBD-433F-9C0B-60F493ED58F1}" type="pres">
      <dgm:prSet presAssocID="{EE361047-524A-4A83-83FB-F6FA70B5D35C}" presName="Name37" presStyleLbl="parChTrans1D2" presStyleIdx="1" presStyleCnt="2"/>
      <dgm:spPr/>
    </dgm:pt>
    <dgm:pt modelId="{A5833BEA-75F2-4372-8F2F-8EE6B1E96A94}" type="pres">
      <dgm:prSet presAssocID="{C546EE42-3558-4137-BC85-BF7368A2E2AB}" presName="hierRoot2" presStyleCnt="0">
        <dgm:presLayoutVars>
          <dgm:hierBranch val="init"/>
        </dgm:presLayoutVars>
      </dgm:prSet>
      <dgm:spPr/>
    </dgm:pt>
    <dgm:pt modelId="{B792EC1E-E02B-4256-870C-738E69AE1703}" type="pres">
      <dgm:prSet presAssocID="{C546EE42-3558-4137-BC85-BF7368A2E2AB}" presName="rootComposite" presStyleCnt="0"/>
      <dgm:spPr/>
    </dgm:pt>
    <dgm:pt modelId="{5623EF87-8375-43A6-8CAE-5A97EF2BB9AC}" type="pres">
      <dgm:prSet presAssocID="{C546EE42-3558-4137-BC85-BF7368A2E2AB}" presName="rootText" presStyleLbl="node2" presStyleIdx="1" presStyleCnt="2" custScaleX="114637">
        <dgm:presLayoutVars>
          <dgm:chPref val="3"/>
        </dgm:presLayoutVars>
      </dgm:prSet>
      <dgm:spPr/>
    </dgm:pt>
    <dgm:pt modelId="{689724AE-E323-4CFE-AC1C-4CFE19F63D0F}" type="pres">
      <dgm:prSet presAssocID="{C546EE42-3558-4137-BC85-BF7368A2E2AB}" presName="rootConnector" presStyleLbl="node2" presStyleIdx="1" presStyleCnt="2"/>
      <dgm:spPr/>
    </dgm:pt>
    <dgm:pt modelId="{5744ABE2-C6E4-4BDC-83CA-13F378CF3F86}" type="pres">
      <dgm:prSet presAssocID="{C546EE42-3558-4137-BC85-BF7368A2E2AB}" presName="hierChild4" presStyleCnt="0"/>
      <dgm:spPr/>
    </dgm:pt>
    <dgm:pt modelId="{C49532DE-215D-4084-B84F-AA64802199B8}" type="pres">
      <dgm:prSet presAssocID="{C546EE42-3558-4137-BC85-BF7368A2E2AB}" presName="hierChild5" presStyleCnt="0"/>
      <dgm:spPr/>
    </dgm:pt>
    <dgm:pt modelId="{F53DE6C2-26CA-4BD1-B187-5BA8795D3556}" type="pres">
      <dgm:prSet presAssocID="{0F372CC7-D075-4F0C-AE66-624A98D544B6}" presName="hierChild3" presStyleCnt="0"/>
      <dgm:spPr/>
    </dgm:pt>
  </dgm:ptLst>
  <dgm:cxnLst>
    <dgm:cxn modelId="{9CD9BD01-5D70-4113-98BD-6ECAA733000C}" type="presOf" srcId="{C546EE42-3558-4137-BC85-BF7368A2E2AB}" destId="{5623EF87-8375-43A6-8CAE-5A97EF2BB9AC}" srcOrd="0" destOrd="0" presId="urn:microsoft.com/office/officeart/2005/8/layout/orgChart1"/>
    <dgm:cxn modelId="{D7718E11-F627-474A-A20D-E8F8BA87DB9B}" type="presOf" srcId="{0797D451-E4F0-4067-B97D-30C935519875}" destId="{23A9B136-E785-4E89-8130-8E85AD3E3AD7}" srcOrd="0" destOrd="0" presId="urn:microsoft.com/office/officeart/2005/8/layout/orgChart1"/>
    <dgm:cxn modelId="{55D43113-2900-4FE5-B160-FDBB514C0A12}" srcId="{0F372CC7-D075-4F0C-AE66-624A98D544B6}" destId="{C546EE42-3558-4137-BC85-BF7368A2E2AB}" srcOrd="1" destOrd="0" parTransId="{EE361047-524A-4A83-83FB-F6FA70B5D35C}" sibTransId="{7F3086EF-36D7-4F88-BF17-B4CE88EFA8D6}"/>
    <dgm:cxn modelId="{03A01219-DD2E-4E33-A13F-67B3CA31C76F}" type="presOf" srcId="{29F3AB2B-F317-497F-AA50-2F4E000A3296}" destId="{8791372A-3AE3-457D-A869-2C9976A48FDF}" srcOrd="1" destOrd="0" presId="urn:microsoft.com/office/officeart/2005/8/layout/orgChart1"/>
    <dgm:cxn modelId="{A51EFA28-2F7B-48F9-8EDA-9BDCA96908D0}" type="presOf" srcId="{C546EE42-3558-4137-BC85-BF7368A2E2AB}" destId="{689724AE-E323-4CFE-AC1C-4CFE19F63D0F}" srcOrd="1" destOrd="0" presId="urn:microsoft.com/office/officeart/2005/8/layout/orgChart1"/>
    <dgm:cxn modelId="{6FF7BC2D-8DA1-412D-9D79-94B7A6B34628}" type="presOf" srcId="{0797D451-E4F0-4067-B97D-30C935519875}" destId="{9F8FA0E5-68BC-4608-973D-6CEC3D37C4E2}" srcOrd="1" destOrd="0" presId="urn:microsoft.com/office/officeart/2005/8/layout/orgChart1"/>
    <dgm:cxn modelId="{B429B83A-4711-4A02-9CFC-B925B214943C}" type="presOf" srcId="{4AC848B0-9D66-4BAC-AF87-7242042D9F7D}" destId="{FBE02D43-52D7-491C-B457-C05336519A8C}" srcOrd="0" destOrd="0" presId="urn:microsoft.com/office/officeart/2005/8/layout/orgChart1"/>
    <dgm:cxn modelId="{F9057D62-D18A-4E15-82E9-46C626557BEC}" type="presOf" srcId="{547C7BB0-5356-4ED4-B403-CB44D50CBED0}" destId="{04EE5D81-C5FA-47EE-BECA-F222C5918390}" srcOrd="1" destOrd="0" presId="urn:microsoft.com/office/officeart/2005/8/layout/orgChart1"/>
    <dgm:cxn modelId="{DAB41A51-E004-488E-A33B-60EBA2E2589D}" srcId="{B7533358-99F8-4F44-83C5-26D50017D00A}" destId="{0F372CC7-D075-4F0C-AE66-624A98D544B6}" srcOrd="0" destOrd="0" parTransId="{CD757C53-1506-4BDA-8FAF-6DED2F0A74C5}" sibTransId="{D59CDF42-5011-4172-9B97-460647CBBB2C}"/>
    <dgm:cxn modelId="{CCD37851-4909-464D-87F6-53372B137CA2}" type="presOf" srcId="{68D31D98-CEDB-45B9-A04B-49F1D49AF524}" destId="{DCFF04C9-7AD1-41B9-907B-CC4496E160A3}" srcOrd="0" destOrd="0" presId="urn:microsoft.com/office/officeart/2005/8/layout/orgChart1"/>
    <dgm:cxn modelId="{DF8EBE58-30A5-4F42-BF72-190927B34F91}" srcId="{547C7BB0-5356-4ED4-B403-CB44D50CBED0}" destId="{0797D451-E4F0-4067-B97D-30C935519875}" srcOrd="1" destOrd="0" parTransId="{2DE67C7E-8826-4E02-B8FD-D5E5FE9CFFAF}" sibTransId="{AEC15A52-7CC7-4938-A75F-688936ABA63D}"/>
    <dgm:cxn modelId="{26D9067F-947A-4789-8AE3-E539F4723C70}" type="presOf" srcId="{0F372CC7-D075-4F0C-AE66-624A98D544B6}" destId="{E0FA6706-1396-4A59-96D5-89F4EB910663}" srcOrd="0" destOrd="0" presId="urn:microsoft.com/office/officeart/2005/8/layout/orgChart1"/>
    <dgm:cxn modelId="{044FFFAA-B3F1-4CF0-9B12-DB7EFF51C279}" srcId="{547C7BB0-5356-4ED4-B403-CB44D50CBED0}" destId="{29F3AB2B-F317-497F-AA50-2F4E000A3296}" srcOrd="0" destOrd="0" parTransId="{4AC848B0-9D66-4BAC-AF87-7242042D9F7D}" sibTransId="{3A046AD8-B43E-4BD3-A764-5C0020415831}"/>
    <dgm:cxn modelId="{B337DDAC-0CF2-4F3F-BE60-C027E6E973BD}" type="presOf" srcId="{2DE67C7E-8826-4E02-B8FD-D5E5FE9CFFAF}" destId="{B1728B8B-3D89-4A7D-826B-823089F3EBE9}" srcOrd="0" destOrd="0" presId="urn:microsoft.com/office/officeart/2005/8/layout/orgChart1"/>
    <dgm:cxn modelId="{74F530D0-BAAE-4D5E-8BE0-8E6BF06E98DA}" type="presOf" srcId="{547C7BB0-5356-4ED4-B403-CB44D50CBED0}" destId="{9C85B155-6769-4A9B-B5E3-A02C4DAE6CAF}" srcOrd="0" destOrd="0" presId="urn:microsoft.com/office/officeart/2005/8/layout/orgChart1"/>
    <dgm:cxn modelId="{C1DAC1D6-43A1-4171-8A73-6789600B543E}" type="presOf" srcId="{29F3AB2B-F317-497F-AA50-2F4E000A3296}" destId="{168376BC-4D05-424D-8D88-790030C2E427}" srcOrd="0" destOrd="0" presId="urn:microsoft.com/office/officeart/2005/8/layout/orgChart1"/>
    <dgm:cxn modelId="{9394B0D9-7D18-44CF-BD68-6C520D90716A}" type="presOf" srcId="{EE361047-524A-4A83-83FB-F6FA70B5D35C}" destId="{263618F2-6DBD-433F-9C0B-60F493ED58F1}" srcOrd="0" destOrd="0" presId="urn:microsoft.com/office/officeart/2005/8/layout/orgChart1"/>
    <dgm:cxn modelId="{8C2058EC-D60B-4814-AAD4-77620844C248}" type="presOf" srcId="{B7533358-99F8-4F44-83C5-26D50017D00A}" destId="{83BA8F77-E33A-4C68-9F5B-4868F7276C9D}" srcOrd="0" destOrd="0" presId="urn:microsoft.com/office/officeart/2005/8/layout/orgChart1"/>
    <dgm:cxn modelId="{0CDA3BF7-FAC2-4638-AE53-13879663FA55}" type="presOf" srcId="{0F372CC7-D075-4F0C-AE66-624A98D544B6}" destId="{E98306CF-AB5C-41A3-99F8-C2E8FE7988CA}" srcOrd="1" destOrd="0" presId="urn:microsoft.com/office/officeart/2005/8/layout/orgChart1"/>
    <dgm:cxn modelId="{7A9332FA-D456-46F8-BCD3-DD3C12A7738C}" srcId="{0F372CC7-D075-4F0C-AE66-624A98D544B6}" destId="{547C7BB0-5356-4ED4-B403-CB44D50CBED0}" srcOrd="0" destOrd="0" parTransId="{68D31D98-CEDB-45B9-A04B-49F1D49AF524}" sibTransId="{B5724568-31C3-4160-BBD2-1EB1ADA7D07A}"/>
    <dgm:cxn modelId="{F13C3F42-BB0B-4CE1-A8C0-4B7EB481F992}" type="presParOf" srcId="{83BA8F77-E33A-4C68-9F5B-4868F7276C9D}" destId="{C8D89BFF-8778-4BB5-A789-086B1D16EB6B}" srcOrd="0" destOrd="0" presId="urn:microsoft.com/office/officeart/2005/8/layout/orgChart1"/>
    <dgm:cxn modelId="{4415F37F-66BF-407B-8CAC-50F0B22C82C1}" type="presParOf" srcId="{C8D89BFF-8778-4BB5-A789-086B1D16EB6B}" destId="{16FB2A18-3833-482B-86D4-E4D42334BAC1}" srcOrd="0" destOrd="0" presId="urn:microsoft.com/office/officeart/2005/8/layout/orgChart1"/>
    <dgm:cxn modelId="{2F4D1FD2-1B47-463E-943C-EF9D551441FA}" type="presParOf" srcId="{16FB2A18-3833-482B-86D4-E4D42334BAC1}" destId="{E0FA6706-1396-4A59-96D5-89F4EB910663}" srcOrd="0" destOrd="0" presId="urn:microsoft.com/office/officeart/2005/8/layout/orgChart1"/>
    <dgm:cxn modelId="{898DCB0A-BDD7-4095-A863-DC4FE81A9120}" type="presParOf" srcId="{16FB2A18-3833-482B-86D4-E4D42334BAC1}" destId="{E98306CF-AB5C-41A3-99F8-C2E8FE7988CA}" srcOrd="1" destOrd="0" presId="urn:microsoft.com/office/officeart/2005/8/layout/orgChart1"/>
    <dgm:cxn modelId="{400BA5EE-7400-45EF-B47A-4AC0E2DB7637}" type="presParOf" srcId="{C8D89BFF-8778-4BB5-A789-086B1D16EB6B}" destId="{C98A3393-7DBF-4F44-A06B-E6D7C8047A20}" srcOrd="1" destOrd="0" presId="urn:microsoft.com/office/officeart/2005/8/layout/orgChart1"/>
    <dgm:cxn modelId="{7826AA65-03F0-4D35-8677-80C24DA4AEA7}" type="presParOf" srcId="{C98A3393-7DBF-4F44-A06B-E6D7C8047A20}" destId="{DCFF04C9-7AD1-41B9-907B-CC4496E160A3}" srcOrd="0" destOrd="0" presId="urn:microsoft.com/office/officeart/2005/8/layout/orgChart1"/>
    <dgm:cxn modelId="{041E36C4-7229-4E2B-A7CF-4261A4A33637}" type="presParOf" srcId="{C98A3393-7DBF-4F44-A06B-E6D7C8047A20}" destId="{02E58F77-FFD2-4E6C-A9BB-D74EC2EBA4CC}" srcOrd="1" destOrd="0" presId="urn:microsoft.com/office/officeart/2005/8/layout/orgChart1"/>
    <dgm:cxn modelId="{DD9904E2-2772-4646-A712-D66145225135}" type="presParOf" srcId="{02E58F77-FFD2-4E6C-A9BB-D74EC2EBA4CC}" destId="{2B177683-1050-496E-A448-A99A16C540FB}" srcOrd="0" destOrd="0" presId="urn:microsoft.com/office/officeart/2005/8/layout/orgChart1"/>
    <dgm:cxn modelId="{75973946-F362-45B1-A6E1-30162504DB8A}" type="presParOf" srcId="{2B177683-1050-496E-A448-A99A16C540FB}" destId="{9C85B155-6769-4A9B-B5E3-A02C4DAE6CAF}" srcOrd="0" destOrd="0" presId="urn:microsoft.com/office/officeart/2005/8/layout/orgChart1"/>
    <dgm:cxn modelId="{FE306DB3-C9B8-43D6-ADA8-6E8DB022204E}" type="presParOf" srcId="{2B177683-1050-496E-A448-A99A16C540FB}" destId="{04EE5D81-C5FA-47EE-BECA-F222C5918390}" srcOrd="1" destOrd="0" presId="urn:microsoft.com/office/officeart/2005/8/layout/orgChart1"/>
    <dgm:cxn modelId="{4F82EFB7-119D-414E-8501-6735DC9055CF}" type="presParOf" srcId="{02E58F77-FFD2-4E6C-A9BB-D74EC2EBA4CC}" destId="{899CC2BC-DD81-4510-A40F-41D000BD3B0F}" srcOrd="1" destOrd="0" presId="urn:microsoft.com/office/officeart/2005/8/layout/orgChart1"/>
    <dgm:cxn modelId="{E982E781-9E8E-457F-8C67-26C1E3E205F5}" type="presParOf" srcId="{899CC2BC-DD81-4510-A40F-41D000BD3B0F}" destId="{FBE02D43-52D7-491C-B457-C05336519A8C}" srcOrd="0" destOrd="0" presId="urn:microsoft.com/office/officeart/2005/8/layout/orgChart1"/>
    <dgm:cxn modelId="{4E82C81C-EAAC-4E5B-9F06-9CC60B4C7561}" type="presParOf" srcId="{899CC2BC-DD81-4510-A40F-41D000BD3B0F}" destId="{B0C83A15-1340-45EA-BAA2-20379576FC97}" srcOrd="1" destOrd="0" presId="urn:microsoft.com/office/officeart/2005/8/layout/orgChart1"/>
    <dgm:cxn modelId="{F62A52DF-F230-47F5-8CF9-38538E9962A5}" type="presParOf" srcId="{B0C83A15-1340-45EA-BAA2-20379576FC97}" destId="{A118285D-AA90-4CC5-9408-7AADDFDCA16A}" srcOrd="0" destOrd="0" presId="urn:microsoft.com/office/officeart/2005/8/layout/orgChart1"/>
    <dgm:cxn modelId="{0A74E612-4529-428F-935E-0B62D4ED5441}" type="presParOf" srcId="{A118285D-AA90-4CC5-9408-7AADDFDCA16A}" destId="{168376BC-4D05-424D-8D88-790030C2E427}" srcOrd="0" destOrd="0" presId="urn:microsoft.com/office/officeart/2005/8/layout/orgChart1"/>
    <dgm:cxn modelId="{CB25B53F-29E8-45A3-BAA3-0A2B2C2BFACD}" type="presParOf" srcId="{A118285D-AA90-4CC5-9408-7AADDFDCA16A}" destId="{8791372A-3AE3-457D-A869-2C9976A48FDF}" srcOrd="1" destOrd="0" presId="urn:microsoft.com/office/officeart/2005/8/layout/orgChart1"/>
    <dgm:cxn modelId="{12F317AD-6329-468D-A520-0A0015B6DEA5}" type="presParOf" srcId="{B0C83A15-1340-45EA-BAA2-20379576FC97}" destId="{C65D6427-8D25-4361-90F6-6DD1A9E703DE}" srcOrd="1" destOrd="0" presId="urn:microsoft.com/office/officeart/2005/8/layout/orgChart1"/>
    <dgm:cxn modelId="{A64D52A9-5E0A-4A44-94F9-30DEDA8E8E6B}" type="presParOf" srcId="{B0C83A15-1340-45EA-BAA2-20379576FC97}" destId="{FFB8AD48-A993-4728-932F-8AC0DE4142B0}" srcOrd="2" destOrd="0" presId="urn:microsoft.com/office/officeart/2005/8/layout/orgChart1"/>
    <dgm:cxn modelId="{F3C7BE9C-257E-41C4-8CD3-6D624338A311}" type="presParOf" srcId="{899CC2BC-DD81-4510-A40F-41D000BD3B0F}" destId="{B1728B8B-3D89-4A7D-826B-823089F3EBE9}" srcOrd="2" destOrd="0" presId="urn:microsoft.com/office/officeart/2005/8/layout/orgChart1"/>
    <dgm:cxn modelId="{ED2BB0B9-D2CF-4E6B-87AB-79277629EADE}" type="presParOf" srcId="{899CC2BC-DD81-4510-A40F-41D000BD3B0F}" destId="{AE160027-030C-426D-B54D-AD887EDF1929}" srcOrd="3" destOrd="0" presId="urn:microsoft.com/office/officeart/2005/8/layout/orgChart1"/>
    <dgm:cxn modelId="{F69F717A-78D2-46D0-8148-2E24DF1C4806}" type="presParOf" srcId="{AE160027-030C-426D-B54D-AD887EDF1929}" destId="{7B6B6B9C-A89D-4209-AC46-F5E1F5751616}" srcOrd="0" destOrd="0" presId="urn:microsoft.com/office/officeart/2005/8/layout/orgChart1"/>
    <dgm:cxn modelId="{0AD83102-A1F3-4AA7-A364-D81581C861AB}" type="presParOf" srcId="{7B6B6B9C-A89D-4209-AC46-F5E1F5751616}" destId="{23A9B136-E785-4E89-8130-8E85AD3E3AD7}" srcOrd="0" destOrd="0" presId="urn:microsoft.com/office/officeart/2005/8/layout/orgChart1"/>
    <dgm:cxn modelId="{F9A02DE1-3E24-4D4B-A3F5-4FAF718AD3FE}" type="presParOf" srcId="{7B6B6B9C-A89D-4209-AC46-F5E1F5751616}" destId="{9F8FA0E5-68BC-4608-973D-6CEC3D37C4E2}" srcOrd="1" destOrd="0" presId="urn:microsoft.com/office/officeart/2005/8/layout/orgChart1"/>
    <dgm:cxn modelId="{91C81468-6EDE-4289-AAF7-46AD38306527}" type="presParOf" srcId="{AE160027-030C-426D-B54D-AD887EDF1929}" destId="{F9993609-B8EF-4AD6-ABCD-BF9FB4DE2C12}" srcOrd="1" destOrd="0" presId="urn:microsoft.com/office/officeart/2005/8/layout/orgChart1"/>
    <dgm:cxn modelId="{92B3C2DF-654F-4629-A8F7-CA2C6D926238}" type="presParOf" srcId="{AE160027-030C-426D-B54D-AD887EDF1929}" destId="{1E19F987-190D-46B6-BC8A-1823A899B61F}" srcOrd="2" destOrd="0" presId="urn:microsoft.com/office/officeart/2005/8/layout/orgChart1"/>
    <dgm:cxn modelId="{FCB5C646-90C7-44CC-A377-CA5B75FF62F8}" type="presParOf" srcId="{02E58F77-FFD2-4E6C-A9BB-D74EC2EBA4CC}" destId="{2A31CF77-EFFC-4F5B-9DC5-56652BD598EA}" srcOrd="2" destOrd="0" presId="urn:microsoft.com/office/officeart/2005/8/layout/orgChart1"/>
    <dgm:cxn modelId="{DC3C53ED-CB09-4A5B-AAC4-9F64D13880D6}" type="presParOf" srcId="{C98A3393-7DBF-4F44-A06B-E6D7C8047A20}" destId="{263618F2-6DBD-433F-9C0B-60F493ED58F1}" srcOrd="2" destOrd="0" presId="urn:microsoft.com/office/officeart/2005/8/layout/orgChart1"/>
    <dgm:cxn modelId="{1500C427-2951-423C-9B46-B2DB327DF078}" type="presParOf" srcId="{C98A3393-7DBF-4F44-A06B-E6D7C8047A20}" destId="{A5833BEA-75F2-4372-8F2F-8EE6B1E96A94}" srcOrd="3" destOrd="0" presId="urn:microsoft.com/office/officeart/2005/8/layout/orgChart1"/>
    <dgm:cxn modelId="{C57CCCA3-95B8-4E19-99DB-CFB4D0DEC3D1}" type="presParOf" srcId="{A5833BEA-75F2-4372-8F2F-8EE6B1E96A94}" destId="{B792EC1E-E02B-4256-870C-738E69AE1703}" srcOrd="0" destOrd="0" presId="urn:microsoft.com/office/officeart/2005/8/layout/orgChart1"/>
    <dgm:cxn modelId="{B1C76A03-4830-4517-981E-D08BE1709591}" type="presParOf" srcId="{B792EC1E-E02B-4256-870C-738E69AE1703}" destId="{5623EF87-8375-43A6-8CAE-5A97EF2BB9AC}" srcOrd="0" destOrd="0" presId="urn:microsoft.com/office/officeart/2005/8/layout/orgChart1"/>
    <dgm:cxn modelId="{AF429BC7-F0A9-4A30-9AB0-40C64B8851BB}" type="presParOf" srcId="{B792EC1E-E02B-4256-870C-738E69AE1703}" destId="{689724AE-E323-4CFE-AC1C-4CFE19F63D0F}" srcOrd="1" destOrd="0" presId="urn:microsoft.com/office/officeart/2005/8/layout/orgChart1"/>
    <dgm:cxn modelId="{2A866BE8-99B7-444A-897A-2AC157DBA26B}" type="presParOf" srcId="{A5833BEA-75F2-4372-8F2F-8EE6B1E96A94}" destId="{5744ABE2-C6E4-4BDC-83CA-13F378CF3F86}" srcOrd="1" destOrd="0" presId="urn:microsoft.com/office/officeart/2005/8/layout/orgChart1"/>
    <dgm:cxn modelId="{ACBCDECF-5568-45DB-8DE2-F4C8B5F5A4EC}" type="presParOf" srcId="{A5833BEA-75F2-4372-8F2F-8EE6B1E96A94}" destId="{C49532DE-215D-4084-B84F-AA64802199B8}" srcOrd="2" destOrd="0" presId="urn:microsoft.com/office/officeart/2005/8/layout/orgChart1"/>
    <dgm:cxn modelId="{A07BD81A-2831-4E5C-9000-9F966C627F18}" type="presParOf" srcId="{C8D89BFF-8778-4BB5-A789-086B1D16EB6B}" destId="{F53DE6C2-26CA-4BD1-B187-5BA8795D3556}" srcOrd="2" destOrd="0" presId="urn:microsoft.com/office/officeart/2005/8/layout/orgChart1"/>
  </dgm:cxnLst>
  <dgm:bg/>
  <dgm:whole/>
  <dgm:extLst>
    <a:ext uri="http://schemas.microsoft.com/office/drawing/2008/diagram">
      <dsp:dataModelExt xmlns:dsp="http://schemas.microsoft.com/office/drawing/2008/diagram" relId="rId4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9C5A5A3-C709-4910-B021-ABE3842BF2DB}">
      <dsp:nvSpPr>
        <dsp:cNvPr id="0" name=""/>
        <dsp:cNvSpPr/>
      </dsp:nvSpPr>
      <dsp:spPr>
        <a:xfrm>
          <a:off x="1398270" y="565437"/>
          <a:ext cx="1005317" cy="164525"/>
        </a:xfrm>
        <a:custGeom>
          <a:avLst/>
          <a:gdLst/>
          <a:ahLst/>
          <a:cxnLst/>
          <a:rect l="0" t="0" r="0" b="0"/>
          <a:pathLst>
            <a:path>
              <a:moveTo>
                <a:pt x="0" y="0"/>
              </a:moveTo>
              <a:lnTo>
                <a:pt x="0" y="82262"/>
              </a:lnTo>
              <a:lnTo>
                <a:pt x="1005317" y="82262"/>
              </a:lnTo>
              <a:lnTo>
                <a:pt x="1005317" y="16452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63618F2-6DBD-433F-9C0B-60F493ED58F1}">
      <dsp:nvSpPr>
        <dsp:cNvPr id="0" name=""/>
        <dsp:cNvSpPr/>
      </dsp:nvSpPr>
      <dsp:spPr>
        <a:xfrm>
          <a:off x="1352550" y="565437"/>
          <a:ext cx="91440" cy="164525"/>
        </a:xfrm>
        <a:custGeom>
          <a:avLst/>
          <a:gdLst/>
          <a:ahLst/>
          <a:cxnLst/>
          <a:rect l="0" t="0" r="0" b="0"/>
          <a:pathLst>
            <a:path>
              <a:moveTo>
                <a:pt x="45720" y="0"/>
              </a:moveTo>
              <a:lnTo>
                <a:pt x="45720" y="16452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CFF04C9-7AD1-41B9-907B-CC4496E160A3}">
      <dsp:nvSpPr>
        <dsp:cNvPr id="0" name=""/>
        <dsp:cNvSpPr/>
      </dsp:nvSpPr>
      <dsp:spPr>
        <a:xfrm>
          <a:off x="392952" y="565437"/>
          <a:ext cx="1005317" cy="164525"/>
        </a:xfrm>
        <a:custGeom>
          <a:avLst/>
          <a:gdLst/>
          <a:ahLst/>
          <a:cxnLst/>
          <a:rect l="0" t="0" r="0" b="0"/>
          <a:pathLst>
            <a:path>
              <a:moveTo>
                <a:pt x="1005317" y="0"/>
              </a:moveTo>
              <a:lnTo>
                <a:pt x="1005317" y="82262"/>
              </a:lnTo>
              <a:lnTo>
                <a:pt x="0" y="82262"/>
              </a:lnTo>
              <a:lnTo>
                <a:pt x="0" y="16452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0FA6706-1396-4A59-96D5-89F4EB910663}">
      <dsp:nvSpPr>
        <dsp:cNvPr id="0" name=""/>
        <dsp:cNvSpPr/>
      </dsp:nvSpPr>
      <dsp:spPr>
        <a:xfrm>
          <a:off x="650787" y="173710"/>
          <a:ext cx="1494964" cy="39172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it-IT" sz="1100" kern="1200">
              <a:latin typeface="Times New Roman" panose="02020603050405020304" pitchFamily="18" charset="0"/>
              <a:cs typeface="Times New Roman" panose="02020603050405020304" pitchFamily="18" charset="0"/>
            </a:rPr>
            <a:t>Solid-Solid PCM</a:t>
          </a:r>
        </a:p>
      </dsp:txBody>
      <dsp:txXfrm>
        <a:off x="650787" y="173710"/>
        <a:ext cx="1494964" cy="391727"/>
      </dsp:txXfrm>
    </dsp:sp>
    <dsp:sp modelId="{9C85B155-6769-4A9B-B5E3-A02C4DAE6CAF}">
      <dsp:nvSpPr>
        <dsp:cNvPr id="0" name=""/>
        <dsp:cNvSpPr/>
      </dsp:nvSpPr>
      <dsp:spPr>
        <a:xfrm>
          <a:off x="1225" y="729962"/>
          <a:ext cx="783454" cy="39172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it-IT" sz="1100" kern="1200">
              <a:latin typeface="Times New Roman" panose="02020603050405020304" pitchFamily="18" charset="0"/>
              <a:cs typeface="Times New Roman" panose="02020603050405020304" pitchFamily="18" charset="0"/>
            </a:rPr>
            <a:t>Organic</a:t>
          </a:r>
        </a:p>
      </dsp:txBody>
      <dsp:txXfrm>
        <a:off x="1225" y="729962"/>
        <a:ext cx="783454" cy="391727"/>
      </dsp:txXfrm>
    </dsp:sp>
    <dsp:sp modelId="{5623EF87-8375-43A6-8CAE-5A97EF2BB9AC}">
      <dsp:nvSpPr>
        <dsp:cNvPr id="0" name=""/>
        <dsp:cNvSpPr/>
      </dsp:nvSpPr>
      <dsp:spPr>
        <a:xfrm>
          <a:off x="949205" y="729962"/>
          <a:ext cx="898128" cy="39172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it-IT" sz="1100" kern="1200">
              <a:latin typeface="Times New Roman" panose="02020603050405020304" pitchFamily="18" charset="0"/>
              <a:cs typeface="Times New Roman" panose="02020603050405020304" pitchFamily="18" charset="0"/>
            </a:rPr>
            <a:t>Organometallic</a:t>
          </a:r>
        </a:p>
      </dsp:txBody>
      <dsp:txXfrm>
        <a:off x="949205" y="729962"/>
        <a:ext cx="898128" cy="391727"/>
      </dsp:txXfrm>
    </dsp:sp>
    <dsp:sp modelId="{F9D3291A-8CF6-40E7-90F9-91D33583A0EE}">
      <dsp:nvSpPr>
        <dsp:cNvPr id="0" name=""/>
        <dsp:cNvSpPr/>
      </dsp:nvSpPr>
      <dsp:spPr>
        <a:xfrm>
          <a:off x="2011859" y="729962"/>
          <a:ext cx="783454" cy="39172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it-IT" sz="1100" kern="1200">
              <a:latin typeface="Times New Roman" panose="02020603050405020304" pitchFamily="18" charset="0"/>
              <a:cs typeface="Times New Roman" panose="02020603050405020304" pitchFamily="18" charset="0"/>
            </a:rPr>
            <a:t>Polymeric</a:t>
          </a:r>
        </a:p>
      </dsp:txBody>
      <dsp:txXfrm>
        <a:off x="2011859" y="729962"/>
        <a:ext cx="783454" cy="39172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63618F2-6DBD-433F-9C0B-60F493ED58F1}">
      <dsp:nvSpPr>
        <dsp:cNvPr id="0" name=""/>
        <dsp:cNvSpPr/>
      </dsp:nvSpPr>
      <dsp:spPr>
        <a:xfrm>
          <a:off x="2688590" y="435513"/>
          <a:ext cx="525189" cy="182297"/>
        </a:xfrm>
        <a:custGeom>
          <a:avLst/>
          <a:gdLst/>
          <a:ahLst/>
          <a:cxnLst/>
          <a:rect l="0" t="0" r="0" b="0"/>
          <a:pathLst>
            <a:path>
              <a:moveTo>
                <a:pt x="0" y="0"/>
              </a:moveTo>
              <a:lnTo>
                <a:pt x="0" y="91148"/>
              </a:lnTo>
              <a:lnTo>
                <a:pt x="525189" y="91148"/>
              </a:lnTo>
              <a:lnTo>
                <a:pt x="525189" y="182297"/>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1728B8B-3D89-4A7D-826B-823089F3EBE9}">
      <dsp:nvSpPr>
        <dsp:cNvPr id="0" name=""/>
        <dsp:cNvSpPr/>
      </dsp:nvSpPr>
      <dsp:spPr>
        <a:xfrm>
          <a:off x="1724677" y="1061174"/>
          <a:ext cx="158173" cy="1006331"/>
        </a:xfrm>
        <a:custGeom>
          <a:avLst/>
          <a:gdLst/>
          <a:ahLst/>
          <a:cxnLst/>
          <a:rect l="0" t="0" r="0" b="0"/>
          <a:pathLst>
            <a:path>
              <a:moveTo>
                <a:pt x="0" y="0"/>
              </a:moveTo>
              <a:lnTo>
                <a:pt x="0" y="1006331"/>
              </a:lnTo>
              <a:lnTo>
                <a:pt x="158173" y="100633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BE02D43-52D7-491C-B457-C05336519A8C}">
      <dsp:nvSpPr>
        <dsp:cNvPr id="0" name=""/>
        <dsp:cNvSpPr/>
      </dsp:nvSpPr>
      <dsp:spPr>
        <a:xfrm>
          <a:off x="1724677" y="1061174"/>
          <a:ext cx="158173" cy="389994"/>
        </a:xfrm>
        <a:custGeom>
          <a:avLst/>
          <a:gdLst/>
          <a:ahLst/>
          <a:cxnLst/>
          <a:rect l="0" t="0" r="0" b="0"/>
          <a:pathLst>
            <a:path>
              <a:moveTo>
                <a:pt x="0" y="0"/>
              </a:moveTo>
              <a:lnTo>
                <a:pt x="0" y="389994"/>
              </a:lnTo>
              <a:lnTo>
                <a:pt x="158173" y="38999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CFF04C9-7AD1-41B9-907B-CC4496E160A3}">
      <dsp:nvSpPr>
        <dsp:cNvPr id="0" name=""/>
        <dsp:cNvSpPr/>
      </dsp:nvSpPr>
      <dsp:spPr>
        <a:xfrm>
          <a:off x="2071909" y="435513"/>
          <a:ext cx="616680" cy="191620"/>
        </a:xfrm>
        <a:custGeom>
          <a:avLst/>
          <a:gdLst/>
          <a:ahLst/>
          <a:cxnLst/>
          <a:rect l="0" t="0" r="0" b="0"/>
          <a:pathLst>
            <a:path>
              <a:moveTo>
                <a:pt x="616680" y="0"/>
              </a:moveTo>
              <a:lnTo>
                <a:pt x="616680" y="100471"/>
              </a:lnTo>
              <a:lnTo>
                <a:pt x="0" y="100471"/>
              </a:lnTo>
              <a:lnTo>
                <a:pt x="0" y="19162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0FA6706-1396-4A59-96D5-89F4EB910663}">
      <dsp:nvSpPr>
        <dsp:cNvPr id="0" name=""/>
        <dsp:cNvSpPr/>
      </dsp:nvSpPr>
      <dsp:spPr>
        <a:xfrm>
          <a:off x="1860366" y="1473"/>
          <a:ext cx="1656446" cy="434040"/>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it-IT" sz="900" kern="1200">
              <a:latin typeface="Times New Roman" panose="02020603050405020304" pitchFamily="18" charset="0"/>
              <a:cs typeface="Times New Roman" panose="02020603050405020304" pitchFamily="18" charset="0"/>
            </a:rPr>
            <a:t>Methods to improve</a:t>
          </a:r>
        </a:p>
        <a:p>
          <a:pPr marL="0" lvl="0" indent="0" algn="ctr" defTabSz="400050">
            <a:lnSpc>
              <a:spcPct val="90000"/>
            </a:lnSpc>
            <a:spcBef>
              <a:spcPct val="0"/>
            </a:spcBef>
            <a:spcAft>
              <a:spcPct val="35000"/>
            </a:spcAft>
            <a:buNone/>
          </a:pPr>
          <a:r>
            <a:rPr lang="it-IT" sz="900" kern="1200">
              <a:latin typeface="Times New Roman" panose="02020603050405020304" pitchFamily="18" charset="0"/>
              <a:cs typeface="Times New Roman" panose="02020603050405020304" pitchFamily="18" charset="0"/>
            </a:rPr>
            <a:t>thermal conductivity</a:t>
          </a:r>
        </a:p>
      </dsp:txBody>
      <dsp:txXfrm>
        <a:off x="1860366" y="1473"/>
        <a:ext cx="1656446" cy="434040"/>
      </dsp:txXfrm>
    </dsp:sp>
    <dsp:sp modelId="{9C85B155-6769-4A9B-B5E3-A02C4DAE6CAF}">
      <dsp:nvSpPr>
        <dsp:cNvPr id="0" name=""/>
        <dsp:cNvSpPr/>
      </dsp:nvSpPr>
      <dsp:spPr>
        <a:xfrm>
          <a:off x="1637868" y="627134"/>
          <a:ext cx="868081" cy="434040"/>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it-IT" sz="900" kern="1200">
              <a:latin typeface="Times New Roman" panose="02020603050405020304" pitchFamily="18" charset="0"/>
              <a:cs typeface="Times New Roman" panose="02020603050405020304" pitchFamily="18" charset="0"/>
            </a:rPr>
            <a:t>Chemical </a:t>
          </a:r>
        </a:p>
        <a:p>
          <a:pPr marL="0" lvl="0" indent="0" algn="ctr" defTabSz="400050">
            <a:lnSpc>
              <a:spcPct val="90000"/>
            </a:lnSpc>
            <a:spcBef>
              <a:spcPct val="0"/>
            </a:spcBef>
            <a:spcAft>
              <a:spcPct val="35000"/>
            </a:spcAft>
            <a:buNone/>
          </a:pPr>
          <a:r>
            <a:rPr lang="it-IT" sz="900" kern="1200">
              <a:latin typeface="Times New Roman" panose="02020603050405020304" pitchFamily="18" charset="0"/>
              <a:cs typeface="Times New Roman" panose="02020603050405020304" pitchFamily="18" charset="0"/>
            </a:rPr>
            <a:t>modification </a:t>
          </a:r>
        </a:p>
      </dsp:txBody>
      <dsp:txXfrm>
        <a:off x="1637868" y="627134"/>
        <a:ext cx="868081" cy="434040"/>
      </dsp:txXfrm>
    </dsp:sp>
    <dsp:sp modelId="{168376BC-4D05-424D-8D88-790030C2E427}">
      <dsp:nvSpPr>
        <dsp:cNvPr id="0" name=""/>
        <dsp:cNvSpPr/>
      </dsp:nvSpPr>
      <dsp:spPr>
        <a:xfrm>
          <a:off x="1882850" y="1234148"/>
          <a:ext cx="868081" cy="434040"/>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it-IT" sz="900" kern="1200">
              <a:latin typeface="Times New Roman" panose="02020603050405020304" pitchFamily="18" charset="0"/>
              <a:cs typeface="Times New Roman" panose="02020603050405020304" pitchFamily="18" charset="0"/>
            </a:rPr>
            <a:t>Doping</a:t>
          </a:r>
        </a:p>
      </dsp:txBody>
      <dsp:txXfrm>
        <a:off x="1882850" y="1234148"/>
        <a:ext cx="868081" cy="434040"/>
      </dsp:txXfrm>
    </dsp:sp>
    <dsp:sp modelId="{23A9B136-E785-4E89-8130-8E85AD3E3AD7}">
      <dsp:nvSpPr>
        <dsp:cNvPr id="0" name=""/>
        <dsp:cNvSpPr/>
      </dsp:nvSpPr>
      <dsp:spPr>
        <a:xfrm>
          <a:off x="1882850" y="1850486"/>
          <a:ext cx="868081" cy="434040"/>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it-IT" sz="900" kern="1200">
              <a:latin typeface="Times New Roman" panose="02020603050405020304" pitchFamily="18" charset="0"/>
              <a:cs typeface="Times New Roman" panose="02020603050405020304" pitchFamily="18" charset="0"/>
            </a:rPr>
            <a:t>Grafting</a:t>
          </a:r>
        </a:p>
      </dsp:txBody>
      <dsp:txXfrm>
        <a:off x="1882850" y="1850486"/>
        <a:ext cx="868081" cy="434040"/>
      </dsp:txXfrm>
    </dsp:sp>
    <dsp:sp modelId="{5623EF87-8375-43A6-8CAE-5A97EF2BB9AC}">
      <dsp:nvSpPr>
        <dsp:cNvPr id="0" name=""/>
        <dsp:cNvSpPr/>
      </dsp:nvSpPr>
      <dsp:spPr>
        <a:xfrm>
          <a:off x="2716208" y="617810"/>
          <a:ext cx="995142" cy="434040"/>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it-IT" sz="900" kern="1200">
              <a:latin typeface="Times New Roman" panose="02020603050405020304" pitchFamily="18" charset="0"/>
              <a:cs typeface="Times New Roman" panose="02020603050405020304" pitchFamily="18" charset="0"/>
            </a:rPr>
            <a:t>Addition of structures with different dimensions</a:t>
          </a:r>
        </a:p>
      </dsp:txBody>
      <dsp:txXfrm>
        <a:off x="2716208" y="617810"/>
        <a:ext cx="995142" cy="434040"/>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htt</b:Tag>
    <b:SourceType>InternetSite</b:SourceType>
    <b:Guid>{B61B6A1F-0AD6-4935-ACB7-CD8477106607}</b:Guid>
    <b:Title>https://support.microsoft.com/en-us/word</b:Title>
    <b:RefOrder>221</b:RefOrder>
  </b:Source>
  <b:Source>
    <b:Tag>JWa53</b:Tag>
    <b:SourceType>JournalArticle</b:SourceType>
    <b:Guid>{E733A316-4839-434A-B635-FA02968ACEE8}</b:Guid>
    <b:Author>
      <b:Author>
        <b:Corporate>J. Watson, F. Cric</b:Corporate>
      </b:Author>
    </b:Author>
    <b:Title>Molecular structure of nucleic acids: a structure for deoxyrobose nucleic acid</b:Title>
    <b:Year>1953</b:Year>
    <b:JournalName>Nature</b:JournalName>
    <b:Pages>737–738</b:Pages>
    <b:Volume>171</b:Volume>
    <b:RefOrder>222</b:RefOrder>
  </b:Source>
  <b:Source>
    <b:Tag>ADa21</b:Tag>
    <b:SourceType>Book</b:SourceType>
    <b:Guid>{9D381148-B8BD-4585-B9C6-63D8B272BE30}</b:Guid>
    <b:Author>
      <b:Author>
        <b:NameList>
          <b:Person>
            <b:Last>Alighieri</b:Last>
            <b:First>D.</b:First>
          </b:Person>
        </b:NameList>
      </b:Author>
    </b:Author>
    <b:Title>Comedia</b:Title>
    <b:Year>1321</b:Year>
    <b:City>Firenze</b:City>
    <b:Publisher>Goose Feather Press</b:Publisher>
    <b:RefOrder>223</b:RefOrder>
  </b:Source>
  <b:Source>
    <b:Tag>ProBC</b:Tag>
    <b:SourceType>Patent</b:SourceType>
    <b:Guid>{45848DFF-029A-4664-9C8A-E41F1623D2A5}</b:Guid>
    <b:Title>Fire</b:Title>
    <b:Year>300.000 BC</b:Year>
    <b:Author>
      <b:Writer>
        <b:NameList>
          <b:Person>
            <b:Last>Prometeus</b:Last>
          </b:Person>
        </b:NameList>
      </b:Writer>
      <b:Inventor>
        <b:NameList>
          <b:Person>
            <b:Last>Prometeus</b:Last>
          </b:Person>
        </b:NameList>
      </b:Inventor>
    </b:Author>
    <b:ProductionCompany>Olympus God</b:ProductionCompany>
    <b:CountryRegion>Olympus</b:CountryRegion>
    <b:PatentNumber>1</b:PatentNumber>
    <b:RefOrder>224</b:RefOrder>
  </b:Source>
  <b:Source>
    <b:Tag>Placeholder7</b:Tag>
    <b:SourceType>JournalArticle</b:SourceType>
    <b:Guid>{22728AE2-6956-4287-A932-391664C74EE9}</b:Guid>
    <b:RefOrder>1</b:RefOrder>
  </b:Source>
  <b:Source>
    <b:Tag>Placeholder8</b:Tag>
    <b:SourceType>JournalArticle</b:SourceType>
    <b:Guid>{6A17E218-B44C-4B15-8AD2-26E15AD40D41}</b:Guid>
    <b:RefOrder>2</b:RefOrder>
  </b:Source>
  <b:Source>
    <b:Tag>Placeholder9</b:Tag>
    <b:SourceType>JournalArticle</b:SourceType>
    <b:Guid>{9C9A3903-051F-47F1-90E4-EEACB0344344}</b:Guid>
    <b:RefOrder>3</b:RefOrder>
  </b:Source>
  <b:Source>
    <b:Tag>Placeholder10</b:Tag>
    <b:SourceType>JournalArticle</b:SourceType>
    <b:Guid>{41E526A0-4BD2-4618-AEFF-9C3D1AD8D8E0}</b:Guid>
    <b:RefOrder>4</b:RefOrder>
  </b:Source>
  <b:Source>
    <b:Tag>Placeholder11</b:Tag>
    <b:SourceType>JournalArticle</b:SourceType>
    <b:Guid>{17752ABB-A80C-447F-9221-EA3164D4444B}</b:Guid>
    <b:RefOrder>5</b:RefOrder>
  </b:Source>
  <b:Source>
    <b:Tag>Placeholder12</b:Tag>
    <b:SourceType>JournalArticle</b:SourceType>
    <b:Guid>{97E83DB0-CEB5-4A86-A07A-880BA32882AA}</b:Guid>
    <b:RefOrder>6</b:RefOrder>
  </b:Source>
  <b:Source>
    <b:Tag>Placeholder13</b:Tag>
    <b:SourceType>JournalArticle</b:SourceType>
    <b:Guid>{50AC3D08-D602-4F2D-9219-6331EFAE0B83}</b:Guid>
    <b:RefOrder>7</b:RefOrder>
  </b:Source>
  <b:Source>
    <b:Tag>Placeholder14</b:Tag>
    <b:SourceType>JournalArticle</b:SourceType>
    <b:Guid>{54C9C173-40A3-4996-AABD-10CF0DCFB7A3}</b:Guid>
    <b:RefOrder>8</b:RefOrder>
  </b:Source>
  <b:Source>
    <b:Tag>Placeholder15</b:Tag>
    <b:SourceType>JournalArticle</b:SourceType>
    <b:Guid>{B14D71F1-2D5B-471A-B95A-E1C2EB561300}</b:Guid>
    <b:RefOrder>9</b:RefOrder>
  </b:Source>
  <b:Source>
    <b:Tag>Placeholder16</b:Tag>
    <b:SourceType>JournalArticle</b:SourceType>
    <b:Guid>{0E2478CC-F1D3-4897-B5E2-F74FCB24E2B2}</b:Guid>
    <b:RefOrder>10</b:RefOrder>
  </b:Source>
  <b:Source>
    <b:Tag>Placeholder17</b:Tag>
    <b:SourceType>JournalArticle</b:SourceType>
    <b:Guid>{57078D10-F0C2-4497-9868-4A54057F4B42}</b:Guid>
    <b:RefOrder>11</b:RefOrder>
  </b:Source>
  <b:Source>
    <b:Tag>Placeholder18</b:Tag>
    <b:SourceType>JournalArticle</b:SourceType>
    <b:Guid>{559A66E6-EDC6-4C50-B668-2744BD28EE8B}</b:Guid>
    <b:RefOrder>12</b:RefOrder>
  </b:Source>
  <b:Source>
    <b:Tag>Placeholder19</b:Tag>
    <b:SourceType>JournalArticle</b:SourceType>
    <b:Guid>{996CC9C5-BB8C-4AD4-8B3B-057827158553}</b:Guid>
    <b:RefOrder>13</b:RefOrder>
  </b:Source>
  <b:Source>
    <b:Tag>Placeholder20</b:Tag>
    <b:SourceType>JournalArticle</b:SourceType>
    <b:Guid>{730227F9-0CCF-4769-A961-D2DD024483E7}</b:Guid>
    <b:RefOrder>14</b:RefOrder>
  </b:Source>
  <b:Source>
    <b:Tag>Placeholder21</b:Tag>
    <b:SourceType>JournalArticle</b:SourceType>
    <b:Guid>{4AB5CFB9-F6A2-4819-9999-068329964375}</b:Guid>
    <b:RefOrder>15</b:RefOrder>
  </b:Source>
  <b:Source>
    <b:Tag>Placeholder22</b:Tag>
    <b:SourceType>JournalArticle</b:SourceType>
    <b:Guid>{ECEACAEA-273D-4D86-A7BC-2B407B6B2609}</b:Guid>
    <b:RefOrder>16</b:RefOrder>
  </b:Source>
  <b:Source>
    <b:Tag>Placeholder23</b:Tag>
    <b:SourceType>JournalArticle</b:SourceType>
    <b:Guid>{875C133A-9683-420E-97A5-B213124FD439}</b:Guid>
    <b:RefOrder>17</b:RefOrder>
  </b:Source>
  <b:Source>
    <b:Tag>Placeholder24</b:Tag>
    <b:SourceType>JournalArticle</b:SourceType>
    <b:Guid>{87A64917-D001-49D2-A98C-C452FED023A1}</b:Guid>
    <b:RefOrder>18</b:RefOrder>
  </b:Source>
  <b:Source>
    <b:Tag>Placeholder25</b:Tag>
    <b:SourceType>JournalArticle</b:SourceType>
    <b:Guid>{87C6B9CA-7FAC-49FF-A0EA-6DAC8639B07E}</b:Guid>
    <b:RefOrder>19</b:RefOrder>
  </b:Source>
  <b:Source>
    <b:Tag>Placeholder26</b:Tag>
    <b:SourceType>JournalArticle</b:SourceType>
    <b:Guid>{0F4EE439-904B-4669-9319-CB960BD03E02}</b:Guid>
    <b:RefOrder>20</b:RefOrder>
  </b:Source>
  <b:Source>
    <b:Tag>Placeholder27</b:Tag>
    <b:SourceType>JournalArticle</b:SourceType>
    <b:Guid>{CCA34B2E-D757-4880-ABD6-12B14594FAA2}</b:Guid>
    <b:RefOrder>21</b:RefOrder>
  </b:Source>
  <b:Source>
    <b:Tag>Placeholder28</b:Tag>
    <b:SourceType>JournalArticle</b:SourceType>
    <b:Guid>{52BEDBCC-517C-4F91-9621-21D9016DDF2B}</b:Guid>
    <b:RefOrder>22</b:RefOrder>
  </b:Source>
  <b:Source>
    <b:Tag>Placeholder29</b:Tag>
    <b:SourceType>JournalArticle</b:SourceType>
    <b:Guid>{B255DC32-7ED2-430F-A1E8-4BB9B3CFCA35}</b:Guid>
    <b:RefOrder>23</b:RefOrder>
  </b:Source>
  <b:Source>
    <b:Tag>Placeholder30</b:Tag>
    <b:SourceType>JournalArticle</b:SourceType>
    <b:Guid>{9DE9595B-6C1D-4860-AB0D-FCDA41437AFA}</b:Guid>
    <b:RefOrder>24</b:RefOrder>
  </b:Source>
  <b:Source>
    <b:Tag>Placeholder31</b:Tag>
    <b:SourceType>JournalArticle</b:SourceType>
    <b:Guid>{36EC3AF3-B0D8-42DE-81D4-3E0CB12B9294}</b:Guid>
    <b:RefOrder>25</b:RefOrder>
  </b:Source>
  <b:Source>
    <b:Tag>Placeholder32</b:Tag>
    <b:SourceType>JournalArticle</b:SourceType>
    <b:Guid>{D2A8A74B-1B83-407D-A3E1-2B9798E42A28}</b:Guid>
    <b:RefOrder>26</b:RefOrder>
  </b:Source>
  <b:Source>
    <b:Tag>Placeholder33</b:Tag>
    <b:SourceType>JournalArticle</b:SourceType>
    <b:Guid>{99149306-AD55-4CDE-A489-B764397F72AE}</b:Guid>
    <b:RefOrder>27</b:RefOrder>
  </b:Source>
  <b:Source>
    <b:Tag>Placeholder34</b:Tag>
    <b:SourceType>JournalArticle</b:SourceType>
    <b:Guid>{43145D63-405E-43DE-9087-1839233FC9A1}</b:Guid>
    <b:RefOrder>28</b:RefOrder>
  </b:Source>
  <b:Source>
    <b:Tag>Placeholder35</b:Tag>
    <b:SourceType>JournalArticle</b:SourceType>
    <b:Guid>{D366645C-67A6-4D67-AD0B-52F1A4F7C755}</b:Guid>
    <b:RefOrder>29</b:RefOrder>
  </b:Source>
  <b:Source>
    <b:Tag>Placeholder36</b:Tag>
    <b:SourceType>JournalArticle</b:SourceType>
    <b:Guid>{69198E8A-1502-41B7-AE2F-A539C5F94AB5}</b:Guid>
    <b:RefOrder>30</b:RefOrder>
  </b:Source>
  <b:Source>
    <b:Tag>Placeholder37</b:Tag>
    <b:SourceType>JournalArticle</b:SourceType>
    <b:Guid>{9D0881F7-C401-4108-AE66-3756892C1ACC}</b:Guid>
    <b:RefOrder>31</b:RefOrder>
  </b:Source>
  <b:Source>
    <b:Tag>Placeholder38</b:Tag>
    <b:SourceType>JournalArticle</b:SourceType>
    <b:Guid>{F8911DAA-5286-4EC8-AF94-7875A2832A59}</b:Guid>
    <b:RefOrder>32</b:RefOrder>
  </b:Source>
  <b:Source>
    <b:Tag>Placeholder39</b:Tag>
    <b:SourceType>JournalArticle</b:SourceType>
    <b:Guid>{256E5DE5-F349-442E-8DF0-A47EF0640725}</b:Guid>
    <b:RefOrder>33</b:RefOrder>
  </b:Source>
  <b:Source>
    <b:Tag>Placeholder40</b:Tag>
    <b:SourceType>JournalArticle</b:SourceType>
    <b:Guid>{93C5C652-4238-463F-99C0-8B5D8E52CBCC}</b:Guid>
    <b:RefOrder>34</b:RefOrder>
  </b:Source>
  <b:Source>
    <b:Tag>Placeholder41</b:Tag>
    <b:SourceType>JournalArticle</b:SourceType>
    <b:Guid>{903C2420-E1E9-44EB-BF1B-9869EDB6CAF1}</b:Guid>
    <b:RefOrder>35</b:RefOrder>
  </b:Source>
  <b:Source>
    <b:Tag>Placeholder42</b:Tag>
    <b:SourceType>JournalArticle</b:SourceType>
    <b:Guid>{6D665B0D-A4C0-498D-97C3-4319923804CE}</b:Guid>
    <b:RefOrder>36</b:RefOrder>
  </b:Source>
  <b:Source>
    <b:Tag>Placeholder43</b:Tag>
    <b:SourceType>JournalArticle</b:SourceType>
    <b:Guid>{8F021D36-3BAA-40B9-A9D5-32AD75BFC0B5}</b:Guid>
    <b:RefOrder>37</b:RefOrder>
  </b:Source>
  <b:Source>
    <b:Tag>Placeholder44</b:Tag>
    <b:SourceType>JournalArticle</b:SourceType>
    <b:Guid>{69460329-5111-4C54-B245-05761D1B170B}</b:Guid>
    <b:RefOrder>38</b:RefOrder>
  </b:Source>
  <b:Source>
    <b:Tag>Placeholder45</b:Tag>
    <b:SourceType>JournalArticle</b:SourceType>
    <b:Guid>{3964FF2E-34CC-4ACD-914D-450880521E89}</b:Guid>
    <b:RefOrder>39</b:RefOrder>
  </b:Source>
  <b:Source>
    <b:Tag>Placeholder46</b:Tag>
    <b:SourceType>JournalArticle</b:SourceType>
    <b:Guid>{5A42F759-DDBA-46E0-A578-4560D0E3938C}</b:Guid>
    <b:RefOrder>40</b:RefOrder>
  </b:Source>
  <b:Source>
    <b:Tag>Placeholder47</b:Tag>
    <b:SourceType>JournalArticle</b:SourceType>
    <b:Guid>{187DB4B8-3C48-4CE8-9F5D-1D709A930C9A}</b:Guid>
    <b:RefOrder>41</b:RefOrder>
  </b:Source>
  <b:Source>
    <b:Tag>Placeholder48</b:Tag>
    <b:SourceType>JournalArticle</b:SourceType>
    <b:Guid>{6190CFDD-7ADE-45C0-9EC2-863049E02E9A}</b:Guid>
    <b:RefOrder>42</b:RefOrder>
  </b:Source>
  <b:Source>
    <b:Tag>Placeholder49</b:Tag>
    <b:SourceType>JournalArticle</b:SourceType>
    <b:Guid>{DA7E1342-BBCA-44E6-8FAB-3BFFF19B2BBF}</b:Guid>
    <b:RefOrder>43</b:RefOrder>
  </b:Source>
  <b:Source>
    <b:Tag>Placeholder50</b:Tag>
    <b:SourceType>JournalArticle</b:SourceType>
    <b:Guid>{5D8692CF-373C-42C2-9F65-3F8E3FD78E74}</b:Guid>
    <b:RefOrder>44</b:RefOrder>
  </b:Source>
  <b:Source>
    <b:Tag>Placeholder51</b:Tag>
    <b:SourceType>JournalArticle</b:SourceType>
    <b:Guid>{2DA71DE5-71A5-4942-8777-2E51F0707524}</b:Guid>
    <b:RefOrder>45</b:RefOrder>
  </b:Source>
  <b:Source>
    <b:Tag>Placeholder52</b:Tag>
    <b:SourceType>JournalArticle</b:SourceType>
    <b:Guid>{6F074B0E-53B4-4D3F-84D6-24D77360E5E2}</b:Guid>
    <b:RefOrder>46</b:RefOrder>
  </b:Source>
  <b:Source>
    <b:Tag>Placeholder53</b:Tag>
    <b:SourceType>JournalArticle</b:SourceType>
    <b:Guid>{95BB59A0-329E-48FE-9EF4-1AD4C3235C0A}</b:Guid>
    <b:RefOrder>47</b:RefOrder>
  </b:Source>
  <b:Source>
    <b:Tag>Placeholder54</b:Tag>
    <b:SourceType>JournalArticle</b:SourceType>
    <b:Guid>{AD13CF16-EA4F-4A94-B561-E153F2592A5B}</b:Guid>
    <b:RefOrder>48</b:RefOrder>
  </b:Source>
  <b:Source>
    <b:Tag>Placeholder55</b:Tag>
    <b:SourceType>JournalArticle</b:SourceType>
    <b:Guid>{E6BBB18E-2C30-4B2C-8A38-EC58009E2E04}</b:Guid>
    <b:RefOrder>49</b:RefOrder>
  </b:Source>
  <b:Source>
    <b:Tag>Placeholder56</b:Tag>
    <b:SourceType>JournalArticle</b:SourceType>
    <b:Guid>{A54FC019-D5E7-4DE3-94E1-62F00E0873AF}</b:Guid>
    <b:RefOrder>50</b:RefOrder>
  </b:Source>
  <b:Source>
    <b:Tag>Placeholder57</b:Tag>
    <b:SourceType>JournalArticle</b:SourceType>
    <b:Guid>{A849AFE6-1C63-45D7-89CF-169708A23E60}</b:Guid>
    <b:RefOrder>51</b:RefOrder>
  </b:Source>
  <b:Source>
    <b:Tag>Placeholder58</b:Tag>
    <b:SourceType>JournalArticle</b:SourceType>
    <b:Guid>{0B30234A-64D6-41E5-A790-0389C29D4469}</b:Guid>
    <b:RefOrder>52</b:RefOrder>
  </b:Source>
  <b:Source>
    <b:Tag>Placeholder59</b:Tag>
    <b:SourceType>JournalArticle</b:SourceType>
    <b:Guid>{902F92F1-0212-45A9-8275-BE51027F35A3}</b:Guid>
    <b:RefOrder>53</b:RefOrder>
  </b:Source>
  <b:Source>
    <b:Tag>Placeholder60</b:Tag>
    <b:SourceType>JournalArticle</b:SourceType>
    <b:Guid>{B4FD8A60-768B-4E62-A641-3B689D3D673A}</b:Guid>
    <b:RefOrder>54</b:RefOrder>
  </b:Source>
  <b:Source>
    <b:Tag>Placeholder61</b:Tag>
    <b:SourceType>JournalArticle</b:SourceType>
    <b:Guid>{9B4BB9BF-ADDC-45C0-B044-5DA20FA012F5}</b:Guid>
    <b:RefOrder>55</b:RefOrder>
  </b:Source>
  <b:Source>
    <b:Tag>Placeholder62</b:Tag>
    <b:SourceType>JournalArticle</b:SourceType>
    <b:Guid>{B31EC67A-6A2D-4533-BBEE-8A2F5BB0FFBF}</b:Guid>
    <b:RefOrder>56</b:RefOrder>
  </b:Source>
  <b:Source>
    <b:Tag>Placeholder63</b:Tag>
    <b:SourceType>JournalArticle</b:SourceType>
    <b:Guid>{8279760F-0B32-4C7E-9BD7-E519B69DB021}</b:Guid>
    <b:RefOrder>57</b:RefOrder>
  </b:Source>
  <b:Source>
    <b:Tag>Placeholder64</b:Tag>
    <b:SourceType>JournalArticle</b:SourceType>
    <b:Guid>{AAF1144B-D16C-4EAC-8AED-C28763AA5483}</b:Guid>
    <b:RefOrder>58</b:RefOrder>
  </b:Source>
  <b:Source>
    <b:Tag>Placeholder65</b:Tag>
    <b:SourceType>JournalArticle</b:SourceType>
    <b:Guid>{54E66D89-3161-4921-BA9D-0F201F8160F4}</b:Guid>
    <b:RefOrder>59</b:RefOrder>
  </b:Source>
  <b:Source>
    <b:Tag>Placeholder66</b:Tag>
    <b:SourceType>JournalArticle</b:SourceType>
    <b:Guid>{6B5831C0-954C-430A-A115-6A3F2EF157FC}</b:Guid>
    <b:RefOrder>60</b:RefOrder>
  </b:Source>
  <b:Source>
    <b:Tag>Placeholder67</b:Tag>
    <b:SourceType>JournalArticle</b:SourceType>
    <b:Guid>{436BC6EC-56FA-4AF9-908D-1837A565CABA}</b:Guid>
    <b:RefOrder>61</b:RefOrder>
  </b:Source>
  <b:Source>
    <b:Tag>Placeholder68</b:Tag>
    <b:SourceType>JournalArticle</b:SourceType>
    <b:Guid>{54A084DA-09A5-4EEF-B83B-E81C3916DFEC}</b:Guid>
    <b:RefOrder>62</b:RefOrder>
  </b:Source>
  <b:Source>
    <b:Tag>Placeholder69</b:Tag>
    <b:SourceType>JournalArticle</b:SourceType>
    <b:Guid>{5C97B6C6-DDC7-492B-B6C5-69CBDF9F0D16}</b:Guid>
    <b:RefOrder>63</b:RefOrder>
  </b:Source>
  <b:Source>
    <b:Tag>Placeholder70</b:Tag>
    <b:SourceType>JournalArticle</b:SourceType>
    <b:Guid>{C6DF398D-C91D-4CC0-941C-A49BF7F31862}</b:Guid>
    <b:RefOrder>64</b:RefOrder>
  </b:Source>
  <b:Source>
    <b:Tag>Placeholder71</b:Tag>
    <b:SourceType>JournalArticle</b:SourceType>
    <b:Guid>{B5D33999-312D-486D-999B-76D4DF528980}</b:Guid>
    <b:RefOrder>65</b:RefOrder>
  </b:Source>
  <b:Source>
    <b:Tag>Placeholder72</b:Tag>
    <b:SourceType>JournalArticle</b:SourceType>
    <b:Guid>{BFECD4A3-5AB7-4D98-B2EF-0DCF4452CFFA}</b:Guid>
    <b:RefOrder>66</b:RefOrder>
  </b:Source>
  <b:Source>
    <b:Tag>Placeholder73</b:Tag>
    <b:SourceType>JournalArticle</b:SourceType>
    <b:Guid>{FCB0487C-91D5-4B5B-A79F-57E8A5B2E524}</b:Guid>
    <b:RefOrder>67</b:RefOrder>
  </b:Source>
  <b:Source>
    <b:Tag>Placeholder74</b:Tag>
    <b:SourceType>JournalArticle</b:SourceType>
    <b:Guid>{BAD6ED5C-3054-4570-AC4E-803EF3C4DE2E}</b:Guid>
    <b:RefOrder>68</b:RefOrder>
  </b:Source>
  <b:Source>
    <b:Tag>Placeholder75</b:Tag>
    <b:SourceType>JournalArticle</b:SourceType>
    <b:Guid>{D1626485-8C30-45CE-BB7A-903366FDF4E0}</b:Guid>
    <b:RefOrder>69</b:RefOrder>
  </b:Source>
  <b:Source>
    <b:Tag>Placeholder76</b:Tag>
    <b:SourceType>JournalArticle</b:SourceType>
    <b:Guid>{FFB7D8DD-932E-400D-A8BA-77FA2F53CFAD}</b:Guid>
    <b:RefOrder>70</b:RefOrder>
  </b:Source>
  <b:Source>
    <b:Tag>Placeholder77</b:Tag>
    <b:SourceType>JournalArticle</b:SourceType>
    <b:Guid>{B2931757-4BF6-40AF-A0BE-4CE69F09ED48}</b:Guid>
    <b:RefOrder>71</b:RefOrder>
  </b:Source>
  <b:Source>
    <b:Tag>Placeholder78</b:Tag>
    <b:SourceType>JournalArticle</b:SourceType>
    <b:Guid>{6FEE41A0-1D50-4B7B-8682-48511079556D}</b:Guid>
    <b:RefOrder>72</b:RefOrder>
  </b:Source>
  <b:Source>
    <b:Tag>Placeholder79</b:Tag>
    <b:SourceType>JournalArticle</b:SourceType>
    <b:Guid>{0743D01B-DA31-4379-A73A-E07FF85CAD99}</b:Guid>
    <b:RefOrder>73</b:RefOrder>
  </b:Source>
  <b:Source>
    <b:Tag>Placeholder80</b:Tag>
    <b:SourceType>JournalArticle</b:SourceType>
    <b:Guid>{53E634B2-9B2C-4A68-9C72-554617ABD578}</b:Guid>
    <b:RefOrder>74</b:RefOrder>
  </b:Source>
  <b:Source>
    <b:Tag>Placeholder81</b:Tag>
    <b:SourceType>JournalArticle</b:SourceType>
    <b:Guid>{4B839839-AAE4-4D00-AB0E-E181CDBF5A8F}</b:Guid>
    <b:RefOrder>75</b:RefOrder>
  </b:Source>
  <b:Source>
    <b:Tag>Placeholder82</b:Tag>
    <b:SourceType>JournalArticle</b:SourceType>
    <b:Guid>{C653C027-9473-4EF9-8926-1F4EEEAB071B}</b:Guid>
    <b:RefOrder>76</b:RefOrder>
  </b:Source>
  <b:Source>
    <b:Tag>Placeholder83</b:Tag>
    <b:SourceType>JournalArticle</b:SourceType>
    <b:Guid>{1173C915-E1AE-4C99-B40B-ECDC0981B43D}</b:Guid>
    <b:RefOrder>77</b:RefOrder>
  </b:Source>
  <b:Source>
    <b:Tag>Placeholder84</b:Tag>
    <b:SourceType>JournalArticle</b:SourceType>
    <b:Guid>{45A9F072-3C58-4BEF-AACA-517C6655D4F4}</b:Guid>
    <b:RefOrder>78</b:RefOrder>
  </b:Source>
  <b:Source>
    <b:Tag>Placeholder85</b:Tag>
    <b:SourceType>JournalArticle</b:SourceType>
    <b:Guid>{FD1C5C36-49E3-4395-A257-60AEBBBE6B6B}</b:Guid>
    <b:RefOrder>79</b:RefOrder>
  </b:Source>
  <b:Source>
    <b:Tag>Placeholder86</b:Tag>
    <b:SourceType>JournalArticle</b:SourceType>
    <b:Guid>{5E6B75DB-BAEB-474F-B1A0-CB5F62D3D79A}</b:Guid>
    <b:RefOrder>80</b:RefOrder>
  </b:Source>
  <b:Source>
    <b:Tag>Placeholder87</b:Tag>
    <b:SourceType>JournalArticle</b:SourceType>
    <b:Guid>{816D867D-9C2B-4FAF-B238-B00792BC2D71}</b:Guid>
    <b:RefOrder>81</b:RefOrder>
  </b:Source>
  <b:Source>
    <b:Tag>Placeholder88</b:Tag>
    <b:SourceType>JournalArticle</b:SourceType>
    <b:Guid>{C5BDF3AC-45E1-47C4-90AC-050C5731B49F}</b:Guid>
    <b:RefOrder>82</b:RefOrder>
  </b:Source>
  <b:Source>
    <b:Tag>Placeholder89</b:Tag>
    <b:SourceType>JournalArticle</b:SourceType>
    <b:Guid>{04174649-7AAE-4061-B6DD-6DFE36E21497}</b:Guid>
    <b:RefOrder>83</b:RefOrder>
  </b:Source>
  <b:Source>
    <b:Tag>Placeholder90</b:Tag>
    <b:SourceType>JournalArticle</b:SourceType>
    <b:Guid>{B4FCA28C-2D5C-4F97-A652-EEE98DF6E546}</b:Guid>
    <b:RefOrder>84</b:RefOrder>
  </b:Source>
  <b:Source>
    <b:Tag>Placeholder91</b:Tag>
    <b:SourceType>JournalArticle</b:SourceType>
    <b:Guid>{BD60A58B-A7DF-472A-85FE-38626775CB05}</b:Guid>
    <b:RefOrder>85</b:RefOrder>
  </b:Source>
  <b:Source>
    <b:Tag>Placeholder92</b:Tag>
    <b:SourceType>JournalArticle</b:SourceType>
    <b:Guid>{775E21E1-EAF4-4282-9802-4A4E86DB827C}</b:Guid>
    <b:RefOrder>86</b:RefOrder>
  </b:Source>
  <b:Source>
    <b:Tag>Placeholder93</b:Tag>
    <b:SourceType>JournalArticle</b:SourceType>
    <b:Guid>{109B91F4-7544-4D21-A93F-14CE419EA641}</b:Guid>
    <b:RefOrder>87</b:RefOrder>
  </b:Source>
  <b:Source>
    <b:Tag>Placeholder94</b:Tag>
    <b:SourceType>JournalArticle</b:SourceType>
    <b:Guid>{DC6A765B-005B-4F80-8327-5311E43ED97B}</b:Guid>
    <b:RefOrder>88</b:RefOrder>
  </b:Source>
  <b:Source>
    <b:Tag>Placeholder95</b:Tag>
    <b:SourceType>JournalArticle</b:SourceType>
    <b:Guid>{B9F52DD2-E512-4841-AB38-16A1A8440FA2}</b:Guid>
    <b:RefOrder>89</b:RefOrder>
  </b:Source>
  <b:Source>
    <b:Tag>Placeholder96</b:Tag>
    <b:SourceType>JournalArticle</b:SourceType>
    <b:Guid>{591D3D5B-14CD-4641-B213-D9022661D052}</b:Guid>
    <b:RefOrder>90</b:RefOrder>
  </b:Source>
  <b:Source>
    <b:Tag>Placeholder97</b:Tag>
    <b:SourceType>JournalArticle</b:SourceType>
    <b:Guid>{7B8E3944-499A-4757-8439-7C9C64C6DD4C}</b:Guid>
    <b:RefOrder>91</b:RefOrder>
  </b:Source>
  <b:Source>
    <b:Tag>Placeholder98</b:Tag>
    <b:SourceType>JournalArticle</b:SourceType>
    <b:Guid>{A27CA4E9-AFE1-47B9-97AC-F2865BA34A0A}</b:Guid>
    <b:RefOrder>92</b:RefOrder>
  </b:Source>
  <b:Source>
    <b:Tag>Placeholder99</b:Tag>
    <b:SourceType>JournalArticle</b:SourceType>
    <b:Guid>{9697A2D4-423F-4F13-BDCD-94AE0E7B14CE}</b:Guid>
    <b:RefOrder>93</b:RefOrder>
  </b:Source>
  <b:Source>
    <b:Tag>Placeholder100</b:Tag>
    <b:SourceType>JournalArticle</b:SourceType>
    <b:Guid>{6C75F14D-F464-4AB3-876D-603CAC009230}</b:Guid>
    <b:RefOrder>94</b:RefOrder>
  </b:Source>
  <b:Source>
    <b:Tag>Placeholder101</b:Tag>
    <b:SourceType>JournalArticle</b:SourceType>
    <b:Guid>{A93FAFCD-00C5-4953-BB70-9CAD8206ACB0}</b:Guid>
    <b:RefOrder>95</b:RefOrder>
  </b:Source>
  <b:Source>
    <b:Tag>Placeholder102</b:Tag>
    <b:SourceType>JournalArticle</b:SourceType>
    <b:Guid>{04164D25-0D7D-4241-ADD4-5B8AF00F4AE7}</b:Guid>
    <b:RefOrder>96</b:RefOrder>
  </b:Source>
  <b:Source>
    <b:Tag>Placeholder103</b:Tag>
    <b:SourceType>JournalArticle</b:SourceType>
    <b:Guid>{32983A71-19CB-467C-837B-6F25E0D4FA13}</b:Guid>
    <b:RefOrder>97</b:RefOrder>
  </b:Source>
  <b:Source>
    <b:Tag>Placeholder104</b:Tag>
    <b:SourceType>JournalArticle</b:SourceType>
    <b:Guid>{495DD953-0F10-4C3E-BFC7-FE2C3E43C38D}</b:Guid>
    <b:RefOrder>98</b:RefOrder>
  </b:Source>
  <b:Source>
    <b:Tag>Placeholder105</b:Tag>
    <b:SourceType>JournalArticle</b:SourceType>
    <b:Guid>{78589BF2-0A09-4591-9A2E-E2B3282B7875}</b:Guid>
    <b:RefOrder>99</b:RefOrder>
  </b:Source>
  <b:Source>
    <b:Tag>Placeholder106</b:Tag>
    <b:SourceType>JournalArticle</b:SourceType>
    <b:Guid>{BA74969B-6E12-46E4-ACFA-11A737ABE3B3}</b:Guid>
    <b:RefOrder>100</b:RefOrder>
  </b:Source>
  <b:Source>
    <b:Tag>Placeholder107</b:Tag>
    <b:SourceType>JournalArticle</b:SourceType>
    <b:Guid>{3793A1DF-1A1B-4DA3-B820-18F0F91C5701}</b:Guid>
    <b:RefOrder>101</b:RefOrder>
  </b:Source>
  <b:Source>
    <b:Tag>Placeholder108</b:Tag>
    <b:SourceType>JournalArticle</b:SourceType>
    <b:Guid>{B3DFFC61-016E-405B-AC7B-45B11A299405}</b:Guid>
    <b:RefOrder>102</b:RefOrder>
  </b:Source>
  <b:Source>
    <b:Tag>Placeholder109</b:Tag>
    <b:SourceType>JournalArticle</b:SourceType>
    <b:Guid>{096CA77D-138A-493B-94B6-A69D9E46E2C7}</b:Guid>
    <b:RefOrder>103</b:RefOrder>
  </b:Source>
  <b:Source>
    <b:Tag>Placeholder110</b:Tag>
    <b:SourceType>JournalArticle</b:SourceType>
    <b:Guid>{B80D2828-D164-4004-980B-A18E632F12E3}</b:Guid>
    <b:RefOrder>104</b:RefOrder>
  </b:Source>
  <b:Source>
    <b:Tag>Placeholder111</b:Tag>
    <b:SourceType>JournalArticle</b:SourceType>
    <b:Guid>{50DB5616-68F8-49B7-B5D7-EB42609A20BD}</b:Guid>
    <b:RefOrder>105</b:RefOrder>
  </b:Source>
  <b:Source>
    <b:Tag>Placeholder112</b:Tag>
    <b:SourceType>JournalArticle</b:SourceType>
    <b:Guid>{0C8A6B69-7295-49F2-8A5D-429D03A23A89}</b:Guid>
    <b:RefOrder>106</b:RefOrder>
  </b:Source>
  <b:Source>
    <b:Tag>Placeholder113</b:Tag>
    <b:SourceType>JournalArticle</b:SourceType>
    <b:Guid>{5B2B8D65-E3C3-459E-9E0A-5CF358D84009}</b:Guid>
    <b:RefOrder>107</b:RefOrder>
  </b:Source>
  <b:Source>
    <b:Tag>Placeholder114</b:Tag>
    <b:SourceType>JournalArticle</b:SourceType>
    <b:Guid>{3A2ADF1E-DC39-47DF-B5C6-2855E8B6A911}</b:Guid>
    <b:RefOrder>225</b:RefOrder>
  </b:Source>
  <b:Source>
    <b:Tag>Placeholder115</b:Tag>
    <b:SourceType>JournalArticle</b:SourceType>
    <b:Guid>{786E5CE2-709C-4935-A24A-DB1FCF734F65}</b:Guid>
    <b:RefOrder>108</b:RefOrder>
  </b:Source>
  <b:Source>
    <b:Tag>Placeholder116</b:Tag>
    <b:SourceType>JournalArticle</b:SourceType>
    <b:Guid>{D20F16C9-D2A9-46C7-B215-0F33B3A66211}</b:Guid>
    <b:RefOrder>226</b:RefOrder>
  </b:Source>
  <b:Source>
    <b:Tag>Placeholder117</b:Tag>
    <b:SourceType>JournalArticle</b:SourceType>
    <b:Guid>{93565C12-B0B6-4868-AAFB-AC1AFFED0DDF}</b:Guid>
    <b:RefOrder>227</b:RefOrder>
  </b:Source>
  <b:Source>
    <b:Tag>Placeholder118</b:Tag>
    <b:SourceType>JournalArticle</b:SourceType>
    <b:Guid>{1FF00B6F-395C-4D47-9EB1-2036DB9122E4}</b:Guid>
    <b:RefOrder>228</b:RefOrder>
  </b:Source>
  <b:Source>
    <b:Tag>Placeholder119</b:Tag>
    <b:SourceType>JournalArticle</b:SourceType>
    <b:Guid>{F2FCAA41-EF16-40D9-8691-C4EFD5FEE329}</b:Guid>
    <b:RefOrder>109</b:RefOrder>
  </b:Source>
  <b:Source>
    <b:Tag>Placeholder120</b:Tag>
    <b:SourceType>JournalArticle</b:SourceType>
    <b:Guid>{1A56C39F-8D3B-46AA-8F3C-B49A222C045E}</b:Guid>
    <b:RefOrder>110</b:RefOrder>
  </b:Source>
  <b:Source>
    <b:Tag>Placeholder121</b:Tag>
    <b:SourceType>JournalArticle</b:SourceType>
    <b:Guid>{07151EF0-FB2F-408B-8121-DE39C75BA1A9}</b:Guid>
    <b:RefOrder>111</b:RefOrder>
  </b:Source>
  <b:Source>
    <b:Tag>Placeholder122</b:Tag>
    <b:SourceType>JournalArticle</b:SourceType>
    <b:Guid>{1AAE5834-0BAE-443A-856B-2471D18894D3}</b:Guid>
    <b:RefOrder>112</b:RefOrder>
  </b:Source>
  <b:Source>
    <b:Tag>Placeholder123</b:Tag>
    <b:SourceType>JournalArticle</b:SourceType>
    <b:Guid>{D64E08E6-9B96-4DD6-946B-F04A40A4E87B}</b:Guid>
    <b:RefOrder>113</b:RefOrder>
  </b:Source>
  <b:Source>
    <b:Tag>Placeholder124</b:Tag>
    <b:SourceType>JournalArticle</b:SourceType>
    <b:Guid>{A5301203-3259-4648-994F-148655B2AFC8}</b:Guid>
    <b:RefOrder>114</b:RefOrder>
  </b:Source>
  <b:Source>
    <b:Tag>Placeholder125</b:Tag>
    <b:SourceType>JournalArticle</b:SourceType>
    <b:Guid>{660E0FF8-2A01-4CA2-A96E-AA48475027FE}</b:Guid>
    <b:RefOrder>115</b:RefOrder>
  </b:Source>
  <b:Source>
    <b:Tag>Placeholder126</b:Tag>
    <b:SourceType>JournalArticle</b:SourceType>
    <b:Guid>{4881336D-9910-442A-A13D-F0B66EC14D50}</b:Guid>
    <b:RefOrder>116</b:RefOrder>
  </b:Source>
  <b:Source>
    <b:Tag>Placeholder127</b:Tag>
    <b:SourceType>JournalArticle</b:SourceType>
    <b:Guid>{2C5BB87F-6C2F-44BD-BE59-E14E037CB163}</b:Guid>
    <b:RefOrder>117</b:RefOrder>
  </b:Source>
  <b:Source>
    <b:Tag>Placeholder128</b:Tag>
    <b:SourceType>JournalArticle</b:SourceType>
    <b:Guid>{C18E73CB-5726-423D-B90F-BE8FD645787C}</b:Guid>
    <b:RefOrder>118</b:RefOrder>
  </b:Source>
  <b:Source>
    <b:Tag>Placeholder129</b:Tag>
    <b:SourceType>JournalArticle</b:SourceType>
    <b:Guid>{417BBB5B-6803-4BEF-8EB2-BBB4FC289DB9}</b:Guid>
    <b:RefOrder>119</b:RefOrder>
  </b:Source>
  <b:Source>
    <b:Tag>Placeholder130</b:Tag>
    <b:SourceType>JournalArticle</b:SourceType>
    <b:Guid>{F7FD0950-764A-4F10-89AE-5B07448814A4}</b:Guid>
    <b:RefOrder>120</b:RefOrder>
  </b:Source>
  <b:Source>
    <b:Tag>Placeholder131</b:Tag>
    <b:SourceType>JournalArticle</b:SourceType>
    <b:Guid>{6AA6D804-8B9E-4DAA-A990-D5FBA8AD53B4}</b:Guid>
    <b:RefOrder>121</b:RefOrder>
  </b:Source>
  <b:Source>
    <b:Tag>Placeholder132</b:Tag>
    <b:SourceType>JournalArticle</b:SourceType>
    <b:Guid>{EC704543-8ED9-4AC0-8C8D-97A3B5A80602}</b:Guid>
    <b:RefOrder>122</b:RefOrder>
  </b:Source>
  <b:Source>
    <b:Tag>Placeholder133</b:Tag>
    <b:SourceType>JournalArticle</b:SourceType>
    <b:Guid>{75D7C3DE-F1FD-496E-B159-2C0F7AC7A3C6}</b:Guid>
    <b:RefOrder>123</b:RefOrder>
  </b:Source>
  <b:Source>
    <b:Tag>Placeholder134</b:Tag>
    <b:SourceType>JournalArticle</b:SourceType>
    <b:Guid>{BB7891C8-E1D3-4833-BD9F-F612DB319001}</b:Guid>
    <b:RefOrder>229</b:RefOrder>
  </b:Source>
  <b:Source>
    <b:Tag>Placeholder135</b:Tag>
    <b:SourceType>JournalArticle</b:SourceType>
    <b:Guid>{503AC2BF-7F8D-4DC9-95CC-7C09EB17998C}</b:Guid>
    <b:RefOrder>230</b:RefOrder>
  </b:Source>
  <b:Source>
    <b:Tag>Placeholder136</b:Tag>
    <b:SourceType>JournalArticle</b:SourceType>
    <b:Guid>{10F1D686-1D8B-41F8-90BC-6FB1E38FACF8}</b:Guid>
    <b:RefOrder>124</b:RefOrder>
  </b:Source>
  <b:Source>
    <b:Tag>Placeholder137</b:Tag>
    <b:SourceType>JournalArticle</b:SourceType>
    <b:Guid>{F5CD16EA-69B3-4F7C-B187-FF65453A5651}</b:Guid>
    <b:RefOrder>231</b:RefOrder>
  </b:Source>
  <b:Source>
    <b:Tag>Placeholder138</b:Tag>
    <b:SourceType>JournalArticle</b:SourceType>
    <b:Guid>{DB146628-BFB7-4141-A9E4-3ED4B0CB93AE}</b:Guid>
    <b:RefOrder>125</b:RefOrder>
  </b:Source>
  <b:Source>
    <b:Tag>Placeholder139</b:Tag>
    <b:SourceType>JournalArticle</b:SourceType>
    <b:Guid>{42850417-EED9-4614-A5D8-72D8BE3D3A98}</b:Guid>
    <b:RefOrder>126</b:RefOrder>
  </b:Source>
  <b:Source>
    <b:Tag>Placeholder140</b:Tag>
    <b:SourceType>JournalArticle</b:SourceType>
    <b:Guid>{79F27F13-6BAE-40FA-9C06-4D086E2BEB44}</b:Guid>
    <b:RefOrder>127</b:RefOrder>
  </b:Source>
  <b:Source>
    <b:Tag>Placeholder141</b:Tag>
    <b:SourceType>JournalArticle</b:SourceType>
    <b:Guid>{644231DB-7218-443D-9E69-BE7DD03E19AD}</b:Guid>
    <b:RefOrder>128</b:RefOrder>
  </b:Source>
  <b:Source>
    <b:Tag>Placeholder142</b:Tag>
    <b:SourceType>JournalArticle</b:SourceType>
    <b:Guid>{E05927F6-47B1-4AC4-80F7-C80FFAC8738A}</b:Guid>
    <b:RefOrder>129</b:RefOrder>
  </b:Source>
  <b:Source>
    <b:Tag>Placeholder143</b:Tag>
    <b:SourceType>JournalArticle</b:SourceType>
    <b:Guid>{FF44942E-7A73-4D5F-89CE-989ACBB17850}</b:Guid>
    <b:RefOrder>130</b:RefOrder>
  </b:Source>
  <b:Source>
    <b:Tag>Placeholder144</b:Tag>
    <b:SourceType>JournalArticle</b:SourceType>
    <b:Guid>{C6A65FD0-18C6-45DC-86E0-36915D404585}</b:Guid>
    <b:RefOrder>232</b:RefOrder>
  </b:Source>
  <b:Source>
    <b:Tag>Placeholder145</b:Tag>
    <b:SourceType>JournalArticle</b:SourceType>
    <b:Guid>{667E21DB-6AA3-4646-88DA-C272ADD71228}</b:Guid>
    <b:RefOrder>233</b:RefOrder>
  </b:Source>
  <b:Source>
    <b:Tag>Placeholder146</b:Tag>
    <b:SourceType>JournalArticle</b:SourceType>
    <b:Guid>{5ED26948-4910-4FFB-AE9C-A0434C3B2DF2}</b:Guid>
    <b:RefOrder>131</b:RefOrder>
  </b:Source>
  <b:Source>
    <b:Tag>Placeholder147</b:Tag>
    <b:SourceType>JournalArticle</b:SourceType>
    <b:Guid>{A23BFB77-38E5-42D7-ADA3-E871253A0050}</b:Guid>
    <b:RefOrder>132</b:RefOrder>
  </b:Source>
  <b:Source>
    <b:Tag>Placeholder148</b:Tag>
    <b:SourceType>JournalArticle</b:SourceType>
    <b:Guid>{AC7C34BD-5F51-4EFD-BAEB-B01DDD4799DE}</b:Guid>
    <b:RefOrder>133</b:RefOrder>
  </b:Source>
  <b:Source>
    <b:Tag>Placeholder149</b:Tag>
    <b:SourceType>JournalArticle</b:SourceType>
    <b:Guid>{295A7C9A-1C22-4FA2-BFFD-11F7254683B9}</b:Guid>
    <b:RefOrder>134</b:RefOrder>
  </b:Source>
  <b:Source>
    <b:Tag>Placeholder150</b:Tag>
    <b:SourceType>JournalArticle</b:SourceType>
    <b:Guid>{33B40368-27EC-4C89-9B06-6F446351428E}</b:Guid>
    <b:RefOrder>135</b:RefOrder>
  </b:Source>
  <b:Source>
    <b:Tag>Placeholder151</b:Tag>
    <b:SourceType>JournalArticle</b:SourceType>
    <b:Guid>{E65CCA36-5EC4-4B77-834B-CE7587339DC2}</b:Guid>
    <b:RefOrder>136</b:RefOrder>
  </b:Source>
  <b:Source>
    <b:Tag>Placeholder152</b:Tag>
    <b:SourceType>JournalArticle</b:SourceType>
    <b:Guid>{DE071A0B-5ACD-4CAF-8A5C-5F46C1585119}</b:Guid>
    <b:RefOrder>137</b:RefOrder>
  </b:Source>
  <b:Source>
    <b:Tag>Placeholder153</b:Tag>
    <b:SourceType>JournalArticle</b:SourceType>
    <b:Guid>{30C66438-1522-426D-B2E4-D9DA0F0740E0}</b:Guid>
    <b:RefOrder>138</b:RefOrder>
  </b:Source>
  <b:Source>
    <b:Tag>Placeholder154</b:Tag>
    <b:SourceType>JournalArticle</b:SourceType>
    <b:Guid>{DC22AF08-8958-4102-8035-4889F9B0C38A}</b:Guid>
    <b:RefOrder>139</b:RefOrder>
  </b:Source>
  <b:Source>
    <b:Tag>Placeholder155</b:Tag>
    <b:SourceType>JournalArticle</b:SourceType>
    <b:Guid>{79B10561-FEAF-431A-ADEB-1109C606A09F}</b:Guid>
    <b:RefOrder>140</b:RefOrder>
  </b:Source>
  <b:Source>
    <b:Tag>Placeholder156</b:Tag>
    <b:SourceType>JournalArticle</b:SourceType>
    <b:Guid>{AD54B54A-DE95-471D-92BF-8F684A95AFBB}</b:Guid>
    <b:RefOrder>141</b:RefOrder>
  </b:Source>
  <b:Source>
    <b:Tag>Placeholder157</b:Tag>
    <b:SourceType>JournalArticle</b:SourceType>
    <b:Guid>{232A5CC0-CE00-468C-B1C0-F3892090FEAC}</b:Guid>
    <b:RefOrder>142</b:RefOrder>
  </b:Source>
  <b:Source>
    <b:Tag>Placeholder158</b:Tag>
    <b:SourceType>JournalArticle</b:SourceType>
    <b:Guid>{8A5ABE16-98C5-4E87-A7CE-1B47E4F6CCE2}</b:Guid>
    <b:RefOrder>143</b:RefOrder>
  </b:Source>
  <b:Source>
    <b:Tag>Placeholder159</b:Tag>
    <b:SourceType>JournalArticle</b:SourceType>
    <b:Guid>{BE163DDB-D4D5-406F-AA31-2CC031615E23}</b:Guid>
    <b:RefOrder>144</b:RefOrder>
  </b:Source>
  <b:Source>
    <b:Tag>Placeholder160</b:Tag>
    <b:SourceType>JournalArticle</b:SourceType>
    <b:Guid>{F4CE10F0-953E-476C-BE58-93A0FCC91860}</b:Guid>
    <b:RefOrder>145</b:RefOrder>
  </b:Source>
  <b:Source>
    <b:Tag>Placeholder161</b:Tag>
    <b:SourceType>JournalArticle</b:SourceType>
    <b:Guid>{7203F958-A28E-4703-8849-165BAA7D8E42}</b:Guid>
    <b:RefOrder>146</b:RefOrder>
  </b:Source>
  <b:Source>
    <b:Tag>Placeholder162</b:Tag>
    <b:SourceType>JournalArticle</b:SourceType>
    <b:Guid>{4ADA636D-C982-4199-A4CB-470CDECAEF32}</b:Guid>
    <b:RefOrder>147</b:RefOrder>
  </b:Source>
  <b:Source>
    <b:Tag>Placeholder163</b:Tag>
    <b:SourceType>JournalArticle</b:SourceType>
    <b:Guid>{82267741-65D0-4DE3-A56F-4815827147E6}</b:Guid>
    <b:RefOrder>148</b:RefOrder>
  </b:Source>
  <b:Source>
    <b:Tag>Placeholder164</b:Tag>
    <b:SourceType>JournalArticle</b:SourceType>
    <b:Guid>{AF01D757-0EDA-4836-A46F-2BD127F0B5CD}</b:Guid>
    <b:RefOrder>234</b:RefOrder>
  </b:Source>
  <b:Source>
    <b:Tag>Placeholder165</b:Tag>
    <b:SourceType>JournalArticle</b:SourceType>
    <b:Guid>{E64DA9A0-D3F0-4C48-BDBA-46D67BDE5E05}</b:Guid>
    <b:RefOrder>235</b:RefOrder>
  </b:Source>
  <b:Source>
    <b:Tag>Placeholder166</b:Tag>
    <b:SourceType>JournalArticle</b:SourceType>
    <b:Guid>{9DF55518-11A9-402E-95AB-C26CAB34A736}</b:Guid>
    <b:RefOrder>149</b:RefOrder>
  </b:Source>
  <b:Source>
    <b:Tag>Placeholder167</b:Tag>
    <b:SourceType>JournalArticle</b:SourceType>
    <b:Guid>{863C1CA1-7D4F-4C6F-B190-2CE0E85B1B12}</b:Guid>
    <b:RefOrder>150</b:RefOrder>
  </b:Source>
  <b:Source>
    <b:Tag>Placeholder168</b:Tag>
    <b:SourceType>JournalArticle</b:SourceType>
    <b:Guid>{7C0D00D2-DB65-4972-8A4E-ED8A08449D55}</b:Guid>
    <b:RefOrder>151</b:RefOrder>
  </b:Source>
  <b:Source>
    <b:Tag>Placeholder169</b:Tag>
    <b:SourceType>JournalArticle</b:SourceType>
    <b:Guid>{7D9116C9-5F64-4DD4-BB05-68B4B4342C85}</b:Guid>
    <b:RefOrder>152</b:RefOrder>
  </b:Source>
  <b:Source>
    <b:Tag>Placeholder170</b:Tag>
    <b:SourceType>JournalArticle</b:SourceType>
    <b:Guid>{7885FCCA-D66B-4DEB-A62D-BBCBDC130D2C}</b:Guid>
    <b:RefOrder>153</b:RefOrder>
  </b:Source>
  <b:Source>
    <b:Tag>Placeholder171</b:Tag>
    <b:SourceType>JournalArticle</b:SourceType>
    <b:Guid>{0FCE7D9F-7D7E-428A-AF91-694FCB38B7D3}</b:Guid>
    <b:RefOrder>154</b:RefOrder>
  </b:Source>
  <b:Source>
    <b:Tag>Placeholder172</b:Tag>
    <b:SourceType>JournalArticle</b:SourceType>
    <b:Guid>{A3394428-405D-413A-8FFD-82F2796AECC7}</b:Guid>
    <b:RefOrder>155</b:RefOrder>
  </b:Source>
  <b:Source>
    <b:Tag>Placeholder173</b:Tag>
    <b:SourceType>JournalArticle</b:SourceType>
    <b:Guid>{083D4D47-1B95-4504-9BE3-AE87A38A9913}</b:Guid>
    <b:RefOrder>156</b:RefOrder>
  </b:Source>
  <b:Source>
    <b:Tag>Placeholder174</b:Tag>
    <b:SourceType>JournalArticle</b:SourceType>
    <b:Guid>{F007BB53-FC83-498C-AAD5-12FE77C21388}</b:Guid>
    <b:RefOrder>157</b:RefOrder>
  </b:Source>
  <b:Source>
    <b:Tag>Placeholder175</b:Tag>
    <b:SourceType>JournalArticle</b:SourceType>
    <b:Guid>{16141FF2-3543-42E0-A905-42C8B7F7F5EB}</b:Guid>
    <b:RefOrder>158</b:RefOrder>
  </b:Source>
  <b:Source>
    <b:Tag>Placeholder176</b:Tag>
    <b:SourceType>JournalArticle</b:SourceType>
    <b:Guid>{909869B2-3660-4821-8DE3-9DB2B1825FB3}</b:Guid>
    <b:RefOrder>159</b:RefOrder>
  </b:Source>
  <b:Source>
    <b:Tag>Placeholder177</b:Tag>
    <b:SourceType>JournalArticle</b:SourceType>
    <b:Guid>{B59782A6-A805-475C-850E-4F1989106586}</b:Guid>
    <b:RefOrder>160</b:RefOrder>
  </b:Source>
  <b:Source>
    <b:Tag>Placeholder178</b:Tag>
    <b:SourceType>JournalArticle</b:SourceType>
    <b:Guid>{62018323-50F3-42F5-A6E8-E281D69C173F}</b:Guid>
    <b:RefOrder>161</b:RefOrder>
  </b:Source>
  <b:Source>
    <b:Tag>Placeholder179</b:Tag>
    <b:SourceType>JournalArticle</b:SourceType>
    <b:Guid>{2374DB1C-F105-4E98-8614-EE5AE21EAF4B}</b:Guid>
    <b:RefOrder>162</b:RefOrder>
  </b:Source>
  <b:Source>
    <b:Tag>Placeholder180</b:Tag>
    <b:SourceType>JournalArticle</b:SourceType>
    <b:Guid>{FE164DDB-4D53-4B13-9E46-7B800A9EE341}</b:Guid>
    <b:RefOrder>163</b:RefOrder>
  </b:Source>
  <b:Source>
    <b:Tag>Placeholder181</b:Tag>
    <b:SourceType>JournalArticle</b:SourceType>
    <b:Guid>{15D11A51-E4A8-4801-AE23-D05429EFF4CA}</b:Guid>
    <b:RefOrder>164</b:RefOrder>
  </b:Source>
  <b:Source>
    <b:Tag>Placeholder182</b:Tag>
    <b:SourceType>JournalArticle</b:SourceType>
    <b:Guid>{D919369D-91B9-41AA-8B3E-62206F73852E}</b:Guid>
    <b:RefOrder>165</b:RefOrder>
  </b:Source>
  <b:Source>
    <b:Tag>Placeholder183</b:Tag>
    <b:SourceType>JournalArticle</b:SourceType>
    <b:Guid>{A252771F-EF9E-4229-ADDE-390B6C832704}</b:Guid>
    <b:RefOrder>166</b:RefOrder>
  </b:Source>
  <b:Source>
    <b:Tag>Placeholder184</b:Tag>
    <b:SourceType>JournalArticle</b:SourceType>
    <b:Guid>{595D6DE5-3684-4491-9C81-4F3592095ED2}</b:Guid>
    <b:RefOrder>167</b:RefOrder>
  </b:Source>
  <b:Source>
    <b:Tag>Placeholder185</b:Tag>
    <b:SourceType>JournalArticle</b:SourceType>
    <b:Guid>{099D5511-48A1-40B8-A8AF-D8D4934E120F}</b:Guid>
    <b:RefOrder>168</b:RefOrder>
  </b:Source>
  <b:Source>
    <b:Tag>Placeholder186</b:Tag>
    <b:SourceType>JournalArticle</b:SourceType>
    <b:Guid>{8E7A2E08-C3B7-4EBC-AD8F-3AEAED44992E}</b:Guid>
    <b:RefOrder>169</b:RefOrder>
  </b:Source>
  <b:Source>
    <b:Tag>Placeholder187</b:Tag>
    <b:SourceType>JournalArticle</b:SourceType>
    <b:Guid>{7F5A16D9-2367-4B43-99C9-A7F684F46BDD}</b:Guid>
    <b:RefOrder>170</b:RefOrder>
  </b:Source>
  <b:Source>
    <b:Tag>Placeholder188</b:Tag>
    <b:SourceType>JournalArticle</b:SourceType>
    <b:Guid>{41340047-0699-4AA7-A49C-2F413559150C}</b:Guid>
    <b:RefOrder>171</b:RefOrder>
  </b:Source>
  <b:Source>
    <b:Tag>Placeholder189</b:Tag>
    <b:SourceType>JournalArticle</b:SourceType>
    <b:Guid>{C208E952-5FC0-49C9-A6D4-C33BCBBDEAE7}</b:Guid>
    <b:RefOrder>172</b:RefOrder>
  </b:Source>
  <b:Source>
    <b:Tag>Placeholder190</b:Tag>
    <b:SourceType>JournalArticle</b:SourceType>
    <b:Guid>{789CE627-6B96-4F1A-8B2E-29A3343B944A}</b:Guid>
    <b:RefOrder>173</b:RefOrder>
  </b:Source>
  <b:Source>
    <b:Tag>Placeholder191</b:Tag>
    <b:SourceType>JournalArticle</b:SourceType>
    <b:Guid>{F30C0C51-7223-497A-AC13-FCDCCEC32643}</b:Guid>
    <b:RefOrder>174</b:RefOrder>
  </b:Source>
  <b:Source>
    <b:Tag>Placeholder192</b:Tag>
    <b:SourceType>JournalArticle</b:SourceType>
    <b:Guid>{D085694A-BE2F-4E32-9A2E-E2124698C146}</b:Guid>
    <b:RefOrder>175</b:RefOrder>
  </b:Source>
  <b:Source>
    <b:Tag>Placeholder193</b:Tag>
    <b:SourceType>JournalArticle</b:SourceType>
    <b:Guid>{BA574333-774E-4D25-8ADB-045E17F38D2F}</b:Guid>
    <b:RefOrder>176</b:RefOrder>
  </b:Source>
  <b:Source>
    <b:Tag>Placeholder194</b:Tag>
    <b:SourceType>JournalArticle</b:SourceType>
    <b:Guid>{7E3D2ABB-95ED-4898-A3F1-B83A8A81AE3B}</b:Guid>
    <b:RefOrder>177</b:RefOrder>
  </b:Source>
  <b:Source>
    <b:Tag>Placeholder195</b:Tag>
    <b:SourceType>JournalArticle</b:SourceType>
    <b:Guid>{D77C7F79-AFA6-4634-88CF-10BBCA660CFC}</b:Guid>
    <b:RefOrder>178</b:RefOrder>
  </b:Source>
  <b:Source>
    <b:Tag>Placeholder196</b:Tag>
    <b:SourceType>JournalArticle</b:SourceType>
    <b:Guid>{DECD905A-5EF1-41C5-BB7B-906EBFEF7C4F}</b:Guid>
    <b:RefOrder>179</b:RefOrder>
  </b:Source>
  <b:Source>
    <b:Tag>Placeholder197</b:Tag>
    <b:SourceType>JournalArticle</b:SourceType>
    <b:Guid>{11C958EC-B474-435F-B561-3A947BDC705B}</b:Guid>
    <b:RefOrder>180</b:RefOrder>
  </b:Source>
  <b:Source>
    <b:Tag>Placeholder198</b:Tag>
    <b:SourceType>JournalArticle</b:SourceType>
    <b:Guid>{8022A39D-778A-4877-A57C-D53F922C575E}</b:Guid>
    <b:RefOrder>181</b:RefOrder>
  </b:Source>
  <b:Source>
    <b:Tag>Placeholder199</b:Tag>
    <b:SourceType>JournalArticle</b:SourceType>
    <b:Guid>{C0BFD558-768B-4DBA-933B-D324CDB76EEC}</b:Guid>
    <b:RefOrder>182</b:RefOrder>
  </b:Source>
  <b:Source>
    <b:Tag>Placeholder200</b:Tag>
    <b:SourceType>JournalArticle</b:SourceType>
    <b:Guid>{1031C18D-2F90-49B3-9A17-BD732461CB0F}</b:Guid>
    <b:RefOrder>183</b:RefOrder>
  </b:Source>
  <b:Source>
    <b:Tag>Placeholder201</b:Tag>
    <b:SourceType>JournalArticle</b:SourceType>
    <b:Guid>{B4A7014D-A641-4486-8F1B-BDE75230F8D3}</b:Guid>
    <b:RefOrder>184</b:RefOrder>
  </b:Source>
  <b:Source>
    <b:Tag>Placeholder202</b:Tag>
    <b:SourceType>JournalArticle</b:SourceType>
    <b:Guid>{F133A124-2375-4CBA-A9D7-434C36CF715A}</b:Guid>
    <b:RefOrder>236</b:RefOrder>
  </b:Source>
  <b:Source>
    <b:Tag>Placeholder203</b:Tag>
    <b:SourceType>JournalArticle</b:SourceType>
    <b:Guid>{1FC301FA-F7FF-4669-AAEF-686F33C45DDB}</b:Guid>
    <b:RefOrder>185</b:RefOrder>
  </b:Source>
  <b:Source>
    <b:Tag>Placeholder204</b:Tag>
    <b:SourceType>JournalArticle</b:SourceType>
    <b:Guid>{7D8E061E-E619-4443-926B-A6F52E90F864}</b:Guid>
    <b:RefOrder>186</b:RefOrder>
  </b:Source>
  <b:Source>
    <b:Tag>Placeholder205</b:Tag>
    <b:SourceType>JournalArticle</b:SourceType>
    <b:Guid>{0A635687-E7A9-47C5-B8B6-BB5028CA8471}</b:Guid>
    <b:RefOrder>187</b:RefOrder>
  </b:Source>
  <b:Source>
    <b:Tag>Placeholder206</b:Tag>
    <b:SourceType>JournalArticle</b:SourceType>
    <b:Guid>{0514FE42-3322-4B5A-86CD-74E16BB1EB34}</b:Guid>
    <b:RefOrder>188</b:RefOrder>
  </b:Source>
  <b:Source>
    <b:Tag>Placeholder207</b:Tag>
    <b:SourceType>JournalArticle</b:SourceType>
    <b:Guid>{F03A95BD-9836-4930-8BCE-FA5DC2274096}</b:Guid>
    <b:RefOrder>189</b:RefOrder>
  </b:Source>
  <b:Source>
    <b:Tag>Placeholder208</b:Tag>
    <b:SourceType>JournalArticle</b:SourceType>
    <b:Guid>{C24D6289-B1EC-483C-8619-5AE9E206AD0D}</b:Guid>
    <b:RefOrder>190</b:RefOrder>
  </b:Source>
  <b:Source>
    <b:Tag>Placeholder209</b:Tag>
    <b:SourceType>JournalArticle</b:SourceType>
    <b:Guid>{9FF56C65-505E-462C-96D9-15494F819302}</b:Guid>
    <b:RefOrder>191</b:RefOrder>
  </b:Source>
  <b:Source>
    <b:Tag>Placeholder210</b:Tag>
    <b:SourceType>JournalArticle</b:SourceType>
    <b:Guid>{BA859328-21F1-47F5-94E2-7258E7DA391C}</b:Guid>
    <b:RefOrder>192</b:RefOrder>
  </b:Source>
  <b:Source>
    <b:Tag>Placeholder211</b:Tag>
    <b:SourceType>JournalArticle</b:SourceType>
    <b:Guid>{2F045435-F4DE-44AF-ABBF-F5E2AE0E7E27}</b:Guid>
    <b:RefOrder>193</b:RefOrder>
  </b:Source>
  <b:Source>
    <b:Tag>Placeholder212</b:Tag>
    <b:SourceType>JournalArticle</b:SourceType>
    <b:Guid>{8D0C0E6B-52B6-4F58-B1EA-A398F99260A8}</b:Guid>
    <b:RefOrder>194</b:RefOrder>
  </b:Source>
  <b:Source>
    <b:Tag>Placeholder213</b:Tag>
    <b:SourceType>JournalArticle</b:SourceType>
    <b:Guid>{422A50BA-9AE0-42FE-8916-36E3B82E3FB8}</b:Guid>
    <b:RefOrder>195</b:RefOrder>
  </b:Source>
  <b:Source>
    <b:Tag>Placeholder214</b:Tag>
    <b:SourceType>JournalArticle</b:SourceType>
    <b:Guid>{A03A270C-624B-4ABB-82FB-597CA895F465}</b:Guid>
    <b:RefOrder>196</b:RefOrder>
  </b:Source>
  <b:Source>
    <b:Tag>Placeholder215</b:Tag>
    <b:SourceType>JournalArticle</b:SourceType>
    <b:Guid>{EBEB0BC8-6BD8-44F3-AFFA-AD1F2DBE919A}</b:Guid>
    <b:RefOrder>197</b:RefOrder>
  </b:Source>
  <b:Source>
    <b:Tag>Placeholder216</b:Tag>
    <b:SourceType>JournalArticle</b:SourceType>
    <b:Guid>{2EF3E648-8EBA-49F4-BC6D-2B96092F8A12}</b:Guid>
    <b:RefOrder>198</b:RefOrder>
  </b:Source>
  <b:Source>
    <b:Tag>Placeholder217</b:Tag>
    <b:SourceType>JournalArticle</b:SourceType>
    <b:Guid>{48D64D42-B96D-4CF1-ABD2-9A6DDE266DAC}</b:Guid>
    <b:RefOrder>199</b:RefOrder>
  </b:Source>
  <b:Source>
    <b:Tag>Placeholder218</b:Tag>
    <b:SourceType>JournalArticle</b:SourceType>
    <b:Guid>{0F71D3B9-9588-4232-B5D2-F146EF1366AA}</b:Guid>
    <b:RefOrder>200</b:RefOrder>
  </b:Source>
  <b:Source>
    <b:Tag>Placeholder219</b:Tag>
    <b:SourceType>JournalArticle</b:SourceType>
    <b:Guid>{A52A593A-89A5-4B67-AEBB-F03C614B38FA}</b:Guid>
    <b:RefOrder>201</b:RefOrder>
  </b:Source>
  <b:Source>
    <b:Tag>Placeholder220</b:Tag>
    <b:SourceType>JournalArticle</b:SourceType>
    <b:Guid>{76F020F8-E5A2-44B4-A111-176AFEAD1C9E}</b:Guid>
    <b:RefOrder>202</b:RefOrder>
  </b:Source>
  <b:Source>
    <b:Tag>Placeholder221</b:Tag>
    <b:SourceType>JournalArticle</b:SourceType>
    <b:Guid>{56141B42-E8C2-4E3D-A3AC-BC00462B0473}</b:Guid>
    <b:RefOrder>203</b:RefOrder>
  </b:Source>
  <b:Source>
    <b:Tag>Placeholder222</b:Tag>
    <b:SourceType>JournalArticle</b:SourceType>
    <b:Guid>{3B725E7D-5442-4FFE-8154-E1ECE0E1ACCE}</b:Guid>
    <b:RefOrder>204</b:RefOrder>
  </b:Source>
  <b:Source>
    <b:Tag>Placeholder223</b:Tag>
    <b:SourceType>JournalArticle</b:SourceType>
    <b:Guid>{4BFBDA6D-BAEE-4476-918A-661CB126DD79}</b:Guid>
    <b:RefOrder>205</b:RefOrder>
  </b:Source>
  <b:Source>
    <b:Tag>Placeholder224</b:Tag>
    <b:SourceType>JournalArticle</b:SourceType>
    <b:Guid>{1C02F2D1-EC29-4382-8D7D-E1B5A82B21A8}</b:Guid>
    <b:RefOrder>206</b:RefOrder>
  </b:Source>
  <b:Source>
    <b:Tag>Placeholder225</b:Tag>
    <b:SourceType>JournalArticle</b:SourceType>
    <b:Guid>{BE66B089-AC8A-4238-85D1-4C2D5E98AC6E}</b:Guid>
    <b:RefOrder>207</b:RefOrder>
  </b:Source>
  <b:Source>
    <b:Tag>Placeholder226</b:Tag>
    <b:SourceType>JournalArticle</b:SourceType>
    <b:Guid>{AC88258F-957C-4F7C-8311-81EF6F044DD2}</b:Guid>
    <b:RefOrder>208</b:RefOrder>
  </b:Source>
  <b:Source>
    <b:Tag>Placeholder227</b:Tag>
    <b:SourceType>JournalArticle</b:SourceType>
    <b:Guid>{ACE66918-6380-4EBC-A469-80DD62EBA1D6}</b:Guid>
    <b:RefOrder>209</b:RefOrder>
  </b:Source>
  <b:Source>
    <b:Tag>Placeholder228</b:Tag>
    <b:SourceType>JournalArticle</b:SourceType>
    <b:Guid>{89FBE72E-8D87-4D49-B760-931E6775993D}</b:Guid>
    <b:RefOrder>210</b:RefOrder>
  </b:Source>
  <b:Source>
    <b:Tag>Placeholder229</b:Tag>
    <b:SourceType>JournalArticle</b:SourceType>
    <b:Guid>{DF710497-C2E5-436B-8FD0-F59002D03C06}</b:Guid>
    <b:RefOrder>211</b:RefOrder>
  </b:Source>
  <b:Source>
    <b:Tag>Placeholder230</b:Tag>
    <b:SourceType>JournalArticle</b:SourceType>
    <b:Guid>{DB19AAA4-A40B-4F5B-B538-7B9FF341389E}</b:Guid>
    <b:RefOrder>212</b:RefOrder>
  </b:Source>
  <b:Source>
    <b:Tag>Placeholder231</b:Tag>
    <b:SourceType>JournalArticle</b:SourceType>
    <b:Guid>{08DD76BF-25D1-4F49-9AD0-D7F9C5E99141}</b:Guid>
    <b:RefOrder>213</b:RefOrder>
  </b:Source>
  <b:Source>
    <b:Tag>Placeholder232</b:Tag>
    <b:SourceType>JournalArticle</b:SourceType>
    <b:Guid>{219E15A4-399F-444D-BDAE-0AE128C79EF0}</b:Guid>
    <b:RefOrder>214</b:RefOrder>
  </b:Source>
  <b:Source>
    <b:Tag>Placeholder233</b:Tag>
    <b:SourceType>JournalArticle</b:SourceType>
    <b:Guid>{A2459599-9767-4F76-B633-D590BEF13CC4}</b:Guid>
    <b:RefOrder>215</b:RefOrder>
  </b:Source>
  <b:Source>
    <b:Tag>Placeholder234</b:Tag>
    <b:SourceType>JournalArticle</b:SourceType>
    <b:Guid>{EA5B0377-BD86-45A3-B8D6-9BDC15B7F444}</b:Guid>
    <b:RefOrder>216</b:RefOrder>
  </b:Source>
  <b:Source>
    <b:Tag>Placeholder235</b:Tag>
    <b:SourceType>JournalArticle</b:SourceType>
    <b:Guid>{8244A6D1-198F-40CE-A110-E15BFEB4782A}</b:Guid>
    <b:RefOrder>217</b:RefOrder>
  </b:Source>
  <b:Source>
    <b:Tag>Placeholder236</b:Tag>
    <b:SourceType>JournalArticle</b:SourceType>
    <b:Guid>{52BAD067-3317-49CF-9140-4959AF0F978C}</b:Guid>
    <b:RefOrder>218</b:RefOrder>
  </b:Source>
  <b:Source>
    <b:Tag>Placeholder237</b:Tag>
    <b:SourceType>JournalArticle</b:SourceType>
    <b:Guid>{40884A07-E0FE-4F74-8C2E-236D91BC7D20}</b:Guid>
    <b:RefOrder>219</b:RefOrder>
  </b:Source>
  <b:Source>
    <b:Tag>Placeholder238</b:Tag>
    <b:SourceType>JournalArticle</b:SourceType>
    <b:Guid>{E29A34C9-6C70-4B2E-A385-DA3E832807E1}</b:Guid>
    <b:RefOrder>220</b:RefOrder>
  </b:Source>
</b:Sources>
</file>

<file path=customXml/itemProps1.xml><?xml version="1.0" encoding="utf-8"?>
<ds:datastoreItem xmlns:ds="http://schemas.openxmlformats.org/officeDocument/2006/customXml" ds:itemID="{3386DCF7-54DC-439F-89E6-BFB943619F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1</Pages>
  <Words>63462</Words>
  <Characters>361737</Characters>
  <Application>Microsoft Office Word</Application>
  <DocSecurity>0</DocSecurity>
  <Lines>3014</Lines>
  <Paragraphs>848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424351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Gruttadauria</dc:creator>
  <cp:keywords/>
  <dc:description/>
  <cp:lastModifiedBy>matteo comaschi</cp:lastModifiedBy>
  <cp:revision>10</cp:revision>
  <cp:lastPrinted>2025-11-18T12:28:00Z</cp:lastPrinted>
  <dcterms:created xsi:type="dcterms:W3CDTF">2025-11-18T11:26:00Z</dcterms:created>
  <dcterms:modified xsi:type="dcterms:W3CDTF">2025-11-18T12:29:00Z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dfe7915b-0405-3797-ba64-50c9350e2330</vt:lpwstr>
  </property>
  <property fmtid="{D5CDD505-2E9C-101B-9397-08002B2CF9AE}" pid="4" name="Mendeley Citation Style_1">
    <vt:lpwstr>http://www.zotero.org/styles/vancouver</vt:lpwstr>
  </property>
  <property fmtid="{D5CDD505-2E9C-101B-9397-08002B2CF9AE}" pid="5" name="GrammarlyDocumentId">
    <vt:lpwstr>05ee7a1d-389f-4442-b59f-20b6d4e72414</vt:lpwstr>
  </property>
</Properties>
</file>