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A458C0" w14:textId="64484DD1" w:rsidR="005018DE" w:rsidRDefault="005018DE">
      <w:r w:rsidRPr="003F008B">
        <w:rPr>
          <w:noProof/>
        </w:rPr>
        <w:drawing>
          <wp:anchor distT="0" distB="0" distL="114300" distR="114300" simplePos="0" relativeHeight="251661312" behindDoc="1" locked="1" layoutInCell="1" allowOverlap="1" wp14:anchorId="6FC07582" wp14:editId="6C07B550">
            <wp:simplePos x="0" y="0"/>
            <wp:positionH relativeFrom="column">
              <wp:posOffset>3959860</wp:posOffset>
            </wp:positionH>
            <wp:positionV relativeFrom="page">
              <wp:posOffset>-717550</wp:posOffset>
            </wp:positionV>
            <wp:extent cx="3600000" cy="3592800"/>
            <wp:effectExtent l="0" t="0" r="635" b="825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600000" cy="3592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F008B">
        <w:rPr>
          <w:noProof/>
          <w:sz w:val="56"/>
          <w:szCs w:val="56"/>
          <w:lang w:val="it-IT"/>
        </w:rPr>
        <w:drawing>
          <wp:anchor distT="0" distB="0" distL="114300" distR="114300" simplePos="0" relativeHeight="251663360" behindDoc="1" locked="1" layoutInCell="1" allowOverlap="1" wp14:anchorId="4D3DCA79" wp14:editId="44DE2E6E">
            <wp:simplePos x="0" y="0"/>
            <wp:positionH relativeFrom="column">
              <wp:posOffset>0</wp:posOffset>
            </wp:positionH>
            <wp:positionV relativeFrom="page">
              <wp:posOffset>1080135</wp:posOffset>
            </wp:positionV>
            <wp:extent cx="2880000" cy="1015200"/>
            <wp:effectExtent l="0" t="0" r="0" b="0"/>
            <wp:wrapTight wrapText="bothSides">
              <wp:wrapPolygon edited="0">
                <wp:start x="0" y="0"/>
                <wp:lineTo x="0" y="10543"/>
                <wp:lineTo x="429" y="13382"/>
                <wp:lineTo x="5287" y="19464"/>
                <wp:lineTo x="5573" y="21086"/>
                <wp:lineTo x="15575" y="21086"/>
                <wp:lineTo x="15718" y="20681"/>
                <wp:lineTo x="21433" y="18653"/>
                <wp:lineTo x="21433" y="15815"/>
                <wp:lineTo x="4572" y="12976"/>
                <wp:lineTo x="11145" y="12976"/>
                <wp:lineTo x="18433" y="9732"/>
                <wp:lineTo x="18433" y="6488"/>
                <wp:lineTo x="2143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80000" cy="1015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F69D02B" w14:textId="2963F29D" w:rsidR="005018DE" w:rsidRDefault="005018DE"/>
    <w:p w14:paraId="7A5F4793" w14:textId="3449CABD" w:rsidR="005018DE" w:rsidRDefault="005018DE"/>
    <w:p w14:paraId="0DF383B6" w14:textId="5210A8CB" w:rsidR="005018DE" w:rsidRDefault="005018DE"/>
    <w:p w14:paraId="64285F1E" w14:textId="7BD5E6E6" w:rsidR="005018DE" w:rsidRDefault="005018DE"/>
    <w:p w14:paraId="393ABC60" w14:textId="33D21477" w:rsidR="005018DE" w:rsidRDefault="005018DE"/>
    <w:p w14:paraId="1D67DCE5" w14:textId="77777777" w:rsidR="005018DE" w:rsidRDefault="005018DE"/>
    <w:p w14:paraId="0DFE703E" w14:textId="5C638317" w:rsidR="005018DE" w:rsidRDefault="005018DE"/>
    <w:p w14:paraId="70A8FD44" w14:textId="1E0919D5" w:rsidR="001E5706" w:rsidRDefault="001E5706"/>
    <w:p w14:paraId="5E30CB3B" w14:textId="77777777" w:rsidR="001E5706" w:rsidRDefault="001E5706"/>
    <w:p w14:paraId="5EDE8973" w14:textId="77777777" w:rsidR="001E5706" w:rsidRDefault="001E5706"/>
    <w:tbl>
      <w:tblPr>
        <w:tblStyle w:val="Grigliatabella"/>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1E5706" w14:paraId="6ABAF71B" w14:textId="77777777" w:rsidTr="001E5706">
        <w:tc>
          <w:tcPr>
            <w:tcW w:w="9628" w:type="dxa"/>
            <w:vAlign w:val="center"/>
          </w:tcPr>
          <w:p w14:paraId="4CCCE005" w14:textId="706524C0" w:rsidR="001E5706" w:rsidRDefault="001E5706" w:rsidP="001E5706">
            <w:pPr>
              <w:jc w:val="left"/>
            </w:pPr>
            <w:r w:rsidRPr="001E5706">
              <w:rPr>
                <w:rFonts w:ascii="Univers" w:hAnsi="Univers"/>
                <w:color w:val="728FA5"/>
              </w:rPr>
              <w:t>EXECUTIVE SUMMARY OF THE THESIS</w:t>
            </w:r>
          </w:p>
        </w:tc>
      </w:tr>
      <w:tr w:rsidR="001E5706" w14:paraId="13F18980" w14:textId="77777777" w:rsidTr="001E5706">
        <w:tc>
          <w:tcPr>
            <w:tcW w:w="9628" w:type="dxa"/>
            <w:vAlign w:val="center"/>
          </w:tcPr>
          <w:p w14:paraId="430A5958" w14:textId="77777777" w:rsidR="00F444C7" w:rsidRDefault="0030136F" w:rsidP="001E5706">
            <w:pPr>
              <w:spacing w:before="240" w:after="240"/>
              <w:jc w:val="left"/>
              <w:rPr>
                <w:rFonts w:ascii="Univers" w:hAnsi="Univers"/>
                <w:color w:val="728FA5"/>
                <w:sz w:val="32"/>
                <w:szCs w:val="32"/>
              </w:rPr>
            </w:pPr>
            <w:r w:rsidRPr="0030136F">
              <w:rPr>
                <w:rFonts w:ascii="Univers" w:hAnsi="Univers"/>
                <w:color w:val="728FA5"/>
                <w:sz w:val="32"/>
                <w:szCs w:val="32"/>
              </w:rPr>
              <w:t xml:space="preserve">Financial Assessment of </w:t>
            </w:r>
            <w:r w:rsidR="00F444C7">
              <w:rPr>
                <w:rFonts w:ascii="Univers" w:hAnsi="Univers"/>
                <w:color w:val="728FA5"/>
                <w:sz w:val="32"/>
                <w:szCs w:val="32"/>
              </w:rPr>
              <w:t>Bus Fleet Renewal Scenarios: the case of Como Lecco Varese Basin</w:t>
            </w:r>
          </w:p>
          <w:p w14:paraId="21A6B81A" w14:textId="6AB87FC3" w:rsidR="00F444C7" w:rsidRPr="00F444C7" w:rsidRDefault="00F444C7" w:rsidP="001E5706">
            <w:pPr>
              <w:spacing w:before="240" w:after="240"/>
              <w:jc w:val="left"/>
              <w:rPr>
                <w:rFonts w:ascii="Univers" w:hAnsi="Univers"/>
                <w:color w:val="728FA5"/>
                <w:sz w:val="32"/>
                <w:szCs w:val="32"/>
              </w:rPr>
            </w:pPr>
          </w:p>
        </w:tc>
      </w:tr>
      <w:tr w:rsidR="001E5706" w:rsidRPr="0030136F" w14:paraId="65101E4E" w14:textId="77777777" w:rsidTr="001E5706">
        <w:tc>
          <w:tcPr>
            <w:tcW w:w="9628" w:type="dxa"/>
            <w:vAlign w:val="center"/>
          </w:tcPr>
          <w:p w14:paraId="3434B4FD" w14:textId="1E0289E2" w:rsidR="001E5706" w:rsidRPr="0030136F" w:rsidRDefault="001E5706" w:rsidP="001E5706">
            <w:pPr>
              <w:spacing w:after="240"/>
              <w:jc w:val="left"/>
              <w:rPr>
                <w:lang w:val="it-IT"/>
              </w:rPr>
            </w:pPr>
            <w:r w:rsidRPr="000575DE">
              <w:rPr>
                <w:rFonts w:ascii="Univers" w:hAnsi="Univers"/>
                <w:color w:val="728FA5"/>
                <w:lang w:val="it-IT"/>
              </w:rPr>
              <w:t xml:space="preserve">TESI MAGISTRALE IN </w:t>
            </w:r>
            <w:r w:rsidR="0030136F">
              <w:rPr>
                <w:rFonts w:ascii="Univers" w:hAnsi="Univers"/>
                <w:color w:val="728FA5"/>
                <w:lang w:val="it-IT"/>
              </w:rPr>
              <w:t>MOBILITY</w:t>
            </w:r>
            <w:r w:rsidRPr="009E1C0C">
              <w:rPr>
                <w:rFonts w:ascii="Univers" w:hAnsi="Univers"/>
                <w:color w:val="728FA5"/>
                <w:lang w:val="it-IT"/>
              </w:rPr>
              <w:t xml:space="preserve"> ENGINEERING</w:t>
            </w:r>
          </w:p>
        </w:tc>
      </w:tr>
      <w:tr w:rsidR="001E5706" w14:paraId="3E746467" w14:textId="77777777" w:rsidTr="001E5706">
        <w:tc>
          <w:tcPr>
            <w:tcW w:w="9628" w:type="dxa"/>
            <w:vAlign w:val="center"/>
          </w:tcPr>
          <w:p w14:paraId="366792B8" w14:textId="2C8C86CF" w:rsidR="001E5706" w:rsidRDefault="001E5706" w:rsidP="001E5706">
            <w:pPr>
              <w:spacing w:after="240"/>
              <w:jc w:val="left"/>
            </w:pPr>
            <w:r>
              <w:rPr>
                <w:rFonts w:ascii="Univers" w:hAnsi="Univers"/>
                <w:b/>
                <w:bCs/>
              </w:rPr>
              <w:t xml:space="preserve">AUTHOR: </w:t>
            </w:r>
            <w:r w:rsidR="0030136F">
              <w:rPr>
                <w:rFonts w:ascii="Univers" w:hAnsi="Univers"/>
                <w:b/>
                <w:bCs/>
              </w:rPr>
              <w:t>FEDERICO BACCAREDDA BOY</w:t>
            </w:r>
          </w:p>
        </w:tc>
      </w:tr>
      <w:tr w:rsidR="001E5706" w14:paraId="375901F5" w14:textId="77777777" w:rsidTr="001E5706">
        <w:tc>
          <w:tcPr>
            <w:tcW w:w="9628" w:type="dxa"/>
            <w:vAlign w:val="center"/>
          </w:tcPr>
          <w:p w14:paraId="123C88CE" w14:textId="0B1CBA8D" w:rsidR="001E5706" w:rsidRDefault="001E5706" w:rsidP="001E5706">
            <w:pPr>
              <w:spacing w:after="240"/>
              <w:jc w:val="left"/>
            </w:pPr>
            <w:r>
              <w:rPr>
                <w:rFonts w:ascii="Univers" w:hAnsi="Univers"/>
                <w:b/>
                <w:bCs/>
              </w:rPr>
              <w:t xml:space="preserve">ADVISOR: </w:t>
            </w:r>
            <w:r w:rsidR="0030136F">
              <w:rPr>
                <w:rFonts w:ascii="Univers" w:hAnsi="Univers"/>
                <w:b/>
                <w:bCs/>
              </w:rPr>
              <w:t>PIERLUIGI COPPOLA</w:t>
            </w:r>
          </w:p>
        </w:tc>
      </w:tr>
      <w:tr w:rsidR="001E5706" w14:paraId="3D3C5689" w14:textId="77777777" w:rsidTr="001E5706">
        <w:tc>
          <w:tcPr>
            <w:tcW w:w="9628" w:type="dxa"/>
            <w:vAlign w:val="center"/>
          </w:tcPr>
          <w:p w14:paraId="1C1080B6" w14:textId="1C626069" w:rsidR="001E5706" w:rsidRDefault="001E5706" w:rsidP="001E5706">
            <w:pPr>
              <w:jc w:val="left"/>
              <w:rPr>
                <w:rFonts w:ascii="Univers" w:hAnsi="Univers"/>
                <w:b/>
                <w:bCs/>
              </w:rPr>
            </w:pPr>
            <w:r>
              <w:rPr>
                <w:rFonts w:ascii="Univers" w:hAnsi="Univers"/>
                <w:b/>
                <w:bCs/>
              </w:rPr>
              <w:t>ACADEMIC YEAR: 20</w:t>
            </w:r>
            <w:r w:rsidR="0030136F">
              <w:rPr>
                <w:rFonts w:ascii="Univers" w:hAnsi="Univers"/>
                <w:b/>
                <w:bCs/>
              </w:rPr>
              <w:t>20</w:t>
            </w:r>
            <w:r>
              <w:rPr>
                <w:rFonts w:ascii="Univers" w:hAnsi="Univers"/>
                <w:b/>
                <w:bCs/>
              </w:rPr>
              <w:t>-20</w:t>
            </w:r>
            <w:r w:rsidR="0030136F">
              <w:rPr>
                <w:rFonts w:ascii="Univers" w:hAnsi="Univers"/>
                <w:b/>
                <w:bCs/>
              </w:rPr>
              <w:t>21</w:t>
            </w:r>
          </w:p>
          <w:p w14:paraId="6CACD38A" w14:textId="10F181E2" w:rsidR="001E5706" w:rsidRDefault="001E5706" w:rsidP="001E5706">
            <w:pPr>
              <w:jc w:val="left"/>
            </w:pPr>
          </w:p>
        </w:tc>
      </w:tr>
    </w:tbl>
    <w:p w14:paraId="1D506F5C" w14:textId="62F0B267" w:rsidR="005018DE" w:rsidRDefault="005018DE"/>
    <w:p w14:paraId="5C0820B6" w14:textId="3EDBC7E6" w:rsidR="001E5706" w:rsidRDefault="001E5706" w:rsidP="001E5706">
      <w:pPr>
        <w:rPr>
          <w:rFonts w:ascii="Univers" w:hAnsi="Univers"/>
          <w:b/>
          <w:bCs/>
        </w:rPr>
      </w:pPr>
    </w:p>
    <w:p w14:paraId="7BA0CD4B" w14:textId="77777777" w:rsidR="001E5706" w:rsidRDefault="001E5706" w:rsidP="001E5706">
      <w:pPr>
        <w:sectPr w:rsidR="001E5706" w:rsidSect="005018DE">
          <w:footerReference w:type="default" r:id="rId10"/>
          <w:type w:val="continuous"/>
          <w:pgSz w:w="11906" w:h="16838"/>
          <w:pgMar w:top="1417" w:right="1134" w:bottom="1134" w:left="1134" w:header="709" w:footer="709" w:gutter="0"/>
          <w:cols w:space="708"/>
          <w:titlePg/>
          <w:docGrid w:linePitch="360"/>
        </w:sectPr>
      </w:pPr>
    </w:p>
    <w:p w14:paraId="10909DF8" w14:textId="1D9BC351" w:rsidR="001E5706" w:rsidRDefault="001E5706" w:rsidP="001E5706"/>
    <w:p w14:paraId="18A18CBA" w14:textId="687C0E3A" w:rsidR="0091732B" w:rsidRDefault="0030136F" w:rsidP="0036419C">
      <w:pPr>
        <w:pStyle w:val="Titolo1"/>
        <w:numPr>
          <w:ilvl w:val="0"/>
          <w:numId w:val="12"/>
        </w:numPr>
        <w:ind w:left="567" w:hanging="567"/>
      </w:pPr>
      <w:r>
        <w:t>Abstract</w:t>
      </w:r>
    </w:p>
    <w:p w14:paraId="25602251" w14:textId="4F50EC57" w:rsidR="00CB474E" w:rsidRPr="00CB474E" w:rsidRDefault="00CB474E" w:rsidP="00CB474E">
      <w:pPr>
        <w:spacing w:before="120" w:after="120"/>
      </w:pPr>
      <w:bookmarkStart w:id="0" w:name="_Ref77598812"/>
      <w:r w:rsidRPr="00CB474E">
        <w:t>The world population has steadily increased in the last century and many more people are expected to move to live in metropolitan areas in the next decades.</w:t>
      </w:r>
      <w:r>
        <w:t xml:space="preserve"> </w:t>
      </w:r>
      <w:r w:rsidR="004B5B84">
        <w:t xml:space="preserve">The urban and extra urban mobility </w:t>
      </w:r>
      <w:r w:rsidR="00D91C96">
        <w:t>must</w:t>
      </w:r>
      <w:r w:rsidR="004B5B84">
        <w:t xml:space="preserve"> cope with this growing challenge by delivering an </w:t>
      </w:r>
      <w:r w:rsidR="00D91C96">
        <w:t xml:space="preserve">efficient and sustainable solution, </w:t>
      </w:r>
      <w:r>
        <w:t xml:space="preserve">Environmental and </w:t>
      </w:r>
      <w:r w:rsidR="004B5B84">
        <w:t>S</w:t>
      </w:r>
      <w:r>
        <w:t xml:space="preserve">ocietal </w:t>
      </w:r>
      <w:r w:rsidR="004B5B84">
        <w:t>oriented</w:t>
      </w:r>
      <w:r w:rsidR="00D91C96">
        <w:t>.</w:t>
      </w:r>
    </w:p>
    <w:p w14:paraId="5E113805" w14:textId="77777777" w:rsidR="00D91C96" w:rsidRDefault="001F2374" w:rsidP="001E5706">
      <w:r>
        <w:t xml:space="preserve">The transportation sector is about to be revolutionized by following some megatrends that have provisioned for the future. One of the is the transition from the utilization of conventional fossil fuel to more sustainable and innovative ones. </w:t>
      </w:r>
    </w:p>
    <w:p w14:paraId="52B9F160" w14:textId="77777777" w:rsidR="00D91C96" w:rsidRDefault="00D91C96" w:rsidP="001E5706"/>
    <w:p w14:paraId="657F083D" w14:textId="70D2F894" w:rsidR="00D91C96" w:rsidRDefault="001F2374" w:rsidP="001E5706">
      <w:r>
        <w:t>Following the European Green Deal</w:t>
      </w:r>
      <w:r w:rsidR="00D91C96">
        <w:t xml:space="preserve">, the White Paper </w:t>
      </w:r>
      <w:r>
        <w:t xml:space="preserve">and other recent </w:t>
      </w:r>
      <w:r w:rsidR="00D91C96">
        <w:t xml:space="preserve">reglementary rules on transportation sector, the </w:t>
      </w:r>
      <w:r>
        <w:t xml:space="preserve">EU countries must think a way for converting the Public Transportation fleets of road vehicles into more sustainable ones for the environment. </w:t>
      </w:r>
    </w:p>
    <w:p w14:paraId="5A3EBADA" w14:textId="4FAF4972" w:rsidR="001E5706" w:rsidRDefault="001F2374" w:rsidP="001E5706">
      <w:r>
        <w:t>The aim of this paper is trying to propose a</w:t>
      </w:r>
      <w:r w:rsidR="00D91C96">
        <w:t xml:space="preserve"> </w:t>
      </w:r>
      <w:r>
        <w:t xml:space="preserve">decisional </w:t>
      </w:r>
      <w:r w:rsidR="00D91C96">
        <w:t xml:space="preserve">aiding </w:t>
      </w:r>
      <w:r>
        <w:t xml:space="preserve">tool that could help </w:t>
      </w:r>
      <w:r w:rsidR="00D91C96">
        <w:t>Public Transportation Companies and</w:t>
      </w:r>
      <w:r>
        <w:t xml:space="preserve"> </w:t>
      </w:r>
      <w:r w:rsidR="00D91C96">
        <w:t>I</w:t>
      </w:r>
      <w:r>
        <w:t>nstitution to figure out the optimal transition plan</w:t>
      </w:r>
      <w:r w:rsidR="00D91C96">
        <w:t xml:space="preserve"> for these kinds of vehicles. Transition in the sense that conventional fueled vehicles should be substituted with more advanced and sustainable solutions.</w:t>
      </w:r>
    </w:p>
    <w:p w14:paraId="4B05B05E" w14:textId="77777777" w:rsidR="00D91C96" w:rsidRDefault="00D91C96" w:rsidP="001E5706"/>
    <w:p w14:paraId="0330144A" w14:textId="77777777" w:rsidR="00D91C96" w:rsidRDefault="001F2374" w:rsidP="001E5706">
      <w:r>
        <w:t xml:space="preserve">Several innovative technologies are analyzed, </w:t>
      </w:r>
      <w:r w:rsidR="000B1114">
        <w:t>discussed,</w:t>
      </w:r>
      <w:r>
        <w:t xml:space="preserve"> and proposed for </w:t>
      </w:r>
      <w:r w:rsidR="000B1114">
        <w:t>converting the</w:t>
      </w:r>
      <w:r w:rsidR="00D91C96">
        <w:t xml:space="preserve"> todays Public Bus Transportation system</w:t>
      </w:r>
      <w:r w:rsidR="000B1114">
        <w:t>.</w:t>
      </w:r>
    </w:p>
    <w:p w14:paraId="683E5A13" w14:textId="77777777" w:rsidR="00D91C96" w:rsidRDefault="00D91C96" w:rsidP="001E5706"/>
    <w:p w14:paraId="19597632" w14:textId="41E09EBC" w:rsidR="000B1114" w:rsidRDefault="000B1114" w:rsidP="001E5706">
      <w:r>
        <w:t xml:space="preserve">This </w:t>
      </w:r>
      <w:r w:rsidR="00D91C96">
        <w:t xml:space="preserve">study applicates its methodology toward a specific Case Study: the Como Lecco Varese Basin. </w:t>
      </w:r>
    </w:p>
    <w:p w14:paraId="61366551" w14:textId="38E71DF5" w:rsidR="00DA7C3B" w:rsidRDefault="00DA7C3B" w:rsidP="001E5706">
      <w:r>
        <w:t>A Financial Assessment accounts for the investment and operation costs of the upcoming 12 years and resume them in a</w:t>
      </w:r>
      <w:r w:rsidR="00BA1708">
        <w:t xml:space="preserve"> unitary and comparable value: The Actualized Financial Cost.</w:t>
      </w:r>
    </w:p>
    <w:p w14:paraId="7217BE75" w14:textId="77777777" w:rsidR="00BA1708" w:rsidRDefault="00BA1708" w:rsidP="001E5706"/>
    <w:p w14:paraId="48873D01" w14:textId="66EB8A35" w:rsidR="000B1114" w:rsidRDefault="000B1114" w:rsidP="001E5706">
      <w:r>
        <w:t xml:space="preserve">A public organization shared the data necessary to correctly understand the contest of the Area of Interest. Starting from that, the renewal demand of vehicles was </w:t>
      </w:r>
      <w:r w:rsidR="00FD1956">
        <w:t>calculated,</w:t>
      </w:r>
      <w:r w:rsidR="00BA1708">
        <w:t xml:space="preserve"> </w:t>
      </w:r>
      <w:r>
        <w:t xml:space="preserve">different scenarios </w:t>
      </w:r>
      <w:r w:rsidR="00BA1708">
        <w:t>were</w:t>
      </w:r>
      <w:r>
        <w:t xml:space="preserve"> simulated</w:t>
      </w:r>
      <w:r w:rsidR="00BA1708">
        <w:t>, and their relative AFCs are confronted.</w:t>
      </w:r>
    </w:p>
    <w:p w14:paraId="316DF1D3" w14:textId="43F60ED1" w:rsidR="001E5706" w:rsidRDefault="0030136F" w:rsidP="0036419C">
      <w:pPr>
        <w:pStyle w:val="Titolo1"/>
        <w:numPr>
          <w:ilvl w:val="0"/>
          <w:numId w:val="12"/>
        </w:numPr>
        <w:ind w:left="567" w:hanging="567"/>
      </w:pPr>
      <w:r>
        <w:lastRenderedPageBreak/>
        <w:t>Introduction</w:t>
      </w:r>
    </w:p>
    <w:p w14:paraId="51A33374" w14:textId="1177B93B" w:rsidR="000B1114" w:rsidRDefault="000B1114" w:rsidP="000B1114">
      <w:r>
        <w:t xml:space="preserve">Due to the raising concerns about Global Warming that are a direct consequences of world urbanization, many </w:t>
      </w:r>
      <w:r w:rsidR="00FD1956">
        <w:t xml:space="preserve">sectors are converting themselves into more sustainable systems. </w:t>
      </w:r>
    </w:p>
    <w:p w14:paraId="3909CDB2" w14:textId="2BE1E260" w:rsidR="00FD1956" w:rsidRDefault="00FD1956" w:rsidP="000B1114">
      <w:r>
        <w:t>This is done voluntary or to comply with legal requirements of their hosting country (or region).</w:t>
      </w:r>
    </w:p>
    <w:p w14:paraId="3DE8FDA0" w14:textId="2C2056D7" w:rsidR="00FD1956" w:rsidRDefault="00FD1956" w:rsidP="000B1114">
      <w:r>
        <w:t>Transportation sector, that is responsible for more than the 20% of Green House Gasses, is one of those and it is about to be revolutionized in many ways.</w:t>
      </w:r>
    </w:p>
    <w:p w14:paraId="354618B7" w14:textId="77777777" w:rsidR="00BA1708" w:rsidRDefault="00BA1708" w:rsidP="000B1114"/>
    <w:p w14:paraId="6FB048F9" w14:textId="752205D1" w:rsidR="00FD1956" w:rsidRDefault="00FD1956" w:rsidP="000B1114">
      <w:r>
        <w:t>The Megatrends that could foster these transitions are:</w:t>
      </w:r>
    </w:p>
    <w:p w14:paraId="303A56DB" w14:textId="7C7CB0E7" w:rsidR="00FD1956" w:rsidRDefault="00FD1956" w:rsidP="000B1114">
      <w:r>
        <w:t>1.Moving from private to public vehicles</w:t>
      </w:r>
    </w:p>
    <w:p w14:paraId="569B9BC2" w14:textId="1166134B" w:rsidR="00FD1956" w:rsidRDefault="00FD1956" w:rsidP="000B1114">
      <w:r>
        <w:t>2.Changing from Human driven vehicles to Autonomous ones</w:t>
      </w:r>
    </w:p>
    <w:p w14:paraId="13FECCA3" w14:textId="29BA76AD" w:rsidR="00FD1956" w:rsidRDefault="00FD1956" w:rsidP="000B1114">
      <w:r>
        <w:t>3.Making the vehicles lighter and more efficient</w:t>
      </w:r>
    </w:p>
    <w:p w14:paraId="71679121" w14:textId="1CB27F68" w:rsidR="00FD1956" w:rsidRDefault="00FD1956" w:rsidP="000B1114">
      <w:r>
        <w:t>4.Switch from Conventional Fuel to more sustainable energy sources</w:t>
      </w:r>
      <w:r w:rsidR="007B3D39">
        <w:t xml:space="preserve"> for powering the vehicles</w:t>
      </w:r>
      <w:r>
        <w:t>.</w:t>
      </w:r>
    </w:p>
    <w:p w14:paraId="6C38FFFB" w14:textId="77777777" w:rsidR="00BA1708" w:rsidRDefault="00BA1708" w:rsidP="000B1114"/>
    <w:p w14:paraId="2E21FB82" w14:textId="5D2EECA3" w:rsidR="00FD1956" w:rsidRDefault="00FD1956" w:rsidP="000B1114">
      <w:r>
        <w:t xml:space="preserve">This Paper concentrate on the last aspect and </w:t>
      </w:r>
      <w:r w:rsidR="002A0A3A">
        <w:t>on</w:t>
      </w:r>
      <w:r>
        <w:t xml:space="preserve"> the energy transition of the public transportation sector</w:t>
      </w:r>
      <w:r w:rsidR="002A0A3A">
        <w:t>.</w:t>
      </w:r>
    </w:p>
    <w:p w14:paraId="4EE83FB6" w14:textId="64AE40EA" w:rsidR="002A0A3A" w:rsidRDefault="002A0A3A" w:rsidP="000B1114">
      <w:r>
        <w:t>Despite many studies analyze only battery electric vehicles because they seem to be the most promising and popular solution for PTS transition, this paper wants to analyze also other technological solutions like Compressed Natural Gas Busses, Liquified Natural Gas Busses and Fuel Cell Busses.</w:t>
      </w:r>
    </w:p>
    <w:p w14:paraId="38556F10" w14:textId="77777777" w:rsidR="007B3D39" w:rsidRDefault="007B3D39" w:rsidP="000B1114"/>
    <w:p w14:paraId="4AD7CF04" w14:textId="720C6CA6" w:rsidR="002A0A3A" w:rsidRDefault="002A0A3A" w:rsidP="000B1114">
      <w:r>
        <w:t xml:space="preserve">Whereas on light vehicles like city cars or scooter the battery electric solutions seems to </w:t>
      </w:r>
      <w:r w:rsidR="007B3D39">
        <w:t>have</w:t>
      </w:r>
      <w:r>
        <w:t xml:space="preserve"> </w:t>
      </w:r>
      <w:r w:rsidR="007B3D39">
        <w:t xml:space="preserve">no concrete </w:t>
      </w:r>
      <w:r>
        <w:t>rivals</w:t>
      </w:r>
      <w:r w:rsidR="007B3D39">
        <w:t xml:space="preserve">, for the </w:t>
      </w:r>
      <w:r>
        <w:t>heavier long-distances vehicles these alternatives worth a consideration.</w:t>
      </w:r>
    </w:p>
    <w:p w14:paraId="10009224" w14:textId="00F326FB" w:rsidR="002A0A3A" w:rsidRDefault="002A0A3A" w:rsidP="000B1114"/>
    <w:p w14:paraId="0B2B0BA2" w14:textId="40F67BE1" w:rsidR="002A0A3A" w:rsidRDefault="002A0A3A" w:rsidP="000B1114">
      <w:r>
        <w:t xml:space="preserve">It’s important to understand the different costs related to the application of one technology instead of the others: </w:t>
      </w:r>
      <w:r w:rsidR="007B3D39">
        <w:t xml:space="preserve"> </w:t>
      </w:r>
      <w:r>
        <w:t xml:space="preserve">from the operational costs </w:t>
      </w:r>
      <w:r w:rsidR="007B3D39">
        <w:t>(</w:t>
      </w:r>
      <w:r>
        <w:t>that can be divided in maintenance</w:t>
      </w:r>
      <w:r w:rsidR="007B3D39">
        <w:t xml:space="preserve"> Cost</w:t>
      </w:r>
      <w:r w:rsidR="00F701D1">
        <w:t xml:space="preserve"> of the vehicle</w:t>
      </w:r>
      <w:r>
        <w:t xml:space="preserve">, </w:t>
      </w:r>
      <w:r w:rsidR="00F701D1">
        <w:t>maintenance</w:t>
      </w:r>
      <w:r w:rsidR="007B3D39">
        <w:t xml:space="preserve"> Cost</w:t>
      </w:r>
      <w:r w:rsidR="00F701D1">
        <w:t xml:space="preserve"> of the infrastructure and the </w:t>
      </w:r>
      <w:r w:rsidR="007B3D39">
        <w:t xml:space="preserve">Cost of </w:t>
      </w:r>
      <w:r>
        <w:t>energy</w:t>
      </w:r>
      <w:r w:rsidR="007B3D39">
        <w:t xml:space="preserve"> utilization)</w:t>
      </w:r>
      <w:r w:rsidR="00F701D1">
        <w:t xml:space="preserve"> to the investment costs (</w:t>
      </w:r>
      <w:r w:rsidR="007B3D39">
        <w:t xml:space="preserve">Cost </w:t>
      </w:r>
      <w:r w:rsidR="00F701D1">
        <w:t xml:space="preserve">of the Vehicles and </w:t>
      </w:r>
      <w:r w:rsidR="007B3D39">
        <w:t xml:space="preserve">Cost </w:t>
      </w:r>
      <w:r w:rsidR="00F701D1">
        <w:t>of the relative Infrastructure).</w:t>
      </w:r>
    </w:p>
    <w:p w14:paraId="056C9A5D" w14:textId="326A9BDB" w:rsidR="00F701D1" w:rsidRDefault="00F701D1" w:rsidP="000B1114"/>
    <w:p w14:paraId="14396DB3" w14:textId="3FC76920" w:rsidR="00F701D1" w:rsidRDefault="00F701D1" w:rsidP="000B1114">
      <w:r>
        <w:t>With a complete and exhaustive analysis of the territory and the technologies available it is possible to simulate different scenarios and make further evaluations</w:t>
      </w:r>
      <w:r w:rsidR="009F5D7F">
        <w:t>.</w:t>
      </w:r>
    </w:p>
    <w:p w14:paraId="6018B5A2" w14:textId="03A21254" w:rsidR="009F5D7F" w:rsidRDefault="009F5D7F" w:rsidP="000B1114">
      <w:r>
        <w:t xml:space="preserve">Some simplifications and assumptions are necessary to make the model straightforward and to avoid overfitting. On one hand it’s important to try to make the algorithm as general and versatile as possible, on the other it’s important that it’s capable of responding correctly to the data available for the case study </w:t>
      </w:r>
      <w:r w:rsidR="003B17C0">
        <w:t>of application</w:t>
      </w:r>
    </w:p>
    <w:p w14:paraId="566A2EAE" w14:textId="77777777" w:rsidR="00FD1956" w:rsidRPr="000B1114" w:rsidRDefault="00FD1956" w:rsidP="000B1114"/>
    <w:p w14:paraId="5B98F87D" w14:textId="74E593DD" w:rsidR="001E5706" w:rsidRDefault="0030136F" w:rsidP="0036419C">
      <w:pPr>
        <w:pStyle w:val="Titolo1"/>
        <w:numPr>
          <w:ilvl w:val="0"/>
          <w:numId w:val="12"/>
        </w:numPr>
        <w:ind w:left="567" w:hanging="567"/>
      </w:pPr>
      <w:r>
        <w:t>State of the Art</w:t>
      </w:r>
    </w:p>
    <w:p w14:paraId="2623ED88" w14:textId="1E3A323B" w:rsidR="003B17C0" w:rsidRDefault="009079A7" w:rsidP="00F701D1">
      <w:r>
        <w:t>First,</w:t>
      </w:r>
      <w:r w:rsidR="003B17C0">
        <w:t xml:space="preserve"> it’s important to understand and </w:t>
      </w:r>
      <w:r>
        <w:t>identify all the possible evaluation methods that exists to account an analysis of this kind.</w:t>
      </w:r>
    </w:p>
    <w:p w14:paraId="63B1659F" w14:textId="682F3942" w:rsidR="009079A7" w:rsidRDefault="009079A7" w:rsidP="00F701D1">
      <w:r>
        <w:t>There are several tools that are widely used in transportation sector and in energy sector more in general. They can be grouped in SISO (single inputs, Single outputs) and MIMO (multiple input, multiple Outputs)</w:t>
      </w:r>
      <w:r w:rsidR="007B48D8">
        <w:t xml:space="preserve"> for example. Or another grouping foresees the width of the temporal consideration of the technology: starting from the wider that is Cycle Life Analysis; passing through Well-to Wheel analysis (divided into Well to tank and tank to wheel); until the simplest Cost Benefit Analysis in operational phase.</w:t>
      </w:r>
    </w:p>
    <w:p w14:paraId="21AEEFB8" w14:textId="6BBB11B2" w:rsidR="007B48D8" w:rsidRDefault="007B48D8" w:rsidP="00F701D1">
      <w:r>
        <w:t xml:space="preserve">The last grouping of these methods relies on the evaluating criteria of the scenarios: from the </w:t>
      </w:r>
      <w:r w:rsidR="00F130BD">
        <w:t>all-criteria monetization</w:t>
      </w:r>
      <w:r>
        <w:t xml:space="preserve"> of the Cost Benefit Analysis to the multi-disciplinary look of the </w:t>
      </w:r>
      <w:r w:rsidR="005D00E0">
        <w:t>multi-Criteria Analysis</w:t>
      </w:r>
      <w:r>
        <w:t>.</w:t>
      </w:r>
    </w:p>
    <w:p w14:paraId="21BB0B42" w14:textId="1FABB4BA" w:rsidR="00F130BD" w:rsidRDefault="00F130BD" w:rsidP="00F701D1"/>
    <w:p w14:paraId="1940FD91" w14:textId="69BD8ACF" w:rsidR="00F130BD" w:rsidRDefault="00F130BD" w:rsidP="00F701D1">
      <w:r>
        <w:t xml:space="preserve">The idea of modelling a Multi Criteria Decision Analysis based on the Life Assessment of the different technologies was abandoned in favor of a Life Cycle Financial Analysis. Even if the first one, the MCDA, is a very powerful tool that can bring all-together a big variety of information, it risked being too generic and rambling. Instead, the financial analysis </w:t>
      </w:r>
      <w:r w:rsidR="005D00E0">
        <w:t>gets straightly to the point by showing what economical efforts are required to purse specific technological solutions. The MCDA is thus left behind and proposed for further developments.</w:t>
      </w:r>
    </w:p>
    <w:p w14:paraId="41076462" w14:textId="77777777" w:rsidR="007B48D8" w:rsidRDefault="007B48D8" w:rsidP="00F701D1"/>
    <w:p w14:paraId="26667BE6" w14:textId="32FCD82E" w:rsidR="00F701D1" w:rsidRDefault="008355BB" w:rsidP="00F701D1">
      <w:r>
        <w:t>And extensive and detailed analysis was carried out on the front-runner Bus technologies and their relative implications. The main technologies considered are the following:</w:t>
      </w:r>
    </w:p>
    <w:p w14:paraId="1C0EA2C0" w14:textId="77777777" w:rsidR="008355BB" w:rsidRDefault="008355BB" w:rsidP="00F701D1"/>
    <w:p w14:paraId="5070F111" w14:textId="468984A5" w:rsidR="008355BB" w:rsidRDefault="008355BB" w:rsidP="00F701D1">
      <w:r>
        <w:t>-</w:t>
      </w:r>
      <w:r w:rsidR="00C7098D">
        <w:t xml:space="preserve">Battery Electric Busses: different versions of this technology are discussed and presented according </w:t>
      </w:r>
      <w:r w:rsidR="00C7098D">
        <w:lastRenderedPageBreak/>
        <w:t xml:space="preserve">to the </w:t>
      </w:r>
      <w:r>
        <w:t>different modality of charging and the different capacity of battery deployable.</w:t>
      </w:r>
    </w:p>
    <w:p w14:paraId="569E738D" w14:textId="6B8BA488" w:rsidR="00C7098D" w:rsidRDefault="00C7098D" w:rsidP="00F701D1">
      <w:r>
        <w:t xml:space="preserve">The Charging Options considered are Opportunity Charging at Depots with Ultra-Fast Pantograph charging stations (up to 350 kW) and Depot Night Charging with Fast pantograph Chargers (up to 100 kW). </w:t>
      </w:r>
      <w:r w:rsidR="00156680">
        <w:t xml:space="preserve">Among the Depot Charging Busses, </w:t>
      </w:r>
      <w:r w:rsidR="008355BB">
        <w:t>all</w:t>
      </w:r>
      <w:r w:rsidR="00156680">
        <w:t xml:space="preserve"> us</w:t>
      </w:r>
      <w:r w:rsidR="008355BB">
        <w:t>ing</w:t>
      </w:r>
      <w:r w:rsidR="00156680">
        <w:t xml:space="preserve"> NMC (Nickel Manganese Cadmium) batteries </w:t>
      </w:r>
      <w:r w:rsidR="008355BB">
        <w:t>(</w:t>
      </w:r>
      <w:r w:rsidR="00156680">
        <w:t>for their safety and high specific energy capacity</w:t>
      </w:r>
      <w:r w:rsidR="008355BB">
        <w:t xml:space="preserve"> that makes them one of the </w:t>
      </w:r>
      <w:r w:rsidR="00DB7307">
        <w:t>lightest and most reliable Lithium-ion solution</w:t>
      </w:r>
      <w:r w:rsidR="00156680">
        <w:t>), 3 different vehicles have been selected with different size of batteries</w:t>
      </w:r>
      <w:r w:rsidR="00DB7307">
        <w:t xml:space="preserve"> (and different size of the vehicle itself)</w:t>
      </w:r>
      <w:r w:rsidR="00156680">
        <w:t xml:space="preserve">: 200 </w:t>
      </w:r>
      <w:r w:rsidR="00DB7307">
        <w:t>kWh,</w:t>
      </w:r>
      <w:r w:rsidR="00156680">
        <w:t xml:space="preserve"> 350 kWh and 650 kWh. The higher the battery capacity the higher the range of the vehicle (</w:t>
      </w:r>
      <w:r w:rsidR="00DB7307">
        <w:t xml:space="preserve">whereas </w:t>
      </w:r>
      <w:r w:rsidR="00156680">
        <w:t>the performances in terms of Maximum Speed and Acceleration remain almost the same</w:t>
      </w:r>
      <w:r w:rsidR="00DB7307">
        <w:t>)</w:t>
      </w:r>
      <w:r w:rsidR="00156680">
        <w:t>.</w:t>
      </w:r>
    </w:p>
    <w:p w14:paraId="5E6C6A3E" w14:textId="44834D82" w:rsidR="00156680" w:rsidRDefault="00546655" w:rsidP="00F701D1">
      <w:r>
        <w:t>Instead,</w:t>
      </w:r>
      <w:r w:rsidR="00156680">
        <w:t xml:space="preserve"> the Opportunity Charging Busses have been </w:t>
      </w:r>
      <w:r w:rsidR="003456CF">
        <w:t>considered to use Lithium Iron Phosphate (LiFePo) batteries since they are less susceptible to fast</w:t>
      </w:r>
      <w:r w:rsidR="00DB7307">
        <w:t>-</w:t>
      </w:r>
      <w:r w:rsidR="003456CF">
        <w:t>charging</w:t>
      </w:r>
      <w:r w:rsidR="00DB7307">
        <w:t xml:space="preserve"> method</w:t>
      </w:r>
      <w:r w:rsidR="003456CF">
        <w:t xml:space="preserve"> and have a longer cycle life. Th</w:t>
      </w:r>
      <w:r>
        <w:t>e</w:t>
      </w:r>
      <w:r w:rsidR="003456CF">
        <w:t>s</w:t>
      </w:r>
      <w:r>
        <w:t>e</w:t>
      </w:r>
      <w:r w:rsidR="003456CF">
        <w:t xml:space="preserve"> vehicle</w:t>
      </w:r>
      <w:r>
        <w:t>s</w:t>
      </w:r>
      <w:r w:rsidR="003456CF">
        <w:t xml:space="preserve"> </w:t>
      </w:r>
      <w:r>
        <w:t>are</w:t>
      </w:r>
      <w:r w:rsidR="003456CF">
        <w:t xml:space="preserve"> proposed with batteries of</w:t>
      </w:r>
      <w:r w:rsidR="00DB7307">
        <w:t xml:space="preserve"> just</w:t>
      </w:r>
      <w:r w:rsidR="003456CF">
        <w:t xml:space="preserve"> 100 kWh since they can be charged</w:t>
      </w:r>
      <w:r w:rsidR="00DB7307">
        <w:t>,</w:t>
      </w:r>
      <w:r w:rsidR="003456CF">
        <w:t xml:space="preserve"> </w:t>
      </w:r>
      <w:r w:rsidR="00DB7307">
        <w:t xml:space="preserve">daily, </w:t>
      </w:r>
      <w:r w:rsidR="003456CF">
        <w:t>during operation.</w:t>
      </w:r>
    </w:p>
    <w:p w14:paraId="6E618478" w14:textId="516722A2" w:rsidR="003456CF" w:rsidRDefault="003456CF" w:rsidP="00F701D1"/>
    <w:p w14:paraId="7CA86FF9" w14:textId="64C9E714" w:rsidR="003456CF" w:rsidRPr="00F701D1" w:rsidRDefault="003456CF" w:rsidP="00F701D1">
      <w:r>
        <w:t xml:space="preserve">LNG, CNG and Fuel Cell Busses instead are considered in only one configuration. </w:t>
      </w:r>
      <w:r w:rsidR="00DB7307">
        <w:t>Also,</w:t>
      </w:r>
      <w:r>
        <w:t xml:space="preserve"> the adoption of Bio-CNG, Bio-LNG and Hybrid Fuel Cell </w:t>
      </w:r>
      <w:r w:rsidR="00DB7307">
        <w:t xml:space="preserve">busses </w:t>
      </w:r>
      <w:r>
        <w:t>were considered.</w:t>
      </w:r>
    </w:p>
    <w:bookmarkEnd w:id="0"/>
    <w:p w14:paraId="36063D6A" w14:textId="2FFCF593" w:rsidR="002719BC" w:rsidRDefault="0030136F" w:rsidP="00E510D3">
      <w:pPr>
        <w:pStyle w:val="Titolo1"/>
        <w:numPr>
          <w:ilvl w:val="0"/>
          <w:numId w:val="12"/>
        </w:numPr>
        <w:ind w:left="567" w:hanging="567"/>
      </w:pPr>
      <w:r>
        <w:t>Methodology</w:t>
      </w:r>
    </w:p>
    <w:p w14:paraId="5DCD231D" w14:textId="33CA33D8" w:rsidR="003456CF" w:rsidRDefault="003456CF" w:rsidP="003456CF">
      <w:r>
        <w:t xml:space="preserve">The </w:t>
      </w:r>
      <w:r w:rsidR="00DB0CDA">
        <w:t xml:space="preserve">paper proposes a straightforward, </w:t>
      </w:r>
      <w:r w:rsidR="005C49CF">
        <w:t>versatile,</w:t>
      </w:r>
      <w:r w:rsidR="00DB0CDA">
        <w:t xml:space="preserve"> and replicative method that can be resumed in the following steps:</w:t>
      </w:r>
    </w:p>
    <w:p w14:paraId="0DDDC1BC" w14:textId="77777777" w:rsidR="00DB0CDA" w:rsidRDefault="00DB0CDA" w:rsidP="003456CF"/>
    <w:p w14:paraId="3426941E" w14:textId="2B976015" w:rsidR="003456CF" w:rsidRDefault="00C532F4" w:rsidP="003456CF">
      <w:r>
        <w:t>1.Data Collection</w:t>
      </w:r>
      <w:r w:rsidR="00DB0CDA">
        <w:t xml:space="preserve"> of the Basin</w:t>
      </w:r>
    </w:p>
    <w:p w14:paraId="75E98C3F" w14:textId="2717D1DA" w:rsidR="00C532F4" w:rsidRDefault="00C532F4" w:rsidP="003456CF">
      <w:r>
        <w:t>2.Zoning</w:t>
      </w:r>
      <w:r w:rsidR="00DB0CDA">
        <w:t xml:space="preserve"> into subareas</w:t>
      </w:r>
    </w:p>
    <w:p w14:paraId="2F1E0997" w14:textId="3A5DA7C5" w:rsidR="00C532F4" w:rsidRDefault="00C532F4" w:rsidP="003456CF">
      <w:r>
        <w:t xml:space="preserve">3.Demand Estimation of </w:t>
      </w:r>
      <w:r w:rsidR="00DB0CDA">
        <w:t>New Busses</w:t>
      </w:r>
    </w:p>
    <w:p w14:paraId="740A81D0" w14:textId="4F94A519" w:rsidR="00C532F4" w:rsidRDefault="00C532F4" w:rsidP="003456CF">
      <w:r>
        <w:t>4.Definition and Simulation of Scenarios</w:t>
      </w:r>
    </w:p>
    <w:p w14:paraId="148E8F05" w14:textId="3C116B9D" w:rsidR="00A15B6E" w:rsidRDefault="00A15B6E" w:rsidP="003456CF"/>
    <w:p w14:paraId="45624C2F" w14:textId="77777777" w:rsidR="00B402C4" w:rsidRDefault="005C49CF" w:rsidP="003456CF">
      <w:r>
        <w:t xml:space="preserve">Everything starts with the Data Collection Phase. The data required can be of different nature and define important aspects that can be inserted in the model. </w:t>
      </w:r>
    </w:p>
    <w:p w14:paraId="286DA0E8" w14:textId="74DE6B58" w:rsidR="00546655" w:rsidRDefault="00B402C4" w:rsidP="003456CF">
      <w:r>
        <w:t xml:space="preserve">Some preliminary information is fundamental: </w:t>
      </w:r>
      <w:r w:rsidR="005C49CF">
        <w:t>Geographical information</w:t>
      </w:r>
      <w:r>
        <w:t xml:space="preserve"> like </w:t>
      </w:r>
      <w:r w:rsidR="005C49CF">
        <w:t xml:space="preserve">width extension, </w:t>
      </w:r>
      <w:r>
        <w:t xml:space="preserve">ground </w:t>
      </w:r>
      <w:r w:rsidR="005C49CF">
        <w:t>temperatures (maximum, minimum average), road lengths and stiffness</w:t>
      </w:r>
      <w:r>
        <w:t>, population density and province and jurisdictional borders.</w:t>
      </w:r>
    </w:p>
    <w:p w14:paraId="3116A299" w14:textId="384F7AD5" w:rsidR="005C49CF" w:rsidRDefault="00B402C4" w:rsidP="003456CF">
      <w:r>
        <w:t xml:space="preserve">Then, data about the AS IS situation of the public transportation system and the road network </w:t>
      </w:r>
      <w:r w:rsidR="00416F9E">
        <w:t>must</w:t>
      </w:r>
      <w:r>
        <w:t xml:space="preserve"> </w:t>
      </w:r>
      <w:r>
        <w:t>be acquired. It’s not always easy, since many institutions, private and public bodies may control collaborate in the same area.</w:t>
      </w:r>
      <w:r w:rsidR="00416F9E">
        <w:t xml:space="preserve"> Also, the </w:t>
      </w:r>
      <w:r w:rsidR="00FB2FC4">
        <w:t>plans for the future</w:t>
      </w:r>
      <w:r w:rsidR="00416F9E">
        <w:t xml:space="preserve"> of this parties involved </w:t>
      </w:r>
      <w:r w:rsidR="00F2318B">
        <w:t>must</w:t>
      </w:r>
      <w:r w:rsidR="00416F9E">
        <w:t xml:space="preserve"> be </w:t>
      </w:r>
      <w:r w:rsidR="00F2318B">
        <w:t>considered</w:t>
      </w:r>
      <w:r w:rsidR="00416F9E">
        <w:t xml:space="preserve"> in the analysis</w:t>
      </w:r>
    </w:p>
    <w:p w14:paraId="57753BC3" w14:textId="77777777" w:rsidR="00B402C4" w:rsidRDefault="00B402C4" w:rsidP="003456CF"/>
    <w:p w14:paraId="15E58C66" w14:textId="0E7F8765" w:rsidR="00546655" w:rsidRDefault="00546655" w:rsidP="003456CF">
      <w:r>
        <w:t xml:space="preserve">The Zoning part </w:t>
      </w:r>
      <w:r w:rsidR="00416F9E">
        <w:t>is</w:t>
      </w:r>
      <w:r>
        <w:t xml:space="preserve"> fundamental to divide the Area of Study in more Sub basins</w:t>
      </w:r>
      <w:r w:rsidR="00416F9E">
        <w:t>. Smaller areas are easier to be analyzed.</w:t>
      </w:r>
      <w:r>
        <w:t xml:space="preserve"> The Depots</w:t>
      </w:r>
      <w:r w:rsidR="00416F9E">
        <w:t xml:space="preserve">, </w:t>
      </w:r>
      <w:r>
        <w:t xml:space="preserve">the </w:t>
      </w:r>
      <w:r w:rsidR="00416F9E">
        <w:t xml:space="preserve">Bus </w:t>
      </w:r>
      <w:proofErr w:type="gramStart"/>
      <w:r>
        <w:t>lines</w:t>
      </w:r>
      <w:proofErr w:type="gramEnd"/>
      <w:r w:rsidR="0051451F">
        <w:t xml:space="preserve"> and the busses themselves</w:t>
      </w:r>
      <w:r>
        <w:t xml:space="preserve"> </w:t>
      </w:r>
      <w:r w:rsidR="00FB2FC4">
        <w:t>are</w:t>
      </w:r>
      <w:r>
        <w:t xml:space="preserve"> assigned to the different sub areas.</w:t>
      </w:r>
    </w:p>
    <w:p w14:paraId="60DD5291" w14:textId="58672EC8" w:rsidR="00546655" w:rsidRDefault="00546655" w:rsidP="003456CF">
      <w:r>
        <w:t xml:space="preserve">The zoning </w:t>
      </w:r>
      <w:r w:rsidR="00FB2FC4">
        <w:t>is</w:t>
      </w:r>
      <w:r>
        <w:t xml:space="preserve"> done </w:t>
      </w:r>
      <w:r w:rsidR="00416F9E">
        <w:t xml:space="preserve">by the adoption of </w:t>
      </w:r>
      <w:r>
        <w:t xml:space="preserve">different </w:t>
      </w:r>
      <w:r w:rsidR="00416F9E">
        <w:t>considerations:</w:t>
      </w:r>
    </w:p>
    <w:p w14:paraId="6731C4F2" w14:textId="7B5D6A8D" w:rsidR="00546655" w:rsidRDefault="00546655" w:rsidP="003456CF"/>
    <w:p w14:paraId="49CD9FFA" w14:textId="3DF96F17" w:rsidR="00546655" w:rsidRDefault="00546655" w:rsidP="00546655">
      <w:pPr>
        <w:pStyle w:val="Paragrafoelenco"/>
        <w:numPr>
          <w:ilvl w:val="0"/>
          <w:numId w:val="18"/>
        </w:numPr>
      </w:pPr>
      <w:r>
        <w:t>Jurisdictional Borders</w:t>
      </w:r>
    </w:p>
    <w:p w14:paraId="25278E30" w14:textId="65A680F3" w:rsidR="00546655" w:rsidRDefault="00546655" w:rsidP="00546655">
      <w:pPr>
        <w:pStyle w:val="Paragrafoelenco"/>
        <w:numPr>
          <w:ilvl w:val="0"/>
          <w:numId w:val="18"/>
        </w:numPr>
      </w:pPr>
      <w:r>
        <w:t>Population</w:t>
      </w:r>
    </w:p>
    <w:p w14:paraId="2A34FB99" w14:textId="3D1CD00F" w:rsidR="00546655" w:rsidRDefault="00546655" w:rsidP="00546655">
      <w:pPr>
        <w:pStyle w:val="Paragrafoelenco"/>
        <w:numPr>
          <w:ilvl w:val="0"/>
          <w:numId w:val="18"/>
        </w:numPr>
      </w:pPr>
      <w:r>
        <w:t>Age</w:t>
      </w:r>
      <w:r w:rsidR="00416F9E">
        <w:t xml:space="preserve"> of the vehicles</w:t>
      </w:r>
    </w:p>
    <w:p w14:paraId="6B2FA910" w14:textId="1566A9E5" w:rsidR="00546655" w:rsidRDefault="00546655" w:rsidP="00546655">
      <w:pPr>
        <w:pStyle w:val="Paragrafoelenco"/>
        <w:numPr>
          <w:ilvl w:val="0"/>
          <w:numId w:val="18"/>
        </w:numPr>
      </w:pPr>
      <w:r>
        <w:t>Length of Vehicles</w:t>
      </w:r>
    </w:p>
    <w:p w14:paraId="76786FC2" w14:textId="4D79DA59" w:rsidR="00546655" w:rsidRDefault="00FB2FC4" w:rsidP="00546655">
      <w:pPr>
        <w:pStyle w:val="Paragrafoelenco"/>
        <w:numPr>
          <w:ilvl w:val="0"/>
          <w:numId w:val="18"/>
        </w:numPr>
      </w:pPr>
      <w:r>
        <w:t>Localization of</w:t>
      </w:r>
      <w:r w:rsidR="00546655">
        <w:t xml:space="preserve"> Depots</w:t>
      </w:r>
    </w:p>
    <w:p w14:paraId="56BA6C0F" w14:textId="24CE61CF" w:rsidR="0051451F" w:rsidRDefault="0051451F" w:rsidP="00546655">
      <w:pPr>
        <w:pStyle w:val="Paragrafoelenco"/>
        <w:numPr>
          <w:ilvl w:val="0"/>
          <w:numId w:val="18"/>
        </w:numPr>
      </w:pPr>
      <w:r>
        <w:t>Vehicles*kilometers</w:t>
      </w:r>
    </w:p>
    <w:p w14:paraId="3F8F9A93" w14:textId="67C87C09" w:rsidR="00FB2FC4" w:rsidRDefault="00FB2FC4" w:rsidP="00FB2FC4"/>
    <w:p w14:paraId="114B6015" w14:textId="03EDA7B5" w:rsidR="00FB2FC4" w:rsidRDefault="00FB2FC4" w:rsidP="00FB2FC4">
      <w:r>
        <w:t xml:space="preserve">Jurisdictional borders, like Province Borders are the </w:t>
      </w:r>
      <w:r w:rsidR="007E17AD">
        <w:t>first element to be considered. Then the sub areas should be chosen with similar and comparable characteristics between each other. Similar number of inhabitants, similar average age and length of the fleet should be assigned to each sub area. In addition, it’s necessary to have depots well distributed all over the different zones.</w:t>
      </w:r>
      <w:r w:rsidR="0051451F">
        <w:t xml:space="preserve"> QGIS software aided this part of the analysis.</w:t>
      </w:r>
    </w:p>
    <w:p w14:paraId="14C5734C" w14:textId="08F46964" w:rsidR="00546655" w:rsidRDefault="00546655" w:rsidP="003456CF"/>
    <w:p w14:paraId="237BD867" w14:textId="1B8B6978" w:rsidR="00546655" w:rsidRDefault="00546655" w:rsidP="003456CF">
      <w:r>
        <w:t xml:space="preserve">The next phase </w:t>
      </w:r>
      <w:r w:rsidR="007E17AD">
        <w:t>consists</w:t>
      </w:r>
      <w:r>
        <w:t xml:space="preserve"> in understanding how many vehicles</w:t>
      </w:r>
      <w:r w:rsidR="007E17AD">
        <w:t>, every year,</w:t>
      </w:r>
      <w:r>
        <w:t xml:space="preserve"> must be replaced with new ones</w:t>
      </w:r>
      <w:r w:rsidR="007E17AD">
        <w:t>.</w:t>
      </w:r>
    </w:p>
    <w:p w14:paraId="3A1F12CD" w14:textId="22C0BCC5" w:rsidR="00546655" w:rsidRDefault="00546655" w:rsidP="003456CF">
      <w:r>
        <w:t>The old vehicles are replaced when they reach 15 years or when they are the oldest in a fleet with more than 7,5 average ages.</w:t>
      </w:r>
      <w:r w:rsidR="007E17AD">
        <w:t xml:space="preserve"> To keep the average age below this threshold some vehicles encounter a premature substitution.</w:t>
      </w:r>
    </w:p>
    <w:p w14:paraId="0782B761" w14:textId="0B0DD9DB" w:rsidR="00546655" w:rsidRDefault="00546655" w:rsidP="003456CF">
      <w:r>
        <w:t xml:space="preserve">In this way a calculation on the busses to be bought is made with the distinction between Urban and Extra urban </w:t>
      </w:r>
      <w:r w:rsidR="007E17AD">
        <w:t>in</w:t>
      </w:r>
      <w:r>
        <w:t xml:space="preserve"> the different Basins (</w:t>
      </w:r>
      <w:r w:rsidR="007E17AD">
        <w:t>that are analyzed</w:t>
      </w:r>
      <w:r>
        <w:t xml:space="preserve"> </w:t>
      </w:r>
      <w:r w:rsidR="007E17AD">
        <w:t>s</w:t>
      </w:r>
      <w:r>
        <w:t>eparately</w:t>
      </w:r>
      <w:r w:rsidR="007E17AD">
        <w:t xml:space="preserve"> from now on</w:t>
      </w:r>
      <w:r>
        <w:t>).</w:t>
      </w:r>
    </w:p>
    <w:p w14:paraId="3636EA8C" w14:textId="73D0D5F2" w:rsidR="00546655" w:rsidRDefault="00546655" w:rsidP="003456CF"/>
    <w:p w14:paraId="2DACA3FE" w14:textId="4D0B1789" w:rsidR="00546655" w:rsidRDefault="00546655" w:rsidP="003456CF">
      <w:r>
        <w:t>Last Phase consists in the definition and simulation of the different Scenarios.</w:t>
      </w:r>
    </w:p>
    <w:p w14:paraId="3D92B365" w14:textId="2745A79F" w:rsidR="00546655" w:rsidRDefault="00546655" w:rsidP="003456CF"/>
    <w:p w14:paraId="363C390F" w14:textId="767E5F16" w:rsidR="001215AC" w:rsidRDefault="001215AC" w:rsidP="003456CF">
      <w:r w:rsidRPr="00605DB5">
        <w:t xml:space="preserve">The </w:t>
      </w:r>
      <w:r w:rsidR="00605DB5" w:rsidRPr="00605DB5">
        <w:t xml:space="preserve">different </w:t>
      </w:r>
      <w:r w:rsidR="00605DB5">
        <w:t>scenarios propose alternative ways to substitute the old vehicles of the sub basins.</w:t>
      </w:r>
    </w:p>
    <w:p w14:paraId="16FD83F7" w14:textId="65455558" w:rsidR="00605DB5" w:rsidRDefault="00605DB5" w:rsidP="003456CF">
      <w:r>
        <w:t xml:space="preserve">The have two degrees of freedom on which they can vary between: WHAT technology and WHEN </w:t>
      </w:r>
      <w:r>
        <w:lastRenderedPageBreak/>
        <w:t xml:space="preserve">to apply it. (WHEN can have of course different trends: </w:t>
      </w:r>
      <w:proofErr w:type="gramStart"/>
      <w:r w:rsidR="00E412E5">
        <w:t>e.g.</w:t>
      </w:r>
      <w:proofErr w:type="gramEnd"/>
      <w:r>
        <w:t xml:space="preserve"> steady, progressive, all-in-one-year…).</w:t>
      </w:r>
    </w:p>
    <w:p w14:paraId="2612F4E0" w14:textId="7C013AFF" w:rsidR="00605DB5" w:rsidRDefault="00605DB5" w:rsidP="003456CF">
      <w:r>
        <w:t xml:space="preserve">The Scenarios are called upon the main technologies they want to introduce. </w:t>
      </w:r>
    </w:p>
    <w:p w14:paraId="56414FE2" w14:textId="7AFE7C9B" w:rsidR="00605DB5" w:rsidRDefault="00F2318B" w:rsidP="003456CF">
      <w:r>
        <w:t>Also,</w:t>
      </w:r>
      <w:r w:rsidR="00605DB5">
        <w:t xml:space="preserve"> some benchmark scenario</w:t>
      </w:r>
      <w:r>
        <w:t>s</w:t>
      </w:r>
      <w:r w:rsidR="00605DB5">
        <w:t xml:space="preserve"> that focus on a single technology should be calculated </w:t>
      </w:r>
      <w:r>
        <w:t>to</w:t>
      </w:r>
      <w:r w:rsidR="00605DB5">
        <w:t xml:space="preserve"> </w:t>
      </w:r>
      <w:r>
        <w:t>enrich the final analysis.</w:t>
      </w:r>
    </w:p>
    <w:p w14:paraId="2AD87863" w14:textId="3838F523" w:rsidR="00605DB5" w:rsidRPr="00605DB5" w:rsidRDefault="00605DB5" w:rsidP="003456CF"/>
    <w:p w14:paraId="6A77A4E4" w14:textId="30A56B93" w:rsidR="009E73F5" w:rsidRDefault="00F2318B" w:rsidP="00042776">
      <w:r>
        <w:t>One last constrain is related to the fact that t</w:t>
      </w:r>
      <w:r w:rsidR="00546655">
        <w:t xml:space="preserve">he scenarios considered </w:t>
      </w:r>
      <w:r w:rsidR="00E61225">
        <w:t xml:space="preserve">must deal with the local distribution of depots in all the sub basins. </w:t>
      </w:r>
    </w:p>
    <w:p w14:paraId="5116A97F" w14:textId="1D0D7698" w:rsidR="00F2318B" w:rsidRDefault="00F2318B" w:rsidP="00042776">
      <w:r>
        <w:t>It’s more realistic to have one single Bus-technology in every depot (</w:t>
      </w:r>
      <w:proofErr w:type="gramStart"/>
      <w:r>
        <w:t>e.g.</w:t>
      </w:r>
      <w:proofErr w:type="gramEnd"/>
      <w:r>
        <w:t xml:space="preserve"> Electric Busses Depot, Fuel Cell Busses Depot…) for the simplification of logistics and workers’ specialization. For this </w:t>
      </w:r>
      <w:r w:rsidR="00B840FC">
        <w:t>reason,</w:t>
      </w:r>
      <w:r>
        <w:t xml:space="preserve"> the scenarios proposed should define what technology will be hosted in</w:t>
      </w:r>
      <w:r w:rsidR="00167048">
        <w:t xml:space="preserve"> all the depots at the end of the 12 years.</w:t>
      </w:r>
    </w:p>
    <w:p w14:paraId="1CB3E864" w14:textId="1B9A8C2A" w:rsidR="00F2318B" w:rsidRDefault="00F2318B" w:rsidP="00042776"/>
    <w:p w14:paraId="4159ED15" w14:textId="75E6885A" w:rsidR="00A72368" w:rsidRDefault="0030136F" w:rsidP="00E510D3">
      <w:pPr>
        <w:pStyle w:val="Titolo1"/>
        <w:numPr>
          <w:ilvl w:val="0"/>
          <w:numId w:val="12"/>
        </w:numPr>
        <w:ind w:left="851" w:hanging="851"/>
        <w:rPr>
          <w:lang w:val="it-IT"/>
        </w:rPr>
      </w:pPr>
      <w:r w:rsidRPr="0030136F">
        <w:rPr>
          <w:lang w:val="it-IT"/>
        </w:rPr>
        <w:t xml:space="preserve">Application to Como Lecco Varese </w:t>
      </w:r>
      <w:r>
        <w:rPr>
          <w:lang w:val="it-IT"/>
        </w:rPr>
        <w:t>Basin</w:t>
      </w:r>
    </w:p>
    <w:p w14:paraId="38039528" w14:textId="285C425F" w:rsidR="00AF6569" w:rsidRDefault="00E61225" w:rsidP="00E61225">
      <w:r w:rsidRPr="00E61225">
        <w:t xml:space="preserve">The Como Lecco Varese Basin is chosen as the </w:t>
      </w:r>
      <w:r>
        <w:t xml:space="preserve">Case study to apply this methodology and to evaluate </w:t>
      </w:r>
      <w:r w:rsidR="00167048">
        <w:t xml:space="preserve">through the Life Cycle Financial </w:t>
      </w:r>
      <w:r w:rsidR="00F06FAE">
        <w:t>Analysis the</w:t>
      </w:r>
      <w:r>
        <w:t xml:space="preserve"> introduction of the different Bus technologies.</w:t>
      </w:r>
    </w:p>
    <w:p w14:paraId="33150D97" w14:textId="52291686" w:rsidR="005C49CF" w:rsidRDefault="005C49CF" w:rsidP="00E61225"/>
    <w:p w14:paraId="49B72D8D" w14:textId="7C695B31" w:rsidR="005C49CF" w:rsidRDefault="005C49CF" w:rsidP="005C49CF">
      <w:r>
        <w:t>In Data Collection phase a big contribut</w:t>
      </w:r>
      <w:r w:rsidR="00F06FAE">
        <w:t>ion</w:t>
      </w:r>
      <w:r>
        <w:t xml:space="preserve"> was delivered by the Local </w:t>
      </w:r>
      <w:r w:rsidR="00F06FAE">
        <w:t>institution</w:t>
      </w:r>
      <w:r>
        <w:t xml:space="preserve"> who provided the data regarding the Bus Lines and their characteristics (Number of Vehicles, Distance, Vehicles per kilometer and Frequency). They also provided information about the composition of the bus fleet with many relative attributes: Age of the Vehicle, Length, Powertrain technology and urban/Extra urban distinction.</w:t>
      </w:r>
    </w:p>
    <w:p w14:paraId="40475729" w14:textId="33708396" w:rsidR="00F06FAE" w:rsidRDefault="00F06FAE" w:rsidP="005C49CF"/>
    <w:p w14:paraId="2D826D04" w14:textId="77777777" w:rsidR="003D5766" w:rsidRDefault="003D5766" w:rsidP="005C49CF">
      <w:r>
        <w:rPr>
          <w:noProof/>
        </w:rPr>
        <w:drawing>
          <wp:anchor distT="0" distB="0" distL="114300" distR="114300" simplePos="0" relativeHeight="251664384" behindDoc="0" locked="0" layoutInCell="1" allowOverlap="1" wp14:anchorId="184D6F2C" wp14:editId="51D713D4">
            <wp:simplePos x="0" y="0"/>
            <wp:positionH relativeFrom="column">
              <wp:posOffset>396652</wp:posOffset>
            </wp:positionH>
            <wp:positionV relativeFrom="paragraph">
              <wp:posOffset>630108</wp:posOffset>
            </wp:positionV>
            <wp:extent cx="1976755" cy="1823720"/>
            <wp:effectExtent l="0" t="0" r="4445" b="5080"/>
            <wp:wrapTopAndBottom/>
            <wp:docPr id="2" name="Immagine 2"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mappa&#10;&#10;Descrizione generata automa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76755" cy="1823720"/>
                    </a:xfrm>
                    <a:prstGeom prst="rect">
                      <a:avLst/>
                    </a:prstGeom>
                  </pic:spPr>
                </pic:pic>
              </a:graphicData>
            </a:graphic>
            <wp14:sizeRelH relativeFrom="page">
              <wp14:pctWidth>0</wp14:pctWidth>
            </wp14:sizeRelH>
            <wp14:sizeRelV relativeFrom="page">
              <wp14:pctHeight>0</wp14:pctHeight>
            </wp14:sizeRelV>
          </wp:anchor>
        </w:drawing>
      </w:r>
      <w:r w:rsidR="00F06FAE">
        <w:t xml:space="preserve">The Area of Study was divided considering the jurisdictional borders between Como Province, </w:t>
      </w:r>
      <w:r w:rsidR="003900B4">
        <w:t xml:space="preserve">Lecco Province and Varese Province. </w:t>
      </w:r>
    </w:p>
    <w:p w14:paraId="456F1C1E" w14:textId="77777777" w:rsidR="003D5766" w:rsidRDefault="003D5766" w:rsidP="005C49CF"/>
    <w:p w14:paraId="4CD10C30" w14:textId="7F9D0253" w:rsidR="00F06FAE" w:rsidRDefault="003900B4" w:rsidP="005C49CF">
      <w:r>
        <w:t>While all the Lecco Province was grouped in one sub basin Como and Varese were spitted in two.</w:t>
      </w:r>
    </w:p>
    <w:p w14:paraId="2CB05E0F" w14:textId="327A6604" w:rsidR="00AF6569" w:rsidRDefault="003900B4" w:rsidP="00E61225">
      <w:r>
        <w:t xml:space="preserve">The division was done accurately </w:t>
      </w:r>
      <w:r w:rsidR="00922EE2">
        <w:t xml:space="preserve">to have the same population in the different sub areas, a similar average age </w:t>
      </w:r>
      <w:r w:rsidR="00B840FC">
        <w:t>of the fleet and an equal distribution of depots.</w:t>
      </w:r>
    </w:p>
    <w:p w14:paraId="67B9EE9D" w14:textId="298A30AE" w:rsidR="00B840FC" w:rsidRDefault="00B840FC" w:rsidP="00E61225"/>
    <w:p w14:paraId="357A55DC" w14:textId="668080D2" w:rsidR="00B840FC" w:rsidRDefault="00B840FC" w:rsidP="00E61225">
      <w:r>
        <w:t>According to the 15-maximum years and 7,5-average year constraints it was possible to calculate the number of busses to be bought every year in the different sub basins.</w:t>
      </w:r>
    </w:p>
    <w:p w14:paraId="6ADADFB0" w14:textId="69C45640" w:rsidR="00B840FC" w:rsidRDefault="00B840FC" w:rsidP="00E61225"/>
    <w:p w14:paraId="0D12CE37" w14:textId="485F20C5" w:rsidR="003D5766" w:rsidRDefault="00B840FC" w:rsidP="00E61225">
      <w:r>
        <w:t xml:space="preserve">At first the benchmark scenarios were calculated, </w:t>
      </w:r>
      <w:r w:rsidR="00F42EEC">
        <w:t>with these technologies and these results:</w:t>
      </w:r>
    </w:p>
    <w:p w14:paraId="4AACC409" w14:textId="4A7648FC" w:rsidR="00F42EEC" w:rsidRDefault="00F42EEC" w:rsidP="00E61225"/>
    <w:p w14:paraId="5F9E2E10" w14:textId="14CD292B" w:rsidR="00F42EEC" w:rsidRDefault="00F42EEC" w:rsidP="00E61225">
      <w:r>
        <w:t>Urban:</w:t>
      </w:r>
    </w:p>
    <w:p w14:paraId="1DB11843" w14:textId="77777777" w:rsidR="00F42EEC" w:rsidRDefault="00F42EEC" w:rsidP="00E61225"/>
    <w:p w14:paraId="61628BA1" w14:textId="44858E4E" w:rsidR="00F42EEC" w:rsidRDefault="00010F32" w:rsidP="00E61225">
      <w:r>
        <w:rPr>
          <w:noProof/>
        </w:rPr>
        <w:drawing>
          <wp:inline distT="0" distB="0" distL="0" distR="0" wp14:anchorId="52B10E44" wp14:editId="49246205">
            <wp:extent cx="2835275" cy="1707515"/>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35275" cy="1707515"/>
                    </a:xfrm>
                    <a:prstGeom prst="rect">
                      <a:avLst/>
                    </a:prstGeom>
                  </pic:spPr>
                </pic:pic>
              </a:graphicData>
            </a:graphic>
          </wp:inline>
        </w:drawing>
      </w:r>
    </w:p>
    <w:p w14:paraId="70C0626A" w14:textId="21B00A46" w:rsidR="006A0962" w:rsidRDefault="006A0962" w:rsidP="00E61225"/>
    <w:p w14:paraId="0B22B42E" w14:textId="53DD4A24" w:rsidR="00B840FC" w:rsidRDefault="00F42EEC" w:rsidP="00E61225">
      <w:r>
        <w:t>Suburban:</w:t>
      </w:r>
    </w:p>
    <w:p w14:paraId="6B723898" w14:textId="17F2002E" w:rsidR="00F42EEC" w:rsidRDefault="00F42EEC" w:rsidP="00E61225"/>
    <w:p w14:paraId="39FD99FC" w14:textId="10258EF0" w:rsidR="00F42EEC" w:rsidRDefault="00010F32" w:rsidP="00E61225">
      <w:r>
        <w:rPr>
          <w:noProof/>
        </w:rPr>
        <w:drawing>
          <wp:inline distT="0" distB="0" distL="0" distR="0" wp14:anchorId="0BE95858" wp14:editId="5813A9A8">
            <wp:extent cx="2835275" cy="1707515"/>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35275" cy="1707515"/>
                    </a:xfrm>
                    <a:prstGeom prst="rect">
                      <a:avLst/>
                    </a:prstGeom>
                  </pic:spPr>
                </pic:pic>
              </a:graphicData>
            </a:graphic>
          </wp:inline>
        </w:drawing>
      </w:r>
    </w:p>
    <w:p w14:paraId="4FD37BFD" w14:textId="609905A8" w:rsidR="00E61225" w:rsidRDefault="00E61225" w:rsidP="00E61225"/>
    <w:p w14:paraId="10A09127" w14:textId="04F7E5F3" w:rsidR="00E650C7" w:rsidRDefault="00E650C7" w:rsidP="00E650C7">
      <w:r>
        <w:t>The new-technology scenarios, both in urban and extra urban context, that requires less efforts in financial terms are CNG Busses</w:t>
      </w:r>
      <w:r w:rsidR="00010F32">
        <w:t xml:space="preserve"> (beside Diesel of course)</w:t>
      </w:r>
    </w:p>
    <w:p w14:paraId="7D9ADBAB" w14:textId="03F08A09" w:rsidR="00E650C7" w:rsidRDefault="00E650C7" w:rsidP="00E650C7"/>
    <w:p w14:paraId="3DEC253B" w14:textId="2A47315D" w:rsidR="003D5766" w:rsidRDefault="00010F32" w:rsidP="00E650C7">
      <w:r>
        <w:t>BEB (Battery Electric Busses) Scenarios</w:t>
      </w:r>
      <w:r w:rsidR="003D5766">
        <w:t xml:space="preserve"> accounts for Depot Charging </w:t>
      </w:r>
      <w:r>
        <w:t>Technology</w:t>
      </w:r>
      <w:r w:rsidR="003D5766">
        <w:t xml:space="preserve">: with 350 kWh for Urban </w:t>
      </w:r>
      <w:r w:rsidR="00BE048A">
        <w:t>contest and 650 kWh for Suburban one.</w:t>
      </w:r>
    </w:p>
    <w:p w14:paraId="1E680770" w14:textId="77777777" w:rsidR="00BE048A" w:rsidRDefault="00BE048A" w:rsidP="00E650C7"/>
    <w:p w14:paraId="08B970D6" w14:textId="164505BA" w:rsidR="00E650C7" w:rsidRDefault="00E650C7" w:rsidP="00E650C7">
      <w:r>
        <w:t xml:space="preserve">Hydrogen Busses are still a complicate solution to be applied for the immediate future, indeed they </w:t>
      </w:r>
      <w:r>
        <w:lastRenderedPageBreak/>
        <w:t xml:space="preserve">turn to be more expensive in all the </w:t>
      </w:r>
      <w:r w:rsidR="003D5766">
        <w:t>cycle life phases from the acquisition to their operational and dismissal phase.</w:t>
      </w:r>
    </w:p>
    <w:p w14:paraId="64C51357" w14:textId="43208C4C" w:rsidR="003D5766" w:rsidRDefault="003D5766" w:rsidP="00E650C7"/>
    <w:p w14:paraId="52B3291C" w14:textId="4CD50CBF" w:rsidR="003D5766" w:rsidRDefault="003D5766" w:rsidP="00E650C7">
      <w:r>
        <w:t xml:space="preserve">The </w:t>
      </w:r>
      <w:r w:rsidR="00010F32">
        <w:t xml:space="preserve">Real </w:t>
      </w:r>
      <w:r>
        <w:t>Scenarios simulated instead are the following</w:t>
      </w:r>
      <w:r w:rsidR="00010F32">
        <w:t>:</w:t>
      </w:r>
    </w:p>
    <w:p w14:paraId="2456E6D6" w14:textId="34E2655A" w:rsidR="00076628" w:rsidRDefault="00076628" w:rsidP="00E650C7"/>
    <w:tbl>
      <w:tblPr>
        <w:tblStyle w:val="Grigliatabella"/>
        <w:tblW w:w="0" w:type="auto"/>
        <w:tblInd w:w="-5" w:type="dxa"/>
        <w:tblLook w:val="04A0" w:firstRow="1" w:lastRow="0" w:firstColumn="1" w:lastColumn="0" w:noHBand="0" w:noVBand="1"/>
      </w:tblPr>
      <w:tblGrid>
        <w:gridCol w:w="1134"/>
        <w:gridCol w:w="1701"/>
        <w:gridCol w:w="1625"/>
      </w:tblGrid>
      <w:tr w:rsidR="00076628" w14:paraId="3EAE62CC" w14:textId="77777777" w:rsidTr="00076628">
        <w:tc>
          <w:tcPr>
            <w:tcW w:w="1134" w:type="dxa"/>
          </w:tcPr>
          <w:p w14:paraId="09A58DD7" w14:textId="698791C6" w:rsidR="00076628" w:rsidRDefault="00076628" w:rsidP="00076628">
            <w:pPr>
              <w:jc w:val="center"/>
              <w:rPr>
                <w:lang w:val="en-CA"/>
              </w:rPr>
            </w:pPr>
            <w:r>
              <w:rPr>
                <w:lang w:val="en-CA"/>
              </w:rPr>
              <w:t>Scenario</w:t>
            </w:r>
            <w:r>
              <w:rPr>
                <w:lang w:val="en-CA"/>
              </w:rPr>
              <w:t>s</w:t>
            </w:r>
          </w:p>
        </w:tc>
        <w:tc>
          <w:tcPr>
            <w:tcW w:w="1701" w:type="dxa"/>
            <w:shd w:val="clear" w:color="auto" w:fill="EDEDED" w:themeFill="accent3" w:themeFillTint="33"/>
          </w:tcPr>
          <w:p w14:paraId="2F3F21E3" w14:textId="10F05158" w:rsidR="00076628" w:rsidRDefault="00076628" w:rsidP="00076628">
            <w:pPr>
              <w:jc w:val="center"/>
              <w:rPr>
                <w:lang w:val="en-CA"/>
              </w:rPr>
            </w:pPr>
            <w:r>
              <w:rPr>
                <w:lang w:val="en-CA"/>
              </w:rPr>
              <w:t>Urban</w:t>
            </w:r>
          </w:p>
        </w:tc>
        <w:tc>
          <w:tcPr>
            <w:tcW w:w="1625" w:type="dxa"/>
            <w:shd w:val="clear" w:color="auto" w:fill="E2EFD9" w:themeFill="accent6" w:themeFillTint="33"/>
          </w:tcPr>
          <w:p w14:paraId="2403BE75" w14:textId="6E6D4C79" w:rsidR="00076628" w:rsidRDefault="00076628" w:rsidP="00076628">
            <w:pPr>
              <w:jc w:val="center"/>
              <w:rPr>
                <w:lang w:val="en-CA"/>
              </w:rPr>
            </w:pPr>
            <w:r>
              <w:rPr>
                <w:lang w:val="en-CA"/>
              </w:rPr>
              <w:t>Extra Urban</w:t>
            </w:r>
          </w:p>
        </w:tc>
      </w:tr>
      <w:tr w:rsidR="00076628" w14:paraId="0534A53E" w14:textId="77777777" w:rsidTr="00076628">
        <w:tc>
          <w:tcPr>
            <w:tcW w:w="1134" w:type="dxa"/>
          </w:tcPr>
          <w:p w14:paraId="43111336" w14:textId="77777777" w:rsidR="00076628" w:rsidRDefault="00076628" w:rsidP="00076628">
            <w:pPr>
              <w:jc w:val="center"/>
              <w:rPr>
                <w:lang w:val="en-CA"/>
              </w:rPr>
            </w:pPr>
            <w:r>
              <w:rPr>
                <w:lang w:val="en-CA"/>
              </w:rPr>
              <w:t>A</w:t>
            </w:r>
          </w:p>
        </w:tc>
        <w:tc>
          <w:tcPr>
            <w:tcW w:w="1701" w:type="dxa"/>
          </w:tcPr>
          <w:p w14:paraId="011AD610" w14:textId="77777777" w:rsidR="00076628" w:rsidRDefault="00076628" w:rsidP="00076628">
            <w:pPr>
              <w:jc w:val="center"/>
              <w:rPr>
                <w:lang w:val="en-CA"/>
              </w:rPr>
            </w:pPr>
            <w:r>
              <w:rPr>
                <w:lang w:val="en-CA"/>
              </w:rPr>
              <w:t>Diesel</w:t>
            </w:r>
          </w:p>
        </w:tc>
        <w:tc>
          <w:tcPr>
            <w:tcW w:w="1625" w:type="dxa"/>
          </w:tcPr>
          <w:p w14:paraId="7D92D650" w14:textId="77777777" w:rsidR="00076628" w:rsidRDefault="00076628" w:rsidP="00076628">
            <w:pPr>
              <w:jc w:val="center"/>
              <w:rPr>
                <w:lang w:val="en-CA"/>
              </w:rPr>
            </w:pPr>
            <w:r>
              <w:rPr>
                <w:lang w:val="en-CA"/>
              </w:rPr>
              <w:t>Diesel</w:t>
            </w:r>
          </w:p>
        </w:tc>
      </w:tr>
      <w:tr w:rsidR="00076628" w14:paraId="64B6C628" w14:textId="77777777" w:rsidTr="00076628">
        <w:tc>
          <w:tcPr>
            <w:tcW w:w="1134" w:type="dxa"/>
          </w:tcPr>
          <w:p w14:paraId="4FB3E303" w14:textId="77777777" w:rsidR="00076628" w:rsidRDefault="00076628" w:rsidP="00076628">
            <w:pPr>
              <w:jc w:val="center"/>
              <w:rPr>
                <w:lang w:val="en-CA"/>
              </w:rPr>
            </w:pPr>
            <w:r>
              <w:rPr>
                <w:lang w:val="en-CA"/>
              </w:rPr>
              <w:t>B</w:t>
            </w:r>
          </w:p>
        </w:tc>
        <w:tc>
          <w:tcPr>
            <w:tcW w:w="1701" w:type="dxa"/>
          </w:tcPr>
          <w:p w14:paraId="4318B95D" w14:textId="77777777" w:rsidR="00076628" w:rsidRDefault="00076628" w:rsidP="00076628">
            <w:pPr>
              <w:jc w:val="center"/>
              <w:rPr>
                <w:lang w:val="en-CA"/>
              </w:rPr>
            </w:pPr>
            <w:r>
              <w:rPr>
                <w:lang w:val="en-CA"/>
              </w:rPr>
              <w:t>BEB</w:t>
            </w:r>
          </w:p>
        </w:tc>
        <w:tc>
          <w:tcPr>
            <w:tcW w:w="1625" w:type="dxa"/>
          </w:tcPr>
          <w:p w14:paraId="268C055F" w14:textId="77777777" w:rsidR="00076628" w:rsidRDefault="00076628" w:rsidP="00076628">
            <w:pPr>
              <w:jc w:val="center"/>
              <w:rPr>
                <w:lang w:val="en-CA"/>
              </w:rPr>
            </w:pPr>
            <w:r>
              <w:rPr>
                <w:lang w:val="en-CA"/>
              </w:rPr>
              <w:t>LNG</w:t>
            </w:r>
          </w:p>
        </w:tc>
      </w:tr>
      <w:tr w:rsidR="00076628" w14:paraId="00A7B4CA" w14:textId="77777777" w:rsidTr="00076628">
        <w:tc>
          <w:tcPr>
            <w:tcW w:w="1134" w:type="dxa"/>
          </w:tcPr>
          <w:p w14:paraId="52DCD2A8" w14:textId="77777777" w:rsidR="00076628" w:rsidRDefault="00076628" w:rsidP="00076628">
            <w:pPr>
              <w:jc w:val="center"/>
              <w:rPr>
                <w:lang w:val="en-CA"/>
              </w:rPr>
            </w:pPr>
            <w:r>
              <w:rPr>
                <w:lang w:val="en-CA"/>
              </w:rPr>
              <w:t>C</w:t>
            </w:r>
          </w:p>
        </w:tc>
        <w:tc>
          <w:tcPr>
            <w:tcW w:w="1701" w:type="dxa"/>
          </w:tcPr>
          <w:p w14:paraId="7C8A66F9" w14:textId="77777777" w:rsidR="00076628" w:rsidRDefault="00076628" w:rsidP="00076628">
            <w:pPr>
              <w:jc w:val="center"/>
              <w:rPr>
                <w:lang w:val="en-CA"/>
              </w:rPr>
            </w:pPr>
            <w:r>
              <w:rPr>
                <w:lang w:val="en-CA"/>
              </w:rPr>
              <w:t>BEB</w:t>
            </w:r>
          </w:p>
        </w:tc>
        <w:tc>
          <w:tcPr>
            <w:tcW w:w="1625" w:type="dxa"/>
          </w:tcPr>
          <w:p w14:paraId="649D4688" w14:textId="77777777" w:rsidR="00076628" w:rsidRDefault="00076628" w:rsidP="00076628">
            <w:pPr>
              <w:jc w:val="center"/>
              <w:rPr>
                <w:lang w:val="en-CA"/>
              </w:rPr>
            </w:pPr>
            <w:r>
              <w:rPr>
                <w:lang w:val="en-CA"/>
              </w:rPr>
              <w:t>Diesel</w:t>
            </w:r>
          </w:p>
        </w:tc>
      </w:tr>
      <w:tr w:rsidR="00076628" w14:paraId="4C272F3F" w14:textId="77777777" w:rsidTr="00076628">
        <w:tc>
          <w:tcPr>
            <w:tcW w:w="1134" w:type="dxa"/>
          </w:tcPr>
          <w:p w14:paraId="3CCF53A5" w14:textId="77777777" w:rsidR="00076628" w:rsidRDefault="00076628" w:rsidP="00076628">
            <w:pPr>
              <w:jc w:val="center"/>
              <w:rPr>
                <w:lang w:val="en-CA"/>
              </w:rPr>
            </w:pPr>
            <w:r>
              <w:rPr>
                <w:lang w:val="en-CA"/>
              </w:rPr>
              <w:t>D</w:t>
            </w:r>
          </w:p>
        </w:tc>
        <w:tc>
          <w:tcPr>
            <w:tcW w:w="1701" w:type="dxa"/>
          </w:tcPr>
          <w:p w14:paraId="78C8A580" w14:textId="77777777" w:rsidR="00076628" w:rsidRDefault="00076628" w:rsidP="00076628">
            <w:pPr>
              <w:jc w:val="center"/>
              <w:rPr>
                <w:lang w:val="en-CA"/>
              </w:rPr>
            </w:pPr>
            <w:r>
              <w:rPr>
                <w:lang w:val="en-CA"/>
              </w:rPr>
              <w:t>LNG</w:t>
            </w:r>
          </w:p>
        </w:tc>
        <w:tc>
          <w:tcPr>
            <w:tcW w:w="1625" w:type="dxa"/>
          </w:tcPr>
          <w:p w14:paraId="44820C85" w14:textId="77777777" w:rsidR="00076628" w:rsidRDefault="00076628" w:rsidP="00076628">
            <w:pPr>
              <w:jc w:val="center"/>
              <w:rPr>
                <w:lang w:val="en-CA"/>
              </w:rPr>
            </w:pPr>
            <w:r>
              <w:rPr>
                <w:lang w:val="en-CA"/>
              </w:rPr>
              <w:t>LNG</w:t>
            </w:r>
          </w:p>
        </w:tc>
      </w:tr>
      <w:tr w:rsidR="00076628" w14:paraId="39D16DF7" w14:textId="77777777" w:rsidTr="00076628">
        <w:tc>
          <w:tcPr>
            <w:tcW w:w="1134" w:type="dxa"/>
          </w:tcPr>
          <w:p w14:paraId="164C5111" w14:textId="77777777" w:rsidR="00076628" w:rsidRDefault="00076628" w:rsidP="00076628">
            <w:pPr>
              <w:jc w:val="center"/>
              <w:rPr>
                <w:lang w:val="en-CA"/>
              </w:rPr>
            </w:pPr>
            <w:r>
              <w:rPr>
                <w:lang w:val="en-CA"/>
              </w:rPr>
              <w:t>E</w:t>
            </w:r>
          </w:p>
        </w:tc>
        <w:tc>
          <w:tcPr>
            <w:tcW w:w="1701" w:type="dxa"/>
          </w:tcPr>
          <w:p w14:paraId="08CEB01A" w14:textId="77777777" w:rsidR="00076628" w:rsidRDefault="00076628" w:rsidP="00076628">
            <w:pPr>
              <w:jc w:val="center"/>
              <w:rPr>
                <w:lang w:val="en-CA"/>
              </w:rPr>
            </w:pPr>
            <w:r>
              <w:rPr>
                <w:lang w:val="en-CA"/>
              </w:rPr>
              <w:t>Hydrogen</w:t>
            </w:r>
          </w:p>
        </w:tc>
        <w:tc>
          <w:tcPr>
            <w:tcW w:w="1625" w:type="dxa"/>
          </w:tcPr>
          <w:p w14:paraId="7C468E63" w14:textId="77777777" w:rsidR="00076628" w:rsidRDefault="00076628" w:rsidP="00076628">
            <w:pPr>
              <w:jc w:val="center"/>
              <w:rPr>
                <w:lang w:val="en-CA"/>
              </w:rPr>
            </w:pPr>
            <w:r>
              <w:rPr>
                <w:lang w:val="en-CA"/>
              </w:rPr>
              <w:t>LNG</w:t>
            </w:r>
          </w:p>
        </w:tc>
      </w:tr>
      <w:tr w:rsidR="00076628" w14:paraId="5C136BDC" w14:textId="77777777" w:rsidTr="00076628">
        <w:tc>
          <w:tcPr>
            <w:tcW w:w="1134" w:type="dxa"/>
          </w:tcPr>
          <w:p w14:paraId="32747C44" w14:textId="77777777" w:rsidR="00076628" w:rsidRDefault="00076628" w:rsidP="00076628">
            <w:pPr>
              <w:jc w:val="center"/>
              <w:rPr>
                <w:lang w:val="en-CA"/>
              </w:rPr>
            </w:pPr>
            <w:r>
              <w:rPr>
                <w:lang w:val="en-CA"/>
              </w:rPr>
              <w:t>F</w:t>
            </w:r>
          </w:p>
        </w:tc>
        <w:tc>
          <w:tcPr>
            <w:tcW w:w="1701" w:type="dxa"/>
          </w:tcPr>
          <w:p w14:paraId="39D006E2" w14:textId="77777777" w:rsidR="00076628" w:rsidRDefault="00076628" w:rsidP="00076628">
            <w:pPr>
              <w:jc w:val="center"/>
              <w:rPr>
                <w:lang w:val="en-CA"/>
              </w:rPr>
            </w:pPr>
            <w:r>
              <w:rPr>
                <w:lang w:val="en-CA"/>
              </w:rPr>
              <w:t>Hydrogen</w:t>
            </w:r>
          </w:p>
        </w:tc>
        <w:tc>
          <w:tcPr>
            <w:tcW w:w="1625" w:type="dxa"/>
          </w:tcPr>
          <w:p w14:paraId="7CA4DF32" w14:textId="77777777" w:rsidR="00076628" w:rsidRDefault="00076628" w:rsidP="00076628">
            <w:pPr>
              <w:jc w:val="center"/>
              <w:rPr>
                <w:lang w:val="en-CA"/>
              </w:rPr>
            </w:pPr>
            <w:r>
              <w:rPr>
                <w:lang w:val="en-CA"/>
              </w:rPr>
              <w:t>Hydrogen</w:t>
            </w:r>
          </w:p>
        </w:tc>
      </w:tr>
    </w:tbl>
    <w:p w14:paraId="2E98021C" w14:textId="1895CACF" w:rsidR="003D5766" w:rsidRDefault="003D5766" w:rsidP="00E650C7"/>
    <w:p w14:paraId="4EC82DC8" w14:textId="77777777" w:rsidR="00821BE0" w:rsidRDefault="00076628" w:rsidP="00E650C7">
      <w:r>
        <w:t xml:space="preserve">Same considerations were applied both to real scenarios and benchmark scenarios where the investment of the new vehicles is gradually overtaken year by year according to the specific bus demand. </w:t>
      </w:r>
    </w:p>
    <w:p w14:paraId="4E4669E6" w14:textId="7262AE5E" w:rsidR="00821BE0" w:rsidRDefault="00821BE0" w:rsidP="00E650C7">
      <w:r>
        <w:t>Instead,</w:t>
      </w:r>
      <w:r w:rsidR="00076628">
        <w:t xml:space="preserve"> the investment in infrastructural is less linear since the technologies to charge/ fuel vehicles are acquired in lots due to the unfeasibility of </w:t>
      </w:r>
      <w:r>
        <w:t>modulating the implementation of depots year by year. These critical masses were considered:</w:t>
      </w:r>
    </w:p>
    <w:p w14:paraId="50C39ADD" w14:textId="51ED9434" w:rsidR="00821BE0" w:rsidRDefault="00821BE0" w:rsidP="00E650C7">
      <w:r>
        <w:t>-BEB: 10 depot charging points</w:t>
      </w:r>
    </w:p>
    <w:p w14:paraId="225B5F84" w14:textId="565B4F5D" w:rsidR="00821BE0" w:rsidRDefault="00821BE0" w:rsidP="00E650C7">
      <w:r>
        <w:t>-CNG and LNG: equivalent for charging 15 busses</w:t>
      </w:r>
    </w:p>
    <w:p w14:paraId="080096EE" w14:textId="7F296709" w:rsidR="00821BE0" w:rsidRDefault="00821BE0" w:rsidP="00E650C7">
      <w:r>
        <w:t>-Hydrogen: equivalent for charging 10 busses</w:t>
      </w:r>
    </w:p>
    <w:p w14:paraId="65D65068" w14:textId="77777777" w:rsidR="00955763" w:rsidRDefault="00955763" w:rsidP="00E650C7"/>
    <w:p w14:paraId="5ED725E4" w14:textId="057E7A57" w:rsidR="00EB6722" w:rsidRDefault="00821BE0" w:rsidP="00E650C7">
      <w:r>
        <w:t>With such considerations these</w:t>
      </w:r>
      <w:r w:rsidR="00EB6722">
        <w:t xml:space="preserve"> scenarios were simulated and led to the following results: </w:t>
      </w:r>
    </w:p>
    <w:p w14:paraId="6131EEB6" w14:textId="77777777" w:rsidR="00EB6722" w:rsidRDefault="00EB6722" w:rsidP="00E650C7"/>
    <w:p w14:paraId="34E5F04C" w14:textId="0DE4A27B" w:rsidR="00955763" w:rsidRDefault="00821BE0" w:rsidP="00E650C7">
      <w:r w:rsidRPr="00821BE0">
        <w:drawing>
          <wp:inline distT="0" distB="0" distL="0" distR="0" wp14:anchorId="722E8A26" wp14:editId="5DB1DED3">
            <wp:extent cx="2835275" cy="1235710"/>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835275" cy="1235710"/>
                    </a:xfrm>
                    <a:prstGeom prst="rect">
                      <a:avLst/>
                    </a:prstGeom>
                  </pic:spPr>
                </pic:pic>
              </a:graphicData>
            </a:graphic>
          </wp:inline>
        </w:drawing>
      </w:r>
    </w:p>
    <w:p w14:paraId="1739F173" w14:textId="01796369" w:rsidR="0081185D" w:rsidRDefault="0081185D" w:rsidP="00E650C7"/>
    <w:p w14:paraId="28E75D68" w14:textId="7A4F78E9" w:rsidR="0081185D" w:rsidRDefault="0081185D" w:rsidP="00E650C7">
      <w:r>
        <w:t>With the graphical representation below:</w:t>
      </w:r>
    </w:p>
    <w:p w14:paraId="4288BB8A" w14:textId="55A14243" w:rsidR="00BE048A" w:rsidRDefault="00BE048A" w:rsidP="00E61225"/>
    <w:p w14:paraId="4A5CA92C" w14:textId="77777777" w:rsidR="0081185D" w:rsidRDefault="0081185D" w:rsidP="00E61225">
      <w:r>
        <w:rPr>
          <w:noProof/>
        </w:rPr>
        <w:drawing>
          <wp:inline distT="0" distB="0" distL="0" distR="0" wp14:anchorId="0BEC0306" wp14:editId="0EBFB967">
            <wp:extent cx="2835275" cy="1478915"/>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835275" cy="1478915"/>
                    </a:xfrm>
                    <a:prstGeom prst="rect">
                      <a:avLst/>
                    </a:prstGeom>
                  </pic:spPr>
                </pic:pic>
              </a:graphicData>
            </a:graphic>
          </wp:inline>
        </w:drawing>
      </w:r>
    </w:p>
    <w:p w14:paraId="3568BB42" w14:textId="77777777" w:rsidR="0081185D" w:rsidRDefault="0081185D" w:rsidP="00E61225"/>
    <w:p w14:paraId="38D05313" w14:textId="5FD2CF54" w:rsidR="003B3BD8" w:rsidRDefault="00821BE0" w:rsidP="00E61225">
      <w:r>
        <w:t>Scenario A that is the fusion of two Diesel benchmark scenarios, one for urban and the other for extraurban case, is the most economical solution.</w:t>
      </w:r>
    </w:p>
    <w:p w14:paraId="6453182C" w14:textId="55DE694C" w:rsidR="003B3BD8" w:rsidRDefault="00821BE0" w:rsidP="00E61225">
      <w:r>
        <w:t>Hydrogen vehicles instead require the highest amount of investment to be deployed on the CoLcVa basin. The DLCC is almost doubled.</w:t>
      </w:r>
    </w:p>
    <w:p w14:paraId="507A5CC1" w14:textId="01453148" w:rsidR="0081185D" w:rsidRDefault="0081185D" w:rsidP="00E61225"/>
    <w:p w14:paraId="5680507A" w14:textId="106D7F2D" w:rsidR="0081185D" w:rsidRPr="0081185D" w:rsidRDefault="0081185D" w:rsidP="00E61225">
      <w:r w:rsidRPr="0081185D">
        <w:t>Scenario C presents a viable alternative to the full</w:t>
      </w:r>
      <w:r>
        <w:t>-diesel solution. With the additional investment of 110 million euros, it’s possible to convert the whole urban fleet of the basin in electric vehicles by 2033.</w:t>
      </w:r>
    </w:p>
    <w:p w14:paraId="28104CA7" w14:textId="1C4AA3E8" w:rsidR="003B3BD8" w:rsidRPr="0081185D" w:rsidRDefault="003B3BD8" w:rsidP="00E61225"/>
    <w:p w14:paraId="5F171A5A" w14:textId="6421CEC1" w:rsidR="003B3BD8" w:rsidRPr="0081185D" w:rsidRDefault="003B3BD8" w:rsidP="00E61225"/>
    <w:p w14:paraId="4EBB6A34" w14:textId="14E2B93A" w:rsidR="00C245B9" w:rsidRDefault="00C245B9" w:rsidP="00E510D3">
      <w:pPr>
        <w:pStyle w:val="Titolo1"/>
        <w:numPr>
          <w:ilvl w:val="0"/>
          <w:numId w:val="12"/>
        </w:numPr>
        <w:ind w:left="851" w:hanging="851"/>
      </w:pPr>
      <w:r>
        <w:t>Conclusions</w:t>
      </w:r>
    </w:p>
    <w:p w14:paraId="58E8A60F" w14:textId="17D44D96" w:rsidR="00E61225" w:rsidRDefault="00F33B96" w:rsidP="00E61225">
      <w:r>
        <w:t xml:space="preserve">Predicting what technologies will be used tomorrow in the Public Transportation System is not an easy job. It’s even harder since many promising and innovative solutions are making their way in this </w:t>
      </w:r>
      <w:r w:rsidR="00861864">
        <w:t>unexpected</w:t>
      </w:r>
      <w:r>
        <w:t xml:space="preserve"> competition</w:t>
      </w:r>
      <w:r w:rsidR="00861864">
        <w:t xml:space="preserve"> every year</w:t>
      </w:r>
      <w:r>
        <w:t>.</w:t>
      </w:r>
    </w:p>
    <w:p w14:paraId="4571956B" w14:textId="317DF912" w:rsidR="00F33B96" w:rsidRDefault="00F33B96" w:rsidP="00E61225"/>
    <w:p w14:paraId="48C90127" w14:textId="3C91E923" w:rsidR="00F33B96" w:rsidRDefault="00F33B96" w:rsidP="00E61225">
      <w:r>
        <w:t xml:space="preserve">Still, it is important to aid the institutions and public bodies with straightforward and comprehensible methods for assessing this upcoming transition. </w:t>
      </w:r>
    </w:p>
    <w:p w14:paraId="767747D6" w14:textId="590BE52F" w:rsidR="00F33B96" w:rsidRDefault="00F33B96" w:rsidP="00E61225"/>
    <w:p w14:paraId="38643370" w14:textId="08C42DA5" w:rsidR="00F33B96" w:rsidRDefault="00F33B96" w:rsidP="00E61225">
      <w:r>
        <w:t>Life Cycle Financial Analysis guarantees a critical and direct view of the possible economic consequences of adopting one solution instead of the others.</w:t>
      </w:r>
    </w:p>
    <w:p w14:paraId="6917C1EB" w14:textId="4F77504D" w:rsidR="00F33B96" w:rsidRDefault="00F33B96" w:rsidP="00E61225"/>
    <w:p w14:paraId="2F508472" w14:textId="71BCE7D4" w:rsidR="00F33B96" w:rsidRDefault="00F33B96" w:rsidP="00E61225">
      <w:r>
        <w:t>Whereas the environmental sustainability of Battery Electric Busses</w:t>
      </w:r>
      <w:r w:rsidR="009B2A1E">
        <w:t>, Fuel Cell Busses other and innovative Fuel vehicles is left to other studies, this paper highlights effectively the amount of funds that are necessary to promote these new technologies.</w:t>
      </w:r>
    </w:p>
    <w:p w14:paraId="7716B383" w14:textId="3CF1A067" w:rsidR="009B2A1E" w:rsidRDefault="009B2A1E" w:rsidP="00E61225"/>
    <w:p w14:paraId="1CA353FB" w14:textId="2965B21F" w:rsidR="009B2A1E" w:rsidRDefault="009B2A1E" w:rsidP="00E61225">
      <w:r>
        <w:t xml:space="preserve">Battery Electric Busses require a big initial investment for the vehicles and the infrastructure, but they guarantee big money savings during the operational phase. </w:t>
      </w:r>
    </w:p>
    <w:p w14:paraId="3D6F0D3A" w14:textId="685B4C39" w:rsidR="009B2A1E" w:rsidRDefault="009B2A1E" w:rsidP="00E61225"/>
    <w:p w14:paraId="118824F7" w14:textId="46649EB1" w:rsidR="009B2A1E" w:rsidRDefault="009B2A1E" w:rsidP="00E61225">
      <w:r>
        <w:t>LNG and Hydrogen Busses must face an investment cost that is still not competitive</w:t>
      </w:r>
      <w:r w:rsidR="00861864">
        <w:t xml:space="preserve"> up today.</w:t>
      </w:r>
    </w:p>
    <w:p w14:paraId="275A4676" w14:textId="02A7DEF6" w:rsidR="009B2A1E" w:rsidRDefault="009B2A1E" w:rsidP="00E61225">
      <w:r>
        <w:t>Also, the maintenance of LNG vehicles is quite money demanding and makes it less appetizing than its “roaring” CNG version.</w:t>
      </w:r>
    </w:p>
    <w:p w14:paraId="7D21406E" w14:textId="7FB1BD96" w:rsidR="009B2A1E" w:rsidRDefault="009B2A1E" w:rsidP="00E61225"/>
    <w:p w14:paraId="60C31D8C" w14:textId="2591059B" w:rsidR="009B2A1E" w:rsidRPr="00E61225" w:rsidRDefault="009B2A1E" w:rsidP="00E61225">
      <w:r>
        <w:t>This paper leaves space for further developments in the direction of a Multi Criteria Decision Analysis. It could represent a valuable tool for public debate across the different stakeholders involved. An efficient assignment of weights to the different criteria could lead to an another effective single-output value, easily comparable through the different scenarios.</w:t>
      </w:r>
    </w:p>
    <w:p w14:paraId="25920B61" w14:textId="3E1535BD" w:rsidR="00513972" w:rsidRDefault="00513972" w:rsidP="00E510D3">
      <w:pPr>
        <w:pStyle w:val="Titolo1"/>
        <w:numPr>
          <w:ilvl w:val="0"/>
          <w:numId w:val="12"/>
        </w:numPr>
        <w:ind w:left="851" w:hanging="851"/>
      </w:pPr>
      <w:r>
        <w:t xml:space="preserve">Bibliography </w:t>
      </w:r>
    </w:p>
    <w:p w14:paraId="023ED528" w14:textId="4E518AC8" w:rsidR="00042776" w:rsidRPr="00042776" w:rsidRDefault="005D262E" w:rsidP="00513972">
      <w:pPr>
        <w:pStyle w:val="Titolo1"/>
        <w:ind w:left="431" w:hanging="431"/>
      </w:pPr>
      <w:r>
        <w:t>R</w:t>
      </w:r>
      <w:r w:rsidR="00042776" w:rsidRPr="00042776">
        <w:t>eference</w:t>
      </w:r>
      <w:r w:rsidR="009E722B">
        <w:t>s</w:t>
      </w:r>
    </w:p>
    <w:p w14:paraId="53C6BD84" w14:textId="02D6C0BD" w:rsidR="006629CA" w:rsidRPr="006629CA" w:rsidRDefault="006629CA" w:rsidP="006629CA">
      <w:pPr>
        <w:spacing w:after="160" w:line="259" w:lineRule="auto"/>
        <w:jc w:val="left"/>
      </w:pPr>
      <w:r w:rsidRPr="006629CA">
        <w:rPr>
          <w:lang w:val="it-IT"/>
        </w:rPr>
        <w:t xml:space="preserve">Pelletier, S., Jabali, O., Mendoza, J. E., &amp; Laporte, G. (2019). </w:t>
      </w:r>
      <w:r w:rsidRPr="006629CA">
        <w:t xml:space="preserve">The electric bus fleet transition problem. </w:t>
      </w:r>
    </w:p>
    <w:p w14:paraId="5D5CD1A6" w14:textId="46D2EF82" w:rsidR="006629CA" w:rsidRPr="006629CA" w:rsidRDefault="006629CA" w:rsidP="006629CA">
      <w:pPr>
        <w:spacing w:after="160" w:line="259" w:lineRule="auto"/>
        <w:jc w:val="left"/>
      </w:pPr>
      <w:r w:rsidRPr="006629CA">
        <w:t xml:space="preserve">Tzeng, G. H., Lin, C. W., &amp; Opricovic, S. (2005). Multi-criteria analysis of alternative-fuel buses for public transportation. </w:t>
      </w:r>
    </w:p>
    <w:p w14:paraId="322FD571" w14:textId="23D2FC26" w:rsidR="006629CA" w:rsidRPr="006629CA" w:rsidRDefault="006629CA" w:rsidP="006629CA">
      <w:pPr>
        <w:spacing w:after="160" w:line="259" w:lineRule="auto"/>
        <w:jc w:val="left"/>
      </w:pPr>
      <w:r w:rsidRPr="006629CA">
        <w:t xml:space="preserve">Jefferies, D., &amp; Göhlich, D. (2020). A comprehensive TCO evaluation method for electric bus systems based on discrete-event simulation including bus scheduling and charging infrastructure </w:t>
      </w:r>
      <w:r w:rsidR="0042298F" w:rsidRPr="006629CA">
        <w:t>optimization</w:t>
      </w:r>
      <w:r w:rsidRPr="006629CA">
        <w:t xml:space="preserve">. </w:t>
      </w:r>
    </w:p>
    <w:p w14:paraId="79A7FEED" w14:textId="6FCA0539" w:rsidR="00C245B9" w:rsidRDefault="006629CA">
      <w:pPr>
        <w:spacing w:after="160" w:line="259" w:lineRule="auto"/>
        <w:jc w:val="left"/>
      </w:pPr>
      <w:r w:rsidRPr="006629CA">
        <w:rPr>
          <w:lang w:val="it-IT"/>
        </w:rPr>
        <w:t xml:space="preserve">Gutiérrez, L. R., de Vicente Oliva, M. A., &amp; Romero-Ania, A. (2021). </w:t>
      </w:r>
      <w:r w:rsidRPr="006629CA">
        <w:t xml:space="preserve">Managing sustainable urban public transport systems: An AHP multicriteria decision model. </w:t>
      </w:r>
    </w:p>
    <w:p w14:paraId="08908DB8" w14:textId="3FE02470" w:rsidR="00C245B9" w:rsidRPr="00237707" w:rsidRDefault="00E61225" w:rsidP="00C245B9">
      <w:pPr>
        <w:pStyle w:val="Titolo1"/>
        <w:numPr>
          <w:ilvl w:val="0"/>
          <w:numId w:val="12"/>
        </w:numPr>
        <w:ind w:left="567" w:hanging="567"/>
      </w:pPr>
      <w:r w:rsidRPr="00237707">
        <w:t>Acknowledgements</w:t>
      </w:r>
    </w:p>
    <w:p w14:paraId="66F99B6B" w14:textId="5FD6B463" w:rsidR="00CF30C4" w:rsidRDefault="006629CA">
      <w:pPr>
        <w:spacing w:after="160" w:line="259" w:lineRule="auto"/>
        <w:jc w:val="left"/>
      </w:pPr>
      <w:r>
        <w:t xml:space="preserve">I’d like to thank Professor Pierluigi Coppola and Eng. Francesco De Fabiis for their constant and sincere support. Thanks to Alice, my family and friends that empower me every day with their joyful and </w:t>
      </w:r>
      <w:r w:rsidR="0042298F">
        <w:t>passionate</w:t>
      </w:r>
      <w:r>
        <w:t xml:space="preserve"> vivacity.</w:t>
      </w:r>
    </w:p>
    <w:sectPr w:rsidR="00CF30C4" w:rsidSect="001E5706">
      <w:headerReference w:type="default" r:id="rId16"/>
      <w:type w:val="continuous"/>
      <w:pgSz w:w="11906" w:h="16838"/>
      <w:pgMar w:top="1417" w:right="1134" w:bottom="1134" w:left="1134" w:header="709" w:footer="709" w:gutter="0"/>
      <w:cols w:num="2"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89696B" w14:textId="77777777" w:rsidR="00334AD2" w:rsidRDefault="00334AD2" w:rsidP="00417952">
      <w:r>
        <w:separator/>
      </w:r>
    </w:p>
  </w:endnote>
  <w:endnote w:type="continuationSeparator" w:id="0">
    <w:p w14:paraId="211FE1E7" w14:textId="77777777" w:rsidR="00334AD2" w:rsidRDefault="00334AD2" w:rsidP="004179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Univers">
    <w:panose1 w:val="020B0503020202020204"/>
    <w:charset w:val="00"/>
    <w:family w:val="swiss"/>
    <w:pitch w:val="variable"/>
    <w:sig w:usb0="80000287" w:usb1="00000000" w:usb2="00000000" w:usb3="00000000" w:csb0="0000000F" w:csb1="00000000"/>
  </w:font>
  <w:font w:name="Calibri Light">
    <w:panose1 w:val="020F0302020204030204"/>
    <w:charset w:val="00"/>
    <w:family w:val="swiss"/>
    <w:pitch w:val="variable"/>
    <w:sig w:usb0="E0002AFF" w:usb1="C000247B" w:usb2="00000009" w:usb3="00000000" w:csb0="000001FF" w:csb1="00000000"/>
  </w:font>
  <w:font w:name="Gotham-Medium">
    <w:altName w:val="Calibri"/>
    <w:panose1 w:val="020B0604020202020204"/>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4532694"/>
      <w:docPartObj>
        <w:docPartGallery w:val="Page Numbers (Bottom of Page)"/>
        <w:docPartUnique/>
      </w:docPartObj>
    </w:sdtPr>
    <w:sdtEndPr/>
    <w:sdtContent>
      <w:p w14:paraId="690A4F17" w14:textId="65A6C550" w:rsidR="00417952" w:rsidRDefault="00417952">
        <w:pPr>
          <w:pStyle w:val="Pidipagina"/>
          <w:jc w:val="center"/>
        </w:pPr>
        <w:r>
          <w:fldChar w:fldCharType="begin"/>
        </w:r>
        <w:r>
          <w:instrText>PAGE   \* MERGEFORMAT</w:instrText>
        </w:r>
        <w:r>
          <w:fldChar w:fldCharType="separate"/>
        </w:r>
        <w:r>
          <w:rPr>
            <w:lang w:val="it-IT"/>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93B336" w14:textId="77777777" w:rsidR="00334AD2" w:rsidRDefault="00334AD2" w:rsidP="00417952">
      <w:r>
        <w:separator/>
      </w:r>
    </w:p>
  </w:footnote>
  <w:footnote w:type="continuationSeparator" w:id="0">
    <w:p w14:paraId="6F931E33" w14:textId="77777777" w:rsidR="00334AD2" w:rsidRDefault="00334AD2" w:rsidP="004179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5B6"/>
      <w:tblLook w:val="04A0" w:firstRow="1" w:lastRow="0" w:firstColumn="1" w:lastColumn="0" w:noHBand="0" w:noVBand="1"/>
    </w:tblPr>
    <w:tblGrid>
      <w:gridCol w:w="4814"/>
      <w:gridCol w:w="4814"/>
    </w:tblGrid>
    <w:tr w:rsidR="00DB509B" w14:paraId="79171D07" w14:textId="77777777" w:rsidTr="00DB509B">
      <w:trPr>
        <w:trHeight w:val="397"/>
      </w:trPr>
      <w:tc>
        <w:tcPr>
          <w:tcW w:w="4814" w:type="dxa"/>
          <w:shd w:val="clear" w:color="auto" w:fill="8EA5B6"/>
          <w:vAlign w:val="center"/>
        </w:tcPr>
        <w:p w14:paraId="6E252174" w14:textId="6EDF698F" w:rsidR="00DB509B" w:rsidRPr="00DB509B" w:rsidRDefault="00DB509B" w:rsidP="00DB509B">
          <w:pPr>
            <w:jc w:val="left"/>
            <w:rPr>
              <w:b/>
              <w:bCs/>
              <w:color w:val="FFFFFF" w:themeColor="background1"/>
            </w:rPr>
          </w:pPr>
          <w:r w:rsidRPr="00DB509B">
            <w:rPr>
              <w:b/>
              <w:bCs/>
              <w:color w:val="FFFFFF" w:themeColor="background1"/>
            </w:rPr>
            <w:t>Executive summary</w:t>
          </w:r>
        </w:p>
      </w:tc>
      <w:tc>
        <w:tcPr>
          <w:tcW w:w="4814" w:type="dxa"/>
          <w:shd w:val="clear" w:color="auto" w:fill="8EA5B6"/>
          <w:vAlign w:val="center"/>
        </w:tcPr>
        <w:p w14:paraId="21815142" w14:textId="71849092" w:rsidR="00DB509B" w:rsidRPr="00DB509B" w:rsidRDefault="002A0A3A" w:rsidP="00DB509B">
          <w:pPr>
            <w:jc w:val="right"/>
            <w:rPr>
              <w:b/>
              <w:bCs/>
              <w:color w:val="FFFFFF" w:themeColor="background1"/>
            </w:rPr>
          </w:pPr>
          <w:r>
            <w:rPr>
              <w:b/>
              <w:bCs/>
              <w:color w:val="FFFFFF" w:themeColor="background1"/>
            </w:rPr>
            <w:t>Federico</w:t>
          </w:r>
          <w:r w:rsidR="00DB509B" w:rsidRPr="00DB509B">
            <w:rPr>
              <w:b/>
              <w:bCs/>
              <w:color w:val="FFFFFF" w:themeColor="background1"/>
            </w:rPr>
            <w:t xml:space="preserve"> </w:t>
          </w:r>
          <w:r>
            <w:rPr>
              <w:b/>
              <w:bCs/>
              <w:color w:val="FFFFFF" w:themeColor="background1"/>
            </w:rPr>
            <w:t>Baccaredda Boy</w:t>
          </w:r>
        </w:p>
      </w:tc>
    </w:tr>
  </w:tbl>
  <w:p w14:paraId="51502420" w14:textId="77777777" w:rsidR="00DB509B" w:rsidRDefault="00DB509B">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10BA3"/>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B227E72"/>
    <w:multiLevelType w:val="hybridMultilevel"/>
    <w:tmpl w:val="7B3401B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CA27617"/>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AAE7828"/>
    <w:multiLevelType w:val="hybridMultilevel"/>
    <w:tmpl w:val="BDAAAA2C"/>
    <w:lvl w:ilvl="0" w:tplc="AB766B42">
      <w:start w:val="1"/>
      <w:numFmt w:val="decimal"/>
      <w:lvlText w:val="%1. "/>
      <w:lvlJc w:val="left"/>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E6B3EE3"/>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FCF19BA"/>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5174721"/>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6B023F1"/>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8AF3384"/>
    <w:multiLevelType w:val="hybridMultilevel"/>
    <w:tmpl w:val="4454C2B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4CE22DA0"/>
    <w:multiLevelType w:val="hybridMultilevel"/>
    <w:tmpl w:val="1172ACE4"/>
    <w:lvl w:ilvl="0" w:tplc="4586826A">
      <w:start w:val="1"/>
      <w:numFmt w:val="upperLetter"/>
      <w:lvlText w:val="%1."/>
      <w:lvlJc w:val="left"/>
      <w:pPr>
        <w:ind w:left="720" w:hanging="360"/>
      </w:pPr>
      <w:rPr>
        <w:rFonts w:hint="default"/>
        <w:color w:val="728FA5"/>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7A47920"/>
    <w:multiLevelType w:val="multilevel"/>
    <w:tmpl w:val="04100027"/>
    <w:lvl w:ilvl="0">
      <w:start w:val="1"/>
      <w:numFmt w:val="upperRoman"/>
      <w:pStyle w:val="Titolo11"/>
      <w:lvlText w:val="%1."/>
      <w:lvlJc w:val="left"/>
      <w:rPr>
        <w:rFonts w:hint="default"/>
        <w:b w:val="0"/>
        <w:bCs w:val="0"/>
        <w:i w:val="0"/>
        <w:iCs w:val="0"/>
        <w:caps w:val="0"/>
        <w:smallCaps w:val="0"/>
        <w:strike w:val="0"/>
        <w:dstrike w:val="0"/>
        <w:vanish w:val="0"/>
        <w:color w:val="728FA5"/>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upperLetter"/>
      <w:pStyle w:val="Titolo21"/>
      <w:lvlText w:val="%2."/>
      <w:lvlJc w:val="left"/>
      <w:pPr>
        <w:ind w:left="720" w:firstLine="0"/>
      </w:pPr>
      <w:rPr>
        <w:rFonts w:hint="default"/>
      </w:rPr>
    </w:lvl>
    <w:lvl w:ilvl="2">
      <w:start w:val="1"/>
      <w:numFmt w:val="decimal"/>
      <w:pStyle w:val="Titolo31"/>
      <w:lvlText w:val="%3."/>
      <w:lvlJc w:val="left"/>
      <w:pPr>
        <w:ind w:left="1440" w:firstLine="0"/>
      </w:pPr>
      <w:rPr>
        <w:rFonts w:hint="default"/>
      </w:rPr>
    </w:lvl>
    <w:lvl w:ilvl="3">
      <w:start w:val="1"/>
      <w:numFmt w:val="lowerLetter"/>
      <w:pStyle w:val="Titolo41"/>
      <w:lvlText w:val="%4)"/>
      <w:lvlJc w:val="left"/>
      <w:pPr>
        <w:ind w:left="2160" w:firstLine="0"/>
      </w:pPr>
      <w:rPr>
        <w:rFonts w:hint="default"/>
      </w:rPr>
    </w:lvl>
    <w:lvl w:ilvl="4">
      <w:start w:val="1"/>
      <w:numFmt w:val="decimal"/>
      <w:pStyle w:val="Titolo51"/>
      <w:lvlText w:val="(%5)"/>
      <w:lvlJc w:val="left"/>
      <w:pPr>
        <w:ind w:left="2880" w:firstLine="0"/>
      </w:pPr>
      <w:rPr>
        <w:rFonts w:hint="default"/>
      </w:rPr>
    </w:lvl>
    <w:lvl w:ilvl="5">
      <w:start w:val="1"/>
      <w:numFmt w:val="lowerLetter"/>
      <w:pStyle w:val="Titolo61"/>
      <w:lvlText w:val="(%6)"/>
      <w:lvlJc w:val="left"/>
      <w:pPr>
        <w:ind w:left="3600" w:firstLine="0"/>
      </w:pPr>
      <w:rPr>
        <w:rFonts w:hint="default"/>
      </w:rPr>
    </w:lvl>
    <w:lvl w:ilvl="6">
      <w:start w:val="1"/>
      <w:numFmt w:val="lowerRoman"/>
      <w:pStyle w:val="Titolo71"/>
      <w:lvlText w:val="(%7)"/>
      <w:lvlJc w:val="left"/>
      <w:pPr>
        <w:ind w:left="4320" w:firstLine="0"/>
      </w:pPr>
      <w:rPr>
        <w:rFonts w:hint="default"/>
      </w:rPr>
    </w:lvl>
    <w:lvl w:ilvl="7">
      <w:start w:val="1"/>
      <w:numFmt w:val="lowerLetter"/>
      <w:pStyle w:val="Titolo81"/>
      <w:lvlText w:val="(%8)"/>
      <w:lvlJc w:val="left"/>
      <w:pPr>
        <w:ind w:left="5040" w:firstLine="0"/>
      </w:pPr>
      <w:rPr>
        <w:rFonts w:hint="default"/>
      </w:rPr>
    </w:lvl>
    <w:lvl w:ilvl="8">
      <w:start w:val="1"/>
      <w:numFmt w:val="lowerRoman"/>
      <w:pStyle w:val="Titolo91"/>
      <w:lvlText w:val="(%9)"/>
      <w:lvlJc w:val="left"/>
      <w:pPr>
        <w:ind w:left="5760" w:firstLine="0"/>
      </w:pPr>
      <w:rPr>
        <w:rFonts w:hint="default"/>
      </w:rPr>
    </w:lvl>
  </w:abstractNum>
  <w:abstractNum w:abstractNumId="11" w15:restartNumberingAfterBreak="0">
    <w:nsid w:val="58AF7D98"/>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F5C1D9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70C508B2"/>
    <w:multiLevelType w:val="hybridMultilevel"/>
    <w:tmpl w:val="8C8C600A"/>
    <w:lvl w:ilvl="0" w:tplc="4586826A">
      <w:start w:val="1"/>
      <w:numFmt w:val="upperLetter"/>
      <w:lvlText w:val="%1."/>
      <w:lvlJc w:val="left"/>
      <w:pPr>
        <w:ind w:left="720" w:hanging="360"/>
      </w:pPr>
      <w:rPr>
        <w:rFonts w:hint="default"/>
        <w:color w:val="728FA5"/>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9243EEE"/>
    <w:multiLevelType w:val="hybridMultilevel"/>
    <w:tmpl w:val="02AA83B4"/>
    <w:lvl w:ilvl="0" w:tplc="AB0C701E">
      <w:start w:val="1"/>
      <w:numFmt w:val="decimal"/>
      <w:lvlText w:val="%1."/>
      <w:lvlJc w:val="left"/>
      <w:pPr>
        <w:ind w:left="720" w:hanging="360"/>
      </w:pPr>
      <w:rPr>
        <w:rFonts w:hint="default"/>
        <w:color w:val="728FA5"/>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D4A41D9"/>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4"/>
  </w:num>
  <w:num w:numId="3">
    <w:abstractNumId w:val="3"/>
  </w:num>
  <w:num w:numId="4">
    <w:abstractNumId w:val="1"/>
  </w:num>
  <w:num w:numId="5">
    <w:abstractNumId w:val="14"/>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9"/>
  </w:num>
  <w:num w:numId="10">
    <w:abstractNumId w:val="5"/>
  </w:num>
  <w:num w:numId="11">
    <w:abstractNumId w:val="0"/>
  </w:num>
  <w:num w:numId="12">
    <w:abstractNumId w:val="2"/>
  </w:num>
  <w:num w:numId="13">
    <w:abstractNumId w:val="12"/>
  </w:num>
  <w:num w:numId="14">
    <w:abstractNumId w:val="15"/>
  </w:num>
  <w:num w:numId="15">
    <w:abstractNumId w:val="6"/>
  </w:num>
  <w:num w:numId="16">
    <w:abstractNumId w:val="11"/>
  </w:num>
  <w:num w:numId="17">
    <w:abstractNumId w:val="7"/>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4"/>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495"/>
    <w:rsid w:val="00010F32"/>
    <w:rsid w:val="0002135E"/>
    <w:rsid w:val="00036661"/>
    <w:rsid w:val="00042776"/>
    <w:rsid w:val="0004666B"/>
    <w:rsid w:val="00055241"/>
    <w:rsid w:val="000575DE"/>
    <w:rsid w:val="00076628"/>
    <w:rsid w:val="00081DC4"/>
    <w:rsid w:val="000B1114"/>
    <w:rsid w:val="00101C12"/>
    <w:rsid w:val="001153FB"/>
    <w:rsid w:val="0012015E"/>
    <w:rsid w:val="001215AC"/>
    <w:rsid w:val="001246B7"/>
    <w:rsid w:val="00156680"/>
    <w:rsid w:val="00167048"/>
    <w:rsid w:val="001750D2"/>
    <w:rsid w:val="001C40BF"/>
    <w:rsid w:val="001D27A1"/>
    <w:rsid w:val="001E5706"/>
    <w:rsid w:val="001F2374"/>
    <w:rsid w:val="00205638"/>
    <w:rsid w:val="002125CE"/>
    <w:rsid w:val="00237707"/>
    <w:rsid w:val="00237BD1"/>
    <w:rsid w:val="002719BC"/>
    <w:rsid w:val="0027500C"/>
    <w:rsid w:val="00296690"/>
    <w:rsid w:val="002A0A3A"/>
    <w:rsid w:val="002D1494"/>
    <w:rsid w:val="0030136F"/>
    <w:rsid w:val="00324C9D"/>
    <w:rsid w:val="00334AD2"/>
    <w:rsid w:val="003355BA"/>
    <w:rsid w:val="003456CF"/>
    <w:rsid w:val="0036419C"/>
    <w:rsid w:val="003900B4"/>
    <w:rsid w:val="003A79EC"/>
    <w:rsid w:val="003B17C0"/>
    <w:rsid w:val="003B3BD8"/>
    <w:rsid w:val="003D5766"/>
    <w:rsid w:val="00416F9E"/>
    <w:rsid w:val="00417952"/>
    <w:rsid w:val="0042298F"/>
    <w:rsid w:val="0047043E"/>
    <w:rsid w:val="00492762"/>
    <w:rsid w:val="00495AF7"/>
    <w:rsid w:val="004A0BD7"/>
    <w:rsid w:val="004B5B84"/>
    <w:rsid w:val="004F69A1"/>
    <w:rsid w:val="005018DE"/>
    <w:rsid w:val="0050240C"/>
    <w:rsid w:val="00513972"/>
    <w:rsid w:val="0051451F"/>
    <w:rsid w:val="00544367"/>
    <w:rsid w:val="00546655"/>
    <w:rsid w:val="00562B0D"/>
    <w:rsid w:val="005B51E6"/>
    <w:rsid w:val="005C49CF"/>
    <w:rsid w:val="005D00E0"/>
    <w:rsid w:val="005D262E"/>
    <w:rsid w:val="005D753B"/>
    <w:rsid w:val="00605DB5"/>
    <w:rsid w:val="00616971"/>
    <w:rsid w:val="00627643"/>
    <w:rsid w:val="00644DDF"/>
    <w:rsid w:val="006629CA"/>
    <w:rsid w:val="006A0962"/>
    <w:rsid w:val="006F3D4F"/>
    <w:rsid w:val="00715407"/>
    <w:rsid w:val="00722F19"/>
    <w:rsid w:val="007259E8"/>
    <w:rsid w:val="007569BF"/>
    <w:rsid w:val="007B276C"/>
    <w:rsid w:val="007B3D39"/>
    <w:rsid w:val="007B48D8"/>
    <w:rsid w:val="007B63C9"/>
    <w:rsid w:val="007C449E"/>
    <w:rsid w:val="007E17AD"/>
    <w:rsid w:val="007F6F00"/>
    <w:rsid w:val="0081185D"/>
    <w:rsid w:val="00813CE1"/>
    <w:rsid w:val="00821BE0"/>
    <w:rsid w:val="00833208"/>
    <w:rsid w:val="008355BB"/>
    <w:rsid w:val="00842F53"/>
    <w:rsid w:val="008445AC"/>
    <w:rsid w:val="00844F4A"/>
    <w:rsid w:val="00857FF9"/>
    <w:rsid w:val="00861864"/>
    <w:rsid w:val="00862DBD"/>
    <w:rsid w:val="00883632"/>
    <w:rsid w:val="00891264"/>
    <w:rsid w:val="008969B0"/>
    <w:rsid w:val="008B12BE"/>
    <w:rsid w:val="008C15E2"/>
    <w:rsid w:val="008D423B"/>
    <w:rsid w:val="009079A7"/>
    <w:rsid w:val="0091732B"/>
    <w:rsid w:val="00922EE2"/>
    <w:rsid w:val="00955763"/>
    <w:rsid w:val="00967F93"/>
    <w:rsid w:val="009B2A1E"/>
    <w:rsid w:val="009C2854"/>
    <w:rsid w:val="009D709D"/>
    <w:rsid w:val="009E1C0C"/>
    <w:rsid w:val="009E722B"/>
    <w:rsid w:val="009E73F5"/>
    <w:rsid w:val="009F18DA"/>
    <w:rsid w:val="009F3AC0"/>
    <w:rsid w:val="009F5D7F"/>
    <w:rsid w:val="00A15B6E"/>
    <w:rsid w:val="00A53F9F"/>
    <w:rsid w:val="00A72368"/>
    <w:rsid w:val="00A8260C"/>
    <w:rsid w:val="00A9649B"/>
    <w:rsid w:val="00AD7E21"/>
    <w:rsid w:val="00AF6569"/>
    <w:rsid w:val="00B402C4"/>
    <w:rsid w:val="00B41018"/>
    <w:rsid w:val="00B47653"/>
    <w:rsid w:val="00B60D3A"/>
    <w:rsid w:val="00B70407"/>
    <w:rsid w:val="00B840FC"/>
    <w:rsid w:val="00BA1708"/>
    <w:rsid w:val="00BA5762"/>
    <w:rsid w:val="00BE048A"/>
    <w:rsid w:val="00BE0495"/>
    <w:rsid w:val="00C245B9"/>
    <w:rsid w:val="00C2659B"/>
    <w:rsid w:val="00C532F4"/>
    <w:rsid w:val="00C7098D"/>
    <w:rsid w:val="00C91BA5"/>
    <w:rsid w:val="00C92469"/>
    <w:rsid w:val="00C965D1"/>
    <w:rsid w:val="00CB474E"/>
    <w:rsid w:val="00CE1852"/>
    <w:rsid w:val="00CF30C4"/>
    <w:rsid w:val="00D0574D"/>
    <w:rsid w:val="00D20192"/>
    <w:rsid w:val="00D564DB"/>
    <w:rsid w:val="00D91C96"/>
    <w:rsid w:val="00DA7C3B"/>
    <w:rsid w:val="00DB0CDA"/>
    <w:rsid w:val="00DB509B"/>
    <w:rsid w:val="00DB7307"/>
    <w:rsid w:val="00DC14D5"/>
    <w:rsid w:val="00DC4776"/>
    <w:rsid w:val="00DE1354"/>
    <w:rsid w:val="00DF46D1"/>
    <w:rsid w:val="00E24A92"/>
    <w:rsid w:val="00E412E5"/>
    <w:rsid w:val="00E510D3"/>
    <w:rsid w:val="00E61225"/>
    <w:rsid w:val="00E650C7"/>
    <w:rsid w:val="00EA6EDE"/>
    <w:rsid w:val="00EB5D02"/>
    <w:rsid w:val="00EB6722"/>
    <w:rsid w:val="00EC1BCB"/>
    <w:rsid w:val="00EC5669"/>
    <w:rsid w:val="00ED750D"/>
    <w:rsid w:val="00F02F1A"/>
    <w:rsid w:val="00F06FAE"/>
    <w:rsid w:val="00F130BD"/>
    <w:rsid w:val="00F2318B"/>
    <w:rsid w:val="00F33B96"/>
    <w:rsid w:val="00F36336"/>
    <w:rsid w:val="00F42EEC"/>
    <w:rsid w:val="00F444C7"/>
    <w:rsid w:val="00F50C3C"/>
    <w:rsid w:val="00F701D1"/>
    <w:rsid w:val="00FB2FC4"/>
    <w:rsid w:val="00FD1956"/>
    <w:rsid w:val="00FE0ED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B719C"/>
  <w15:docId w15:val="{E4F63CB7-9AB4-5649-8651-1851A76C7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E1C0C"/>
    <w:pPr>
      <w:spacing w:after="0" w:line="240" w:lineRule="auto"/>
      <w:jc w:val="both"/>
    </w:pPr>
    <w:rPr>
      <w:rFonts w:ascii="Palatino Linotype" w:hAnsi="Palatino Linotype"/>
      <w:sz w:val="20"/>
      <w:lang w:val="en-US"/>
    </w:rPr>
  </w:style>
  <w:style w:type="paragraph" w:styleId="Titolo1">
    <w:name w:val="heading 1"/>
    <w:basedOn w:val="Normale"/>
    <w:next w:val="Normale"/>
    <w:link w:val="Titolo1Carattere"/>
    <w:uiPriority w:val="9"/>
    <w:qFormat/>
    <w:rsid w:val="00E510D3"/>
    <w:pPr>
      <w:keepNext/>
      <w:keepLines/>
      <w:spacing w:before="240" w:after="240"/>
      <w:outlineLvl w:val="0"/>
    </w:pPr>
    <w:rPr>
      <w:rFonts w:ascii="Univers" w:eastAsiaTheme="majorEastAsia" w:hAnsi="Univers" w:cstheme="majorBidi"/>
      <w:color w:val="728FA5"/>
      <w:sz w:val="28"/>
      <w:szCs w:val="32"/>
    </w:rPr>
  </w:style>
  <w:style w:type="paragraph" w:styleId="Titolo2">
    <w:name w:val="heading 2"/>
    <w:basedOn w:val="Normale"/>
    <w:next w:val="Normale"/>
    <w:link w:val="Titolo2Carattere"/>
    <w:uiPriority w:val="9"/>
    <w:unhideWhenUsed/>
    <w:qFormat/>
    <w:rsid w:val="00E510D3"/>
    <w:pPr>
      <w:keepNext/>
      <w:keepLines/>
      <w:spacing w:before="240" w:after="240"/>
      <w:outlineLvl w:val="1"/>
    </w:pPr>
    <w:rPr>
      <w:rFonts w:ascii="Univers" w:eastAsiaTheme="majorEastAsia" w:hAnsi="Univers" w:cstheme="majorBidi"/>
      <w:color w:val="728FA5"/>
      <w:sz w:val="26"/>
      <w:szCs w:val="26"/>
    </w:rPr>
  </w:style>
  <w:style w:type="paragraph" w:styleId="Titolo3">
    <w:name w:val="heading 3"/>
    <w:basedOn w:val="Normale"/>
    <w:next w:val="Normale"/>
    <w:link w:val="Titolo3Carattere"/>
    <w:uiPriority w:val="9"/>
    <w:semiHidden/>
    <w:unhideWhenUsed/>
    <w:qFormat/>
    <w:rsid w:val="002719BC"/>
    <w:pPr>
      <w:keepNext/>
      <w:keepLines/>
      <w:spacing w:before="40"/>
      <w:outlineLvl w:val="2"/>
    </w:pPr>
    <w:rPr>
      <w:rFonts w:asciiTheme="majorHAnsi" w:eastAsiaTheme="majorEastAsia" w:hAnsiTheme="majorHAnsi" w:cstheme="majorBidi"/>
      <w:color w:val="1F3763" w:themeColor="accent1" w:themeShade="7F"/>
      <w:szCs w:val="24"/>
    </w:rPr>
  </w:style>
  <w:style w:type="paragraph" w:styleId="Titolo4">
    <w:name w:val="heading 4"/>
    <w:basedOn w:val="Normale"/>
    <w:next w:val="Normale"/>
    <w:link w:val="Titolo4Carattere"/>
    <w:uiPriority w:val="9"/>
    <w:semiHidden/>
    <w:unhideWhenUsed/>
    <w:qFormat/>
    <w:rsid w:val="002719BC"/>
    <w:pPr>
      <w:keepNext/>
      <w:keepLines/>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2719BC"/>
    <w:pPr>
      <w:keepNext/>
      <w:keepLines/>
      <w:spacing w:before="4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2719BC"/>
    <w:pPr>
      <w:keepNext/>
      <w:keepLines/>
      <w:spacing w:before="4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2719BC"/>
    <w:pPr>
      <w:keepNext/>
      <w:keepLines/>
      <w:spacing w:before="4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2719BC"/>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2719BC"/>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4A0B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E510D3"/>
    <w:rPr>
      <w:rFonts w:ascii="Univers" w:eastAsiaTheme="majorEastAsia" w:hAnsi="Univers" w:cstheme="majorBidi"/>
      <w:color w:val="728FA5"/>
      <w:sz w:val="28"/>
      <w:szCs w:val="32"/>
      <w:lang w:val="en-US"/>
    </w:rPr>
  </w:style>
  <w:style w:type="character" w:customStyle="1" w:styleId="Titolo2Carattere">
    <w:name w:val="Titolo 2 Carattere"/>
    <w:basedOn w:val="Carpredefinitoparagrafo"/>
    <w:link w:val="Titolo2"/>
    <w:uiPriority w:val="9"/>
    <w:rsid w:val="00E510D3"/>
    <w:rPr>
      <w:rFonts w:ascii="Univers" w:eastAsiaTheme="majorEastAsia" w:hAnsi="Univers" w:cstheme="majorBidi"/>
      <w:color w:val="728FA5"/>
      <w:sz w:val="26"/>
      <w:szCs w:val="26"/>
      <w:lang w:val="en-US"/>
    </w:rPr>
  </w:style>
  <w:style w:type="character" w:customStyle="1" w:styleId="Titolo3Carattere">
    <w:name w:val="Titolo 3 Carattere"/>
    <w:basedOn w:val="Carpredefinitoparagrafo"/>
    <w:link w:val="Titolo3"/>
    <w:uiPriority w:val="9"/>
    <w:semiHidden/>
    <w:rsid w:val="002719BC"/>
    <w:rPr>
      <w:rFonts w:asciiTheme="majorHAnsi" w:eastAsiaTheme="majorEastAsia" w:hAnsiTheme="majorHAnsi" w:cstheme="majorBidi"/>
      <w:color w:val="1F3763" w:themeColor="accent1" w:themeShade="7F"/>
      <w:sz w:val="24"/>
      <w:szCs w:val="24"/>
      <w:lang w:val="en-US"/>
    </w:rPr>
  </w:style>
  <w:style w:type="character" w:customStyle="1" w:styleId="Titolo4Carattere">
    <w:name w:val="Titolo 4 Carattere"/>
    <w:basedOn w:val="Carpredefinitoparagrafo"/>
    <w:link w:val="Titolo4"/>
    <w:uiPriority w:val="9"/>
    <w:semiHidden/>
    <w:rsid w:val="002719BC"/>
    <w:rPr>
      <w:rFonts w:asciiTheme="majorHAnsi" w:eastAsiaTheme="majorEastAsia" w:hAnsiTheme="majorHAnsi" w:cstheme="majorBidi"/>
      <w:i/>
      <w:iCs/>
      <w:color w:val="2F5496" w:themeColor="accent1" w:themeShade="BF"/>
      <w:sz w:val="24"/>
      <w:lang w:val="en-US"/>
    </w:rPr>
  </w:style>
  <w:style w:type="character" w:customStyle="1" w:styleId="Titolo5Carattere">
    <w:name w:val="Titolo 5 Carattere"/>
    <w:basedOn w:val="Carpredefinitoparagrafo"/>
    <w:link w:val="Titolo5"/>
    <w:uiPriority w:val="9"/>
    <w:semiHidden/>
    <w:rsid w:val="002719BC"/>
    <w:rPr>
      <w:rFonts w:asciiTheme="majorHAnsi" w:eastAsiaTheme="majorEastAsia" w:hAnsiTheme="majorHAnsi" w:cstheme="majorBidi"/>
      <w:color w:val="2F5496" w:themeColor="accent1" w:themeShade="BF"/>
      <w:sz w:val="24"/>
      <w:lang w:val="en-US"/>
    </w:rPr>
  </w:style>
  <w:style w:type="character" w:customStyle="1" w:styleId="Titolo6Carattere">
    <w:name w:val="Titolo 6 Carattere"/>
    <w:basedOn w:val="Carpredefinitoparagrafo"/>
    <w:link w:val="Titolo6"/>
    <w:uiPriority w:val="9"/>
    <w:semiHidden/>
    <w:rsid w:val="002719BC"/>
    <w:rPr>
      <w:rFonts w:asciiTheme="majorHAnsi" w:eastAsiaTheme="majorEastAsia" w:hAnsiTheme="majorHAnsi" w:cstheme="majorBidi"/>
      <w:color w:val="1F3763" w:themeColor="accent1" w:themeShade="7F"/>
      <w:sz w:val="24"/>
      <w:lang w:val="en-US"/>
    </w:rPr>
  </w:style>
  <w:style w:type="character" w:customStyle="1" w:styleId="Titolo7Carattere">
    <w:name w:val="Titolo 7 Carattere"/>
    <w:basedOn w:val="Carpredefinitoparagrafo"/>
    <w:link w:val="Titolo7"/>
    <w:uiPriority w:val="9"/>
    <w:semiHidden/>
    <w:rsid w:val="002719BC"/>
    <w:rPr>
      <w:rFonts w:asciiTheme="majorHAnsi" w:eastAsiaTheme="majorEastAsia" w:hAnsiTheme="majorHAnsi" w:cstheme="majorBidi"/>
      <w:i/>
      <w:iCs/>
      <w:color w:val="1F3763" w:themeColor="accent1" w:themeShade="7F"/>
      <w:sz w:val="24"/>
      <w:lang w:val="en-US"/>
    </w:rPr>
  </w:style>
  <w:style w:type="character" w:customStyle="1" w:styleId="Titolo8Carattere">
    <w:name w:val="Titolo 8 Carattere"/>
    <w:basedOn w:val="Carpredefinitoparagrafo"/>
    <w:link w:val="Titolo8"/>
    <w:uiPriority w:val="9"/>
    <w:semiHidden/>
    <w:rsid w:val="002719BC"/>
    <w:rPr>
      <w:rFonts w:asciiTheme="majorHAnsi" w:eastAsiaTheme="majorEastAsia" w:hAnsiTheme="majorHAnsi" w:cstheme="majorBidi"/>
      <w:color w:val="272727" w:themeColor="text1" w:themeTint="D8"/>
      <w:sz w:val="21"/>
      <w:szCs w:val="21"/>
      <w:lang w:val="en-US"/>
    </w:rPr>
  </w:style>
  <w:style w:type="character" w:customStyle="1" w:styleId="Titolo9Carattere">
    <w:name w:val="Titolo 9 Carattere"/>
    <w:basedOn w:val="Carpredefinitoparagrafo"/>
    <w:link w:val="Titolo9"/>
    <w:uiPriority w:val="9"/>
    <w:semiHidden/>
    <w:rsid w:val="002719BC"/>
    <w:rPr>
      <w:rFonts w:asciiTheme="majorHAnsi" w:eastAsiaTheme="majorEastAsia" w:hAnsiTheme="majorHAnsi" w:cstheme="majorBidi"/>
      <w:i/>
      <w:iCs/>
      <w:color w:val="272727" w:themeColor="text1" w:themeTint="D8"/>
      <w:sz w:val="21"/>
      <w:szCs w:val="21"/>
      <w:lang w:val="en-US"/>
    </w:rPr>
  </w:style>
  <w:style w:type="paragraph" w:customStyle="1" w:styleId="Body">
    <w:name w:val="Body"/>
    <w:basedOn w:val="Normale"/>
    <w:link w:val="BodyCarattere"/>
    <w:rsid w:val="002719BC"/>
    <w:pPr>
      <w:jc w:val="left"/>
    </w:pPr>
    <w:rPr>
      <w:rFonts w:asciiTheme="majorHAnsi" w:hAnsiTheme="majorHAnsi" w:cs="Gotham-Medium"/>
      <w:szCs w:val="38"/>
    </w:rPr>
  </w:style>
  <w:style w:type="character" w:customStyle="1" w:styleId="BodyCarattere">
    <w:name w:val="Body Carattere"/>
    <w:basedOn w:val="Carpredefinitoparagrafo"/>
    <w:link w:val="Body"/>
    <w:rsid w:val="002719BC"/>
    <w:rPr>
      <w:rFonts w:asciiTheme="majorHAnsi" w:hAnsiTheme="majorHAnsi" w:cs="Gotham-Medium"/>
      <w:sz w:val="24"/>
      <w:szCs w:val="38"/>
      <w:lang w:val="en-US"/>
    </w:rPr>
  </w:style>
  <w:style w:type="paragraph" w:styleId="Didascalia">
    <w:name w:val="caption"/>
    <w:basedOn w:val="Normale"/>
    <w:next w:val="Normale"/>
    <w:uiPriority w:val="35"/>
    <w:unhideWhenUsed/>
    <w:qFormat/>
    <w:rsid w:val="009F3AC0"/>
    <w:pPr>
      <w:spacing w:before="80" w:after="360"/>
      <w:jc w:val="center"/>
    </w:pPr>
    <w:rPr>
      <w:iCs/>
      <w:szCs w:val="18"/>
    </w:rPr>
  </w:style>
  <w:style w:type="paragraph" w:styleId="Intestazione">
    <w:name w:val="header"/>
    <w:basedOn w:val="Normale"/>
    <w:link w:val="IntestazioneCarattere"/>
    <w:uiPriority w:val="99"/>
    <w:unhideWhenUsed/>
    <w:rsid w:val="00417952"/>
    <w:pPr>
      <w:tabs>
        <w:tab w:val="center" w:pos="4819"/>
        <w:tab w:val="right" w:pos="9638"/>
      </w:tabs>
    </w:pPr>
  </w:style>
  <w:style w:type="character" w:customStyle="1" w:styleId="IntestazioneCarattere">
    <w:name w:val="Intestazione Carattere"/>
    <w:basedOn w:val="Carpredefinitoparagrafo"/>
    <w:link w:val="Intestazione"/>
    <w:uiPriority w:val="99"/>
    <w:rsid w:val="00417952"/>
    <w:rPr>
      <w:sz w:val="24"/>
      <w:lang w:val="en-US"/>
    </w:rPr>
  </w:style>
  <w:style w:type="paragraph" w:styleId="Pidipagina">
    <w:name w:val="footer"/>
    <w:basedOn w:val="Normale"/>
    <w:link w:val="PidipaginaCarattere"/>
    <w:uiPriority w:val="99"/>
    <w:unhideWhenUsed/>
    <w:rsid w:val="00417952"/>
    <w:pPr>
      <w:tabs>
        <w:tab w:val="center" w:pos="4819"/>
        <w:tab w:val="right" w:pos="9638"/>
      </w:tabs>
    </w:pPr>
  </w:style>
  <w:style w:type="character" w:customStyle="1" w:styleId="PidipaginaCarattere">
    <w:name w:val="Piè di pagina Carattere"/>
    <w:basedOn w:val="Carpredefinitoparagrafo"/>
    <w:link w:val="Pidipagina"/>
    <w:uiPriority w:val="99"/>
    <w:rsid w:val="00417952"/>
    <w:rPr>
      <w:sz w:val="24"/>
      <w:lang w:val="en-US"/>
    </w:rPr>
  </w:style>
  <w:style w:type="paragraph" w:styleId="Paragrafoelenco">
    <w:name w:val="List Paragraph"/>
    <w:basedOn w:val="Normale"/>
    <w:uiPriority w:val="34"/>
    <w:qFormat/>
    <w:rsid w:val="00A53F9F"/>
    <w:pPr>
      <w:ind w:left="720"/>
      <w:contextualSpacing/>
    </w:pPr>
  </w:style>
  <w:style w:type="character" w:styleId="Collegamentoipertestuale">
    <w:name w:val="Hyperlink"/>
    <w:basedOn w:val="Carpredefinitoparagrafo"/>
    <w:uiPriority w:val="99"/>
    <w:unhideWhenUsed/>
    <w:rsid w:val="00513972"/>
    <w:rPr>
      <w:color w:val="0563C1" w:themeColor="hyperlink"/>
      <w:u w:val="single"/>
    </w:rPr>
  </w:style>
  <w:style w:type="paragraph" w:customStyle="1" w:styleId="Titolo11">
    <w:name w:val="Titolo 11"/>
    <w:basedOn w:val="Normale"/>
    <w:rsid w:val="00492762"/>
    <w:pPr>
      <w:numPr>
        <w:numId w:val="1"/>
      </w:numPr>
    </w:pPr>
  </w:style>
  <w:style w:type="paragraph" w:customStyle="1" w:styleId="Titolo21">
    <w:name w:val="Titolo 21"/>
    <w:basedOn w:val="Normale"/>
    <w:rsid w:val="00492762"/>
    <w:pPr>
      <w:numPr>
        <w:ilvl w:val="1"/>
        <w:numId w:val="1"/>
      </w:numPr>
    </w:pPr>
  </w:style>
  <w:style w:type="paragraph" w:customStyle="1" w:styleId="Titolo31">
    <w:name w:val="Titolo 31"/>
    <w:basedOn w:val="Normale"/>
    <w:rsid w:val="00492762"/>
    <w:pPr>
      <w:numPr>
        <w:ilvl w:val="2"/>
        <w:numId w:val="1"/>
      </w:numPr>
    </w:pPr>
  </w:style>
  <w:style w:type="paragraph" w:customStyle="1" w:styleId="Titolo41">
    <w:name w:val="Titolo 41"/>
    <w:basedOn w:val="Normale"/>
    <w:rsid w:val="00492762"/>
    <w:pPr>
      <w:numPr>
        <w:ilvl w:val="3"/>
        <w:numId w:val="1"/>
      </w:numPr>
    </w:pPr>
  </w:style>
  <w:style w:type="paragraph" w:customStyle="1" w:styleId="Titolo51">
    <w:name w:val="Titolo 51"/>
    <w:basedOn w:val="Normale"/>
    <w:rsid w:val="00492762"/>
    <w:pPr>
      <w:numPr>
        <w:ilvl w:val="4"/>
        <w:numId w:val="1"/>
      </w:numPr>
    </w:pPr>
  </w:style>
  <w:style w:type="paragraph" w:customStyle="1" w:styleId="Titolo61">
    <w:name w:val="Titolo 61"/>
    <w:basedOn w:val="Normale"/>
    <w:rsid w:val="00492762"/>
    <w:pPr>
      <w:numPr>
        <w:ilvl w:val="5"/>
        <w:numId w:val="1"/>
      </w:numPr>
    </w:pPr>
  </w:style>
  <w:style w:type="paragraph" w:customStyle="1" w:styleId="Titolo71">
    <w:name w:val="Titolo 71"/>
    <w:basedOn w:val="Normale"/>
    <w:rsid w:val="00492762"/>
    <w:pPr>
      <w:numPr>
        <w:ilvl w:val="6"/>
        <w:numId w:val="1"/>
      </w:numPr>
    </w:pPr>
  </w:style>
  <w:style w:type="paragraph" w:customStyle="1" w:styleId="Titolo81">
    <w:name w:val="Titolo 81"/>
    <w:basedOn w:val="Normale"/>
    <w:rsid w:val="00492762"/>
    <w:pPr>
      <w:numPr>
        <w:ilvl w:val="7"/>
        <w:numId w:val="1"/>
      </w:numPr>
    </w:pPr>
  </w:style>
  <w:style w:type="paragraph" w:customStyle="1" w:styleId="Titolo91">
    <w:name w:val="Titolo 91"/>
    <w:basedOn w:val="Normale"/>
    <w:rsid w:val="00492762"/>
    <w:pPr>
      <w:numPr>
        <w:ilvl w:val="8"/>
        <w:numId w:val="1"/>
      </w:numPr>
    </w:pPr>
  </w:style>
  <w:style w:type="paragraph" w:styleId="Nessunaspaziatura">
    <w:name w:val="No Spacing"/>
    <w:uiPriority w:val="1"/>
    <w:qFormat/>
    <w:rsid w:val="009E1C0C"/>
    <w:pPr>
      <w:spacing w:after="0" w:line="240" w:lineRule="auto"/>
      <w:jc w:val="both"/>
    </w:pPr>
    <w:rPr>
      <w:rFonts w:ascii="Palatino Linotype" w:hAnsi="Palatino Linotype"/>
      <w:lang w:val="en-US"/>
    </w:rPr>
  </w:style>
  <w:style w:type="paragraph" w:styleId="NormaleWeb">
    <w:name w:val="Normal (Web)"/>
    <w:basedOn w:val="Normale"/>
    <w:uiPriority w:val="99"/>
    <w:semiHidden/>
    <w:unhideWhenUsed/>
    <w:rsid w:val="00CB474E"/>
    <w:pPr>
      <w:spacing w:before="100" w:beforeAutospacing="1" w:after="100" w:afterAutospacing="1"/>
      <w:jc w:val="left"/>
    </w:pPr>
    <w:rPr>
      <w:rFonts w:ascii="Times New Roman" w:eastAsia="Times New Roman" w:hAnsi="Times New Roman" w:cs="Times New Roman"/>
      <w:sz w:val="24"/>
      <w:szCs w:val="24"/>
      <w:lang w:val="it-IT" w:eastAsia="it-IT"/>
    </w:rPr>
  </w:style>
  <w:style w:type="paragraph" w:styleId="Testonotadichiusura">
    <w:name w:val="endnote text"/>
    <w:basedOn w:val="Normale"/>
    <w:link w:val="TestonotadichiusuraCarattere"/>
    <w:uiPriority w:val="99"/>
    <w:semiHidden/>
    <w:unhideWhenUsed/>
    <w:rsid w:val="007F6F00"/>
    <w:rPr>
      <w:szCs w:val="20"/>
    </w:rPr>
  </w:style>
  <w:style w:type="character" w:customStyle="1" w:styleId="TestonotadichiusuraCarattere">
    <w:name w:val="Testo nota di chiusura Carattere"/>
    <w:basedOn w:val="Carpredefinitoparagrafo"/>
    <w:link w:val="Testonotadichiusura"/>
    <w:uiPriority w:val="99"/>
    <w:semiHidden/>
    <w:rsid w:val="007F6F00"/>
    <w:rPr>
      <w:rFonts w:ascii="Palatino Linotype" w:hAnsi="Palatino Linotype"/>
      <w:sz w:val="20"/>
      <w:szCs w:val="20"/>
      <w:lang w:val="en-US"/>
    </w:rPr>
  </w:style>
  <w:style w:type="character" w:styleId="Rimandonotadichiusura">
    <w:name w:val="endnote reference"/>
    <w:basedOn w:val="Carpredefinitoparagrafo"/>
    <w:uiPriority w:val="99"/>
    <w:semiHidden/>
    <w:unhideWhenUsed/>
    <w:rsid w:val="007F6F0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848029">
      <w:bodyDiv w:val="1"/>
      <w:marLeft w:val="0"/>
      <w:marRight w:val="0"/>
      <w:marTop w:val="0"/>
      <w:marBottom w:val="0"/>
      <w:divBdr>
        <w:top w:val="none" w:sz="0" w:space="0" w:color="auto"/>
        <w:left w:val="none" w:sz="0" w:space="0" w:color="auto"/>
        <w:bottom w:val="none" w:sz="0" w:space="0" w:color="auto"/>
        <w:right w:val="none" w:sz="0" w:space="0" w:color="auto"/>
      </w:divBdr>
      <w:divsChild>
        <w:div w:id="1242910479">
          <w:marLeft w:val="0"/>
          <w:marRight w:val="0"/>
          <w:marTop w:val="0"/>
          <w:marBottom w:val="0"/>
          <w:divBdr>
            <w:top w:val="none" w:sz="0" w:space="0" w:color="auto"/>
            <w:left w:val="none" w:sz="0" w:space="0" w:color="auto"/>
            <w:bottom w:val="none" w:sz="0" w:space="0" w:color="auto"/>
            <w:right w:val="none" w:sz="0" w:space="0" w:color="auto"/>
          </w:divBdr>
        </w:div>
      </w:divsChild>
    </w:div>
    <w:div w:id="387535278">
      <w:bodyDiv w:val="1"/>
      <w:marLeft w:val="0"/>
      <w:marRight w:val="0"/>
      <w:marTop w:val="0"/>
      <w:marBottom w:val="0"/>
      <w:divBdr>
        <w:top w:val="none" w:sz="0" w:space="0" w:color="auto"/>
        <w:left w:val="none" w:sz="0" w:space="0" w:color="auto"/>
        <w:bottom w:val="none" w:sz="0" w:space="0" w:color="auto"/>
        <w:right w:val="none" w:sz="0" w:space="0" w:color="auto"/>
      </w:divBdr>
      <w:divsChild>
        <w:div w:id="2093962854">
          <w:marLeft w:val="0"/>
          <w:marRight w:val="0"/>
          <w:marTop w:val="0"/>
          <w:marBottom w:val="0"/>
          <w:divBdr>
            <w:top w:val="none" w:sz="0" w:space="0" w:color="auto"/>
            <w:left w:val="none" w:sz="0" w:space="0" w:color="auto"/>
            <w:bottom w:val="none" w:sz="0" w:space="0" w:color="auto"/>
            <w:right w:val="none" w:sz="0" w:space="0" w:color="auto"/>
          </w:divBdr>
        </w:div>
      </w:divsChild>
    </w:div>
    <w:div w:id="470176290">
      <w:bodyDiv w:val="1"/>
      <w:marLeft w:val="0"/>
      <w:marRight w:val="0"/>
      <w:marTop w:val="0"/>
      <w:marBottom w:val="0"/>
      <w:divBdr>
        <w:top w:val="none" w:sz="0" w:space="0" w:color="auto"/>
        <w:left w:val="none" w:sz="0" w:space="0" w:color="auto"/>
        <w:bottom w:val="none" w:sz="0" w:space="0" w:color="auto"/>
        <w:right w:val="none" w:sz="0" w:space="0" w:color="auto"/>
      </w:divBdr>
      <w:divsChild>
        <w:div w:id="878276473">
          <w:marLeft w:val="0"/>
          <w:marRight w:val="0"/>
          <w:marTop w:val="0"/>
          <w:marBottom w:val="0"/>
          <w:divBdr>
            <w:top w:val="none" w:sz="0" w:space="0" w:color="auto"/>
            <w:left w:val="none" w:sz="0" w:space="0" w:color="auto"/>
            <w:bottom w:val="none" w:sz="0" w:space="0" w:color="auto"/>
            <w:right w:val="none" w:sz="0" w:space="0" w:color="auto"/>
          </w:divBdr>
        </w:div>
      </w:divsChild>
    </w:div>
    <w:div w:id="662319886">
      <w:bodyDiv w:val="1"/>
      <w:marLeft w:val="0"/>
      <w:marRight w:val="0"/>
      <w:marTop w:val="0"/>
      <w:marBottom w:val="0"/>
      <w:divBdr>
        <w:top w:val="none" w:sz="0" w:space="0" w:color="auto"/>
        <w:left w:val="none" w:sz="0" w:space="0" w:color="auto"/>
        <w:bottom w:val="none" w:sz="0" w:space="0" w:color="auto"/>
        <w:right w:val="none" w:sz="0" w:space="0" w:color="auto"/>
      </w:divBdr>
      <w:divsChild>
        <w:div w:id="1752727201">
          <w:marLeft w:val="0"/>
          <w:marRight w:val="0"/>
          <w:marTop w:val="0"/>
          <w:marBottom w:val="0"/>
          <w:divBdr>
            <w:top w:val="none" w:sz="0" w:space="0" w:color="auto"/>
            <w:left w:val="none" w:sz="0" w:space="0" w:color="auto"/>
            <w:bottom w:val="none" w:sz="0" w:space="0" w:color="auto"/>
            <w:right w:val="none" w:sz="0" w:space="0" w:color="auto"/>
          </w:divBdr>
        </w:div>
      </w:divsChild>
    </w:div>
    <w:div w:id="850145586">
      <w:bodyDiv w:val="1"/>
      <w:marLeft w:val="0"/>
      <w:marRight w:val="0"/>
      <w:marTop w:val="0"/>
      <w:marBottom w:val="0"/>
      <w:divBdr>
        <w:top w:val="none" w:sz="0" w:space="0" w:color="auto"/>
        <w:left w:val="none" w:sz="0" w:space="0" w:color="auto"/>
        <w:bottom w:val="none" w:sz="0" w:space="0" w:color="auto"/>
        <w:right w:val="none" w:sz="0" w:space="0" w:color="auto"/>
      </w:divBdr>
    </w:div>
    <w:div w:id="896863200">
      <w:bodyDiv w:val="1"/>
      <w:marLeft w:val="0"/>
      <w:marRight w:val="0"/>
      <w:marTop w:val="0"/>
      <w:marBottom w:val="0"/>
      <w:divBdr>
        <w:top w:val="none" w:sz="0" w:space="0" w:color="auto"/>
        <w:left w:val="none" w:sz="0" w:space="0" w:color="auto"/>
        <w:bottom w:val="none" w:sz="0" w:space="0" w:color="auto"/>
        <w:right w:val="none" w:sz="0" w:space="0" w:color="auto"/>
      </w:divBdr>
    </w:div>
    <w:div w:id="922031997">
      <w:bodyDiv w:val="1"/>
      <w:marLeft w:val="0"/>
      <w:marRight w:val="0"/>
      <w:marTop w:val="0"/>
      <w:marBottom w:val="0"/>
      <w:divBdr>
        <w:top w:val="none" w:sz="0" w:space="0" w:color="auto"/>
        <w:left w:val="none" w:sz="0" w:space="0" w:color="auto"/>
        <w:bottom w:val="none" w:sz="0" w:space="0" w:color="auto"/>
        <w:right w:val="none" w:sz="0" w:space="0" w:color="auto"/>
      </w:divBdr>
    </w:div>
    <w:div w:id="992562994">
      <w:bodyDiv w:val="1"/>
      <w:marLeft w:val="0"/>
      <w:marRight w:val="0"/>
      <w:marTop w:val="0"/>
      <w:marBottom w:val="0"/>
      <w:divBdr>
        <w:top w:val="none" w:sz="0" w:space="0" w:color="auto"/>
        <w:left w:val="none" w:sz="0" w:space="0" w:color="auto"/>
        <w:bottom w:val="none" w:sz="0" w:space="0" w:color="auto"/>
        <w:right w:val="none" w:sz="0" w:space="0" w:color="auto"/>
      </w:divBdr>
      <w:divsChild>
        <w:div w:id="347223515">
          <w:marLeft w:val="0"/>
          <w:marRight w:val="0"/>
          <w:marTop w:val="0"/>
          <w:marBottom w:val="0"/>
          <w:divBdr>
            <w:top w:val="none" w:sz="0" w:space="0" w:color="auto"/>
            <w:left w:val="none" w:sz="0" w:space="0" w:color="auto"/>
            <w:bottom w:val="none" w:sz="0" w:space="0" w:color="auto"/>
            <w:right w:val="none" w:sz="0" w:space="0" w:color="auto"/>
          </w:divBdr>
        </w:div>
      </w:divsChild>
    </w:div>
    <w:div w:id="1089425169">
      <w:bodyDiv w:val="1"/>
      <w:marLeft w:val="0"/>
      <w:marRight w:val="0"/>
      <w:marTop w:val="0"/>
      <w:marBottom w:val="0"/>
      <w:divBdr>
        <w:top w:val="none" w:sz="0" w:space="0" w:color="auto"/>
        <w:left w:val="none" w:sz="0" w:space="0" w:color="auto"/>
        <w:bottom w:val="none" w:sz="0" w:space="0" w:color="auto"/>
        <w:right w:val="none" w:sz="0" w:space="0" w:color="auto"/>
      </w:divBdr>
    </w:div>
    <w:div w:id="1095327909">
      <w:bodyDiv w:val="1"/>
      <w:marLeft w:val="0"/>
      <w:marRight w:val="0"/>
      <w:marTop w:val="0"/>
      <w:marBottom w:val="0"/>
      <w:divBdr>
        <w:top w:val="none" w:sz="0" w:space="0" w:color="auto"/>
        <w:left w:val="none" w:sz="0" w:space="0" w:color="auto"/>
        <w:bottom w:val="none" w:sz="0" w:space="0" w:color="auto"/>
        <w:right w:val="none" w:sz="0" w:space="0" w:color="auto"/>
      </w:divBdr>
    </w:div>
    <w:div w:id="1274558061">
      <w:bodyDiv w:val="1"/>
      <w:marLeft w:val="0"/>
      <w:marRight w:val="0"/>
      <w:marTop w:val="0"/>
      <w:marBottom w:val="0"/>
      <w:divBdr>
        <w:top w:val="none" w:sz="0" w:space="0" w:color="auto"/>
        <w:left w:val="none" w:sz="0" w:space="0" w:color="auto"/>
        <w:bottom w:val="none" w:sz="0" w:space="0" w:color="auto"/>
        <w:right w:val="none" w:sz="0" w:space="0" w:color="auto"/>
      </w:divBdr>
    </w:div>
    <w:div w:id="1447627141">
      <w:bodyDiv w:val="1"/>
      <w:marLeft w:val="0"/>
      <w:marRight w:val="0"/>
      <w:marTop w:val="0"/>
      <w:marBottom w:val="0"/>
      <w:divBdr>
        <w:top w:val="none" w:sz="0" w:space="0" w:color="auto"/>
        <w:left w:val="none" w:sz="0" w:space="0" w:color="auto"/>
        <w:bottom w:val="none" w:sz="0" w:space="0" w:color="auto"/>
        <w:right w:val="none" w:sz="0" w:space="0" w:color="auto"/>
      </w:divBdr>
      <w:divsChild>
        <w:div w:id="552618622">
          <w:marLeft w:val="0"/>
          <w:marRight w:val="0"/>
          <w:marTop w:val="0"/>
          <w:marBottom w:val="0"/>
          <w:divBdr>
            <w:top w:val="none" w:sz="0" w:space="0" w:color="auto"/>
            <w:left w:val="none" w:sz="0" w:space="0" w:color="auto"/>
            <w:bottom w:val="none" w:sz="0" w:space="0" w:color="auto"/>
            <w:right w:val="none" w:sz="0" w:space="0" w:color="auto"/>
          </w:divBdr>
        </w:div>
      </w:divsChild>
    </w:div>
    <w:div w:id="1476949676">
      <w:bodyDiv w:val="1"/>
      <w:marLeft w:val="0"/>
      <w:marRight w:val="0"/>
      <w:marTop w:val="0"/>
      <w:marBottom w:val="0"/>
      <w:divBdr>
        <w:top w:val="none" w:sz="0" w:space="0" w:color="auto"/>
        <w:left w:val="none" w:sz="0" w:space="0" w:color="auto"/>
        <w:bottom w:val="none" w:sz="0" w:space="0" w:color="auto"/>
        <w:right w:val="none" w:sz="0" w:space="0" w:color="auto"/>
      </w:divBdr>
    </w:div>
    <w:div w:id="1491411105">
      <w:bodyDiv w:val="1"/>
      <w:marLeft w:val="0"/>
      <w:marRight w:val="0"/>
      <w:marTop w:val="0"/>
      <w:marBottom w:val="0"/>
      <w:divBdr>
        <w:top w:val="none" w:sz="0" w:space="0" w:color="auto"/>
        <w:left w:val="none" w:sz="0" w:space="0" w:color="auto"/>
        <w:bottom w:val="none" w:sz="0" w:space="0" w:color="auto"/>
        <w:right w:val="none" w:sz="0" w:space="0" w:color="auto"/>
      </w:divBdr>
    </w:div>
    <w:div w:id="1525823359">
      <w:bodyDiv w:val="1"/>
      <w:marLeft w:val="0"/>
      <w:marRight w:val="0"/>
      <w:marTop w:val="0"/>
      <w:marBottom w:val="0"/>
      <w:divBdr>
        <w:top w:val="none" w:sz="0" w:space="0" w:color="auto"/>
        <w:left w:val="none" w:sz="0" w:space="0" w:color="auto"/>
        <w:bottom w:val="none" w:sz="0" w:space="0" w:color="auto"/>
        <w:right w:val="none" w:sz="0" w:space="0" w:color="auto"/>
      </w:divBdr>
    </w:div>
    <w:div w:id="1550411912">
      <w:bodyDiv w:val="1"/>
      <w:marLeft w:val="0"/>
      <w:marRight w:val="0"/>
      <w:marTop w:val="0"/>
      <w:marBottom w:val="0"/>
      <w:divBdr>
        <w:top w:val="none" w:sz="0" w:space="0" w:color="auto"/>
        <w:left w:val="none" w:sz="0" w:space="0" w:color="auto"/>
        <w:bottom w:val="none" w:sz="0" w:space="0" w:color="auto"/>
        <w:right w:val="none" w:sz="0" w:space="0" w:color="auto"/>
      </w:divBdr>
      <w:divsChild>
        <w:div w:id="595217102">
          <w:marLeft w:val="0"/>
          <w:marRight w:val="0"/>
          <w:marTop w:val="0"/>
          <w:marBottom w:val="0"/>
          <w:divBdr>
            <w:top w:val="none" w:sz="0" w:space="0" w:color="auto"/>
            <w:left w:val="none" w:sz="0" w:space="0" w:color="auto"/>
            <w:bottom w:val="none" w:sz="0" w:space="0" w:color="auto"/>
            <w:right w:val="none" w:sz="0" w:space="0" w:color="auto"/>
          </w:divBdr>
        </w:div>
      </w:divsChild>
    </w:div>
    <w:div w:id="1718747145">
      <w:bodyDiv w:val="1"/>
      <w:marLeft w:val="0"/>
      <w:marRight w:val="0"/>
      <w:marTop w:val="0"/>
      <w:marBottom w:val="0"/>
      <w:divBdr>
        <w:top w:val="none" w:sz="0" w:space="0" w:color="auto"/>
        <w:left w:val="none" w:sz="0" w:space="0" w:color="auto"/>
        <w:bottom w:val="none" w:sz="0" w:space="0" w:color="auto"/>
        <w:right w:val="none" w:sz="0" w:space="0" w:color="auto"/>
      </w:divBdr>
      <w:divsChild>
        <w:div w:id="47147668">
          <w:marLeft w:val="0"/>
          <w:marRight w:val="0"/>
          <w:marTop w:val="0"/>
          <w:marBottom w:val="0"/>
          <w:divBdr>
            <w:top w:val="none" w:sz="0" w:space="0" w:color="auto"/>
            <w:left w:val="none" w:sz="0" w:space="0" w:color="auto"/>
            <w:bottom w:val="none" w:sz="0" w:space="0" w:color="auto"/>
            <w:right w:val="none" w:sz="0" w:space="0" w:color="auto"/>
          </w:divBdr>
        </w:div>
      </w:divsChild>
    </w:div>
    <w:div w:id="1764261508">
      <w:bodyDiv w:val="1"/>
      <w:marLeft w:val="0"/>
      <w:marRight w:val="0"/>
      <w:marTop w:val="0"/>
      <w:marBottom w:val="0"/>
      <w:divBdr>
        <w:top w:val="none" w:sz="0" w:space="0" w:color="auto"/>
        <w:left w:val="none" w:sz="0" w:space="0" w:color="auto"/>
        <w:bottom w:val="none" w:sz="0" w:space="0" w:color="auto"/>
        <w:right w:val="none" w:sz="0" w:space="0" w:color="auto"/>
      </w:divBdr>
    </w:div>
    <w:div w:id="1949501975">
      <w:bodyDiv w:val="1"/>
      <w:marLeft w:val="0"/>
      <w:marRight w:val="0"/>
      <w:marTop w:val="0"/>
      <w:marBottom w:val="0"/>
      <w:divBdr>
        <w:top w:val="none" w:sz="0" w:space="0" w:color="auto"/>
        <w:left w:val="none" w:sz="0" w:space="0" w:color="auto"/>
        <w:bottom w:val="none" w:sz="0" w:space="0" w:color="auto"/>
        <w:right w:val="none" w:sz="0" w:space="0" w:color="auto"/>
      </w:divBdr>
      <w:divsChild>
        <w:div w:id="893547464">
          <w:marLeft w:val="0"/>
          <w:marRight w:val="0"/>
          <w:marTop w:val="0"/>
          <w:marBottom w:val="0"/>
          <w:divBdr>
            <w:top w:val="none" w:sz="0" w:space="0" w:color="auto"/>
            <w:left w:val="none" w:sz="0" w:space="0" w:color="auto"/>
            <w:bottom w:val="none" w:sz="0" w:space="0" w:color="auto"/>
            <w:right w:val="none" w:sz="0" w:space="0" w:color="auto"/>
          </w:divBdr>
        </w:div>
      </w:divsChild>
    </w:div>
    <w:div w:id="1966958438">
      <w:bodyDiv w:val="1"/>
      <w:marLeft w:val="0"/>
      <w:marRight w:val="0"/>
      <w:marTop w:val="0"/>
      <w:marBottom w:val="0"/>
      <w:divBdr>
        <w:top w:val="none" w:sz="0" w:space="0" w:color="auto"/>
        <w:left w:val="none" w:sz="0" w:space="0" w:color="auto"/>
        <w:bottom w:val="none" w:sz="0" w:space="0" w:color="auto"/>
        <w:right w:val="none" w:sz="0" w:space="0" w:color="auto"/>
      </w:divBdr>
    </w:div>
    <w:div w:id="1998804429">
      <w:bodyDiv w:val="1"/>
      <w:marLeft w:val="0"/>
      <w:marRight w:val="0"/>
      <w:marTop w:val="0"/>
      <w:marBottom w:val="0"/>
      <w:divBdr>
        <w:top w:val="none" w:sz="0" w:space="0" w:color="auto"/>
        <w:left w:val="none" w:sz="0" w:space="0" w:color="auto"/>
        <w:bottom w:val="none" w:sz="0" w:space="0" w:color="auto"/>
        <w:right w:val="none" w:sz="0" w:space="0" w:color="auto"/>
      </w:divBdr>
    </w:div>
    <w:div w:id="21203663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7A0735-2A18-4D41-9211-89638C6AA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394</TotalTime>
  <Pages>6</Pages>
  <Words>2429</Words>
  <Characters>13848</Characters>
  <Application>Microsoft Office Word</Application>
  <DocSecurity>0</DocSecurity>
  <Lines>115</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Gruttadauria</dc:creator>
  <cp:keywords/>
  <dc:description/>
  <cp:lastModifiedBy>Federico Baccaredda Boy</cp:lastModifiedBy>
  <cp:revision>4</cp:revision>
  <cp:lastPrinted>2021-10-09T11:28:00Z</cp:lastPrinted>
  <dcterms:created xsi:type="dcterms:W3CDTF">2021-10-11T07:45:00Z</dcterms:created>
  <dcterms:modified xsi:type="dcterms:W3CDTF">2021-11-28T17:58:00Z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id="swLtC69S"/&gt;&lt;style id="http://www.zotero.org/styles/chicago-note-bibliography" locale="it-IT" hasBibliography="1" bibliographyStyleHasBeenSet="0"/&gt;&lt;prefs&gt;&lt;pref name="fieldType" value="Field"/&gt;&lt;p</vt:lpwstr>
  </property>
  <property fmtid="{D5CDD505-2E9C-101B-9397-08002B2CF9AE}" pid="3" name="ZOTERO_PREF_2">
    <vt:lpwstr>ref name="automaticJournalAbbreviations" value="true"/&gt;&lt;pref name="noteType" value="2"/&gt;&lt;/prefs&gt;&lt;/data&gt;</vt:lpwstr>
  </property>
</Properties>
</file>