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77"/>
      </w:tblGrid>
      <w:tr w:rsidR="003C2267" w:rsidRPr="000A2D48" w14:paraId="58FEEA6A" w14:textId="77777777" w:rsidTr="00713B0D">
        <w:trPr>
          <w:trHeight w:val="6940"/>
          <w:jc w:val="center"/>
        </w:trPr>
        <w:tc>
          <w:tcPr>
            <w:tcW w:w="8777" w:type="dxa"/>
            <w:vAlign w:val="center"/>
          </w:tcPr>
          <w:p w14:paraId="1017D411" w14:textId="77777777" w:rsidR="000A2D48" w:rsidRDefault="000A2D48" w:rsidP="000A2D48">
            <w:pPr>
              <w:jc w:val="center"/>
              <w:rPr>
                <w:bCs/>
                <w:color w:val="000000" w:themeColor="text1"/>
                <w:sz w:val="56"/>
                <w:szCs w:val="56"/>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0" w:name="_Hlk93398836"/>
            <w:r w:rsidRPr="0047303B">
              <w:rPr>
                <w:bCs/>
                <w:color w:val="000000" w:themeColor="text1"/>
                <w:sz w:val="56"/>
                <w:szCs w:val="56"/>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Impact of sustainability reporting in the world of finance</w:t>
            </w:r>
          </w:p>
          <w:p w14:paraId="193EF271" w14:textId="77777777" w:rsidR="000A2D48" w:rsidRPr="0047303B" w:rsidRDefault="000A2D48" w:rsidP="000A2D48">
            <w:pPr>
              <w:jc w:val="center"/>
              <w:rPr>
                <w:bCs/>
                <w:color w:val="000000" w:themeColor="text1"/>
                <w:sz w:val="56"/>
                <w:szCs w:val="56"/>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A510BFE" w14:textId="77777777" w:rsidR="003C2267" w:rsidRPr="00C72DAA" w:rsidRDefault="003C2267" w:rsidP="0021716B">
            <w:pPr>
              <w:pStyle w:val="Sottotitolo"/>
            </w:pPr>
            <w:r w:rsidRPr="00C72DAA">
              <w:t xml:space="preserve">TESI DI LAUREA MAGISTRALE IN </w:t>
            </w:r>
          </w:p>
          <w:p w14:paraId="4245F301" w14:textId="429310B7" w:rsidR="003C2267" w:rsidRPr="000A2D48" w:rsidRDefault="000A2D48" w:rsidP="0021716B">
            <w:pPr>
              <w:pStyle w:val="Sottotitolo"/>
            </w:pPr>
            <w:r w:rsidRPr="000A2D48">
              <w:t>MANAGEMENT</w:t>
            </w:r>
            <w:r w:rsidR="003C2267" w:rsidRPr="000A2D48">
              <w:t xml:space="preserve"> ENGINEERING</w:t>
            </w:r>
          </w:p>
          <w:p w14:paraId="10883E24" w14:textId="1DA6A9D5" w:rsidR="003C2267" w:rsidRPr="000A2D48" w:rsidRDefault="003C2267" w:rsidP="0021716B">
            <w:pPr>
              <w:pStyle w:val="Sottotitolo"/>
              <w:spacing w:afterLines="250" w:after="600"/>
            </w:pPr>
            <w:r w:rsidRPr="000A2D48">
              <w:t xml:space="preserve">INGEGNERIA </w:t>
            </w:r>
            <w:r w:rsidR="000A2D48" w:rsidRPr="000A2D48">
              <w:t>G</w:t>
            </w:r>
            <w:r w:rsidR="000A2D48">
              <w:t>ESTIONALE</w:t>
            </w:r>
          </w:p>
          <w:p w14:paraId="2C411CE9" w14:textId="20CACF18" w:rsidR="003C2267" w:rsidRPr="000A2D48" w:rsidRDefault="003C2267" w:rsidP="00590624">
            <w:pPr>
              <w:spacing w:before="0" w:after="0" w:line="0" w:lineRule="atLeast"/>
              <w:ind w:right="346"/>
              <w:jc w:val="left"/>
              <w:rPr>
                <w:szCs w:val="24"/>
              </w:rPr>
            </w:pPr>
            <w:r w:rsidRPr="000A2D48">
              <w:rPr>
                <w:sz w:val="32"/>
                <w:szCs w:val="32"/>
              </w:rPr>
              <w:t xml:space="preserve">Author: </w:t>
            </w:r>
            <w:r w:rsidR="000A2D48" w:rsidRPr="000A2D48">
              <w:rPr>
                <w:b/>
                <w:bCs/>
                <w:sz w:val="32"/>
                <w:szCs w:val="32"/>
              </w:rPr>
              <w:t>Giacomo Maria Ballabio</w:t>
            </w:r>
          </w:p>
        </w:tc>
      </w:tr>
      <w:tr w:rsidR="00082EA8" w:rsidRPr="000A2D48" w14:paraId="331E9A4B" w14:textId="77777777" w:rsidTr="00713B0D">
        <w:trPr>
          <w:trHeight w:val="1124"/>
          <w:jc w:val="center"/>
        </w:trPr>
        <w:tc>
          <w:tcPr>
            <w:tcW w:w="8777" w:type="dxa"/>
            <w:vAlign w:val="center"/>
          </w:tcPr>
          <w:p w14:paraId="443B5452" w14:textId="77777777" w:rsidR="00082EA8" w:rsidRPr="000A2D48" w:rsidRDefault="00082EA8" w:rsidP="001070DC">
            <w:pPr>
              <w:spacing w:before="0" w:after="0" w:line="0" w:lineRule="atLeast"/>
              <w:jc w:val="left"/>
              <w:rPr>
                <w:b/>
                <w:bCs/>
                <w:sz w:val="32"/>
                <w:szCs w:val="32"/>
              </w:rPr>
            </w:pPr>
          </w:p>
        </w:tc>
      </w:tr>
      <w:tr w:rsidR="00082EA8" w:rsidRPr="00544E92" w14:paraId="07C55E0F" w14:textId="77777777" w:rsidTr="00713B0D">
        <w:trPr>
          <w:trHeight w:val="987"/>
          <w:jc w:val="center"/>
        </w:trPr>
        <w:tc>
          <w:tcPr>
            <w:tcW w:w="8777" w:type="dxa"/>
            <w:vAlign w:val="center"/>
          </w:tcPr>
          <w:p w14:paraId="637D46CB" w14:textId="33851D02" w:rsidR="00082EA8" w:rsidRPr="005A1D27" w:rsidRDefault="00082EA8" w:rsidP="00CE159E">
            <w:pPr>
              <w:pStyle w:val="Text"/>
              <w:spacing w:before="0" w:after="0"/>
              <w:rPr>
                <w:lang w:val="it-IT"/>
              </w:rPr>
            </w:pPr>
            <w:r w:rsidRPr="005A1D27">
              <w:rPr>
                <w:lang w:val="it-IT"/>
              </w:rPr>
              <w:t xml:space="preserve">Student ID: </w:t>
            </w:r>
            <w:r w:rsidR="000A2D48" w:rsidRPr="005A1D27">
              <w:rPr>
                <w:lang w:val="it-IT"/>
              </w:rPr>
              <w:t>246810</w:t>
            </w:r>
          </w:p>
          <w:p w14:paraId="162D9FD1" w14:textId="076094D5" w:rsidR="00082EA8" w:rsidRPr="000A2D48" w:rsidRDefault="00082EA8" w:rsidP="00CE159E">
            <w:pPr>
              <w:pStyle w:val="Text"/>
              <w:spacing w:before="0" w:after="0"/>
              <w:rPr>
                <w:lang w:val="it-IT"/>
              </w:rPr>
            </w:pPr>
            <w:r w:rsidRPr="000A2D48">
              <w:rPr>
                <w:lang w:val="it-IT"/>
              </w:rPr>
              <w:t xml:space="preserve">Advisor: </w:t>
            </w:r>
            <w:r w:rsidR="000A2D48" w:rsidRPr="000A2D48">
              <w:rPr>
                <w:lang w:val="it-IT"/>
              </w:rPr>
              <w:t>Prof Giancarlo Giudici</w:t>
            </w:r>
          </w:p>
          <w:p w14:paraId="4126C7A2" w14:textId="05BBCF70" w:rsidR="00082EA8" w:rsidRPr="000A2D48" w:rsidRDefault="00082EA8" w:rsidP="00CE159E">
            <w:pPr>
              <w:pStyle w:val="Text"/>
              <w:spacing w:before="0" w:after="0"/>
              <w:rPr>
                <w:lang w:val="it-IT"/>
              </w:rPr>
            </w:pPr>
            <w:r w:rsidRPr="000A2D48">
              <w:rPr>
                <w:lang w:val="it-IT"/>
              </w:rPr>
              <w:t>Academic Year: 20</w:t>
            </w:r>
            <w:r w:rsidR="000A2D48" w:rsidRPr="000A2D48">
              <w:rPr>
                <w:lang w:val="it-IT"/>
              </w:rPr>
              <w:t>25</w:t>
            </w:r>
            <w:r w:rsidRPr="000A2D48">
              <w:rPr>
                <w:lang w:val="it-IT"/>
              </w:rPr>
              <w:t>-</w:t>
            </w:r>
            <w:r w:rsidR="000A2D48" w:rsidRPr="000A2D48">
              <w:rPr>
                <w:lang w:val="it-IT"/>
              </w:rPr>
              <w:t>2026</w:t>
            </w:r>
          </w:p>
        </w:tc>
      </w:tr>
      <w:bookmarkEnd w:id="0"/>
    </w:tbl>
    <w:p w14:paraId="33E0AD1E" w14:textId="77777777" w:rsidR="005C5AC3" w:rsidRPr="000A2D48" w:rsidRDefault="005C5AC3">
      <w:pPr>
        <w:sectPr w:rsidR="005C5AC3" w:rsidRPr="000A2D48" w:rsidSect="00070452">
          <w:headerReference w:type="default" r:id="rId8"/>
          <w:footerReference w:type="even" r:id="rId9"/>
          <w:headerReference w:type="first" r:id="rId10"/>
          <w:type w:val="oddPage"/>
          <w:pgSz w:w="11906" w:h="16838" w:code="9"/>
          <w:pgMar w:top="5670" w:right="1418" w:bottom="1418" w:left="1418" w:header="851" w:footer="851" w:gutter="0"/>
          <w:cols w:space="708"/>
          <w:titlePg/>
          <w:docGrid w:linePitch="360"/>
        </w:sectPr>
      </w:pPr>
    </w:p>
    <w:p w14:paraId="399A09CE" w14:textId="6F65207B" w:rsidR="00A50897" w:rsidRPr="00544E92" w:rsidRDefault="00A50897" w:rsidP="00BF2714">
      <w:pPr>
        <w:pStyle w:val="Titolo1"/>
        <w:numPr>
          <w:ilvl w:val="0"/>
          <w:numId w:val="0"/>
        </w:numPr>
        <w:rPr>
          <w:lang w:val="en-GB"/>
        </w:rPr>
      </w:pPr>
      <w:bookmarkStart w:id="1" w:name="_Toc207471578"/>
      <w:r w:rsidRPr="00544E92">
        <w:rPr>
          <w:lang w:val="en-GB"/>
        </w:rPr>
        <w:lastRenderedPageBreak/>
        <w:t>Abstract</w:t>
      </w:r>
      <w:bookmarkEnd w:id="1"/>
    </w:p>
    <w:p w14:paraId="6DC0539D" w14:textId="78F29B43" w:rsidR="000A2D48" w:rsidRPr="00AC3331" w:rsidRDefault="000A2D48" w:rsidP="000A2D48">
      <w:pPr>
        <w:rPr>
          <w:lang w:val="en-US"/>
        </w:rPr>
      </w:pPr>
      <w:r w:rsidRPr="00AC3331">
        <w:rPr>
          <w:lang w:val="en-US"/>
        </w:rPr>
        <w:t>The central theme of this thesis is the Sustainability Report and, although apparently belonging to two different worlds, the impact it has on companies and the role it plays in the world of finance. This paper is the result of knowledge learned in universities and various projects in which I had the pleasure of participating during a 6-month internship at an ESG consulting firm in Milan responsible for ESG reporting for more than 100 companies.</w:t>
      </w:r>
    </w:p>
    <w:p w14:paraId="0654A1BA" w14:textId="77777777" w:rsidR="000A2D48" w:rsidRDefault="000A2D48" w:rsidP="000A2D48">
      <w:pPr>
        <w:rPr>
          <w:lang w:val="en-US"/>
        </w:rPr>
      </w:pPr>
      <w:r w:rsidRPr="00AC3331">
        <w:rPr>
          <w:lang w:val="en-US"/>
        </w:rPr>
        <w:t>This work aims to identify how the collection and analysis of non-financial information is not just a political, social trend or a methodology used by companies to do marketing and show themselves sustainable in the eyes of customers, but that it actually has an important effect on the company's economic and financial balance sheet even though much of the data is not quantitative and related to the economic-financial world.</w:t>
      </w:r>
    </w:p>
    <w:p w14:paraId="77CD216D" w14:textId="5EC7FF31" w:rsidR="000A2D48" w:rsidRPr="000C6455" w:rsidRDefault="000A2D48" w:rsidP="000A2D48">
      <w:pPr>
        <w:rPr>
          <w:lang w:val="en-US"/>
        </w:rPr>
      </w:pPr>
      <w:r w:rsidRPr="000C6455">
        <w:rPr>
          <w:lang w:val="en-US"/>
        </w:rPr>
        <w:t>The first chapter introduces the world of sustainability, its emergence and development. What are the main frameworks, EU standards, what are the criteria and obligations for companies and opportunities, but also how this is misused for commercial purposes by companies that do not really meet the criteria imposed by the EU, however, and thus cases of greenwashing</w:t>
      </w:r>
    </w:p>
    <w:p w14:paraId="13885008" w14:textId="77777777" w:rsidR="000A2D48" w:rsidRPr="00AC3331" w:rsidRDefault="000A2D48" w:rsidP="000A2D48">
      <w:pPr>
        <w:rPr>
          <w:lang w:val="en-US"/>
        </w:rPr>
      </w:pPr>
      <w:r w:rsidRPr="00AC3331">
        <w:rPr>
          <w:lang w:val="en-US"/>
        </w:rPr>
        <w:t>The second part of the paper explores the integration of finance and sustainability, with a focus on innovative financial instruments such as Sustainability-linked loans, Green bonds and ESG ratings, illustrating their benefits, limitations and impacts on access to credit and corporate risk assessment.</w:t>
      </w:r>
    </w:p>
    <w:p w14:paraId="6F72F914" w14:textId="2AD2AF50" w:rsidR="000A2D48" w:rsidRPr="00C9225E" w:rsidRDefault="000A2D48" w:rsidP="000A2D48">
      <w:pPr>
        <w:rPr>
          <w:lang w:val="en-US"/>
        </w:rPr>
      </w:pPr>
      <w:r w:rsidRPr="00C9225E">
        <w:rPr>
          <w:lang w:val="en-US"/>
        </w:rPr>
        <w:t>The thesis includes an application analysis based on my internship experience with a company specializing in ESG reporting. I had the opportunity to shadow clients in activities related to setting up the digital platform for ESG data collection and analysis, managing sustainability indicators based on industries and customer demand (KPIs), and supporting consulting and business activities. This allowed me to take a closer look at the role of technology in corporate sustainability reporting and governance, and how companies interact with the world of sustainability</w:t>
      </w:r>
    </w:p>
    <w:p w14:paraId="28CA5A9F" w14:textId="09526250" w:rsidR="000A2D48" w:rsidRPr="00C9225E" w:rsidRDefault="000A2D48" w:rsidP="000A2D48">
      <w:pPr>
        <w:rPr>
          <w:lang w:val="en-US"/>
        </w:rPr>
      </w:pPr>
      <w:r w:rsidRPr="00C9225E">
        <w:rPr>
          <w:lang w:val="en-US"/>
        </w:rPr>
        <w:t xml:space="preserve">The paper concludes with a reflection on the results that emerged, the </w:t>
      </w:r>
      <w:r w:rsidR="00506D6B" w:rsidRPr="00C9225E">
        <w:rPr>
          <w:lang w:val="en-US"/>
        </w:rPr>
        <w:t>prospects</w:t>
      </w:r>
      <w:r w:rsidRPr="00C9225E">
        <w:rPr>
          <w:lang w:val="en-US"/>
        </w:rPr>
        <w:t xml:space="preserve"> for ESG reporting, the importance of digitizing processes, and the increasing role that sustainable business operations will play in guiding the strategies of companies and investors and all stakeholders</w:t>
      </w:r>
    </w:p>
    <w:p w14:paraId="092FC4FA" w14:textId="197023ED" w:rsidR="00AB6F3E" w:rsidRPr="00544E92" w:rsidRDefault="00D128F3" w:rsidP="000A2D48">
      <w:pPr>
        <w:pStyle w:val="Text"/>
        <w:rPr>
          <w:lang w:val="en-GB"/>
        </w:rPr>
        <w:sectPr w:rsidR="00AB6F3E" w:rsidRPr="00544E92" w:rsidSect="00070452">
          <w:headerReference w:type="even" r:id="rId11"/>
          <w:footerReference w:type="even" r:id="rId12"/>
          <w:footerReference w:type="default" r:id="rId13"/>
          <w:headerReference w:type="first" r:id="rId14"/>
          <w:footerReference w:type="first" r:id="rId15"/>
          <w:pgSz w:w="11906" w:h="16838" w:code="9"/>
          <w:pgMar w:top="1701" w:right="1418" w:bottom="1418" w:left="1418" w:header="851" w:footer="851" w:gutter="0"/>
          <w:pgNumType w:fmt="lowerRoman" w:start="1"/>
          <w:cols w:space="708"/>
          <w:titlePg/>
          <w:docGrid w:linePitch="360"/>
        </w:sectPr>
      </w:pPr>
      <w:r w:rsidRPr="00544E92">
        <w:rPr>
          <w:b/>
          <w:bCs/>
          <w:lang w:val="en-GB"/>
        </w:rPr>
        <w:t>Key-words:</w:t>
      </w:r>
      <w:r w:rsidRPr="00544E92">
        <w:rPr>
          <w:lang w:val="en-GB"/>
        </w:rPr>
        <w:t xml:space="preserve"> </w:t>
      </w:r>
      <w:r w:rsidR="005A1D27">
        <w:rPr>
          <w:lang w:val="en-GB"/>
        </w:rPr>
        <w:t xml:space="preserve">ESG, finance, sustainability, </w:t>
      </w:r>
      <w:r w:rsidR="00001B92">
        <w:rPr>
          <w:lang w:val="en-GB"/>
        </w:rPr>
        <w:t>frameworks</w:t>
      </w:r>
      <w:r w:rsidRPr="00544E92">
        <w:rPr>
          <w:lang w:val="en-GB"/>
        </w:rPr>
        <w:t>.</w:t>
      </w:r>
    </w:p>
    <w:p w14:paraId="5D057553" w14:textId="6786FFBF" w:rsidR="00A50897" w:rsidRPr="000A2D48" w:rsidRDefault="00A50897" w:rsidP="00BF2714">
      <w:pPr>
        <w:pStyle w:val="Titolo1"/>
        <w:numPr>
          <w:ilvl w:val="0"/>
          <w:numId w:val="0"/>
        </w:numPr>
      </w:pPr>
      <w:bookmarkStart w:id="2" w:name="_Toc99982934"/>
      <w:bookmarkStart w:id="3" w:name="_Toc207471579"/>
      <w:r w:rsidRPr="000A2D48">
        <w:lastRenderedPageBreak/>
        <w:t>Abstract</w:t>
      </w:r>
      <w:r w:rsidR="00D128F3" w:rsidRPr="000A2D48">
        <w:t xml:space="preserve"> in italiano</w:t>
      </w:r>
      <w:bookmarkEnd w:id="2"/>
      <w:bookmarkEnd w:id="3"/>
    </w:p>
    <w:p w14:paraId="1D1C7CA4" w14:textId="03009B0C" w:rsidR="000A2D48" w:rsidRPr="00862595" w:rsidRDefault="000A2D48" w:rsidP="000A2D48">
      <w:r w:rsidRPr="00862595">
        <w:t xml:space="preserve">Il tema centrale di questa tesi è il Bilancio di Sostenibilità e, anche se </w:t>
      </w:r>
      <w:r>
        <w:t xml:space="preserve">apparentemente appartengono a </w:t>
      </w:r>
      <w:r w:rsidRPr="00862595">
        <w:t xml:space="preserve">due mondi </w:t>
      </w:r>
      <w:r>
        <w:t>differenti</w:t>
      </w:r>
      <w:r w:rsidRPr="00862595">
        <w:t xml:space="preserve">, l'impatto che ha sulle aziende e il ruolo che svolge nel mondo della finanza. </w:t>
      </w:r>
      <w:r>
        <w:t xml:space="preserve"> </w:t>
      </w:r>
      <w:r w:rsidRPr="00862595">
        <w:t xml:space="preserve">Questo elaborato è il risultato di </w:t>
      </w:r>
      <w:r>
        <w:t>conoscenze apprese in università, un’esperienza di studio di 6 mesi presso l’università CYU di Parigi e diversi</w:t>
      </w:r>
      <w:r w:rsidRPr="00862595">
        <w:t xml:space="preserve"> progett</w:t>
      </w:r>
      <w:r>
        <w:t>i</w:t>
      </w:r>
      <w:r w:rsidRPr="00862595">
        <w:t xml:space="preserve"> a cui </w:t>
      </w:r>
      <w:r>
        <w:t>ho</w:t>
      </w:r>
      <w:r w:rsidRPr="00862595">
        <w:t xml:space="preserve"> avuto</w:t>
      </w:r>
      <w:r>
        <w:t xml:space="preserve"> piacere</w:t>
      </w:r>
      <w:r w:rsidRPr="00862595">
        <w:t xml:space="preserve"> di partecipare durante </w:t>
      </w:r>
      <w:r>
        <w:t xml:space="preserve">un </w:t>
      </w:r>
      <w:r w:rsidRPr="00862595">
        <w:t>periodo di</w:t>
      </w:r>
      <w:r>
        <w:t xml:space="preserve"> 6 mesi di</w:t>
      </w:r>
      <w:r w:rsidRPr="00862595">
        <w:t xml:space="preserve"> stage presso una società di consulenza ESG di Milano</w:t>
      </w:r>
      <w:r>
        <w:t xml:space="preserve"> responsabile della rendicontazione ESG di più di 100 aziende.</w:t>
      </w:r>
    </w:p>
    <w:p w14:paraId="68E65D3E" w14:textId="77777777" w:rsidR="000A2D48" w:rsidRDefault="000A2D48" w:rsidP="000A2D48">
      <w:r>
        <w:t>Questo lavoro ha la finalità</w:t>
      </w:r>
      <w:r w:rsidRPr="00862595">
        <w:t xml:space="preserve"> di individuare come la raccolta e l'analisi delle informazioni non finanziarie non sia solo una tendenza politica, sociale o una metodologia utilizzata dalle aziende per fare marketing e mostrarsi sostenibili agli occhi dei clienti, ma che in realtà abbia un effetto importante </w:t>
      </w:r>
      <w:r w:rsidRPr="006654E9">
        <w:rPr>
          <w:b/>
          <w:bCs/>
        </w:rPr>
        <w:t>sul bilancio economico e finanziario dell'azienda</w:t>
      </w:r>
      <w:r>
        <w:t xml:space="preserve"> sebbene molti dati non siano quantitativi e legati al mondo economico-finanziario.</w:t>
      </w:r>
    </w:p>
    <w:p w14:paraId="6894002B" w14:textId="77777777" w:rsidR="000A2D48" w:rsidRPr="00862595" w:rsidRDefault="000A2D48" w:rsidP="000A2D48">
      <w:r w:rsidRPr="00E46AF2">
        <w:t>Nel primo capitolo viene fatta una presentazione del mondo della sostenibilità, della sua nascita e dei suoi sviluppi</w:t>
      </w:r>
      <w:r>
        <w:t>, q</w:t>
      </w:r>
      <w:r w:rsidRPr="00E46AF2">
        <w:t>uali sono i principali framework, standard Eu, quali sono i criteri e gli obblighi per le aziende ed opportunità, ma anche come questo venga usato erroneamente a fini commerciali da aziende che non rispettano però realmente i criteri imposti dall'EU e quindi i casi di greenwashing</w:t>
      </w:r>
      <w:r>
        <w:t>.</w:t>
      </w:r>
    </w:p>
    <w:p w14:paraId="10D75A00" w14:textId="77777777" w:rsidR="000A2D48" w:rsidRDefault="000A2D48" w:rsidP="000A2D48">
      <w:r w:rsidRPr="00970F53">
        <w:t xml:space="preserve">La seconda parte del lavoro approfondisce l’integrazione tra finanza e sostenibilità, con un focus su strumenti finanziari innovativi come i </w:t>
      </w:r>
      <w:r w:rsidRPr="002F329B">
        <w:rPr>
          <w:i/>
          <w:iCs/>
        </w:rPr>
        <w:t>Sustainability-linked loan, i Green bond</w:t>
      </w:r>
      <w:r>
        <w:rPr>
          <w:i/>
          <w:iCs/>
        </w:rPr>
        <w:t>, S-Loan</w:t>
      </w:r>
      <w:r w:rsidRPr="002F329B">
        <w:rPr>
          <w:i/>
          <w:iCs/>
        </w:rPr>
        <w:t xml:space="preserve"> e i rating ESG</w:t>
      </w:r>
      <w:r w:rsidRPr="00970F53">
        <w:t>, illustrandone i benefici, i limiti e gli impatti sull’accesso al credito e sulla valutazione del rischio aziendale.</w:t>
      </w:r>
    </w:p>
    <w:p w14:paraId="30A46673" w14:textId="56BB2792" w:rsidR="000A2D48" w:rsidRPr="003073DF" w:rsidRDefault="000A2D48" w:rsidP="000A2D48">
      <w:r w:rsidRPr="003073DF">
        <w:t>La tesi include inoltre un’analisi applicativa basata su</w:t>
      </w:r>
      <w:r>
        <w:t>ll’</w:t>
      </w:r>
      <w:r w:rsidRPr="003073DF">
        <w:t xml:space="preserve">esperienza di stage </w:t>
      </w:r>
      <w:r>
        <w:t xml:space="preserve">svolta </w:t>
      </w:r>
      <w:r w:rsidRPr="003073DF">
        <w:t xml:space="preserve">in un’azienda specializzata in rendicontazione ESG. </w:t>
      </w:r>
      <w:r>
        <w:t xml:space="preserve">Ho avuto la possibilità di seguire i clienti nelle </w:t>
      </w:r>
      <w:r w:rsidRPr="003073DF">
        <w:t>attività legate alla configurazione d</w:t>
      </w:r>
      <w:r>
        <w:t>ella</w:t>
      </w:r>
      <w:r w:rsidRPr="003073DF">
        <w:t xml:space="preserve"> piattaform</w:t>
      </w:r>
      <w:r>
        <w:t>a</w:t>
      </w:r>
      <w:r w:rsidRPr="003073DF">
        <w:t xml:space="preserve"> digital</w:t>
      </w:r>
      <w:r>
        <w:t>e</w:t>
      </w:r>
      <w:r w:rsidRPr="003073DF">
        <w:t xml:space="preserve"> per la raccolta e l’analisi dei dati ESG, alla gestione di indicatori di sostenibilità </w:t>
      </w:r>
      <w:r>
        <w:t xml:space="preserve">basata su settori e richiesta dei clienti </w:t>
      </w:r>
      <w:r w:rsidRPr="003073DF">
        <w:t xml:space="preserve">(KPI) e al supporto in attività consulenziali e commerciali. </w:t>
      </w:r>
    </w:p>
    <w:p w14:paraId="2DFB2950" w14:textId="77777777" w:rsidR="000A2D48" w:rsidRPr="003073DF" w:rsidRDefault="000A2D48" w:rsidP="000A2D48">
      <w:r w:rsidRPr="003073DF">
        <w:t>L’elaborato si conclude con una riflessione sui risultati emersi, sulle prospettive future della rendicontazione ESG, sull’importanza della digitalizzazione dei processi e sul ruolo sempre più rilevante che l</w:t>
      </w:r>
      <w:r>
        <w:t>’operato aziendale</w:t>
      </w:r>
      <w:r w:rsidRPr="003073DF">
        <w:t xml:space="preserve"> sostenibile giocherà nel guidare le strategie delle imprese e degli investitori</w:t>
      </w:r>
      <w:r>
        <w:t xml:space="preserve"> e di tutti gli stakeholders.</w:t>
      </w:r>
    </w:p>
    <w:p w14:paraId="6E4ACE63" w14:textId="6ACA7FB3" w:rsidR="007B03DB" w:rsidRPr="00A6503C" w:rsidRDefault="00D128F3" w:rsidP="00A6503C">
      <w:pPr>
        <w:pStyle w:val="Text"/>
        <w:rPr>
          <w:lang w:val="it-IT"/>
        </w:rPr>
        <w:sectPr w:rsidR="007B03DB" w:rsidRPr="00A6503C" w:rsidSect="00070452">
          <w:type w:val="oddPage"/>
          <w:pgSz w:w="11906" w:h="16838" w:code="9"/>
          <w:pgMar w:top="1701" w:right="1418" w:bottom="1418" w:left="1418" w:header="851" w:footer="851" w:gutter="0"/>
          <w:pgNumType w:fmt="lowerRoman"/>
          <w:cols w:space="708"/>
          <w:titlePg/>
          <w:docGrid w:linePitch="360"/>
        </w:sectPr>
      </w:pPr>
      <w:r w:rsidRPr="00C72DAA">
        <w:rPr>
          <w:b/>
          <w:bCs/>
          <w:lang w:val="it-IT"/>
        </w:rPr>
        <w:t>Parole chiave:</w:t>
      </w:r>
      <w:r w:rsidRPr="00C72DAA">
        <w:rPr>
          <w:lang w:val="it-IT"/>
        </w:rPr>
        <w:t xml:space="preserve"> </w:t>
      </w:r>
      <w:r w:rsidR="00001B92">
        <w:rPr>
          <w:lang w:val="it-IT"/>
        </w:rPr>
        <w:t>ESG, sostenibilità, finanza, framework</w:t>
      </w:r>
      <w:r w:rsidRPr="00C72DAA">
        <w:rPr>
          <w:lang w:val="it-IT"/>
        </w:rPr>
        <w:t>.</w:t>
      </w:r>
    </w:p>
    <w:p w14:paraId="1C64D7BF" w14:textId="77777777" w:rsidR="00A834F5" w:rsidRPr="00A834F5" w:rsidRDefault="00A834F5" w:rsidP="00A834F5">
      <w:pPr>
        <w:sectPr w:rsidR="00A834F5" w:rsidRPr="00A834F5" w:rsidSect="002E61C1">
          <w:headerReference w:type="first" r:id="rId16"/>
          <w:footerReference w:type="first" r:id="rId17"/>
          <w:type w:val="evenPage"/>
          <w:pgSz w:w="11906" w:h="16838" w:code="9"/>
          <w:pgMar w:top="2268" w:right="1418" w:bottom="1418" w:left="1701" w:header="851" w:footer="851" w:gutter="0"/>
          <w:cols w:space="708"/>
          <w:titlePg/>
          <w:docGrid w:linePitch="360"/>
        </w:sectPr>
      </w:pPr>
    </w:p>
    <w:bookmarkStart w:id="4" w:name="_Toc207471580" w:displacedByCustomXml="next"/>
    <w:bookmarkStart w:id="5" w:name="_Toc99982935" w:displacedByCustomXml="next"/>
    <w:sdt>
      <w:sdtPr>
        <w:rPr>
          <w:rFonts w:eastAsiaTheme="minorHAnsi" w:cstheme="minorBidi"/>
          <w:color w:val="auto"/>
          <w:sz w:val="24"/>
          <w:szCs w:val="22"/>
          <w:lang w:val="en-GB"/>
        </w:rPr>
        <w:id w:val="-1463420644"/>
        <w:docPartObj>
          <w:docPartGallery w:val="Table of Contents"/>
          <w:docPartUnique/>
        </w:docPartObj>
      </w:sdtPr>
      <w:sdtEndPr>
        <w:rPr>
          <w:b/>
          <w:bCs/>
          <w:noProof/>
        </w:rPr>
      </w:sdtEndPr>
      <w:sdtContent>
        <w:p w14:paraId="0DF8DB47" w14:textId="77777777" w:rsidR="00A40E7E" w:rsidRDefault="00356473" w:rsidP="00A6503C">
          <w:pPr>
            <w:pStyle w:val="Titolo1"/>
            <w:numPr>
              <w:ilvl w:val="0"/>
              <w:numId w:val="0"/>
            </w:numPr>
            <w:rPr>
              <w:noProof/>
            </w:rPr>
          </w:pPr>
          <w:r w:rsidRPr="00544E92">
            <w:rPr>
              <w:rStyle w:val="Titolo1Carattere"/>
              <w:lang w:val="en-GB"/>
            </w:rPr>
            <w:t>Contents</w:t>
          </w:r>
          <w:bookmarkEnd w:id="5"/>
          <w:bookmarkEnd w:id="4"/>
          <w:r w:rsidR="006D4C1A">
            <w:rPr>
              <w:lang w:val="en-GB"/>
            </w:rPr>
            <w:fldChar w:fldCharType="begin"/>
          </w:r>
          <w:r w:rsidR="006D4C1A">
            <w:rPr>
              <w:lang w:val="en-GB"/>
            </w:rPr>
            <w:instrText xml:space="preserve"> TOC \o "1-3" \h \z \u </w:instrText>
          </w:r>
          <w:r w:rsidR="006D4C1A">
            <w:rPr>
              <w:lang w:val="en-GB"/>
            </w:rPr>
            <w:fldChar w:fldCharType="separate"/>
          </w:r>
        </w:p>
        <w:p w14:paraId="01FBC651" w14:textId="740780BD" w:rsidR="00A40E7E" w:rsidRDefault="00A40E7E">
          <w:pPr>
            <w:pStyle w:val="Sommario1"/>
            <w:tabs>
              <w:tab w:val="right" w:leader="dot" w:pos="8209"/>
            </w:tabs>
            <w:rPr>
              <w:rFonts w:asciiTheme="minorHAnsi" w:eastAsiaTheme="minorEastAsia" w:hAnsiTheme="minorHAnsi"/>
              <w:b w:val="0"/>
              <w:noProof/>
              <w:kern w:val="2"/>
              <w:szCs w:val="24"/>
              <w:lang w:eastAsia="it-IT"/>
              <w14:ligatures w14:val="standardContextual"/>
            </w:rPr>
          </w:pPr>
          <w:hyperlink w:anchor="_Toc207471578" w:history="1">
            <w:r w:rsidRPr="007148A0">
              <w:rPr>
                <w:rStyle w:val="Collegamentoipertestuale"/>
                <w:noProof/>
                <w:lang w:val="en-GB"/>
              </w:rPr>
              <w:t>Abstract</w:t>
            </w:r>
            <w:r>
              <w:rPr>
                <w:noProof/>
                <w:webHidden/>
              </w:rPr>
              <w:tab/>
            </w:r>
            <w:r>
              <w:rPr>
                <w:noProof/>
                <w:webHidden/>
              </w:rPr>
              <w:fldChar w:fldCharType="begin"/>
            </w:r>
            <w:r>
              <w:rPr>
                <w:noProof/>
                <w:webHidden/>
              </w:rPr>
              <w:instrText xml:space="preserve"> PAGEREF _Toc207471578 \h </w:instrText>
            </w:r>
            <w:r>
              <w:rPr>
                <w:noProof/>
                <w:webHidden/>
              </w:rPr>
            </w:r>
            <w:r>
              <w:rPr>
                <w:noProof/>
                <w:webHidden/>
              </w:rPr>
              <w:fldChar w:fldCharType="separate"/>
            </w:r>
            <w:r>
              <w:rPr>
                <w:noProof/>
                <w:webHidden/>
              </w:rPr>
              <w:t>i</w:t>
            </w:r>
            <w:r>
              <w:rPr>
                <w:noProof/>
                <w:webHidden/>
              </w:rPr>
              <w:fldChar w:fldCharType="end"/>
            </w:r>
          </w:hyperlink>
        </w:p>
        <w:p w14:paraId="32F3D22A" w14:textId="3A51E114" w:rsidR="00A40E7E" w:rsidRDefault="00A40E7E">
          <w:pPr>
            <w:pStyle w:val="Sommario1"/>
            <w:tabs>
              <w:tab w:val="right" w:leader="dot" w:pos="8209"/>
            </w:tabs>
            <w:rPr>
              <w:rFonts w:asciiTheme="minorHAnsi" w:eastAsiaTheme="minorEastAsia" w:hAnsiTheme="minorHAnsi"/>
              <w:b w:val="0"/>
              <w:noProof/>
              <w:kern w:val="2"/>
              <w:szCs w:val="24"/>
              <w:lang w:eastAsia="it-IT"/>
              <w14:ligatures w14:val="standardContextual"/>
            </w:rPr>
          </w:pPr>
          <w:hyperlink w:anchor="_Toc207471579" w:history="1">
            <w:r w:rsidRPr="007148A0">
              <w:rPr>
                <w:rStyle w:val="Collegamentoipertestuale"/>
                <w:noProof/>
              </w:rPr>
              <w:t>Abstract in italiano</w:t>
            </w:r>
            <w:r>
              <w:rPr>
                <w:noProof/>
                <w:webHidden/>
              </w:rPr>
              <w:tab/>
            </w:r>
            <w:r>
              <w:rPr>
                <w:noProof/>
                <w:webHidden/>
              </w:rPr>
              <w:fldChar w:fldCharType="begin"/>
            </w:r>
            <w:r>
              <w:rPr>
                <w:noProof/>
                <w:webHidden/>
              </w:rPr>
              <w:instrText xml:space="preserve"> PAGEREF _Toc207471579 \h </w:instrText>
            </w:r>
            <w:r>
              <w:rPr>
                <w:noProof/>
                <w:webHidden/>
              </w:rPr>
            </w:r>
            <w:r>
              <w:rPr>
                <w:noProof/>
                <w:webHidden/>
              </w:rPr>
              <w:fldChar w:fldCharType="separate"/>
            </w:r>
            <w:r>
              <w:rPr>
                <w:noProof/>
                <w:webHidden/>
              </w:rPr>
              <w:t>iii</w:t>
            </w:r>
            <w:r>
              <w:rPr>
                <w:noProof/>
                <w:webHidden/>
              </w:rPr>
              <w:fldChar w:fldCharType="end"/>
            </w:r>
          </w:hyperlink>
        </w:p>
        <w:p w14:paraId="4ED26CB3" w14:textId="640B1706" w:rsidR="00A40E7E" w:rsidRDefault="00A40E7E">
          <w:pPr>
            <w:pStyle w:val="Sommario1"/>
            <w:tabs>
              <w:tab w:val="right" w:leader="dot" w:pos="8209"/>
            </w:tabs>
            <w:rPr>
              <w:rFonts w:asciiTheme="minorHAnsi" w:eastAsiaTheme="minorEastAsia" w:hAnsiTheme="minorHAnsi"/>
              <w:b w:val="0"/>
              <w:noProof/>
              <w:kern w:val="2"/>
              <w:szCs w:val="24"/>
              <w:lang w:eastAsia="it-IT"/>
              <w14:ligatures w14:val="standardContextual"/>
            </w:rPr>
          </w:pPr>
          <w:hyperlink w:anchor="_Toc207471580" w:history="1">
            <w:r w:rsidRPr="007148A0">
              <w:rPr>
                <w:rStyle w:val="Collegamentoipertestuale"/>
                <w:noProof/>
                <w:lang w:val="en-GB"/>
              </w:rPr>
              <w:t>Contents</w:t>
            </w:r>
            <w:r>
              <w:rPr>
                <w:noProof/>
                <w:webHidden/>
              </w:rPr>
              <w:tab/>
            </w:r>
            <w:r>
              <w:rPr>
                <w:noProof/>
                <w:webHidden/>
              </w:rPr>
              <w:fldChar w:fldCharType="begin"/>
            </w:r>
            <w:r>
              <w:rPr>
                <w:noProof/>
                <w:webHidden/>
              </w:rPr>
              <w:instrText xml:space="preserve"> PAGEREF _Toc207471580 \h </w:instrText>
            </w:r>
            <w:r>
              <w:rPr>
                <w:noProof/>
                <w:webHidden/>
              </w:rPr>
            </w:r>
            <w:r>
              <w:rPr>
                <w:noProof/>
                <w:webHidden/>
              </w:rPr>
              <w:fldChar w:fldCharType="separate"/>
            </w:r>
            <w:r>
              <w:rPr>
                <w:noProof/>
                <w:webHidden/>
              </w:rPr>
              <w:t>v</w:t>
            </w:r>
            <w:r>
              <w:rPr>
                <w:noProof/>
                <w:webHidden/>
              </w:rPr>
              <w:fldChar w:fldCharType="end"/>
            </w:r>
          </w:hyperlink>
        </w:p>
        <w:p w14:paraId="79A0FEE4" w14:textId="643E66CF" w:rsidR="00A40E7E" w:rsidRDefault="00A40E7E">
          <w:pPr>
            <w:pStyle w:val="Sommario1"/>
            <w:tabs>
              <w:tab w:val="right" w:leader="dot" w:pos="8209"/>
            </w:tabs>
            <w:rPr>
              <w:rFonts w:asciiTheme="minorHAnsi" w:eastAsiaTheme="minorEastAsia" w:hAnsiTheme="minorHAnsi"/>
              <w:b w:val="0"/>
              <w:noProof/>
              <w:kern w:val="2"/>
              <w:szCs w:val="24"/>
              <w:lang w:eastAsia="it-IT"/>
              <w14:ligatures w14:val="standardContextual"/>
            </w:rPr>
          </w:pPr>
          <w:hyperlink w:anchor="_Toc207471581" w:history="1">
            <w:r w:rsidRPr="007148A0">
              <w:rPr>
                <w:rStyle w:val="Collegamentoipertestuale"/>
                <w:noProof/>
                <w:lang w:val="en-GB"/>
              </w:rPr>
              <w:t>Introduction</w:t>
            </w:r>
            <w:r>
              <w:rPr>
                <w:noProof/>
                <w:webHidden/>
              </w:rPr>
              <w:tab/>
            </w:r>
            <w:r>
              <w:rPr>
                <w:noProof/>
                <w:webHidden/>
              </w:rPr>
              <w:fldChar w:fldCharType="begin"/>
            </w:r>
            <w:r>
              <w:rPr>
                <w:noProof/>
                <w:webHidden/>
              </w:rPr>
              <w:instrText xml:space="preserve"> PAGEREF _Toc207471581 \h </w:instrText>
            </w:r>
            <w:r>
              <w:rPr>
                <w:noProof/>
                <w:webHidden/>
              </w:rPr>
            </w:r>
            <w:r>
              <w:rPr>
                <w:noProof/>
                <w:webHidden/>
              </w:rPr>
              <w:fldChar w:fldCharType="separate"/>
            </w:r>
            <w:r>
              <w:rPr>
                <w:noProof/>
                <w:webHidden/>
              </w:rPr>
              <w:t>1</w:t>
            </w:r>
            <w:r>
              <w:rPr>
                <w:noProof/>
                <w:webHidden/>
              </w:rPr>
              <w:fldChar w:fldCharType="end"/>
            </w:r>
          </w:hyperlink>
        </w:p>
        <w:p w14:paraId="305F784D" w14:textId="5DD76521" w:rsidR="00A40E7E" w:rsidRDefault="00A40E7E">
          <w:pPr>
            <w:pStyle w:val="Sommario1"/>
            <w:tabs>
              <w:tab w:val="right" w:leader="dot" w:pos="8209"/>
            </w:tabs>
            <w:rPr>
              <w:rFonts w:asciiTheme="minorHAnsi" w:eastAsiaTheme="minorEastAsia" w:hAnsiTheme="minorHAnsi"/>
              <w:b w:val="0"/>
              <w:noProof/>
              <w:kern w:val="2"/>
              <w:szCs w:val="24"/>
              <w:lang w:eastAsia="it-IT"/>
              <w14:ligatures w14:val="standardContextual"/>
            </w:rPr>
          </w:pPr>
          <w:hyperlink w:anchor="_Toc207471582" w:history="1">
            <w:r w:rsidRPr="007148A0">
              <w:rPr>
                <w:rStyle w:val="Collegamentoipertestuale"/>
                <w:noProof/>
                <w:lang w:val="en-GB"/>
              </w:rPr>
              <w:t>1</w:t>
            </w:r>
            <w:r>
              <w:rPr>
                <w:rFonts w:asciiTheme="minorHAnsi" w:eastAsiaTheme="minorEastAsia" w:hAnsiTheme="minorHAnsi"/>
                <w:b w:val="0"/>
                <w:noProof/>
                <w:kern w:val="2"/>
                <w:szCs w:val="24"/>
                <w:lang w:eastAsia="it-IT"/>
                <w14:ligatures w14:val="standardContextual"/>
              </w:rPr>
              <w:tab/>
            </w:r>
            <w:r w:rsidRPr="007148A0">
              <w:rPr>
                <w:rStyle w:val="Collegamentoipertestuale"/>
                <w:noProof/>
                <w:lang w:val="en-US"/>
              </w:rPr>
              <w:t>ESG reporting: context, origins and evolution</w:t>
            </w:r>
            <w:r>
              <w:rPr>
                <w:noProof/>
                <w:webHidden/>
              </w:rPr>
              <w:tab/>
            </w:r>
            <w:r>
              <w:rPr>
                <w:noProof/>
                <w:webHidden/>
              </w:rPr>
              <w:fldChar w:fldCharType="begin"/>
            </w:r>
            <w:r>
              <w:rPr>
                <w:noProof/>
                <w:webHidden/>
              </w:rPr>
              <w:instrText xml:space="preserve"> PAGEREF _Toc207471582 \h </w:instrText>
            </w:r>
            <w:r>
              <w:rPr>
                <w:noProof/>
                <w:webHidden/>
              </w:rPr>
            </w:r>
            <w:r>
              <w:rPr>
                <w:noProof/>
                <w:webHidden/>
              </w:rPr>
              <w:fldChar w:fldCharType="separate"/>
            </w:r>
            <w:r>
              <w:rPr>
                <w:noProof/>
                <w:webHidden/>
              </w:rPr>
              <w:t>5</w:t>
            </w:r>
            <w:r>
              <w:rPr>
                <w:noProof/>
                <w:webHidden/>
              </w:rPr>
              <w:fldChar w:fldCharType="end"/>
            </w:r>
          </w:hyperlink>
        </w:p>
        <w:p w14:paraId="5996E508" w14:textId="79B18555" w:rsidR="00A40E7E" w:rsidRPr="00E01273" w:rsidRDefault="00A40E7E">
          <w:pPr>
            <w:pStyle w:val="Sommario2"/>
            <w:tabs>
              <w:tab w:val="left" w:pos="720"/>
            </w:tabs>
            <w:rPr>
              <w:rFonts w:asciiTheme="minorHAnsi" w:eastAsiaTheme="minorEastAsia" w:hAnsiTheme="minorHAnsi"/>
              <w:noProof/>
              <w:kern w:val="2"/>
              <w:szCs w:val="24"/>
              <w:lang w:eastAsia="it-IT"/>
              <w14:ligatures w14:val="standardContextual"/>
            </w:rPr>
          </w:pPr>
          <w:hyperlink w:anchor="_Toc207471583" w:history="1">
            <w:r w:rsidRPr="00E01273">
              <w:rPr>
                <w:rStyle w:val="Collegamentoipertestuale"/>
                <w:noProof/>
                <w:lang w:val="en-GB"/>
              </w:rPr>
              <w:t>1.1The concept of sustainability: origins and development</w:t>
            </w:r>
            <w:r w:rsidRPr="00E01273">
              <w:rPr>
                <w:noProof/>
                <w:webHidden/>
              </w:rPr>
              <w:tab/>
            </w:r>
            <w:r w:rsidRPr="00E01273">
              <w:rPr>
                <w:noProof/>
                <w:webHidden/>
              </w:rPr>
              <w:fldChar w:fldCharType="begin"/>
            </w:r>
            <w:r w:rsidRPr="00E01273">
              <w:rPr>
                <w:noProof/>
                <w:webHidden/>
              </w:rPr>
              <w:instrText xml:space="preserve"> PAGEREF _Toc207471583 \h </w:instrText>
            </w:r>
            <w:r w:rsidRPr="00E01273">
              <w:rPr>
                <w:noProof/>
                <w:webHidden/>
              </w:rPr>
            </w:r>
            <w:r w:rsidRPr="00E01273">
              <w:rPr>
                <w:noProof/>
                <w:webHidden/>
              </w:rPr>
              <w:fldChar w:fldCharType="separate"/>
            </w:r>
            <w:r w:rsidRPr="00E01273">
              <w:rPr>
                <w:noProof/>
                <w:webHidden/>
              </w:rPr>
              <w:t>5</w:t>
            </w:r>
            <w:r w:rsidRPr="00E01273">
              <w:rPr>
                <w:noProof/>
                <w:webHidden/>
              </w:rPr>
              <w:fldChar w:fldCharType="end"/>
            </w:r>
          </w:hyperlink>
        </w:p>
        <w:p w14:paraId="0CDD538E" w14:textId="2A833386" w:rsidR="00A40E7E" w:rsidRPr="00E01273" w:rsidRDefault="00A40E7E">
          <w:pPr>
            <w:pStyle w:val="Sommario2"/>
            <w:rPr>
              <w:rFonts w:asciiTheme="minorHAnsi" w:eastAsiaTheme="minorEastAsia" w:hAnsiTheme="minorHAnsi"/>
              <w:noProof/>
              <w:kern w:val="2"/>
              <w:szCs w:val="24"/>
              <w:lang w:eastAsia="it-IT"/>
              <w14:ligatures w14:val="standardContextual"/>
            </w:rPr>
          </w:pPr>
          <w:hyperlink w:anchor="_Toc207471584" w:history="1">
            <w:r w:rsidRPr="00E01273">
              <w:rPr>
                <w:rStyle w:val="Collegamentoipertestuale"/>
                <w:noProof/>
                <w:lang w:val="en-US"/>
              </w:rPr>
              <w:t>1.2 Reference standards in reporting (GRI, SASB, ISSB, ESRS, TCFD)</w:t>
            </w:r>
            <w:r w:rsidRPr="00E01273">
              <w:rPr>
                <w:noProof/>
                <w:webHidden/>
              </w:rPr>
              <w:tab/>
            </w:r>
            <w:r w:rsidRPr="00E01273">
              <w:rPr>
                <w:noProof/>
                <w:webHidden/>
              </w:rPr>
              <w:fldChar w:fldCharType="begin"/>
            </w:r>
            <w:r w:rsidRPr="00E01273">
              <w:rPr>
                <w:noProof/>
                <w:webHidden/>
              </w:rPr>
              <w:instrText xml:space="preserve"> PAGEREF _Toc207471584 \h </w:instrText>
            </w:r>
            <w:r w:rsidRPr="00E01273">
              <w:rPr>
                <w:noProof/>
                <w:webHidden/>
              </w:rPr>
            </w:r>
            <w:r w:rsidRPr="00E01273">
              <w:rPr>
                <w:noProof/>
                <w:webHidden/>
              </w:rPr>
              <w:fldChar w:fldCharType="separate"/>
            </w:r>
            <w:r w:rsidRPr="00E01273">
              <w:rPr>
                <w:noProof/>
                <w:webHidden/>
              </w:rPr>
              <w:t>13</w:t>
            </w:r>
            <w:r w:rsidRPr="00E01273">
              <w:rPr>
                <w:noProof/>
                <w:webHidden/>
              </w:rPr>
              <w:fldChar w:fldCharType="end"/>
            </w:r>
          </w:hyperlink>
        </w:p>
        <w:p w14:paraId="21DB146D" w14:textId="1F1EBA27" w:rsidR="00A40E7E" w:rsidRPr="00E01273" w:rsidRDefault="00A40E7E">
          <w:pPr>
            <w:pStyle w:val="Sommario2"/>
            <w:rPr>
              <w:rFonts w:asciiTheme="minorHAnsi" w:eastAsiaTheme="minorEastAsia" w:hAnsiTheme="minorHAnsi"/>
              <w:noProof/>
              <w:kern w:val="2"/>
              <w:szCs w:val="24"/>
              <w:lang w:eastAsia="it-IT"/>
              <w14:ligatures w14:val="standardContextual"/>
            </w:rPr>
          </w:pPr>
          <w:hyperlink w:anchor="_Toc207471585" w:history="1">
            <w:r w:rsidRPr="00E01273">
              <w:rPr>
                <w:rStyle w:val="Collegamentoipertestuale"/>
                <w:noProof/>
                <w:lang w:val="en-US"/>
              </w:rPr>
              <w:t>1.3 The principle of dual materiality</w:t>
            </w:r>
            <w:r w:rsidRPr="00E01273">
              <w:rPr>
                <w:noProof/>
                <w:webHidden/>
              </w:rPr>
              <w:tab/>
            </w:r>
            <w:r w:rsidRPr="00E01273">
              <w:rPr>
                <w:noProof/>
                <w:webHidden/>
              </w:rPr>
              <w:fldChar w:fldCharType="begin"/>
            </w:r>
            <w:r w:rsidRPr="00E01273">
              <w:rPr>
                <w:noProof/>
                <w:webHidden/>
              </w:rPr>
              <w:instrText xml:space="preserve"> PAGEREF _Toc207471585 \h </w:instrText>
            </w:r>
            <w:r w:rsidRPr="00E01273">
              <w:rPr>
                <w:noProof/>
                <w:webHidden/>
              </w:rPr>
            </w:r>
            <w:r w:rsidRPr="00E01273">
              <w:rPr>
                <w:noProof/>
                <w:webHidden/>
              </w:rPr>
              <w:fldChar w:fldCharType="separate"/>
            </w:r>
            <w:r w:rsidRPr="00E01273">
              <w:rPr>
                <w:noProof/>
                <w:webHidden/>
              </w:rPr>
              <w:t>16</w:t>
            </w:r>
            <w:r w:rsidRPr="00E01273">
              <w:rPr>
                <w:noProof/>
                <w:webHidden/>
              </w:rPr>
              <w:fldChar w:fldCharType="end"/>
            </w:r>
          </w:hyperlink>
        </w:p>
        <w:p w14:paraId="6CAB6905" w14:textId="18A7F594" w:rsidR="00A40E7E" w:rsidRPr="00E01273" w:rsidRDefault="00A40E7E">
          <w:pPr>
            <w:pStyle w:val="Sommario2"/>
            <w:rPr>
              <w:rFonts w:asciiTheme="minorHAnsi" w:eastAsiaTheme="minorEastAsia" w:hAnsiTheme="minorHAnsi"/>
              <w:noProof/>
              <w:kern w:val="2"/>
              <w:szCs w:val="24"/>
              <w:lang w:eastAsia="it-IT"/>
              <w14:ligatures w14:val="standardContextual"/>
            </w:rPr>
          </w:pPr>
          <w:hyperlink w:anchor="_Toc207471586" w:history="1">
            <w:r w:rsidRPr="00E01273">
              <w:rPr>
                <w:rStyle w:val="Collegamentoipertestuale"/>
                <w:noProof/>
                <w:lang w:val="en-US"/>
              </w:rPr>
              <w:t>1</w:t>
            </w:r>
            <w:r w:rsidRPr="00E01273">
              <w:rPr>
                <w:rStyle w:val="Collegamentoipertestuale"/>
                <w:noProof/>
                <w:lang w:val="en-GB"/>
              </w:rPr>
              <w:t>.</w:t>
            </w:r>
            <w:r w:rsidRPr="00E01273">
              <w:rPr>
                <w:rStyle w:val="Collegamentoipertestuale"/>
                <w:noProof/>
                <w:lang w:val="en-US"/>
              </w:rPr>
              <w:t>4 ESG reporting objectives, advantages, and critical issues</w:t>
            </w:r>
            <w:r w:rsidRPr="00E01273">
              <w:rPr>
                <w:noProof/>
                <w:webHidden/>
              </w:rPr>
              <w:tab/>
            </w:r>
            <w:r w:rsidRPr="00E01273">
              <w:rPr>
                <w:noProof/>
                <w:webHidden/>
              </w:rPr>
              <w:fldChar w:fldCharType="begin"/>
            </w:r>
            <w:r w:rsidRPr="00E01273">
              <w:rPr>
                <w:noProof/>
                <w:webHidden/>
              </w:rPr>
              <w:instrText xml:space="preserve"> PAGEREF _Toc207471586 \h </w:instrText>
            </w:r>
            <w:r w:rsidRPr="00E01273">
              <w:rPr>
                <w:noProof/>
                <w:webHidden/>
              </w:rPr>
            </w:r>
            <w:r w:rsidRPr="00E01273">
              <w:rPr>
                <w:noProof/>
                <w:webHidden/>
              </w:rPr>
              <w:fldChar w:fldCharType="separate"/>
            </w:r>
            <w:r w:rsidRPr="00E01273">
              <w:rPr>
                <w:noProof/>
                <w:webHidden/>
              </w:rPr>
              <w:t>19</w:t>
            </w:r>
            <w:r w:rsidRPr="00E01273">
              <w:rPr>
                <w:noProof/>
                <w:webHidden/>
              </w:rPr>
              <w:fldChar w:fldCharType="end"/>
            </w:r>
          </w:hyperlink>
        </w:p>
        <w:p w14:paraId="06E8D357" w14:textId="4C1EA83A"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587" w:history="1">
            <w:r w:rsidRPr="00E01273">
              <w:rPr>
                <w:rStyle w:val="Collegamentoipertestuale"/>
                <w:noProof/>
                <w:lang w:val="en-US"/>
              </w:rPr>
              <w:t>1.5 The risk of greenwashing, real cases, and implications</w:t>
            </w:r>
            <w:r w:rsidRPr="00E01273">
              <w:rPr>
                <w:noProof/>
                <w:webHidden/>
              </w:rPr>
              <w:tab/>
            </w:r>
            <w:r w:rsidRPr="00E01273">
              <w:rPr>
                <w:noProof/>
                <w:webHidden/>
              </w:rPr>
              <w:fldChar w:fldCharType="begin"/>
            </w:r>
            <w:r w:rsidRPr="00E01273">
              <w:rPr>
                <w:noProof/>
                <w:webHidden/>
              </w:rPr>
              <w:instrText xml:space="preserve"> PAGEREF _Toc207471587 \h </w:instrText>
            </w:r>
            <w:r w:rsidRPr="00E01273">
              <w:rPr>
                <w:noProof/>
                <w:webHidden/>
              </w:rPr>
            </w:r>
            <w:r w:rsidRPr="00E01273">
              <w:rPr>
                <w:noProof/>
                <w:webHidden/>
              </w:rPr>
              <w:fldChar w:fldCharType="separate"/>
            </w:r>
            <w:r w:rsidRPr="00E01273">
              <w:rPr>
                <w:noProof/>
                <w:webHidden/>
              </w:rPr>
              <w:t>20</w:t>
            </w:r>
            <w:r w:rsidRPr="00E01273">
              <w:rPr>
                <w:noProof/>
                <w:webHidden/>
              </w:rPr>
              <w:fldChar w:fldCharType="end"/>
            </w:r>
          </w:hyperlink>
        </w:p>
        <w:p w14:paraId="2D006116" w14:textId="64D7AC73" w:rsidR="00A40E7E" w:rsidRDefault="00A40E7E">
          <w:pPr>
            <w:pStyle w:val="Sommario1"/>
            <w:tabs>
              <w:tab w:val="right" w:leader="dot" w:pos="8209"/>
            </w:tabs>
            <w:rPr>
              <w:rFonts w:asciiTheme="minorHAnsi" w:eastAsiaTheme="minorEastAsia" w:hAnsiTheme="minorHAnsi"/>
              <w:b w:val="0"/>
              <w:noProof/>
              <w:kern w:val="2"/>
              <w:szCs w:val="24"/>
              <w:lang w:eastAsia="it-IT"/>
              <w14:ligatures w14:val="standardContextual"/>
            </w:rPr>
          </w:pPr>
          <w:hyperlink w:anchor="_Toc207471588" w:history="1">
            <w:r w:rsidRPr="007148A0">
              <w:rPr>
                <w:rStyle w:val="Collegamentoipertestuale"/>
                <w:rFonts w:ascii="Times New Roman" w:hAnsi="Times New Roman" w:cs="Times New Roman"/>
                <w:noProof/>
                <w:lang w:val="en-US"/>
              </w:rPr>
              <w:t>2 - Integrating sustainability into finance</w:t>
            </w:r>
            <w:r>
              <w:rPr>
                <w:noProof/>
                <w:webHidden/>
              </w:rPr>
              <w:tab/>
            </w:r>
            <w:r>
              <w:rPr>
                <w:noProof/>
                <w:webHidden/>
              </w:rPr>
              <w:fldChar w:fldCharType="begin"/>
            </w:r>
            <w:r>
              <w:rPr>
                <w:noProof/>
                <w:webHidden/>
              </w:rPr>
              <w:instrText xml:space="preserve"> PAGEREF _Toc207471588 \h </w:instrText>
            </w:r>
            <w:r>
              <w:rPr>
                <w:noProof/>
                <w:webHidden/>
              </w:rPr>
            </w:r>
            <w:r>
              <w:rPr>
                <w:noProof/>
                <w:webHidden/>
              </w:rPr>
              <w:fldChar w:fldCharType="separate"/>
            </w:r>
            <w:r>
              <w:rPr>
                <w:noProof/>
                <w:webHidden/>
              </w:rPr>
              <w:t>25</w:t>
            </w:r>
            <w:r>
              <w:rPr>
                <w:noProof/>
                <w:webHidden/>
              </w:rPr>
              <w:fldChar w:fldCharType="end"/>
            </w:r>
          </w:hyperlink>
        </w:p>
        <w:p w14:paraId="0299507A" w14:textId="2A67CAB5" w:rsidR="00A40E7E" w:rsidRPr="00E01273" w:rsidRDefault="00A40E7E">
          <w:pPr>
            <w:pStyle w:val="Sommario2"/>
            <w:rPr>
              <w:rFonts w:asciiTheme="minorHAnsi" w:eastAsiaTheme="minorEastAsia" w:hAnsiTheme="minorHAnsi"/>
              <w:noProof/>
              <w:kern w:val="2"/>
              <w:szCs w:val="24"/>
              <w:lang w:eastAsia="it-IT"/>
              <w14:ligatures w14:val="standardContextual"/>
            </w:rPr>
          </w:pPr>
          <w:hyperlink w:anchor="_Toc207471589" w:history="1">
            <w:r w:rsidRPr="00E01273">
              <w:rPr>
                <w:rStyle w:val="Collegamentoipertestuale"/>
                <w:rFonts w:ascii="Times New Roman" w:hAnsi="Times New Roman" w:cs="Times New Roman"/>
                <w:noProof/>
                <w:lang w:val="en-US"/>
              </w:rPr>
              <w:t>2.1 Sustainable finance: definition and evolutionary trends</w:t>
            </w:r>
            <w:r w:rsidRPr="00E01273">
              <w:rPr>
                <w:noProof/>
                <w:webHidden/>
              </w:rPr>
              <w:tab/>
            </w:r>
            <w:r w:rsidRPr="00E01273">
              <w:rPr>
                <w:noProof/>
                <w:webHidden/>
              </w:rPr>
              <w:fldChar w:fldCharType="begin"/>
            </w:r>
            <w:r w:rsidRPr="00E01273">
              <w:rPr>
                <w:noProof/>
                <w:webHidden/>
              </w:rPr>
              <w:instrText xml:space="preserve"> PAGEREF _Toc207471589 \h </w:instrText>
            </w:r>
            <w:r w:rsidRPr="00E01273">
              <w:rPr>
                <w:noProof/>
                <w:webHidden/>
              </w:rPr>
            </w:r>
            <w:r w:rsidRPr="00E01273">
              <w:rPr>
                <w:noProof/>
                <w:webHidden/>
              </w:rPr>
              <w:fldChar w:fldCharType="separate"/>
            </w:r>
            <w:r w:rsidRPr="00E01273">
              <w:rPr>
                <w:noProof/>
                <w:webHidden/>
              </w:rPr>
              <w:t>25</w:t>
            </w:r>
            <w:r w:rsidRPr="00E01273">
              <w:rPr>
                <w:noProof/>
                <w:webHidden/>
              </w:rPr>
              <w:fldChar w:fldCharType="end"/>
            </w:r>
          </w:hyperlink>
        </w:p>
        <w:p w14:paraId="4EB116BC" w14:textId="05115801" w:rsidR="00A40E7E" w:rsidRPr="00E01273" w:rsidRDefault="00A40E7E">
          <w:pPr>
            <w:pStyle w:val="Sommario2"/>
            <w:rPr>
              <w:rFonts w:asciiTheme="minorHAnsi" w:eastAsiaTheme="minorEastAsia" w:hAnsiTheme="minorHAnsi"/>
              <w:noProof/>
              <w:kern w:val="2"/>
              <w:szCs w:val="24"/>
              <w:lang w:eastAsia="it-IT"/>
              <w14:ligatures w14:val="standardContextual"/>
            </w:rPr>
          </w:pPr>
          <w:hyperlink w:anchor="_Toc207471590" w:history="1">
            <w:r w:rsidRPr="00E01273">
              <w:rPr>
                <w:rStyle w:val="Collegamentoipertestuale"/>
                <w:rFonts w:ascii="Times New Roman" w:hAnsi="Times New Roman" w:cs="Times New Roman"/>
                <w:noProof/>
                <w:lang w:val="en-US"/>
              </w:rPr>
              <w:t>2.2 ESG-oriented financial instruments:</w:t>
            </w:r>
            <w:r w:rsidRPr="00E01273">
              <w:rPr>
                <w:noProof/>
                <w:webHidden/>
              </w:rPr>
              <w:tab/>
            </w:r>
            <w:r w:rsidRPr="00E01273">
              <w:rPr>
                <w:noProof/>
                <w:webHidden/>
              </w:rPr>
              <w:fldChar w:fldCharType="begin"/>
            </w:r>
            <w:r w:rsidRPr="00E01273">
              <w:rPr>
                <w:noProof/>
                <w:webHidden/>
              </w:rPr>
              <w:instrText xml:space="preserve"> PAGEREF _Toc207471590 \h </w:instrText>
            </w:r>
            <w:r w:rsidRPr="00E01273">
              <w:rPr>
                <w:noProof/>
                <w:webHidden/>
              </w:rPr>
            </w:r>
            <w:r w:rsidRPr="00E01273">
              <w:rPr>
                <w:noProof/>
                <w:webHidden/>
              </w:rPr>
              <w:fldChar w:fldCharType="separate"/>
            </w:r>
            <w:r w:rsidRPr="00E01273">
              <w:rPr>
                <w:noProof/>
                <w:webHidden/>
              </w:rPr>
              <w:t>29</w:t>
            </w:r>
            <w:r w:rsidRPr="00E01273">
              <w:rPr>
                <w:noProof/>
                <w:webHidden/>
              </w:rPr>
              <w:fldChar w:fldCharType="end"/>
            </w:r>
          </w:hyperlink>
        </w:p>
        <w:p w14:paraId="7AC20FE6" w14:textId="475EF9E2" w:rsidR="00A40E7E" w:rsidRPr="00E01273" w:rsidRDefault="00A40E7E">
          <w:pPr>
            <w:pStyle w:val="Sommario3"/>
            <w:tabs>
              <w:tab w:val="right" w:leader="dot" w:pos="8209"/>
            </w:tabs>
            <w:rPr>
              <w:rFonts w:asciiTheme="minorHAnsi" w:eastAsiaTheme="minorEastAsia" w:hAnsiTheme="minorHAnsi"/>
              <w:noProof/>
              <w:kern w:val="2"/>
              <w:szCs w:val="24"/>
              <w:lang w:eastAsia="it-IT"/>
              <w14:ligatures w14:val="standardContextual"/>
            </w:rPr>
          </w:pPr>
          <w:hyperlink w:anchor="_Toc207471591" w:history="1">
            <w:r w:rsidRPr="00E01273">
              <w:rPr>
                <w:rStyle w:val="Collegamentoipertestuale"/>
                <w:rFonts w:ascii="Times New Roman" w:hAnsi="Times New Roman" w:cs="Times New Roman"/>
                <w:noProof/>
                <w:lang w:val="en-US"/>
              </w:rPr>
              <w:t>2.2.1 Green loan (E-loan)</w:t>
            </w:r>
            <w:r w:rsidRPr="00E01273">
              <w:rPr>
                <w:noProof/>
                <w:webHidden/>
              </w:rPr>
              <w:tab/>
            </w:r>
            <w:r w:rsidRPr="00E01273">
              <w:rPr>
                <w:noProof/>
                <w:webHidden/>
              </w:rPr>
              <w:fldChar w:fldCharType="begin"/>
            </w:r>
            <w:r w:rsidRPr="00E01273">
              <w:rPr>
                <w:noProof/>
                <w:webHidden/>
              </w:rPr>
              <w:instrText xml:space="preserve"> PAGEREF _Toc207471591 \h </w:instrText>
            </w:r>
            <w:r w:rsidRPr="00E01273">
              <w:rPr>
                <w:noProof/>
                <w:webHidden/>
              </w:rPr>
            </w:r>
            <w:r w:rsidRPr="00E01273">
              <w:rPr>
                <w:noProof/>
                <w:webHidden/>
              </w:rPr>
              <w:fldChar w:fldCharType="separate"/>
            </w:r>
            <w:r w:rsidRPr="00E01273">
              <w:rPr>
                <w:noProof/>
                <w:webHidden/>
              </w:rPr>
              <w:t>29</w:t>
            </w:r>
            <w:r w:rsidRPr="00E01273">
              <w:rPr>
                <w:noProof/>
                <w:webHidden/>
              </w:rPr>
              <w:fldChar w:fldCharType="end"/>
            </w:r>
          </w:hyperlink>
        </w:p>
        <w:p w14:paraId="01E8E717" w14:textId="563BC7EF" w:rsidR="00A40E7E" w:rsidRPr="00E01273" w:rsidRDefault="00A40E7E">
          <w:pPr>
            <w:pStyle w:val="Sommario3"/>
            <w:tabs>
              <w:tab w:val="right" w:leader="dot" w:pos="8209"/>
            </w:tabs>
            <w:rPr>
              <w:rFonts w:asciiTheme="minorHAnsi" w:eastAsiaTheme="minorEastAsia" w:hAnsiTheme="minorHAnsi"/>
              <w:noProof/>
              <w:kern w:val="2"/>
              <w:szCs w:val="24"/>
              <w:lang w:eastAsia="it-IT"/>
              <w14:ligatures w14:val="standardContextual"/>
            </w:rPr>
          </w:pPr>
          <w:hyperlink w:anchor="_Toc207471592" w:history="1">
            <w:r w:rsidRPr="00E01273">
              <w:rPr>
                <w:rStyle w:val="Collegamentoipertestuale"/>
                <w:noProof/>
                <w:lang w:val="en-US"/>
              </w:rPr>
              <w:t>2.2.2 Sustainability-linked loan (S-loan)</w:t>
            </w:r>
            <w:r w:rsidRPr="00E01273">
              <w:rPr>
                <w:noProof/>
                <w:webHidden/>
              </w:rPr>
              <w:tab/>
            </w:r>
            <w:r w:rsidRPr="00E01273">
              <w:rPr>
                <w:noProof/>
                <w:webHidden/>
              </w:rPr>
              <w:fldChar w:fldCharType="begin"/>
            </w:r>
            <w:r w:rsidRPr="00E01273">
              <w:rPr>
                <w:noProof/>
                <w:webHidden/>
              </w:rPr>
              <w:instrText xml:space="preserve"> PAGEREF _Toc207471592 \h </w:instrText>
            </w:r>
            <w:r w:rsidRPr="00E01273">
              <w:rPr>
                <w:noProof/>
                <w:webHidden/>
              </w:rPr>
            </w:r>
            <w:r w:rsidRPr="00E01273">
              <w:rPr>
                <w:noProof/>
                <w:webHidden/>
              </w:rPr>
              <w:fldChar w:fldCharType="separate"/>
            </w:r>
            <w:r w:rsidRPr="00E01273">
              <w:rPr>
                <w:noProof/>
                <w:webHidden/>
              </w:rPr>
              <w:t>30</w:t>
            </w:r>
            <w:r w:rsidRPr="00E01273">
              <w:rPr>
                <w:noProof/>
                <w:webHidden/>
              </w:rPr>
              <w:fldChar w:fldCharType="end"/>
            </w:r>
          </w:hyperlink>
        </w:p>
        <w:p w14:paraId="5EF60CA2" w14:textId="03F8D74C" w:rsidR="00A40E7E" w:rsidRPr="00E01273" w:rsidRDefault="00A40E7E">
          <w:pPr>
            <w:pStyle w:val="Sommario3"/>
            <w:tabs>
              <w:tab w:val="right" w:leader="dot" w:pos="8209"/>
            </w:tabs>
            <w:rPr>
              <w:rFonts w:asciiTheme="minorHAnsi" w:eastAsiaTheme="minorEastAsia" w:hAnsiTheme="minorHAnsi"/>
              <w:noProof/>
              <w:kern w:val="2"/>
              <w:szCs w:val="24"/>
              <w:lang w:eastAsia="it-IT"/>
              <w14:ligatures w14:val="standardContextual"/>
            </w:rPr>
          </w:pPr>
          <w:hyperlink w:anchor="_Toc207471593" w:history="1">
            <w:r w:rsidRPr="00E01273">
              <w:rPr>
                <w:rStyle w:val="Collegamentoipertestuale"/>
                <w:rFonts w:ascii="Times New Roman" w:hAnsi="Times New Roman" w:cs="Times New Roman"/>
                <w:noProof/>
                <w:lang w:val="en-US"/>
              </w:rPr>
              <w:t>2.2.3 Green bond, social bond, and sustainability bond</w:t>
            </w:r>
            <w:r w:rsidRPr="00E01273">
              <w:rPr>
                <w:noProof/>
                <w:webHidden/>
              </w:rPr>
              <w:tab/>
            </w:r>
            <w:r w:rsidRPr="00E01273">
              <w:rPr>
                <w:noProof/>
                <w:webHidden/>
              </w:rPr>
              <w:fldChar w:fldCharType="begin"/>
            </w:r>
            <w:r w:rsidRPr="00E01273">
              <w:rPr>
                <w:noProof/>
                <w:webHidden/>
              </w:rPr>
              <w:instrText xml:space="preserve"> PAGEREF _Toc207471593 \h </w:instrText>
            </w:r>
            <w:r w:rsidRPr="00E01273">
              <w:rPr>
                <w:noProof/>
                <w:webHidden/>
              </w:rPr>
            </w:r>
            <w:r w:rsidRPr="00E01273">
              <w:rPr>
                <w:noProof/>
                <w:webHidden/>
              </w:rPr>
              <w:fldChar w:fldCharType="separate"/>
            </w:r>
            <w:r w:rsidRPr="00E01273">
              <w:rPr>
                <w:noProof/>
                <w:webHidden/>
              </w:rPr>
              <w:t>32</w:t>
            </w:r>
            <w:r w:rsidRPr="00E01273">
              <w:rPr>
                <w:noProof/>
                <w:webHidden/>
              </w:rPr>
              <w:fldChar w:fldCharType="end"/>
            </w:r>
          </w:hyperlink>
        </w:p>
        <w:p w14:paraId="204F944C" w14:textId="446786E3" w:rsidR="00A40E7E" w:rsidRPr="00E01273" w:rsidRDefault="00A40E7E">
          <w:pPr>
            <w:pStyle w:val="Sommario2"/>
            <w:rPr>
              <w:rFonts w:asciiTheme="minorHAnsi" w:eastAsiaTheme="minorEastAsia" w:hAnsiTheme="minorHAnsi"/>
              <w:noProof/>
              <w:kern w:val="2"/>
              <w:szCs w:val="24"/>
              <w:lang w:eastAsia="it-IT"/>
              <w14:ligatures w14:val="standardContextual"/>
            </w:rPr>
          </w:pPr>
          <w:hyperlink w:anchor="_Toc207471594" w:history="1">
            <w:r w:rsidRPr="00E01273">
              <w:rPr>
                <w:rStyle w:val="Collegamentoipertestuale"/>
                <w:rFonts w:ascii="Times New Roman" w:hAnsi="Times New Roman" w:cs="Times New Roman"/>
                <w:noProof/>
                <w:lang w:val="en-US"/>
              </w:rPr>
              <w:t>2.3 ESG analysis in banking processes</w:t>
            </w:r>
            <w:r w:rsidRPr="00E01273">
              <w:rPr>
                <w:noProof/>
                <w:webHidden/>
              </w:rPr>
              <w:tab/>
            </w:r>
            <w:r w:rsidRPr="00E01273">
              <w:rPr>
                <w:noProof/>
                <w:webHidden/>
              </w:rPr>
              <w:fldChar w:fldCharType="begin"/>
            </w:r>
            <w:r w:rsidRPr="00E01273">
              <w:rPr>
                <w:noProof/>
                <w:webHidden/>
              </w:rPr>
              <w:instrText xml:space="preserve"> PAGEREF _Toc207471594 \h </w:instrText>
            </w:r>
            <w:r w:rsidRPr="00E01273">
              <w:rPr>
                <w:noProof/>
                <w:webHidden/>
              </w:rPr>
            </w:r>
            <w:r w:rsidRPr="00E01273">
              <w:rPr>
                <w:noProof/>
                <w:webHidden/>
              </w:rPr>
              <w:fldChar w:fldCharType="separate"/>
            </w:r>
            <w:r w:rsidRPr="00E01273">
              <w:rPr>
                <w:noProof/>
                <w:webHidden/>
              </w:rPr>
              <w:t>35</w:t>
            </w:r>
            <w:r w:rsidRPr="00E01273">
              <w:rPr>
                <w:noProof/>
                <w:webHidden/>
              </w:rPr>
              <w:fldChar w:fldCharType="end"/>
            </w:r>
          </w:hyperlink>
        </w:p>
        <w:p w14:paraId="27F8F23D" w14:textId="0F434740" w:rsidR="00A40E7E" w:rsidRDefault="00A40E7E">
          <w:pPr>
            <w:pStyle w:val="Sommario3"/>
            <w:tabs>
              <w:tab w:val="right" w:leader="dot" w:pos="8209"/>
            </w:tabs>
            <w:rPr>
              <w:rFonts w:asciiTheme="minorHAnsi" w:eastAsiaTheme="minorEastAsia" w:hAnsiTheme="minorHAnsi"/>
              <w:noProof/>
              <w:kern w:val="2"/>
              <w:szCs w:val="24"/>
              <w:lang w:eastAsia="it-IT"/>
              <w14:ligatures w14:val="standardContextual"/>
            </w:rPr>
          </w:pPr>
          <w:hyperlink w:anchor="_Toc207471595" w:history="1">
            <w:r w:rsidRPr="00E01273">
              <w:rPr>
                <w:rStyle w:val="Collegamentoipertestuale"/>
                <w:rFonts w:ascii="Times New Roman" w:hAnsi="Times New Roman" w:cs="Times New Roman"/>
                <w:noProof/>
                <w:lang w:val="en-US"/>
              </w:rPr>
              <w:t>2.3.1 ESG rating and access to credit</w:t>
            </w:r>
            <w:r w:rsidRPr="00E01273">
              <w:rPr>
                <w:noProof/>
                <w:webHidden/>
              </w:rPr>
              <w:tab/>
            </w:r>
            <w:r w:rsidRPr="00E01273">
              <w:rPr>
                <w:noProof/>
                <w:webHidden/>
              </w:rPr>
              <w:fldChar w:fldCharType="begin"/>
            </w:r>
            <w:r w:rsidRPr="00E01273">
              <w:rPr>
                <w:noProof/>
                <w:webHidden/>
              </w:rPr>
              <w:instrText xml:space="preserve"> PAGEREF _Toc207471595 \h </w:instrText>
            </w:r>
            <w:r w:rsidRPr="00E01273">
              <w:rPr>
                <w:noProof/>
                <w:webHidden/>
              </w:rPr>
            </w:r>
            <w:r w:rsidRPr="00E01273">
              <w:rPr>
                <w:noProof/>
                <w:webHidden/>
              </w:rPr>
              <w:fldChar w:fldCharType="separate"/>
            </w:r>
            <w:r w:rsidRPr="00E01273">
              <w:rPr>
                <w:noProof/>
                <w:webHidden/>
              </w:rPr>
              <w:t>37</w:t>
            </w:r>
            <w:r w:rsidRPr="00E01273">
              <w:rPr>
                <w:noProof/>
                <w:webHidden/>
              </w:rPr>
              <w:fldChar w:fldCharType="end"/>
            </w:r>
          </w:hyperlink>
        </w:p>
        <w:p w14:paraId="1471E4B5" w14:textId="61F40CCF" w:rsidR="00A40E7E" w:rsidRDefault="00A40E7E">
          <w:pPr>
            <w:pStyle w:val="Sommario3"/>
            <w:tabs>
              <w:tab w:val="right" w:leader="dot" w:pos="8209"/>
            </w:tabs>
            <w:rPr>
              <w:rFonts w:asciiTheme="minorHAnsi" w:eastAsiaTheme="minorEastAsia" w:hAnsiTheme="minorHAnsi"/>
              <w:noProof/>
              <w:kern w:val="2"/>
              <w:szCs w:val="24"/>
              <w:lang w:eastAsia="it-IT"/>
              <w14:ligatures w14:val="standardContextual"/>
            </w:rPr>
          </w:pPr>
          <w:hyperlink w:anchor="_Toc207471596" w:history="1">
            <w:r w:rsidRPr="007148A0">
              <w:rPr>
                <w:rStyle w:val="Collegamentoipertestuale"/>
                <w:rFonts w:ascii="Times New Roman" w:hAnsi="Times New Roman" w:cs="Times New Roman"/>
                <w:noProof/>
                <w:lang w:val="en-US"/>
              </w:rPr>
              <w:t>2.3.2 ESG integration into banking risk models</w:t>
            </w:r>
            <w:r>
              <w:rPr>
                <w:noProof/>
                <w:webHidden/>
              </w:rPr>
              <w:tab/>
            </w:r>
            <w:r>
              <w:rPr>
                <w:noProof/>
                <w:webHidden/>
              </w:rPr>
              <w:fldChar w:fldCharType="begin"/>
            </w:r>
            <w:r>
              <w:rPr>
                <w:noProof/>
                <w:webHidden/>
              </w:rPr>
              <w:instrText xml:space="preserve"> PAGEREF _Toc207471596 \h </w:instrText>
            </w:r>
            <w:r>
              <w:rPr>
                <w:noProof/>
                <w:webHidden/>
              </w:rPr>
            </w:r>
            <w:r>
              <w:rPr>
                <w:noProof/>
                <w:webHidden/>
              </w:rPr>
              <w:fldChar w:fldCharType="separate"/>
            </w:r>
            <w:r>
              <w:rPr>
                <w:noProof/>
                <w:webHidden/>
              </w:rPr>
              <w:t>40</w:t>
            </w:r>
            <w:r>
              <w:rPr>
                <w:noProof/>
                <w:webHidden/>
              </w:rPr>
              <w:fldChar w:fldCharType="end"/>
            </w:r>
          </w:hyperlink>
        </w:p>
        <w:p w14:paraId="705F9F5C" w14:textId="094F20C1"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597" w:history="1">
            <w:r w:rsidRPr="007148A0">
              <w:rPr>
                <w:rStyle w:val="Collegamentoipertestuale"/>
                <w:noProof/>
                <w:lang w:val="en-US"/>
              </w:rPr>
              <w:t>2.4 Advantages and disadvantages for firms and lenders</w:t>
            </w:r>
            <w:r>
              <w:rPr>
                <w:noProof/>
                <w:webHidden/>
              </w:rPr>
              <w:tab/>
            </w:r>
            <w:r>
              <w:rPr>
                <w:noProof/>
                <w:webHidden/>
              </w:rPr>
              <w:fldChar w:fldCharType="begin"/>
            </w:r>
            <w:r>
              <w:rPr>
                <w:noProof/>
                <w:webHidden/>
              </w:rPr>
              <w:instrText xml:space="preserve"> PAGEREF _Toc207471597 \h </w:instrText>
            </w:r>
            <w:r>
              <w:rPr>
                <w:noProof/>
                <w:webHidden/>
              </w:rPr>
            </w:r>
            <w:r>
              <w:rPr>
                <w:noProof/>
                <w:webHidden/>
              </w:rPr>
              <w:fldChar w:fldCharType="separate"/>
            </w:r>
            <w:r>
              <w:rPr>
                <w:noProof/>
                <w:webHidden/>
              </w:rPr>
              <w:t>44</w:t>
            </w:r>
            <w:r>
              <w:rPr>
                <w:noProof/>
                <w:webHidden/>
              </w:rPr>
              <w:fldChar w:fldCharType="end"/>
            </w:r>
          </w:hyperlink>
        </w:p>
        <w:p w14:paraId="1F7181B0" w14:textId="3F54A445"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598" w:history="1">
            <w:r w:rsidRPr="007148A0">
              <w:rPr>
                <w:rStyle w:val="Collegamentoipertestuale"/>
                <w:noProof/>
                <w:lang w:val="en-US"/>
              </w:rPr>
              <w:t>2.5 The ESG paradox: trade-offs between economic performance and sustainability</w:t>
            </w:r>
            <w:r>
              <w:rPr>
                <w:noProof/>
                <w:webHidden/>
              </w:rPr>
              <w:tab/>
            </w:r>
            <w:r>
              <w:rPr>
                <w:noProof/>
                <w:webHidden/>
              </w:rPr>
              <w:fldChar w:fldCharType="begin"/>
            </w:r>
            <w:r>
              <w:rPr>
                <w:noProof/>
                <w:webHidden/>
              </w:rPr>
              <w:instrText xml:space="preserve"> PAGEREF _Toc207471598 \h </w:instrText>
            </w:r>
            <w:r>
              <w:rPr>
                <w:noProof/>
                <w:webHidden/>
              </w:rPr>
            </w:r>
            <w:r>
              <w:rPr>
                <w:noProof/>
                <w:webHidden/>
              </w:rPr>
              <w:fldChar w:fldCharType="separate"/>
            </w:r>
            <w:r>
              <w:rPr>
                <w:noProof/>
                <w:webHidden/>
              </w:rPr>
              <w:t>50</w:t>
            </w:r>
            <w:r>
              <w:rPr>
                <w:noProof/>
                <w:webHidden/>
              </w:rPr>
              <w:fldChar w:fldCharType="end"/>
            </w:r>
          </w:hyperlink>
        </w:p>
        <w:p w14:paraId="6088FAC0" w14:textId="779DBA6E" w:rsidR="00A40E7E" w:rsidRDefault="00A40E7E">
          <w:pPr>
            <w:pStyle w:val="Sommario1"/>
            <w:tabs>
              <w:tab w:val="right" w:leader="dot" w:pos="8209"/>
            </w:tabs>
            <w:rPr>
              <w:rFonts w:asciiTheme="minorHAnsi" w:eastAsiaTheme="minorEastAsia" w:hAnsiTheme="minorHAnsi"/>
              <w:b w:val="0"/>
              <w:noProof/>
              <w:kern w:val="2"/>
              <w:szCs w:val="24"/>
              <w:lang w:eastAsia="it-IT"/>
              <w14:ligatures w14:val="standardContextual"/>
            </w:rPr>
          </w:pPr>
          <w:hyperlink w:anchor="_Toc207471599" w:history="1">
            <w:r w:rsidRPr="007148A0">
              <w:rPr>
                <w:rStyle w:val="Collegamentoipertestuale"/>
                <w:noProof/>
                <w:lang w:val="en-GB"/>
              </w:rPr>
              <w:t>3</w:t>
            </w:r>
            <w:r w:rsidRPr="007148A0">
              <w:rPr>
                <w:rStyle w:val="Collegamentoipertestuale"/>
                <w:noProof/>
                <w:lang w:val="en-US"/>
              </w:rPr>
              <w:t>- Company internship experience: between technology and ESG consulting</w:t>
            </w:r>
            <w:r>
              <w:rPr>
                <w:noProof/>
                <w:webHidden/>
              </w:rPr>
              <w:tab/>
            </w:r>
            <w:r>
              <w:rPr>
                <w:noProof/>
                <w:webHidden/>
              </w:rPr>
              <w:fldChar w:fldCharType="begin"/>
            </w:r>
            <w:r>
              <w:rPr>
                <w:noProof/>
                <w:webHidden/>
              </w:rPr>
              <w:instrText xml:space="preserve"> PAGEREF _Toc207471599 \h </w:instrText>
            </w:r>
            <w:r>
              <w:rPr>
                <w:noProof/>
                <w:webHidden/>
              </w:rPr>
            </w:r>
            <w:r>
              <w:rPr>
                <w:noProof/>
                <w:webHidden/>
              </w:rPr>
              <w:fldChar w:fldCharType="separate"/>
            </w:r>
            <w:r>
              <w:rPr>
                <w:noProof/>
                <w:webHidden/>
              </w:rPr>
              <w:t>52</w:t>
            </w:r>
            <w:r>
              <w:rPr>
                <w:noProof/>
                <w:webHidden/>
              </w:rPr>
              <w:fldChar w:fldCharType="end"/>
            </w:r>
          </w:hyperlink>
        </w:p>
        <w:p w14:paraId="02089256" w14:textId="78E9EC89"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600" w:history="1">
            <w:r w:rsidRPr="007148A0">
              <w:rPr>
                <w:rStyle w:val="Collegamentoipertestuale"/>
                <w:noProof/>
                <w:lang w:val="en-US"/>
              </w:rPr>
              <w:t>3.1 Introduction of the host company and business model</w:t>
            </w:r>
            <w:r>
              <w:rPr>
                <w:noProof/>
                <w:webHidden/>
              </w:rPr>
              <w:tab/>
            </w:r>
            <w:r>
              <w:rPr>
                <w:noProof/>
                <w:webHidden/>
              </w:rPr>
              <w:fldChar w:fldCharType="begin"/>
            </w:r>
            <w:r>
              <w:rPr>
                <w:noProof/>
                <w:webHidden/>
              </w:rPr>
              <w:instrText xml:space="preserve"> PAGEREF _Toc207471600 \h </w:instrText>
            </w:r>
            <w:r>
              <w:rPr>
                <w:noProof/>
                <w:webHidden/>
              </w:rPr>
            </w:r>
            <w:r>
              <w:rPr>
                <w:noProof/>
                <w:webHidden/>
              </w:rPr>
              <w:fldChar w:fldCharType="separate"/>
            </w:r>
            <w:r>
              <w:rPr>
                <w:noProof/>
                <w:webHidden/>
              </w:rPr>
              <w:t>52</w:t>
            </w:r>
            <w:r>
              <w:rPr>
                <w:noProof/>
                <w:webHidden/>
              </w:rPr>
              <w:fldChar w:fldCharType="end"/>
            </w:r>
          </w:hyperlink>
        </w:p>
        <w:p w14:paraId="1DE2A704" w14:textId="262B4666"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601" w:history="1">
            <w:r w:rsidRPr="007148A0">
              <w:rPr>
                <w:rStyle w:val="Collegamentoipertestuale"/>
                <w:noProof/>
                <w:lang w:val="en-US"/>
              </w:rPr>
              <w:t>3.2 Map of the ESG reporting process (from data collection to reporting)</w:t>
            </w:r>
            <w:r>
              <w:rPr>
                <w:noProof/>
                <w:webHidden/>
              </w:rPr>
              <w:tab/>
            </w:r>
            <w:r>
              <w:rPr>
                <w:noProof/>
                <w:webHidden/>
              </w:rPr>
              <w:fldChar w:fldCharType="begin"/>
            </w:r>
            <w:r>
              <w:rPr>
                <w:noProof/>
                <w:webHidden/>
              </w:rPr>
              <w:instrText xml:space="preserve"> PAGEREF _Toc207471601 \h </w:instrText>
            </w:r>
            <w:r>
              <w:rPr>
                <w:noProof/>
                <w:webHidden/>
              </w:rPr>
            </w:r>
            <w:r>
              <w:rPr>
                <w:noProof/>
                <w:webHidden/>
              </w:rPr>
              <w:fldChar w:fldCharType="separate"/>
            </w:r>
            <w:r>
              <w:rPr>
                <w:noProof/>
                <w:webHidden/>
              </w:rPr>
              <w:t>53</w:t>
            </w:r>
            <w:r>
              <w:rPr>
                <w:noProof/>
                <w:webHidden/>
              </w:rPr>
              <w:fldChar w:fldCharType="end"/>
            </w:r>
          </w:hyperlink>
        </w:p>
        <w:p w14:paraId="1B2DF9A8" w14:textId="41168CAC"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602" w:history="1">
            <w:r w:rsidRPr="007148A0">
              <w:rPr>
                <w:rStyle w:val="Collegamentoipertestuale"/>
                <w:noProof/>
                <w:lang w:val="en-US"/>
              </w:rPr>
              <w:t>3.3 Activities performed during the internship:</w:t>
            </w:r>
            <w:r>
              <w:rPr>
                <w:noProof/>
                <w:webHidden/>
              </w:rPr>
              <w:tab/>
            </w:r>
            <w:r>
              <w:rPr>
                <w:noProof/>
                <w:webHidden/>
              </w:rPr>
              <w:fldChar w:fldCharType="begin"/>
            </w:r>
            <w:r>
              <w:rPr>
                <w:noProof/>
                <w:webHidden/>
              </w:rPr>
              <w:instrText xml:space="preserve"> PAGEREF _Toc207471602 \h </w:instrText>
            </w:r>
            <w:r>
              <w:rPr>
                <w:noProof/>
                <w:webHidden/>
              </w:rPr>
            </w:r>
            <w:r>
              <w:rPr>
                <w:noProof/>
                <w:webHidden/>
              </w:rPr>
              <w:fldChar w:fldCharType="separate"/>
            </w:r>
            <w:r>
              <w:rPr>
                <w:noProof/>
                <w:webHidden/>
              </w:rPr>
              <w:t>57</w:t>
            </w:r>
            <w:r>
              <w:rPr>
                <w:noProof/>
                <w:webHidden/>
              </w:rPr>
              <w:fldChar w:fldCharType="end"/>
            </w:r>
          </w:hyperlink>
        </w:p>
        <w:p w14:paraId="4DCF6B29" w14:textId="67F9ED6F" w:rsidR="00A40E7E" w:rsidRDefault="00A40E7E">
          <w:pPr>
            <w:pStyle w:val="Sommario3"/>
            <w:tabs>
              <w:tab w:val="right" w:leader="dot" w:pos="8209"/>
            </w:tabs>
            <w:rPr>
              <w:rFonts w:asciiTheme="minorHAnsi" w:eastAsiaTheme="minorEastAsia" w:hAnsiTheme="minorHAnsi"/>
              <w:noProof/>
              <w:kern w:val="2"/>
              <w:szCs w:val="24"/>
              <w:lang w:eastAsia="it-IT"/>
              <w14:ligatures w14:val="standardContextual"/>
            </w:rPr>
          </w:pPr>
          <w:hyperlink w:anchor="_Toc207471603" w:history="1">
            <w:r w:rsidRPr="007148A0">
              <w:rPr>
                <w:rStyle w:val="Collegamentoipertestuale"/>
                <w:noProof/>
                <w:lang w:val="en-US"/>
              </w:rPr>
              <w:t>3.3.1 Collection and management of ESG data</w:t>
            </w:r>
            <w:r>
              <w:rPr>
                <w:noProof/>
                <w:webHidden/>
              </w:rPr>
              <w:tab/>
            </w:r>
            <w:r>
              <w:rPr>
                <w:noProof/>
                <w:webHidden/>
              </w:rPr>
              <w:fldChar w:fldCharType="begin"/>
            </w:r>
            <w:r>
              <w:rPr>
                <w:noProof/>
                <w:webHidden/>
              </w:rPr>
              <w:instrText xml:space="preserve"> PAGEREF _Toc207471603 \h </w:instrText>
            </w:r>
            <w:r>
              <w:rPr>
                <w:noProof/>
                <w:webHidden/>
              </w:rPr>
            </w:r>
            <w:r>
              <w:rPr>
                <w:noProof/>
                <w:webHidden/>
              </w:rPr>
              <w:fldChar w:fldCharType="separate"/>
            </w:r>
            <w:r>
              <w:rPr>
                <w:noProof/>
                <w:webHidden/>
              </w:rPr>
              <w:t>57</w:t>
            </w:r>
            <w:r>
              <w:rPr>
                <w:noProof/>
                <w:webHidden/>
              </w:rPr>
              <w:fldChar w:fldCharType="end"/>
            </w:r>
          </w:hyperlink>
        </w:p>
        <w:p w14:paraId="294EE886" w14:textId="533971D4" w:rsidR="00A40E7E" w:rsidRDefault="00A40E7E">
          <w:pPr>
            <w:pStyle w:val="Sommario3"/>
            <w:tabs>
              <w:tab w:val="right" w:leader="dot" w:pos="8209"/>
            </w:tabs>
            <w:rPr>
              <w:rFonts w:asciiTheme="minorHAnsi" w:eastAsiaTheme="minorEastAsia" w:hAnsiTheme="minorHAnsi"/>
              <w:noProof/>
              <w:kern w:val="2"/>
              <w:szCs w:val="24"/>
              <w:lang w:eastAsia="it-IT"/>
              <w14:ligatures w14:val="standardContextual"/>
            </w:rPr>
          </w:pPr>
          <w:hyperlink w:anchor="_Toc207471604" w:history="1">
            <w:r w:rsidRPr="007148A0">
              <w:rPr>
                <w:rStyle w:val="Collegamentoipertestuale"/>
                <w:noProof/>
                <w:lang w:val="en-US"/>
              </w:rPr>
              <w:t>3.3.2 IT support: ESG platform configuration.</w:t>
            </w:r>
            <w:r>
              <w:rPr>
                <w:noProof/>
                <w:webHidden/>
              </w:rPr>
              <w:tab/>
            </w:r>
            <w:r>
              <w:rPr>
                <w:noProof/>
                <w:webHidden/>
              </w:rPr>
              <w:fldChar w:fldCharType="begin"/>
            </w:r>
            <w:r>
              <w:rPr>
                <w:noProof/>
                <w:webHidden/>
              </w:rPr>
              <w:instrText xml:space="preserve"> PAGEREF _Toc207471604 \h </w:instrText>
            </w:r>
            <w:r>
              <w:rPr>
                <w:noProof/>
                <w:webHidden/>
              </w:rPr>
            </w:r>
            <w:r>
              <w:rPr>
                <w:noProof/>
                <w:webHidden/>
              </w:rPr>
              <w:fldChar w:fldCharType="separate"/>
            </w:r>
            <w:r>
              <w:rPr>
                <w:noProof/>
                <w:webHidden/>
              </w:rPr>
              <w:t>68</w:t>
            </w:r>
            <w:r>
              <w:rPr>
                <w:noProof/>
                <w:webHidden/>
              </w:rPr>
              <w:fldChar w:fldCharType="end"/>
            </w:r>
          </w:hyperlink>
        </w:p>
        <w:p w14:paraId="533B3458" w14:textId="2B6EAA70" w:rsidR="00A40E7E" w:rsidRDefault="00A40E7E">
          <w:pPr>
            <w:pStyle w:val="Sommario3"/>
            <w:tabs>
              <w:tab w:val="right" w:leader="dot" w:pos="8209"/>
            </w:tabs>
            <w:rPr>
              <w:rFonts w:asciiTheme="minorHAnsi" w:eastAsiaTheme="minorEastAsia" w:hAnsiTheme="minorHAnsi"/>
              <w:noProof/>
              <w:kern w:val="2"/>
              <w:szCs w:val="24"/>
              <w:lang w:eastAsia="it-IT"/>
              <w14:ligatures w14:val="standardContextual"/>
            </w:rPr>
          </w:pPr>
          <w:hyperlink w:anchor="_Toc207471605" w:history="1">
            <w:r w:rsidRPr="007148A0">
              <w:rPr>
                <w:rStyle w:val="Collegamentoipertestuale"/>
                <w:noProof/>
                <w:lang w:val="en-US"/>
              </w:rPr>
              <w:t>3.3.3 Advisory and a real case in luxury fashion industry</w:t>
            </w:r>
            <w:r>
              <w:rPr>
                <w:noProof/>
                <w:webHidden/>
              </w:rPr>
              <w:tab/>
            </w:r>
            <w:r>
              <w:rPr>
                <w:noProof/>
                <w:webHidden/>
              </w:rPr>
              <w:fldChar w:fldCharType="begin"/>
            </w:r>
            <w:r>
              <w:rPr>
                <w:noProof/>
                <w:webHidden/>
              </w:rPr>
              <w:instrText xml:space="preserve"> PAGEREF _Toc207471605 \h </w:instrText>
            </w:r>
            <w:r>
              <w:rPr>
                <w:noProof/>
                <w:webHidden/>
              </w:rPr>
            </w:r>
            <w:r>
              <w:rPr>
                <w:noProof/>
                <w:webHidden/>
              </w:rPr>
              <w:fldChar w:fldCharType="separate"/>
            </w:r>
            <w:r>
              <w:rPr>
                <w:noProof/>
                <w:webHidden/>
              </w:rPr>
              <w:t>70</w:t>
            </w:r>
            <w:r>
              <w:rPr>
                <w:noProof/>
                <w:webHidden/>
              </w:rPr>
              <w:fldChar w:fldCharType="end"/>
            </w:r>
          </w:hyperlink>
        </w:p>
        <w:p w14:paraId="215401BE" w14:textId="79DE542F" w:rsidR="00A40E7E" w:rsidRDefault="00A40E7E">
          <w:pPr>
            <w:pStyle w:val="Sommario3"/>
            <w:tabs>
              <w:tab w:val="right" w:leader="dot" w:pos="8209"/>
            </w:tabs>
            <w:rPr>
              <w:rFonts w:asciiTheme="minorHAnsi" w:eastAsiaTheme="minorEastAsia" w:hAnsiTheme="minorHAnsi"/>
              <w:noProof/>
              <w:kern w:val="2"/>
              <w:szCs w:val="24"/>
              <w:lang w:eastAsia="it-IT"/>
              <w14:ligatures w14:val="standardContextual"/>
            </w:rPr>
          </w:pPr>
          <w:hyperlink w:anchor="_Toc207471606" w:history="1">
            <w:r w:rsidRPr="007148A0">
              <w:rPr>
                <w:rStyle w:val="Collegamentoipertestuale"/>
                <w:noProof/>
                <w:lang w:val="en-US"/>
              </w:rPr>
              <w:t>3.3.4 Sales Executive</w:t>
            </w:r>
            <w:r>
              <w:rPr>
                <w:noProof/>
                <w:webHidden/>
              </w:rPr>
              <w:tab/>
            </w:r>
            <w:r>
              <w:rPr>
                <w:noProof/>
                <w:webHidden/>
              </w:rPr>
              <w:fldChar w:fldCharType="begin"/>
            </w:r>
            <w:r>
              <w:rPr>
                <w:noProof/>
                <w:webHidden/>
              </w:rPr>
              <w:instrText xml:space="preserve"> PAGEREF _Toc207471606 \h </w:instrText>
            </w:r>
            <w:r>
              <w:rPr>
                <w:noProof/>
                <w:webHidden/>
              </w:rPr>
            </w:r>
            <w:r>
              <w:rPr>
                <w:noProof/>
                <w:webHidden/>
              </w:rPr>
              <w:fldChar w:fldCharType="separate"/>
            </w:r>
            <w:r>
              <w:rPr>
                <w:noProof/>
                <w:webHidden/>
              </w:rPr>
              <w:t>74</w:t>
            </w:r>
            <w:r>
              <w:rPr>
                <w:noProof/>
                <w:webHidden/>
              </w:rPr>
              <w:fldChar w:fldCharType="end"/>
            </w:r>
          </w:hyperlink>
        </w:p>
        <w:p w14:paraId="2ED38D79" w14:textId="6919F99C"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607" w:history="1">
            <w:r w:rsidRPr="007148A0">
              <w:rPr>
                <w:rStyle w:val="Collegamentoipertestuale"/>
                <w:noProof/>
              </w:rPr>
              <w:t>3.4 Client types and ESG maturity levels (classification matrix)</w:t>
            </w:r>
            <w:r>
              <w:rPr>
                <w:noProof/>
                <w:webHidden/>
              </w:rPr>
              <w:tab/>
            </w:r>
            <w:r>
              <w:rPr>
                <w:noProof/>
                <w:webHidden/>
              </w:rPr>
              <w:fldChar w:fldCharType="begin"/>
            </w:r>
            <w:r>
              <w:rPr>
                <w:noProof/>
                <w:webHidden/>
              </w:rPr>
              <w:instrText xml:space="preserve"> PAGEREF _Toc207471607 \h </w:instrText>
            </w:r>
            <w:r>
              <w:rPr>
                <w:noProof/>
                <w:webHidden/>
              </w:rPr>
            </w:r>
            <w:r>
              <w:rPr>
                <w:noProof/>
                <w:webHidden/>
              </w:rPr>
              <w:fldChar w:fldCharType="separate"/>
            </w:r>
            <w:r>
              <w:rPr>
                <w:noProof/>
                <w:webHidden/>
              </w:rPr>
              <w:t>77</w:t>
            </w:r>
            <w:r>
              <w:rPr>
                <w:noProof/>
                <w:webHidden/>
              </w:rPr>
              <w:fldChar w:fldCharType="end"/>
            </w:r>
          </w:hyperlink>
        </w:p>
        <w:p w14:paraId="04E71E52" w14:textId="53218F1D"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608" w:history="1">
            <w:r w:rsidRPr="007148A0">
              <w:rPr>
                <w:rStyle w:val="Collegamentoipertestuale"/>
                <w:noProof/>
              </w:rPr>
              <w:t>3.5 Reflections on the experience: Developing soft and hard skills</w:t>
            </w:r>
            <w:r>
              <w:rPr>
                <w:noProof/>
                <w:webHidden/>
              </w:rPr>
              <w:tab/>
            </w:r>
            <w:r>
              <w:rPr>
                <w:noProof/>
                <w:webHidden/>
              </w:rPr>
              <w:fldChar w:fldCharType="begin"/>
            </w:r>
            <w:r>
              <w:rPr>
                <w:noProof/>
                <w:webHidden/>
              </w:rPr>
              <w:instrText xml:space="preserve"> PAGEREF _Toc207471608 \h </w:instrText>
            </w:r>
            <w:r>
              <w:rPr>
                <w:noProof/>
                <w:webHidden/>
              </w:rPr>
            </w:r>
            <w:r>
              <w:rPr>
                <w:noProof/>
                <w:webHidden/>
              </w:rPr>
              <w:fldChar w:fldCharType="separate"/>
            </w:r>
            <w:r>
              <w:rPr>
                <w:noProof/>
                <w:webHidden/>
              </w:rPr>
              <w:t>80</w:t>
            </w:r>
            <w:r>
              <w:rPr>
                <w:noProof/>
                <w:webHidden/>
              </w:rPr>
              <w:fldChar w:fldCharType="end"/>
            </w:r>
          </w:hyperlink>
        </w:p>
        <w:p w14:paraId="3182EE95" w14:textId="39511574" w:rsidR="00A40E7E" w:rsidRDefault="00A40E7E">
          <w:pPr>
            <w:pStyle w:val="Sommario1"/>
            <w:tabs>
              <w:tab w:val="right" w:leader="dot" w:pos="8209"/>
            </w:tabs>
            <w:rPr>
              <w:rFonts w:asciiTheme="minorHAnsi" w:eastAsiaTheme="minorEastAsia" w:hAnsiTheme="minorHAnsi"/>
              <w:b w:val="0"/>
              <w:noProof/>
              <w:kern w:val="2"/>
              <w:szCs w:val="24"/>
              <w:lang w:eastAsia="it-IT"/>
              <w14:ligatures w14:val="standardContextual"/>
            </w:rPr>
          </w:pPr>
          <w:hyperlink w:anchor="_Toc207471609" w:history="1">
            <w:r w:rsidRPr="007148A0">
              <w:rPr>
                <w:rStyle w:val="Collegamentoipertestuale"/>
                <w:noProof/>
                <w:lang w:val="en-US"/>
              </w:rPr>
              <w:t>4 - Critical analysis, results and prospects</w:t>
            </w:r>
            <w:r>
              <w:rPr>
                <w:noProof/>
                <w:webHidden/>
              </w:rPr>
              <w:tab/>
            </w:r>
            <w:r>
              <w:rPr>
                <w:noProof/>
                <w:webHidden/>
              </w:rPr>
              <w:fldChar w:fldCharType="begin"/>
            </w:r>
            <w:r>
              <w:rPr>
                <w:noProof/>
                <w:webHidden/>
              </w:rPr>
              <w:instrText xml:space="preserve"> PAGEREF _Toc207471609 \h </w:instrText>
            </w:r>
            <w:r>
              <w:rPr>
                <w:noProof/>
                <w:webHidden/>
              </w:rPr>
            </w:r>
            <w:r>
              <w:rPr>
                <w:noProof/>
                <w:webHidden/>
              </w:rPr>
              <w:fldChar w:fldCharType="separate"/>
            </w:r>
            <w:r>
              <w:rPr>
                <w:noProof/>
                <w:webHidden/>
              </w:rPr>
              <w:t>83</w:t>
            </w:r>
            <w:r>
              <w:rPr>
                <w:noProof/>
                <w:webHidden/>
              </w:rPr>
              <w:fldChar w:fldCharType="end"/>
            </w:r>
          </w:hyperlink>
        </w:p>
        <w:p w14:paraId="070785DA" w14:textId="7B426D88"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610" w:history="1">
            <w:r w:rsidRPr="007148A0">
              <w:rPr>
                <w:rStyle w:val="Collegamentoipertestuale"/>
                <w:noProof/>
                <w:lang w:val="en-US"/>
              </w:rPr>
              <w:t>4.1 Summary of the main findings that emerged</w:t>
            </w:r>
            <w:r>
              <w:rPr>
                <w:noProof/>
                <w:webHidden/>
              </w:rPr>
              <w:tab/>
            </w:r>
            <w:r>
              <w:rPr>
                <w:noProof/>
                <w:webHidden/>
              </w:rPr>
              <w:fldChar w:fldCharType="begin"/>
            </w:r>
            <w:r>
              <w:rPr>
                <w:noProof/>
                <w:webHidden/>
              </w:rPr>
              <w:instrText xml:space="preserve"> PAGEREF _Toc207471610 \h </w:instrText>
            </w:r>
            <w:r>
              <w:rPr>
                <w:noProof/>
                <w:webHidden/>
              </w:rPr>
            </w:r>
            <w:r>
              <w:rPr>
                <w:noProof/>
                <w:webHidden/>
              </w:rPr>
              <w:fldChar w:fldCharType="separate"/>
            </w:r>
            <w:r>
              <w:rPr>
                <w:noProof/>
                <w:webHidden/>
              </w:rPr>
              <w:t>83</w:t>
            </w:r>
            <w:r>
              <w:rPr>
                <w:noProof/>
                <w:webHidden/>
              </w:rPr>
              <w:fldChar w:fldCharType="end"/>
            </w:r>
          </w:hyperlink>
        </w:p>
        <w:p w14:paraId="46A6A6C1" w14:textId="0EDDC956"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611" w:history="1">
            <w:r w:rsidRPr="007148A0">
              <w:rPr>
                <w:rStyle w:val="Collegamentoipertestuale"/>
                <w:noProof/>
                <w:lang w:val="en-US"/>
              </w:rPr>
              <w:t>4.2 Synergies between technology, finance and sustainability</w:t>
            </w:r>
            <w:r>
              <w:rPr>
                <w:noProof/>
                <w:webHidden/>
              </w:rPr>
              <w:tab/>
            </w:r>
            <w:r>
              <w:rPr>
                <w:noProof/>
                <w:webHidden/>
              </w:rPr>
              <w:fldChar w:fldCharType="begin"/>
            </w:r>
            <w:r>
              <w:rPr>
                <w:noProof/>
                <w:webHidden/>
              </w:rPr>
              <w:instrText xml:space="preserve"> PAGEREF _Toc207471611 \h </w:instrText>
            </w:r>
            <w:r>
              <w:rPr>
                <w:noProof/>
                <w:webHidden/>
              </w:rPr>
            </w:r>
            <w:r>
              <w:rPr>
                <w:noProof/>
                <w:webHidden/>
              </w:rPr>
              <w:fldChar w:fldCharType="separate"/>
            </w:r>
            <w:r>
              <w:rPr>
                <w:noProof/>
                <w:webHidden/>
              </w:rPr>
              <w:t>87</w:t>
            </w:r>
            <w:r>
              <w:rPr>
                <w:noProof/>
                <w:webHidden/>
              </w:rPr>
              <w:fldChar w:fldCharType="end"/>
            </w:r>
          </w:hyperlink>
        </w:p>
        <w:p w14:paraId="02581A8D" w14:textId="21B282D6"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612" w:history="1">
            <w:r w:rsidRPr="007148A0">
              <w:rPr>
                <w:rStyle w:val="Collegamentoipertestuale"/>
                <w:noProof/>
                <w:lang w:val="en-US"/>
              </w:rPr>
              <w:t>4.3 The potential of artificial intelligence in ESG reporting</w:t>
            </w:r>
            <w:r>
              <w:rPr>
                <w:noProof/>
                <w:webHidden/>
              </w:rPr>
              <w:tab/>
            </w:r>
            <w:r>
              <w:rPr>
                <w:noProof/>
                <w:webHidden/>
              </w:rPr>
              <w:fldChar w:fldCharType="begin"/>
            </w:r>
            <w:r>
              <w:rPr>
                <w:noProof/>
                <w:webHidden/>
              </w:rPr>
              <w:instrText xml:space="preserve"> PAGEREF _Toc207471612 \h </w:instrText>
            </w:r>
            <w:r>
              <w:rPr>
                <w:noProof/>
                <w:webHidden/>
              </w:rPr>
            </w:r>
            <w:r>
              <w:rPr>
                <w:noProof/>
                <w:webHidden/>
              </w:rPr>
              <w:fldChar w:fldCharType="separate"/>
            </w:r>
            <w:r>
              <w:rPr>
                <w:noProof/>
                <w:webHidden/>
              </w:rPr>
              <w:t>90</w:t>
            </w:r>
            <w:r>
              <w:rPr>
                <w:noProof/>
                <w:webHidden/>
              </w:rPr>
              <w:fldChar w:fldCharType="end"/>
            </w:r>
          </w:hyperlink>
        </w:p>
        <w:p w14:paraId="08FF3DEF" w14:textId="5D7C5038"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613" w:history="1">
            <w:r w:rsidRPr="007148A0">
              <w:rPr>
                <w:rStyle w:val="Collegamentoipertestuale"/>
                <w:noProof/>
                <w:lang w:val="en-US"/>
              </w:rPr>
              <w:t>4.4 Limitations and critical issues of the current ESG reporting system</w:t>
            </w:r>
            <w:r>
              <w:rPr>
                <w:noProof/>
                <w:webHidden/>
              </w:rPr>
              <w:tab/>
            </w:r>
            <w:r>
              <w:rPr>
                <w:noProof/>
                <w:webHidden/>
              </w:rPr>
              <w:fldChar w:fldCharType="begin"/>
            </w:r>
            <w:r>
              <w:rPr>
                <w:noProof/>
                <w:webHidden/>
              </w:rPr>
              <w:instrText xml:space="preserve"> PAGEREF _Toc207471613 \h </w:instrText>
            </w:r>
            <w:r>
              <w:rPr>
                <w:noProof/>
                <w:webHidden/>
              </w:rPr>
            </w:r>
            <w:r>
              <w:rPr>
                <w:noProof/>
                <w:webHidden/>
              </w:rPr>
              <w:fldChar w:fldCharType="separate"/>
            </w:r>
            <w:r>
              <w:rPr>
                <w:noProof/>
                <w:webHidden/>
              </w:rPr>
              <w:t>94</w:t>
            </w:r>
            <w:r>
              <w:rPr>
                <w:noProof/>
                <w:webHidden/>
              </w:rPr>
              <w:fldChar w:fldCharType="end"/>
            </w:r>
          </w:hyperlink>
        </w:p>
        <w:p w14:paraId="42F7C1D5" w14:textId="7A98457B"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614" w:history="1">
            <w:r w:rsidRPr="007148A0">
              <w:rPr>
                <w:rStyle w:val="Collegamentoipertestuale"/>
                <w:noProof/>
                <w:lang w:val="en-US"/>
              </w:rPr>
              <w:t>4.5 Future evolution of sustainable financial reporting and market</w:t>
            </w:r>
            <w:r>
              <w:rPr>
                <w:noProof/>
                <w:webHidden/>
              </w:rPr>
              <w:tab/>
            </w:r>
            <w:r>
              <w:rPr>
                <w:noProof/>
                <w:webHidden/>
              </w:rPr>
              <w:fldChar w:fldCharType="begin"/>
            </w:r>
            <w:r>
              <w:rPr>
                <w:noProof/>
                <w:webHidden/>
              </w:rPr>
              <w:instrText xml:space="preserve"> PAGEREF _Toc207471614 \h </w:instrText>
            </w:r>
            <w:r>
              <w:rPr>
                <w:noProof/>
                <w:webHidden/>
              </w:rPr>
            </w:r>
            <w:r>
              <w:rPr>
                <w:noProof/>
                <w:webHidden/>
              </w:rPr>
              <w:fldChar w:fldCharType="separate"/>
            </w:r>
            <w:r>
              <w:rPr>
                <w:noProof/>
                <w:webHidden/>
              </w:rPr>
              <w:t>98</w:t>
            </w:r>
            <w:r>
              <w:rPr>
                <w:noProof/>
                <w:webHidden/>
              </w:rPr>
              <w:fldChar w:fldCharType="end"/>
            </w:r>
          </w:hyperlink>
        </w:p>
        <w:p w14:paraId="35D3E834" w14:textId="43EC2190" w:rsidR="00A40E7E" w:rsidRDefault="00A40E7E">
          <w:pPr>
            <w:pStyle w:val="Sommario1"/>
            <w:tabs>
              <w:tab w:val="right" w:leader="dot" w:pos="8209"/>
            </w:tabs>
            <w:rPr>
              <w:rFonts w:asciiTheme="minorHAnsi" w:eastAsiaTheme="minorEastAsia" w:hAnsiTheme="minorHAnsi"/>
              <w:b w:val="0"/>
              <w:noProof/>
              <w:kern w:val="2"/>
              <w:szCs w:val="24"/>
              <w:lang w:eastAsia="it-IT"/>
              <w14:ligatures w14:val="standardContextual"/>
            </w:rPr>
          </w:pPr>
          <w:hyperlink w:anchor="_Toc207471615" w:history="1">
            <w:r w:rsidRPr="007148A0">
              <w:rPr>
                <w:rStyle w:val="Collegamentoipertestuale"/>
                <w:noProof/>
                <w:lang w:val="en-US"/>
              </w:rPr>
              <w:t>Conclusions</w:t>
            </w:r>
            <w:r>
              <w:rPr>
                <w:noProof/>
                <w:webHidden/>
              </w:rPr>
              <w:tab/>
            </w:r>
            <w:r>
              <w:rPr>
                <w:noProof/>
                <w:webHidden/>
              </w:rPr>
              <w:fldChar w:fldCharType="begin"/>
            </w:r>
            <w:r>
              <w:rPr>
                <w:noProof/>
                <w:webHidden/>
              </w:rPr>
              <w:instrText xml:space="preserve"> PAGEREF _Toc207471615 \h </w:instrText>
            </w:r>
            <w:r>
              <w:rPr>
                <w:noProof/>
                <w:webHidden/>
              </w:rPr>
            </w:r>
            <w:r>
              <w:rPr>
                <w:noProof/>
                <w:webHidden/>
              </w:rPr>
              <w:fldChar w:fldCharType="separate"/>
            </w:r>
            <w:r>
              <w:rPr>
                <w:noProof/>
                <w:webHidden/>
              </w:rPr>
              <w:t>103</w:t>
            </w:r>
            <w:r>
              <w:rPr>
                <w:noProof/>
                <w:webHidden/>
              </w:rPr>
              <w:fldChar w:fldCharType="end"/>
            </w:r>
          </w:hyperlink>
        </w:p>
        <w:p w14:paraId="1D7FE9A9" w14:textId="58DCBDA9" w:rsidR="00A40E7E" w:rsidRDefault="00A40E7E">
          <w:pPr>
            <w:pStyle w:val="Sommario1"/>
            <w:tabs>
              <w:tab w:val="right" w:leader="dot" w:pos="8209"/>
            </w:tabs>
            <w:rPr>
              <w:rFonts w:asciiTheme="minorHAnsi" w:eastAsiaTheme="minorEastAsia" w:hAnsiTheme="minorHAnsi"/>
              <w:b w:val="0"/>
              <w:noProof/>
              <w:kern w:val="2"/>
              <w:szCs w:val="24"/>
              <w:lang w:eastAsia="it-IT"/>
              <w14:ligatures w14:val="standardContextual"/>
            </w:rPr>
          </w:pPr>
          <w:hyperlink w:anchor="_Toc207471616" w:history="1">
            <w:r w:rsidRPr="007148A0">
              <w:rPr>
                <w:rStyle w:val="Collegamentoipertestuale"/>
                <w:noProof/>
                <w:lang w:val="en-US"/>
              </w:rPr>
              <w:t>Summary of contents and final reflections</w:t>
            </w:r>
            <w:r>
              <w:rPr>
                <w:noProof/>
                <w:webHidden/>
              </w:rPr>
              <w:tab/>
            </w:r>
            <w:r>
              <w:rPr>
                <w:noProof/>
                <w:webHidden/>
              </w:rPr>
              <w:fldChar w:fldCharType="begin"/>
            </w:r>
            <w:r>
              <w:rPr>
                <w:noProof/>
                <w:webHidden/>
              </w:rPr>
              <w:instrText xml:space="preserve"> PAGEREF _Toc207471616 \h </w:instrText>
            </w:r>
            <w:r>
              <w:rPr>
                <w:noProof/>
                <w:webHidden/>
              </w:rPr>
            </w:r>
            <w:r>
              <w:rPr>
                <w:noProof/>
                <w:webHidden/>
              </w:rPr>
              <w:fldChar w:fldCharType="separate"/>
            </w:r>
            <w:r>
              <w:rPr>
                <w:noProof/>
                <w:webHidden/>
              </w:rPr>
              <w:t>106</w:t>
            </w:r>
            <w:r>
              <w:rPr>
                <w:noProof/>
                <w:webHidden/>
              </w:rPr>
              <w:fldChar w:fldCharType="end"/>
            </w:r>
          </w:hyperlink>
        </w:p>
        <w:p w14:paraId="4F33B8E8" w14:textId="641C5AB7" w:rsidR="00A40E7E" w:rsidRDefault="00A40E7E">
          <w:pPr>
            <w:pStyle w:val="Sommario2"/>
            <w:rPr>
              <w:rFonts w:asciiTheme="minorHAnsi" w:eastAsiaTheme="minorEastAsia" w:hAnsiTheme="minorHAnsi"/>
              <w:noProof/>
              <w:kern w:val="2"/>
              <w:szCs w:val="24"/>
              <w:lang w:eastAsia="it-IT"/>
              <w14:ligatures w14:val="standardContextual"/>
            </w:rPr>
          </w:pPr>
          <w:hyperlink w:anchor="_Toc207471617" w:history="1">
            <w:r w:rsidRPr="007148A0">
              <w:rPr>
                <w:rStyle w:val="Collegamentoipertestuale"/>
                <w:noProof/>
                <w:lang w:val="en-GB"/>
              </w:rPr>
              <w:t>Bibliography</w:t>
            </w:r>
            <w:r>
              <w:rPr>
                <w:noProof/>
                <w:webHidden/>
              </w:rPr>
              <w:tab/>
            </w:r>
            <w:r>
              <w:rPr>
                <w:noProof/>
                <w:webHidden/>
              </w:rPr>
              <w:fldChar w:fldCharType="begin"/>
            </w:r>
            <w:r>
              <w:rPr>
                <w:noProof/>
                <w:webHidden/>
              </w:rPr>
              <w:instrText xml:space="preserve"> PAGEREF _Toc207471617 \h </w:instrText>
            </w:r>
            <w:r>
              <w:rPr>
                <w:noProof/>
                <w:webHidden/>
              </w:rPr>
            </w:r>
            <w:r>
              <w:rPr>
                <w:noProof/>
                <w:webHidden/>
              </w:rPr>
              <w:fldChar w:fldCharType="separate"/>
            </w:r>
            <w:r>
              <w:rPr>
                <w:noProof/>
                <w:webHidden/>
              </w:rPr>
              <w:t>108</w:t>
            </w:r>
            <w:r>
              <w:rPr>
                <w:noProof/>
                <w:webHidden/>
              </w:rPr>
              <w:fldChar w:fldCharType="end"/>
            </w:r>
          </w:hyperlink>
        </w:p>
        <w:p w14:paraId="0E49852F" w14:textId="2431B82D" w:rsidR="00A40E7E" w:rsidRDefault="00A40E7E">
          <w:pPr>
            <w:pStyle w:val="Sommario1"/>
            <w:tabs>
              <w:tab w:val="right" w:leader="dot" w:pos="8209"/>
            </w:tabs>
            <w:rPr>
              <w:rFonts w:asciiTheme="minorHAnsi" w:eastAsiaTheme="minorEastAsia" w:hAnsiTheme="minorHAnsi"/>
              <w:b w:val="0"/>
              <w:noProof/>
              <w:kern w:val="2"/>
              <w:szCs w:val="24"/>
              <w:lang w:eastAsia="it-IT"/>
              <w14:ligatures w14:val="standardContextual"/>
            </w:rPr>
          </w:pPr>
          <w:hyperlink w:anchor="_Toc207471618" w:history="1">
            <w:r w:rsidRPr="007148A0">
              <w:rPr>
                <w:rStyle w:val="Collegamentoipertestuale"/>
                <w:noProof/>
                <w:lang w:val="en-GB"/>
              </w:rPr>
              <w:t>Acknowledgments</w:t>
            </w:r>
            <w:r>
              <w:rPr>
                <w:noProof/>
                <w:webHidden/>
              </w:rPr>
              <w:tab/>
            </w:r>
            <w:r>
              <w:rPr>
                <w:noProof/>
                <w:webHidden/>
              </w:rPr>
              <w:fldChar w:fldCharType="begin"/>
            </w:r>
            <w:r>
              <w:rPr>
                <w:noProof/>
                <w:webHidden/>
              </w:rPr>
              <w:instrText xml:space="preserve"> PAGEREF _Toc207471618 \h </w:instrText>
            </w:r>
            <w:r>
              <w:rPr>
                <w:noProof/>
                <w:webHidden/>
              </w:rPr>
            </w:r>
            <w:r>
              <w:rPr>
                <w:noProof/>
                <w:webHidden/>
              </w:rPr>
              <w:fldChar w:fldCharType="separate"/>
            </w:r>
            <w:r>
              <w:rPr>
                <w:noProof/>
                <w:webHidden/>
              </w:rPr>
              <w:t>111</w:t>
            </w:r>
            <w:r>
              <w:rPr>
                <w:noProof/>
                <w:webHidden/>
              </w:rPr>
              <w:fldChar w:fldCharType="end"/>
            </w:r>
          </w:hyperlink>
        </w:p>
        <w:p w14:paraId="7721A51C" w14:textId="0205CAE4" w:rsidR="00356473" w:rsidRPr="00544E92" w:rsidRDefault="006D4C1A" w:rsidP="00C72DAA">
          <w:pPr>
            <w:ind w:left="-567"/>
            <w:rPr>
              <w:lang w:val="en-GB"/>
            </w:rPr>
          </w:pPr>
          <w:r>
            <w:rPr>
              <w:b/>
              <w:lang w:val="en-GB"/>
            </w:rPr>
            <w:fldChar w:fldCharType="end"/>
          </w:r>
        </w:p>
      </w:sdtContent>
    </w:sdt>
    <w:p w14:paraId="79F3DC12" w14:textId="54ABDB5E" w:rsidR="00DD0BDB" w:rsidRPr="00544E92" w:rsidRDefault="00DD0BDB" w:rsidP="00D128F3">
      <w:pPr>
        <w:rPr>
          <w:lang w:val="en-GB"/>
        </w:rPr>
      </w:pPr>
    </w:p>
    <w:p w14:paraId="4D0276E9" w14:textId="77777777" w:rsidR="00DD0BDB" w:rsidRPr="00544E92" w:rsidRDefault="00DD0BDB" w:rsidP="00D128F3">
      <w:pPr>
        <w:rPr>
          <w:lang w:val="en-GB"/>
        </w:rPr>
        <w:sectPr w:rsidR="00DD0BDB" w:rsidRPr="00544E92" w:rsidSect="00070452">
          <w:headerReference w:type="even" r:id="rId18"/>
          <w:headerReference w:type="default" r:id="rId19"/>
          <w:footerReference w:type="even" r:id="rId20"/>
          <w:footerReference w:type="default" r:id="rId21"/>
          <w:headerReference w:type="first" r:id="rId22"/>
          <w:footerReference w:type="first" r:id="rId23"/>
          <w:type w:val="oddPage"/>
          <w:pgSz w:w="11906" w:h="16838" w:code="9"/>
          <w:pgMar w:top="1701" w:right="1418" w:bottom="1418" w:left="1418" w:header="851" w:footer="851" w:gutter="851"/>
          <w:pgNumType w:fmt="lowerRoman"/>
          <w:cols w:space="708"/>
          <w:titlePg/>
          <w:docGrid w:linePitch="360"/>
        </w:sectPr>
      </w:pPr>
    </w:p>
    <w:p w14:paraId="600B93D1" w14:textId="17D9C3A1" w:rsidR="00DD0BDB" w:rsidRPr="00544E92" w:rsidRDefault="00DD0BDB" w:rsidP="00BF2714">
      <w:pPr>
        <w:pStyle w:val="Titolo1"/>
        <w:numPr>
          <w:ilvl w:val="0"/>
          <w:numId w:val="0"/>
        </w:numPr>
        <w:rPr>
          <w:lang w:val="en-GB"/>
        </w:rPr>
      </w:pPr>
      <w:bookmarkStart w:id="6" w:name="_Toc99982936"/>
      <w:bookmarkStart w:id="7" w:name="_Toc207471581"/>
      <w:r w:rsidRPr="00544E92">
        <w:rPr>
          <w:lang w:val="en-GB"/>
        </w:rPr>
        <w:lastRenderedPageBreak/>
        <w:t>Introduction</w:t>
      </w:r>
      <w:bookmarkEnd w:id="6"/>
      <w:bookmarkEnd w:id="7"/>
    </w:p>
    <w:p w14:paraId="7F8A1ECE" w14:textId="77C23264" w:rsidR="003E1C4A" w:rsidRPr="00DB545F" w:rsidRDefault="003E1C4A" w:rsidP="003E1C4A">
      <w:pPr>
        <w:rPr>
          <w:lang w:val="en-US"/>
        </w:rPr>
      </w:pPr>
      <w:r w:rsidRPr="00DB545F">
        <w:rPr>
          <w:lang w:val="en-US"/>
        </w:rPr>
        <w:t xml:space="preserve">Sustainability is a topic of central importance in the business landscape today. Indeed, organizations are placing increasing importance on this topic, investing </w:t>
      </w:r>
      <w:r w:rsidR="00CC4042" w:rsidRPr="00DB545F">
        <w:rPr>
          <w:lang w:val="en-US"/>
        </w:rPr>
        <w:t>more</w:t>
      </w:r>
      <w:r w:rsidRPr="00DB545F">
        <w:rPr>
          <w:lang w:val="en-US"/>
        </w:rPr>
        <w:t xml:space="preserve"> time and resources </w:t>
      </w:r>
      <w:r w:rsidR="00001B92" w:rsidRPr="00DB545F">
        <w:rPr>
          <w:lang w:val="en-US"/>
        </w:rPr>
        <w:t>in</w:t>
      </w:r>
      <w:r w:rsidRPr="00DB545F">
        <w:rPr>
          <w:lang w:val="en-US"/>
        </w:rPr>
        <w:t xml:space="preserve"> it. Rising global average temperatures, pollution of the seas, melting ice at the poles and snow in the Alps, to name a few examples, make us increasingly aware of how necessary it is to reverse the course we are on.</w:t>
      </w:r>
    </w:p>
    <w:p w14:paraId="70CCCFD3" w14:textId="77777777" w:rsidR="003E1C4A" w:rsidRPr="00262B81" w:rsidRDefault="003E1C4A" w:rsidP="003E1C4A">
      <w:pPr>
        <w:rPr>
          <w:lang w:val="en-US"/>
        </w:rPr>
      </w:pPr>
      <w:r w:rsidRPr="00DB545F">
        <w:rPr>
          <w:lang w:val="en-US"/>
        </w:rPr>
        <w:t>Sustainability, however, is not only represented by attention to nature and its ecosystems, its degradation and the need to take better care of it. In the corporate world, in fact, there is a growing need to operate according to the ESG paradigm, or Environmental, Social and Governance. This acronym is now found on every article or web page of any company when it expresses its dedication to sustainability to customers, the management and security of their data, and so on.</w:t>
      </w:r>
      <w:r>
        <w:rPr>
          <w:lang w:val="en-US"/>
        </w:rPr>
        <w:t xml:space="preserve"> </w:t>
      </w:r>
    </w:p>
    <w:p w14:paraId="7C4DCFC1" w14:textId="7A2B3559" w:rsidR="003E1C4A" w:rsidRDefault="003E1C4A" w:rsidP="003E1C4A">
      <w:pPr>
        <w:rPr>
          <w:lang w:val="en-US"/>
        </w:rPr>
      </w:pPr>
      <w:r w:rsidRPr="00F3212A">
        <w:rPr>
          <w:lang w:val="en-US"/>
        </w:rPr>
        <w:t>As with the preparation of the classic Balance Sheet, however, it is necessary to collect all useful data to produce a good document. The problem is that the Sustainability Report is about information that organizations have not been used to collecting forever, unlike purely economic data. At the same, the practices of reporting and displaying information are also a relatively new world for most companies.</w:t>
      </w:r>
      <w:r>
        <w:rPr>
          <w:lang w:val="en-US"/>
        </w:rPr>
        <w:t xml:space="preserve"> </w:t>
      </w:r>
      <w:r w:rsidRPr="00F3212A">
        <w:rPr>
          <w:lang w:val="en-US"/>
        </w:rPr>
        <w:t xml:space="preserve">Around the topic of non-financial data collection, this thesis will be developed. The paper will begin with a more general and introductory exposition of the topic of sustainability, </w:t>
      </w:r>
      <w:r w:rsidR="00001B92" w:rsidRPr="00F3212A">
        <w:rPr>
          <w:lang w:val="en-US"/>
        </w:rPr>
        <w:t>its</w:t>
      </w:r>
      <w:r w:rsidRPr="00F3212A">
        <w:rPr>
          <w:lang w:val="en-US"/>
        </w:rPr>
        <w:t xml:space="preserve"> advantages and disadvantages. </w:t>
      </w:r>
    </w:p>
    <w:p w14:paraId="502813ED" w14:textId="77777777" w:rsidR="003E1C4A" w:rsidRPr="00B145A3" w:rsidRDefault="003E1C4A" w:rsidP="003E1C4A">
      <w:pPr>
        <w:rPr>
          <w:lang w:val="en-US"/>
        </w:rPr>
      </w:pPr>
      <w:r>
        <w:rPr>
          <w:lang w:val="en-US"/>
        </w:rPr>
        <w:t>T</w:t>
      </w:r>
      <w:r w:rsidRPr="00B145A3">
        <w:rPr>
          <w:lang w:val="en-US"/>
        </w:rPr>
        <w:t>he objective of this thesis is to analyze and show the emergence and development of ESG reporting among companies, its purposes, benefits, and how it integrates strongly with the world of finance, thus becoming a fundamental value for a company both in terms of image and economics for stakeholders and shareholders.</w:t>
      </w:r>
    </w:p>
    <w:p w14:paraId="2C914BD5" w14:textId="77777777" w:rsidR="003E1C4A" w:rsidRPr="00B145A3" w:rsidRDefault="003E1C4A" w:rsidP="003E1C4A">
      <w:pPr>
        <w:rPr>
          <w:lang w:val="en-US"/>
        </w:rPr>
      </w:pPr>
      <w:r w:rsidRPr="00B145A3">
        <w:rPr>
          <w:lang w:val="en-US"/>
        </w:rPr>
        <w:t>The research is structured in 4 chapters where different issues will be analyzed in depth</w:t>
      </w:r>
    </w:p>
    <w:p w14:paraId="5D16F0F6" w14:textId="77777777" w:rsidR="003E1C4A" w:rsidRPr="00F94912" w:rsidRDefault="003E1C4A" w:rsidP="003E1C4A">
      <w:pPr>
        <w:rPr>
          <w:lang w:val="en-US"/>
        </w:rPr>
      </w:pPr>
      <w:r w:rsidRPr="00F94912">
        <w:rPr>
          <w:lang w:val="en-US"/>
        </w:rPr>
        <w:t>Chapter 1 provides an overview of ESG reporting, starting with the concept of sustainability, its birth, historical evolution to the current situation where ESG is used as a global benchmark for companies and stakeholders. The main reporting standards (including GRI, SASB, TCFD and ISSB), recent European regulations (CSRD, SFDR, EU Taxonomy) and what is the principle of dual materiality unknown to most are also analyzed. This chapter also discusses the goals, benefits and challenges of ESG reporting, including its misuse by companies for the purpose of so-called “greenwashing.”</w:t>
      </w:r>
    </w:p>
    <w:p w14:paraId="5426EB40" w14:textId="77777777" w:rsidR="003E1C4A" w:rsidRPr="0015391A" w:rsidRDefault="003E1C4A" w:rsidP="003E1C4A">
      <w:pPr>
        <w:rPr>
          <w:lang w:val="en-US"/>
        </w:rPr>
      </w:pPr>
      <w:r w:rsidRPr="00F94912">
        <w:rPr>
          <w:lang w:val="en-US"/>
        </w:rPr>
        <w:lastRenderedPageBreak/>
        <w:t xml:space="preserve">Chapter 2 will go on to analyze more concretely the link between finance and sustainability, highlighting how this is used by banks as a valuation method for investments and loans, and the ESG-oriented financial instruments currently available, such as green bonds, sustainability-related loans, and other ESG-labeled debt instruments. Special attention is given to ESG analysis in banking processes, the integration of ESG into risk models, and its implications in terms of access to credit, reputation, and corporate performance. The growing influence </w:t>
      </w:r>
      <w:r>
        <w:rPr>
          <w:lang w:val="en-US"/>
        </w:rPr>
        <w:t xml:space="preserve">and role </w:t>
      </w:r>
      <w:r w:rsidRPr="00F94912">
        <w:rPr>
          <w:lang w:val="en-US"/>
        </w:rPr>
        <w:t xml:space="preserve">of institutions </w:t>
      </w:r>
      <w:r w:rsidRPr="0015391A">
        <w:rPr>
          <w:lang w:val="en-US"/>
        </w:rPr>
        <w:t>investors and ESG rating agencies is also discussed, together with the ESG performance-profitability trade-off.</w:t>
      </w:r>
    </w:p>
    <w:p w14:paraId="741BE6F0" w14:textId="0A6FCE08" w:rsidR="003E1C4A" w:rsidRPr="007C4DCD" w:rsidRDefault="003E1C4A" w:rsidP="003E1C4A">
      <w:pPr>
        <w:rPr>
          <w:lang w:val="en-US"/>
        </w:rPr>
      </w:pPr>
      <w:r w:rsidRPr="007C4DCD">
        <w:rPr>
          <w:lang w:val="en-US"/>
        </w:rPr>
        <w:t xml:space="preserve">In Chapter 3 these issues are explored in a more practical tone through the internship experience carried out within an ESG consulting and technology company. The chapter shows the workflow of the ESG reporting process, the main activities performed during the internship and client relationship (data collection, platform setup, KPI monitoring, consulting support), and the digital tools used. It will also expose what the clients' requirements are based on the sector in which they operate what </w:t>
      </w:r>
      <w:r w:rsidR="00001B92" w:rsidRPr="007C4DCD">
        <w:rPr>
          <w:lang w:val="en-US"/>
        </w:rPr>
        <w:t>the main kpi required are</w:t>
      </w:r>
      <w:r w:rsidRPr="007C4DCD">
        <w:rPr>
          <w:lang w:val="en-US"/>
        </w:rPr>
        <w:t xml:space="preserve"> and their purposes, and how the client is supported from the beginning to the end of sustainability reporting.</w:t>
      </w:r>
    </w:p>
    <w:p w14:paraId="6D778C95" w14:textId="77777777" w:rsidR="003E1C4A" w:rsidRPr="007C4DCD" w:rsidRDefault="003E1C4A" w:rsidP="003E1C4A">
      <w:pPr>
        <w:rPr>
          <w:lang w:val="en-US"/>
        </w:rPr>
      </w:pPr>
      <w:r w:rsidRPr="007C4DCD">
        <w:rPr>
          <w:lang w:val="en-US"/>
        </w:rPr>
        <w:t>Finally, Chapter 4 a critical analysis of the results is developed, with a focus on the interactions and links between technology, finance and sustainability. The current limitations of ESG reporting are shown, especially for Italian SMEs which find it very difficult to find the necessary data. Proposals for improvement are then presented, including training initiatives, digital tools and policy incentives. Special attention is paid to future perspectives, including the potential of artificial intelligence in ESG reporting and the growing relevance of ESG-finance linkages.</w:t>
      </w:r>
    </w:p>
    <w:p w14:paraId="1E5912A9" w14:textId="77777777" w:rsidR="003E1C4A" w:rsidRPr="007C4DCD" w:rsidRDefault="003E1C4A" w:rsidP="003E1C4A">
      <w:pPr>
        <w:rPr>
          <w:lang w:val="en-US"/>
        </w:rPr>
      </w:pPr>
      <w:r w:rsidRPr="007C4DCD">
        <w:rPr>
          <w:lang w:val="en-US"/>
        </w:rPr>
        <w:t>The thesis concludes with a summary of key findings, reflections on the overall contribution of the research to the ESG debate, and final considerations on the limitations and future developments of the study.</w:t>
      </w:r>
    </w:p>
    <w:p w14:paraId="4FD518B0" w14:textId="00AE6453" w:rsidR="004579E0" w:rsidRDefault="004579E0" w:rsidP="004579E0">
      <w:pPr>
        <w:rPr>
          <w:lang w:val="en-GB"/>
        </w:rPr>
      </w:pPr>
    </w:p>
    <w:p w14:paraId="3D4B680B" w14:textId="698D8C4D" w:rsidR="00D62FE7" w:rsidRDefault="00D62FE7" w:rsidP="004579E0">
      <w:pPr>
        <w:rPr>
          <w:lang w:val="en-GB"/>
        </w:rPr>
      </w:pPr>
    </w:p>
    <w:p w14:paraId="764C4847" w14:textId="6E657C56" w:rsidR="00D62FE7" w:rsidRDefault="00D62FE7" w:rsidP="004579E0">
      <w:pPr>
        <w:rPr>
          <w:lang w:val="en-GB"/>
        </w:rPr>
      </w:pPr>
    </w:p>
    <w:p w14:paraId="465FE0C2" w14:textId="640576EC" w:rsidR="00D62FE7" w:rsidRDefault="00D62FE7" w:rsidP="004579E0">
      <w:pPr>
        <w:rPr>
          <w:lang w:val="en-GB"/>
        </w:rPr>
      </w:pPr>
    </w:p>
    <w:p w14:paraId="40B01D84" w14:textId="1703578D" w:rsidR="00D62FE7" w:rsidRDefault="00D62FE7" w:rsidP="004579E0">
      <w:pPr>
        <w:rPr>
          <w:lang w:val="en-GB"/>
        </w:rPr>
      </w:pPr>
    </w:p>
    <w:p w14:paraId="76428919" w14:textId="3E04DAEA" w:rsidR="00D62FE7" w:rsidRDefault="00D62FE7" w:rsidP="004579E0">
      <w:pPr>
        <w:rPr>
          <w:lang w:val="en-GB"/>
        </w:rPr>
      </w:pPr>
    </w:p>
    <w:p w14:paraId="5B4F229D" w14:textId="7780453A" w:rsidR="00D62FE7" w:rsidRDefault="00D62FE7" w:rsidP="004579E0">
      <w:pPr>
        <w:rPr>
          <w:lang w:val="en-GB"/>
        </w:rPr>
      </w:pPr>
    </w:p>
    <w:p w14:paraId="0EECC38D" w14:textId="3770D36D" w:rsidR="00D62FE7" w:rsidRDefault="00D62FE7" w:rsidP="004579E0">
      <w:pPr>
        <w:rPr>
          <w:lang w:val="en-GB"/>
        </w:rPr>
      </w:pPr>
    </w:p>
    <w:p w14:paraId="23CBCEBC" w14:textId="34565B07" w:rsidR="00D62FE7" w:rsidRDefault="00D62FE7" w:rsidP="004579E0">
      <w:pPr>
        <w:rPr>
          <w:lang w:val="en-GB"/>
        </w:rPr>
      </w:pPr>
    </w:p>
    <w:p w14:paraId="6FEEF4EE" w14:textId="6A70BE9D" w:rsidR="00D62FE7" w:rsidRDefault="00D62FE7" w:rsidP="004579E0">
      <w:pPr>
        <w:rPr>
          <w:lang w:val="en-GB"/>
        </w:rPr>
      </w:pPr>
    </w:p>
    <w:p w14:paraId="024D76D7" w14:textId="632E103E" w:rsidR="00D62FE7" w:rsidRDefault="00D62FE7" w:rsidP="004579E0">
      <w:pPr>
        <w:rPr>
          <w:lang w:val="en-GB"/>
        </w:rPr>
      </w:pPr>
    </w:p>
    <w:p w14:paraId="7931F555" w14:textId="2A999BED" w:rsidR="00D62FE7" w:rsidRDefault="00D62FE7" w:rsidP="004579E0">
      <w:pPr>
        <w:rPr>
          <w:lang w:val="en-GB"/>
        </w:rPr>
      </w:pPr>
    </w:p>
    <w:p w14:paraId="61FF934F" w14:textId="6123F6F1" w:rsidR="00D62FE7" w:rsidRDefault="00D62FE7" w:rsidP="004579E0">
      <w:pPr>
        <w:rPr>
          <w:lang w:val="en-GB"/>
        </w:rPr>
      </w:pPr>
    </w:p>
    <w:p w14:paraId="3BC55697" w14:textId="71EF09CB" w:rsidR="00D62FE7" w:rsidRDefault="00D62FE7" w:rsidP="004579E0">
      <w:pPr>
        <w:rPr>
          <w:lang w:val="en-GB"/>
        </w:rPr>
      </w:pPr>
    </w:p>
    <w:p w14:paraId="7A57B73E" w14:textId="4BE8B5AF" w:rsidR="00D62FE7" w:rsidRDefault="00D62FE7" w:rsidP="004579E0">
      <w:pPr>
        <w:rPr>
          <w:lang w:val="en-GB"/>
        </w:rPr>
      </w:pPr>
    </w:p>
    <w:p w14:paraId="455EFA52" w14:textId="7366803B" w:rsidR="00D62FE7" w:rsidRDefault="00D62FE7" w:rsidP="004579E0">
      <w:pPr>
        <w:rPr>
          <w:lang w:val="en-GB"/>
        </w:rPr>
      </w:pPr>
    </w:p>
    <w:p w14:paraId="1E6E2241" w14:textId="32E3788E" w:rsidR="00D62FE7" w:rsidRDefault="00D62FE7" w:rsidP="004579E0">
      <w:pPr>
        <w:rPr>
          <w:lang w:val="en-GB"/>
        </w:rPr>
      </w:pPr>
    </w:p>
    <w:p w14:paraId="5B94B275" w14:textId="25468219" w:rsidR="00D62FE7" w:rsidRDefault="00D62FE7" w:rsidP="004579E0">
      <w:pPr>
        <w:rPr>
          <w:lang w:val="en-GB"/>
        </w:rPr>
      </w:pPr>
    </w:p>
    <w:p w14:paraId="1CF9B254" w14:textId="77777777" w:rsidR="00D62FE7" w:rsidRPr="00544E92" w:rsidRDefault="00D62FE7" w:rsidP="004579E0">
      <w:pPr>
        <w:rPr>
          <w:lang w:val="en-GB"/>
        </w:rPr>
      </w:pPr>
    </w:p>
    <w:p w14:paraId="6E227BB6" w14:textId="3BF0EC2E" w:rsidR="004579E0" w:rsidRPr="00544E92" w:rsidRDefault="004579E0" w:rsidP="004579E0">
      <w:pPr>
        <w:rPr>
          <w:lang w:val="en-GB"/>
        </w:rPr>
      </w:pPr>
    </w:p>
    <w:p w14:paraId="67682132" w14:textId="77777777" w:rsidR="004579E0" w:rsidRPr="00544E92" w:rsidRDefault="004579E0" w:rsidP="004579E0">
      <w:pPr>
        <w:rPr>
          <w:lang w:val="en-GB"/>
        </w:rPr>
        <w:sectPr w:rsidR="004579E0" w:rsidRPr="00544E92" w:rsidSect="00576E05">
          <w:headerReference w:type="even" r:id="rId24"/>
          <w:headerReference w:type="default" r:id="rId25"/>
          <w:footerReference w:type="even" r:id="rId26"/>
          <w:footerReference w:type="default" r:id="rId27"/>
          <w:headerReference w:type="first" r:id="rId28"/>
          <w:footerReference w:type="first" r:id="rId29"/>
          <w:type w:val="oddPage"/>
          <w:pgSz w:w="11906" w:h="16838" w:code="9"/>
          <w:pgMar w:top="1701" w:right="1418" w:bottom="1418" w:left="1418" w:header="851" w:footer="851" w:gutter="0"/>
          <w:pgNumType w:start="1"/>
          <w:cols w:space="708"/>
          <w:titlePg/>
          <w:docGrid w:linePitch="360"/>
        </w:sectPr>
      </w:pPr>
    </w:p>
    <w:p w14:paraId="16EA9CF7" w14:textId="5AADF933" w:rsidR="008D2A51" w:rsidRPr="00544E92" w:rsidRDefault="00CF0A42" w:rsidP="003479A6">
      <w:pPr>
        <w:pStyle w:val="Titolo1"/>
        <w:rPr>
          <w:lang w:val="en-GB"/>
        </w:rPr>
      </w:pPr>
      <w:bookmarkStart w:id="8" w:name="_Toc207471582"/>
      <w:r w:rsidRPr="009A2B12">
        <w:rPr>
          <w:lang w:val="en-US"/>
        </w:rPr>
        <w:lastRenderedPageBreak/>
        <w:t>ESG reporting: context, origins and evolution</w:t>
      </w:r>
      <w:bookmarkEnd w:id="8"/>
      <w:r w:rsidR="008D2A51" w:rsidRPr="00544E92">
        <w:rPr>
          <w:lang w:val="en-GB"/>
        </w:rPr>
        <w:t xml:space="preserve"> </w:t>
      </w:r>
    </w:p>
    <w:p w14:paraId="7A290069" w14:textId="7A139E42" w:rsidR="00311824" w:rsidRDefault="00311824">
      <w:pPr>
        <w:pStyle w:val="Titolo2"/>
        <w:numPr>
          <w:ilvl w:val="1"/>
          <w:numId w:val="11"/>
        </w:numPr>
        <w:rPr>
          <w:lang w:val="en-GB"/>
        </w:rPr>
      </w:pPr>
      <w:bookmarkStart w:id="9" w:name="_Toc207471583"/>
      <w:bookmarkStart w:id="10" w:name="_Hlk75248634"/>
      <w:r w:rsidRPr="00311824">
        <w:rPr>
          <w:lang w:val="en-GB"/>
        </w:rPr>
        <w:t>The concept of sustainability: origins and development</w:t>
      </w:r>
      <w:bookmarkEnd w:id="9"/>
      <w:r w:rsidRPr="00544E92">
        <w:rPr>
          <w:lang w:val="en-GB"/>
        </w:rPr>
        <w:t xml:space="preserve"> </w:t>
      </w:r>
    </w:p>
    <w:p w14:paraId="47BEE405" w14:textId="4961B244" w:rsidR="009A0236" w:rsidRPr="00A207CB" w:rsidRDefault="008C2D25" w:rsidP="00354754">
      <w:pPr>
        <w:spacing w:line="360" w:lineRule="auto"/>
        <w:rPr>
          <w:lang w:val="en-GB"/>
        </w:rPr>
      </w:pPr>
      <w:r w:rsidRPr="00A207CB">
        <w:rPr>
          <w:lang w:val="en-GB"/>
        </w:rPr>
        <w:t xml:space="preserve">The Global Reporting Initiative offers </w:t>
      </w:r>
      <w:r w:rsidR="00FC1487" w:rsidRPr="00A207CB">
        <w:rPr>
          <w:lang w:val="en-GB"/>
        </w:rPr>
        <w:t>forth</w:t>
      </w:r>
      <w:r w:rsidRPr="00A207CB">
        <w:rPr>
          <w:lang w:val="en-GB"/>
        </w:rPr>
        <w:t xml:space="preserve"> the following </w:t>
      </w:r>
      <w:r w:rsidR="00FC1487" w:rsidRPr="00A207CB">
        <w:rPr>
          <w:lang w:val="en-GB"/>
        </w:rPr>
        <w:t>definition</w:t>
      </w:r>
      <w:r w:rsidRPr="00A207CB">
        <w:rPr>
          <w:lang w:val="en-GB"/>
        </w:rPr>
        <w:t xml:space="preserve"> of sustainability reporting:</w:t>
      </w:r>
      <w:r w:rsidR="00354754">
        <w:rPr>
          <w:lang w:val="en-GB"/>
        </w:rPr>
        <w:t xml:space="preserve"> </w:t>
      </w:r>
      <w:r w:rsidR="009A0236" w:rsidRPr="00A207CB">
        <w:rPr>
          <w:lang w:val="en-GB"/>
        </w:rPr>
        <w:t>“</w:t>
      </w:r>
      <w:r w:rsidR="009A0236" w:rsidRPr="00354754">
        <w:rPr>
          <w:lang w:val="en-GB"/>
        </w:rPr>
        <w:t>A sustainability report is a report published by a company or organization about the economic, environmental and social impacts caused by its everyday activities. A sustainability report also presents the organization’s values and governance model and demonstrates the link between its strategy and its commitment to a sustainable global economy</w:t>
      </w:r>
      <w:r w:rsidR="009A0236" w:rsidRPr="00A207CB">
        <w:rPr>
          <w:lang w:val="en-GB"/>
        </w:rPr>
        <w:t>.”</w:t>
      </w:r>
    </w:p>
    <w:p w14:paraId="013E5F0C" w14:textId="3090D205" w:rsidR="009A0236" w:rsidRPr="00A207CB" w:rsidRDefault="009A0236" w:rsidP="009A0236">
      <w:pPr>
        <w:spacing w:line="360" w:lineRule="auto"/>
        <w:rPr>
          <w:lang w:val="en-GB"/>
        </w:rPr>
      </w:pPr>
      <w:r w:rsidRPr="00A207CB">
        <w:rPr>
          <w:lang w:val="en-GB"/>
        </w:rPr>
        <w:t xml:space="preserve">The Sustainability Report is the main tool available to any entity to put in place transparent and public communication to the outside world regarding what are the non-financial impacts of its activities. It is a true form of “accountability,” which is not limited only to what concerns the generation of economic value for shareholders, but goes beyond this sphere, and thus to other issues as well. Such a document deals in part with interests other than purely economic ones, which are indispensable for a company today. As in the above definition, in accordance with the Global Reporting Initiative (GRI), it can be understood how this document is oriented toward issues that differ from the classic Financial Report, the Annual Report that we all know and which is required by law. The Sustainability Report allows the organization to demonstrate to all those who are interested, the totality of stakeholders, that there is indeed a strong focus, effort and addressing of Environmental, economic and Social issues that is </w:t>
      </w:r>
      <w:r w:rsidRPr="00A207CB">
        <w:rPr>
          <w:lang w:val="en-GB"/>
        </w:rPr>
        <w:lastRenderedPageBreak/>
        <w:t>imprinted in the very Governance and short- and long-term strategies defined by the company.</w:t>
      </w:r>
    </w:p>
    <w:p w14:paraId="50D110EC" w14:textId="4CEB5019" w:rsidR="009A0236" w:rsidRPr="00A207CB" w:rsidRDefault="009A0236" w:rsidP="009A0236">
      <w:pPr>
        <w:spacing w:line="360" w:lineRule="auto"/>
        <w:rPr>
          <w:lang w:val="en-GB"/>
        </w:rPr>
      </w:pPr>
      <w:r w:rsidRPr="00A207CB">
        <w:rPr>
          <w:lang w:val="en-GB"/>
        </w:rPr>
        <w:t>The more time passes, the more companies are preparing to produce this document and make it public on their sites. This is because, nowadays, it is essential to highlight one's predisposition to issues related to sustainability</w:t>
      </w:r>
      <w:r w:rsidR="0088088C" w:rsidRPr="00A207CB">
        <w:rPr>
          <w:lang w:val="en-GB"/>
        </w:rPr>
        <w:t xml:space="preserve"> </w:t>
      </w:r>
      <w:r w:rsidRPr="00A207CB">
        <w:rPr>
          <w:lang w:val="en-GB"/>
        </w:rPr>
        <w:t xml:space="preserve">own volition. Certainly, we will have articulate documents. We may be faced with a very brief report, within which there is a summary of the sustainable initiatives undertaken by </w:t>
      </w:r>
      <w:r w:rsidR="000932F7" w:rsidRPr="00A207CB">
        <w:rPr>
          <w:lang w:val="en-GB"/>
        </w:rPr>
        <w:t xml:space="preserve">the </w:t>
      </w:r>
      <w:r w:rsidRPr="00A207CB">
        <w:rPr>
          <w:lang w:val="en-GB"/>
        </w:rPr>
        <w:t>organization.</w:t>
      </w:r>
    </w:p>
    <w:p w14:paraId="7F830519" w14:textId="77777777" w:rsidR="009A0236" w:rsidRPr="00A207CB" w:rsidRDefault="009A0236" w:rsidP="009A0236">
      <w:pPr>
        <w:spacing w:line="360" w:lineRule="auto"/>
        <w:rPr>
          <w:lang w:val="en-GB"/>
        </w:rPr>
      </w:pPr>
      <w:r w:rsidRPr="00A207CB">
        <w:rPr>
          <w:lang w:val="en-GB"/>
        </w:rPr>
        <w:t>On the contrary, one can read Budgets structured according to a very precise logic, very full-bodied, composed of an innumerable amount of information and data that go into the details of the different issues. This last case represents the actual document that one should go and produce, materializing in a useful transparent communication tool.</w:t>
      </w:r>
    </w:p>
    <w:p w14:paraId="009E2C44" w14:textId="4E9C6903" w:rsidR="009A0236" w:rsidRPr="00A207CB" w:rsidRDefault="009A0236" w:rsidP="009A0236">
      <w:pPr>
        <w:spacing w:line="360" w:lineRule="auto"/>
        <w:rPr>
          <w:lang w:val="en-GB"/>
        </w:rPr>
      </w:pPr>
      <w:r w:rsidRPr="00A207CB">
        <w:rPr>
          <w:lang w:val="en-GB"/>
        </w:rPr>
        <w:t xml:space="preserve">The term Non-Financial Declaration became part of the Italian legislative vocabulary on December 30, 2016, with Decree Law No. 254. This decree implements the European Parliament and Council Directive 2014/95. Within the text of the directive, the main theme is the disclosure of non-financial information. Thus, it is a set of data representing the environmental and social impacts generated by the reporting company. In addition, they are defined as topics that should be addressed by the organization within the DNF. </w:t>
      </w:r>
      <w:r w:rsidR="009432A2" w:rsidRPr="00A207CB">
        <w:rPr>
          <w:lang w:val="en-GB"/>
        </w:rPr>
        <w:t xml:space="preserve"> </w:t>
      </w:r>
      <w:r w:rsidRPr="00A207CB">
        <w:rPr>
          <w:lang w:val="en-GB"/>
        </w:rPr>
        <w:t xml:space="preserve">In fact, within paragraph 7 of the directive, one can consult all that are the topics that should be touched upon within the report. It is a real embryonic attempt, yet ill-defined, to give uniformity to this document, so that readers have an effective yardstick for comparing the non-financial performance of two or more companies under their scrutiny. </w:t>
      </w:r>
    </w:p>
    <w:p w14:paraId="4F14EBCB" w14:textId="77777777" w:rsidR="009A0236" w:rsidRPr="00A207CB" w:rsidRDefault="009A0236" w:rsidP="009A0236">
      <w:pPr>
        <w:spacing w:line="360" w:lineRule="auto"/>
        <w:rPr>
          <w:lang w:val="en-GB"/>
        </w:rPr>
      </w:pPr>
      <w:r w:rsidRPr="00A207CB">
        <w:rPr>
          <w:lang w:val="en-GB"/>
        </w:rPr>
        <w:t xml:space="preserve">Next, all those public-interest entities are required to report on a mandatory basis, the DNF. This is intended to make subject to the publication of this document all Banks, Insurance Companies, issuers of securities admitted to trading on regulated markets in Italy, or belonging to the European Union, and entities that fall under the definition </w:t>
      </w:r>
      <w:r w:rsidRPr="00A207CB">
        <w:rPr>
          <w:lang w:val="en-GB"/>
        </w:rPr>
        <w:lastRenderedPageBreak/>
        <w:t>in Article16, paragraph 1 of Legislative Decree of January 27, 2010, number 39.  So, we are talking about all listed companies, which issue shares or financial instruments, some intermediaries operating in the financial market, banks and insurance companies.</w:t>
      </w:r>
    </w:p>
    <w:p w14:paraId="70A6A256" w14:textId="69A66EC1" w:rsidR="009A0236" w:rsidRPr="00A207CB" w:rsidRDefault="009A0236" w:rsidP="009A0236">
      <w:pPr>
        <w:spacing w:line="360" w:lineRule="auto"/>
        <w:rPr>
          <w:lang w:val="en-GB"/>
        </w:rPr>
      </w:pPr>
      <w:r w:rsidRPr="00A207CB">
        <w:rPr>
          <w:lang w:val="en-GB"/>
        </w:rPr>
        <w:t xml:space="preserve">For listed companies, which operate in a wide variety of industry areas, it is indeed in the public's interest to have transparent knowledge of the environmental impacts they generate. On the other hand, banks, insurers, reinsurers, and brokers, in terms of the </w:t>
      </w:r>
      <w:r w:rsidR="00794772" w:rsidRPr="00A207CB">
        <w:rPr>
          <w:lang w:val="en-GB"/>
        </w:rPr>
        <w:t>impacts</w:t>
      </w:r>
      <w:r w:rsidRPr="00A207CB">
        <w:rPr>
          <w:lang w:val="en-GB"/>
        </w:rPr>
        <w:t xml:space="preserve">, per se do not have much data to bring to the attention of readers. As such, the main topics, of relevant interest, for companies operating in the finance sector will obviously be more related to the topic of corruption, money laundering, and more economic-social issues, which, however, are not dealt with in the classic Financial Report. This is not to say that such topics are not important for a listed company; indeed, it would be wrong to reach such a conclusion. But for the activities generally carried out by a bank or an insurance company, the subject of corruption, for example, greatly affects its operations, and cannot be overlooked. </w:t>
      </w:r>
    </w:p>
    <w:p w14:paraId="43AEAF82" w14:textId="6AED88F2" w:rsidR="009A0236" w:rsidRPr="00A207CB" w:rsidRDefault="009A0236" w:rsidP="009A0236">
      <w:pPr>
        <w:spacing w:line="360" w:lineRule="auto"/>
        <w:rPr>
          <w:lang w:val="en-GB"/>
        </w:rPr>
      </w:pPr>
      <w:r w:rsidRPr="00A207CB">
        <w:rPr>
          <w:lang w:val="en-GB"/>
        </w:rPr>
        <w:t>Other parameters by which the obligation to DNF reporting is assessed are, however, dimensional. Indeed, if an organization belongs to the above categories and, at the close of the financial statements, exceeds at least two of three very specific limits, then it will be required to report the Non-Financial Statement. These limits relate to the fact of having a pool of employees greater than 500 individuals, a balance sheet that exceeds 20 million euros, and finally the value of revenues that in total are at least 40 million euros. These thresholds are particularly high, and in fact most of the organizations that prepare the mandatory DNF are not insignificant size. To capsize them, in Italy we are talking about, for example, Ferrovie dello Stato rather than Prysmian, companies that turnover billions of euros with a more than substantial volume of business. But we will also see in the coming chapters, legislation is moving, and will move, toward the inclusion in this obligation of a multitude of companies, including SMEs, which are widespread in the Belpaese.</w:t>
      </w:r>
    </w:p>
    <w:p w14:paraId="1F8FE838" w14:textId="77777777" w:rsidR="009A0236" w:rsidRPr="00A207CB" w:rsidRDefault="009A0236" w:rsidP="009A0236">
      <w:pPr>
        <w:spacing w:line="360" w:lineRule="auto"/>
        <w:rPr>
          <w:lang w:val="en-GB"/>
        </w:rPr>
      </w:pPr>
      <w:r w:rsidRPr="00A207CB">
        <w:rPr>
          <w:lang w:val="en-GB"/>
        </w:rPr>
        <w:lastRenderedPageBreak/>
        <w:t xml:space="preserve">The DNF, in addition to being an obligation for all those entities we have mentioned, becomes a guideline for all those who are interested in publishing it voluntarily, as they are not required to report it because they have not reached the required parameters, or do not belong to the categories seen above. The document described within the EU Directive can be considered in part as a synonym for the Sustainability Report. The latter takes the form of the reporting of non-financial information according to international standards, while the former involves preparation according to the legal standard, and may be mandatory for certain entities, or voluntary. </w:t>
      </w:r>
    </w:p>
    <w:p w14:paraId="541F74CA" w14:textId="47499DF6" w:rsidR="00C33C6E" w:rsidRDefault="009A0236" w:rsidP="004B5000">
      <w:pPr>
        <w:spacing w:line="360" w:lineRule="auto"/>
        <w:rPr>
          <w:lang w:val="en-GB"/>
        </w:rPr>
      </w:pPr>
      <w:r w:rsidRPr="00A207CB">
        <w:rPr>
          <w:lang w:val="en-GB"/>
        </w:rPr>
        <w:t>Both are, however, two instruments that empower the organization to externalize certain information. The voluntary DNF could thus be seen as a sustainability report that has complied with the legal standard. We also read, again in the Cerved article, how the increasing attention given to sustainability issues is also justified by the fact that more and more companies are drafting a voluntary DNF, in order to communicate their impact on ESG issues in a transparent way, guaranteed by compliance with the standards.</w:t>
      </w:r>
    </w:p>
    <w:p w14:paraId="33D4BAAE" w14:textId="77777777" w:rsidR="00C33C6E" w:rsidRPr="009A0236" w:rsidRDefault="00C33C6E" w:rsidP="009A0236">
      <w:pPr>
        <w:rPr>
          <w:lang w:val="en-GB"/>
        </w:rPr>
      </w:pPr>
    </w:p>
    <w:p w14:paraId="0E99B9A0" w14:textId="03FCD95F" w:rsidR="00971925" w:rsidRPr="00544E92" w:rsidRDefault="005E514C" w:rsidP="0051628A">
      <w:pPr>
        <w:pStyle w:val="Text"/>
        <w:rPr>
          <w:lang w:val="en-GB"/>
        </w:rPr>
      </w:pPr>
      <w:r>
        <w:rPr>
          <w:rFonts w:eastAsiaTheme="majorEastAsia" w:cstheme="majorBidi"/>
          <w:color w:val="728FA5"/>
          <w:sz w:val="36"/>
          <w:szCs w:val="26"/>
          <w:lang w:val="en-GB"/>
        </w:rPr>
        <w:t xml:space="preserve">1.2 </w:t>
      </w:r>
      <w:r w:rsidRPr="005E514C">
        <w:rPr>
          <w:rFonts w:eastAsiaTheme="majorEastAsia" w:cstheme="majorBidi"/>
          <w:color w:val="728FA5"/>
          <w:sz w:val="36"/>
          <w:szCs w:val="26"/>
          <w:lang w:val="en-GB"/>
        </w:rPr>
        <w:t>European regulations and directives (SFDR, CSRD, EU Taxonomy, etc.)</w:t>
      </w:r>
      <w:r w:rsidRPr="001F44C9">
        <w:t>.</w:t>
      </w:r>
    </w:p>
    <w:p w14:paraId="21AD77C5" w14:textId="77777777" w:rsidR="00971925" w:rsidRPr="00544E92" w:rsidRDefault="00971925" w:rsidP="00971925">
      <w:pPr>
        <w:rPr>
          <w:lang w:val="en-GB"/>
        </w:rPr>
      </w:pPr>
    </w:p>
    <w:p w14:paraId="4B8E9793" w14:textId="77777777" w:rsidR="00067955" w:rsidRPr="00A207CB" w:rsidRDefault="00067955" w:rsidP="00067955">
      <w:pPr>
        <w:spacing w:line="360" w:lineRule="auto"/>
        <w:rPr>
          <w:lang w:val="en-GB"/>
        </w:rPr>
      </w:pPr>
      <w:r w:rsidRPr="00A207CB">
        <w:rPr>
          <w:lang w:val="en-GB"/>
        </w:rPr>
        <w:t>Sustainable finance is pivotal in steering the EU toward its climate and environmental objectives by channeling investments into eco-friendly projects and initiatives. Complementary to this, sustainability reporting is crucial for enhancing transparency in the areas of environmental, social, economic, and governance factors.</w:t>
      </w:r>
    </w:p>
    <w:p w14:paraId="3859BBCB" w14:textId="6FFAF864" w:rsidR="00067955" w:rsidRPr="00A207CB" w:rsidRDefault="00067955" w:rsidP="00067955">
      <w:pPr>
        <w:spacing w:line="360" w:lineRule="auto"/>
        <w:rPr>
          <w:lang w:val="en-GB"/>
        </w:rPr>
      </w:pPr>
      <w:r w:rsidRPr="00A207CB">
        <w:rPr>
          <w:lang w:val="en-GB"/>
        </w:rPr>
        <w:t xml:space="preserve">The EU sustainable finance framework includes the EU Taxonomy, the Corporate Sustainability Reporting Directive (CSRD), and the Sustainable Finance Disclosure Regulation (SFDR). These </w:t>
      </w:r>
      <w:r w:rsidR="00423AE6" w:rsidRPr="00A207CB">
        <w:rPr>
          <w:lang w:val="en-GB"/>
        </w:rPr>
        <w:t xml:space="preserve">three </w:t>
      </w:r>
      <w:r w:rsidRPr="00A207CB">
        <w:rPr>
          <w:lang w:val="en-GB"/>
        </w:rPr>
        <w:t xml:space="preserve">regulations are closely interrelated and work together to support direct investments </w:t>
      </w:r>
      <w:r w:rsidR="00B239E6" w:rsidRPr="00A207CB">
        <w:rPr>
          <w:lang w:val="en-GB"/>
        </w:rPr>
        <w:t>in</w:t>
      </w:r>
      <w:r w:rsidRPr="00A207CB">
        <w:rPr>
          <w:lang w:val="en-GB"/>
        </w:rPr>
        <w:t xml:space="preserve"> Taxonomy-aligned activities, by enabling investors to </w:t>
      </w:r>
      <w:r w:rsidRPr="00A207CB">
        <w:rPr>
          <w:lang w:val="en-GB"/>
        </w:rPr>
        <w:lastRenderedPageBreak/>
        <w:t>identify these activities. In this article, we will dive deeper into each of these frameworks and their relationships:</w:t>
      </w:r>
    </w:p>
    <w:p w14:paraId="658628F8" w14:textId="77777777" w:rsidR="00067955" w:rsidRPr="00A207CB" w:rsidRDefault="00067955" w:rsidP="00067955">
      <w:pPr>
        <w:spacing w:line="360" w:lineRule="auto"/>
        <w:rPr>
          <w:b/>
          <w:bCs/>
          <w:lang w:val="en-GB"/>
        </w:rPr>
      </w:pPr>
      <w:r w:rsidRPr="00A207CB">
        <w:rPr>
          <w:b/>
          <w:bCs/>
          <w:lang w:val="en-GB"/>
        </w:rPr>
        <w:t>SFDR</w:t>
      </w:r>
    </w:p>
    <w:p w14:paraId="6536D74E" w14:textId="3795AC70" w:rsidR="008D1F21" w:rsidRPr="00A207CB" w:rsidRDefault="00272A05" w:rsidP="00067955">
      <w:pPr>
        <w:spacing w:line="360" w:lineRule="auto"/>
        <w:rPr>
          <w:lang w:val="en-GB"/>
        </w:rPr>
      </w:pPr>
      <w:r w:rsidRPr="00A207CB">
        <w:rPr>
          <w:lang w:val="en-GB"/>
        </w:rPr>
        <w:t xml:space="preserve">The </w:t>
      </w:r>
      <w:r w:rsidRPr="00A207CB">
        <w:rPr>
          <w:b/>
          <w:bCs/>
          <w:lang w:val="en-GB"/>
        </w:rPr>
        <w:t>SFDR</w:t>
      </w:r>
      <w:r w:rsidRPr="00A207CB">
        <w:rPr>
          <w:lang w:val="en-GB"/>
        </w:rPr>
        <w:t xml:space="preserve"> stands for </w:t>
      </w:r>
      <w:r w:rsidRPr="00A207CB">
        <w:rPr>
          <w:b/>
          <w:bCs/>
          <w:lang w:val="en-GB"/>
        </w:rPr>
        <w:t>Sustainable Finance Disclosure Regulation</w:t>
      </w:r>
      <w:r w:rsidRPr="00A207CB">
        <w:rPr>
          <w:lang w:val="en-GB"/>
        </w:rPr>
        <w:t xml:space="preserve"> (EU Regulation 2019/2088), which came into effect in March 2021. It is part of the EU’s broader sustainable finance agenda. </w:t>
      </w:r>
      <w:r w:rsidR="00067955" w:rsidRPr="00A207CB">
        <w:rPr>
          <w:lang w:val="en-GB"/>
        </w:rPr>
        <w:t>The SFDR</w:t>
      </w:r>
      <w:r w:rsidRPr="00A207CB">
        <w:rPr>
          <w:lang w:val="en-GB"/>
        </w:rPr>
        <w:t xml:space="preserve"> </w:t>
      </w:r>
      <w:r w:rsidR="00067955" w:rsidRPr="00A207CB">
        <w:rPr>
          <w:lang w:val="en-GB"/>
        </w:rPr>
        <w:t>is a European Union regulation designed to elevate transparency in the realm of sustainable investments.</w:t>
      </w:r>
      <w:r w:rsidR="000759FD" w:rsidRPr="00A207CB">
        <w:rPr>
          <w:lang w:val="en-GB"/>
        </w:rPr>
        <w:t xml:space="preserve"> </w:t>
      </w:r>
    </w:p>
    <w:p w14:paraId="722EB8A1" w14:textId="2EEEBFD1" w:rsidR="00A934D3" w:rsidRPr="00A207CB" w:rsidRDefault="00A934D3" w:rsidP="00067955">
      <w:pPr>
        <w:spacing w:line="360" w:lineRule="auto"/>
        <w:rPr>
          <w:lang w:val="en-GB"/>
        </w:rPr>
      </w:pPr>
      <w:r w:rsidRPr="00A207CB">
        <w:rPr>
          <w:lang w:val="en-GB"/>
        </w:rPr>
        <w:t>It is addressed to asset managers, banks, insurance companies, financial advisors, and other participants in the financial markets.</w:t>
      </w:r>
    </w:p>
    <w:p w14:paraId="778AA2BB" w14:textId="4CE3FF7D" w:rsidR="00B7492B" w:rsidRPr="00A207CB" w:rsidRDefault="00B7492B" w:rsidP="00067955">
      <w:pPr>
        <w:spacing w:line="360" w:lineRule="auto"/>
        <w:rPr>
          <w:lang w:val="en-GB"/>
        </w:rPr>
      </w:pPr>
      <w:r w:rsidRPr="00A207CB">
        <w:rPr>
          <w:lang w:val="en-GB"/>
        </w:rPr>
        <w:t>Companies, through this framework, must declare how they integrate sustainability risks into decision-making processes and whether they consider Principal Adverse Impacts (PAI). Furthermore, at the product level, they are required to explain how ESG risks and factors are included in each financial product.</w:t>
      </w:r>
    </w:p>
    <w:p w14:paraId="064E7799" w14:textId="53B02FDE" w:rsidR="00067955" w:rsidRPr="00A207CB" w:rsidRDefault="00067955" w:rsidP="00067955">
      <w:pPr>
        <w:spacing w:line="360" w:lineRule="auto"/>
        <w:rPr>
          <w:lang w:val="en-GB"/>
        </w:rPr>
      </w:pPr>
      <w:r w:rsidRPr="00A207CB">
        <w:rPr>
          <w:lang w:val="en-GB"/>
        </w:rPr>
        <w:t>The primary purpose of SFDR is twofold: Firstly, it seeks to channel capital into more sustainable investment avenues by providing investors with transparent,</w:t>
      </w:r>
      <w:r w:rsidR="00BE38BA" w:rsidRPr="00A207CB">
        <w:rPr>
          <w:lang w:val="en-GB"/>
        </w:rPr>
        <w:t xml:space="preserve"> standardized</w:t>
      </w:r>
      <w:r w:rsidRPr="00A207CB">
        <w:rPr>
          <w:lang w:val="en-GB"/>
        </w:rPr>
        <w:t xml:space="preserve"> information. Secondly, it aims to curb </w:t>
      </w:r>
      <w:r w:rsidR="00BE38BA" w:rsidRPr="00A207CB">
        <w:rPr>
          <w:lang w:val="en-GB"/>
        </w:rPr>
        <w:t xml:space="preserve">green washing, </w:t>
      </w:r>
      <w:r w:rsidRPr="00A207CB">
        <w:rPr>
          <w:lang w:val="en-GB"/>
        </w:rPr>
        <w:t xml:space="preserve">misrepresenting products as more sustainable than they </w:t>
      </w:r>
      <w:r w:rsidR="00272A05" w:rsidRPr="00A207CB">
        <w:rPr>
          <w:lang w:val="en-GB"/>
        </w:rPr>
        <w:t>are</w:t>
      </w:r>
      <w:r w:rsidRPr="00A207CB">
        <w:rPr>
          <w:lang w:val="en-GB"/>
        </w:rPr>
        <w:t>—thereby ensuring that investors are not misled by false or exaggerated claims.</w:t>
      </w:r>
    </w:p>
    <w:p w14:paraId="111909DF" w14:textId="77777777" w:rsidR="00E260B9" w:rsidRDefault="00067955" w:rsidP="00E260B9">
      <w:pPr>
        <w:keepNext/>
        <w:spacing w:line="360" w:lineRule="auto"/>
      </w:pPr>
      <w:r w:rsidRPr="00D27100">
        <w:rPr>
          <w:rFonts w:ascii="Times New Roman" w:hAnsi="Times New Roman" w:cs="Times New Roman"/>
          <w:noProof/>
          <w:lang w:val="en-US"/>
        </w:rPr>
        <w:lastRenderedPageBreak/>
        <w:drawing>
          <wp:inline distT="0" distB="0" distL="0" distR="0" wp14:anchorId="2D2A33F6" wp14:editId="39E140D4">
            <wp:extent cx="5389089" cy="2849129"/>
            <wp:effectExtent l="0" t="0" r="2540" b="8890"/>
            <wp:docPr id="96176570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765708" name="Immagine 1"/>
                    <pic:cNvPicPr/>
                  </pic:nvPicPr>
                  <pic:blipFill>
                    <a:blip r:embed="rId30">
                      <a:extLst>
                        <a:ext uri="{28A0092B-C50C-407E-A947-70E740481C1C}">
                          <a14:useLocalDpi xmlns:a14="http://schemas.microsoft.com/office/drawing/2010/main" val="0"/>
                        </a:ext>
                      </a:extLst>
                    </a:blip>
                    <a:stretch>
                      <a:fillRect/>
                    </a:stretch>
                  </pic:blipFill>
                  <pic:spPr>
                    <a:xfrm>
                      <a:off x="0" y="0"/>
                      <a:ext cx="5389089" cy="2849129"/>
                    </a:xfrm>
                    <a:prstGeom prst="rect">
                      <a:avLst/>
                    </a:prstGeom>
                  </pic:spPr>
                </pic:pic>
              </a:graphicData>
            </a:graphic>
          </wp:inline>
        </w:drawing>
      </w:r>
    </w:p>
    <w:p w14:paraId="48196A32" w14:textId="1F5FA0BE" w:rsidR="00B65B29" w:rsidRDefault="00E260B9" w:rsidP="00660966">
      <w:pPr>
        <w:pStyle w:val="Didascalia"/>
        <w:jc w:val="both"/>
        <w:rPr>
          <w:rFonts w:ascii="Times New Roman" w:hAnsi="Times New Roman" w:cs="Times New Roman"/>
        </w:rPr>
      </w:pPr>
      <w:r>
        <w:t xml:space="preserve">Figure </w:t>
      </w:r>
      <w:r>
        <w:fldChar w:fldCharType="begin"/>
      </w:r>
      <w:r>
        <w:instrText xml:space="preserve"> SEQ Figure \* ARABIC </w:instrText>
      </w:r>
      <w:r>
        <w:fldChar w:fldCharType="separate"/>
      </w:r>
      <w:r w:rsidR="008F724A">
        <w:rPr>
          <w:noProof/>
        </w:rPr>
        <w:t>1</w:t>
      </w:r>
      <w:r>
        <w:fldChar w:fldCharType="end"/>
      </w:r>
      <w:r w:rsidR="00660966">
        <w:t xml:space="preserve">, </w:t>
      </w:r>
      <w:r w:rsidR="00660966" w:rsidRPr="005D3055">
        <w:rPr>
          <w:i/>
          <w:iCs w:val="0"/>
        </w:rPr>
        <w:t xml:space="preserve">who is affected by SFDR, </w:t>
      </w:r>
      <w:r w:rsidR="000F711A">
        <w:rPr>
          <w:i/>
          <w:iCs w:val="0"/>
        </w:rPr>
        <w:t xml:space="preserve">source: </w:t>
      </w:r>
      <w:r w:rsidR="00660966" w:rsidRPr="005D3055">
        <w:rPr>
          <w:i/>
          <w:iCs w:val="0"/>
        </w:rPr>
        <w:t>Greenomy</w:t>
      </w:r>
      <w:r w:rsidR="00660966">
        <w:t xml:space="preserve"> </w:t>
      </w:r>
      <w:r w:rsidR="00834A78">
        <w:rPr>
          <w:rFonts w:ascii="Times New Roman" w:hAnsi="Times New Roman" w:cs="Times New Roman"/>
        </w:rPr>
        <w:t>(</w:t>
      </w:r>
      <w:r w:rsidR="00067955">
        <w:rPr>
          <w:rStyle w:val="Rimandonotaapidipagina"/>
          <w:rFonts w:ascii="Times New Roman" w:hAnsi="Times New Roman" w:cs="Times New Roman"/>
        </w:rPr>
        <w:footnoteReference w:id="1"/>
      </w:r>
      <w:r w:rsidR="00834A78">
        <w:rPr>
          <w:rFonts w:ascii="Times New Roman" w:hAnsi="Times New Roman" w:cs="Times New Roman"/>
        </w:rPr>
        <w:t>)</w:t>
      </w:r>
    </w:p>
    <w:p w14:paraId="6F331CA4" w14:textId="77777777" w:rsidR="00660966" w:rsidRPr="00660966" w:rsidRDefault="00660966" w:rsidP="00660966">
      <w:pPr>
        <w:rPr>
          <w:lang w:val="en-US"/>
        </w:rPr>
      </w:pPr>
    </w:p>
    <w:p w14:paraId="6C6B30F6" w14:textId="10D81821" w:rsidR="00067955" w:rsidRPr="00A207CB" w:rsidRDefault="00067955" w:rsidP="00067955">
      <w:pPr>
        <w:spacing w:line="360" w:lineRule="auto"/>
        <w:rPr>
          <w:lang w:val="en-GB"/>
        </w:rPr>
      </w:pPr>
      <w:r w:rsidRPr="00A207CB">
        <w:rPr>
          <w:lang w:val="en-GB"/>
        </w:rPr>
        <w:t xml:space="preserve">The SFDR outlines specific obligations for FAs and FMPs to enhance transparency in sustainable investing. </w:t>
      </w:r>
      <w:r w:rsidR="00327713" w:rsidRPr="00A207CB">
        <w:rPr>
          <w:lang w:val="en-GB"/>
        </w:rPr>
        <w:t>Main</w:t>
      </w:r>
      <w:r w:rsidRPr="00A207CB">
        <w:rPr>
          <w:lang w:val="en-GB"/>
        </w:rPr>
        <w:t xml:space="preserve"> provisions and requirements</w:t>
      </w:r>
      <w:r w:rsidR="00327713" w:rsidRPr="00A207CB">
        <w:rPr>
          <w:lang w:val="en-GB"/>
        </w:rPr>
        <w:t xml:space="preserve"> are</w:t>
      </w:r>
      <w:r w:rsidRPr="00A207CB">
        <w:rPr>
          <w:lang w:val="en-GB"/>
        </w:rPr>
        <w:t>:</w:t>
      </w:r>
    </w:p>
    <w:p w14:paraId="6742495F" w14:textId="77777777" w:rsidR="00067955" w:rsidRPr="00A207CB" w:rsidRDefault="00067955">
      <w:pPr>
        <w:numPr>
          <w:ilvl w:val="0"/>
          <w:numId w:val="5"/>
        </w:numPr>
        <w:spacing w:before="0" w:after="160" w:line="360" w:lineRule="auto"/>
        <w:rPr>
          <w:lang w:val="en-GB"/>
        </w:rPr>
      </w:pPr>
      <w:r w:rsidRPr="00A207CB">
        <w:rPr>
          <w:lang w:val="en-GB"/>
        </w:rPr>
        <w:t>Dark Green Funds (Article 9): These funds have sustainable investment as their primary objective.</w:t>
      </w:r>
    </w:p>
    <w:p w14:paraId="7505B306" w14:textId="77777777" w:rsidR="00067955" w:rsidRPr="00A207CB" w:rsidRDefault="00067955">
      <w:pPr>
        <w:numPr>
          <w:ilvl w:val="0"/>
          <w:numId w:val="5"/>
        </w:numPr>
        <w:spacing w:before="0" w:after="160" w:line="360" w:lineRule="auto"/>
        <w:rPr>
          <w:lang w:val="en-GB"/>
        </w:rPr>
      </w:pPr>
      <w:r w:rsidRPr="00A207CB">
        <w:rPr>
          <w:lang w:val="en-GB"/>
        </w:rPr>
        <w:t>Light Green Funds (Article 8): These funds promote environmental and social characteristics but may not have sustainability as their central goal.</w:t>
      </w:r>
    </w:p>
    <w:p w14:paraId="76B1F47F" w14:textId="77777777" w:rsidR="00067955" w:rsidRPr="00A207CB" w:rsidRDefault="00067955">
      <w:pPr>
        <w:numPr>
          <w:ilvl w:val="0"/>
          <w:numId w:val="5"/>
        </w:numPr>
        <w:spacing w:before="0" w:after="160" w:line="360" w:lineRule="auto"/>
        <w:rPr>
          <w:lang w:val="en-GB"/>
        </w:rPr>
      </w:pPr>
      <w:r w:rsidRPr="00A207CB">
        <w:rPr>
          <w:lang w:val="en-GB"/>
        </w:rPr>
        <w:t>Grey Funds (Article 6): These funds neither prioritize nor promote environmental or social characteristics.</w:t>
      </w:r>
    </w:p>
    <w:p w14:paraId="4180AF04" w14:textId="77777777" w:rsidR="009364FB" w:rsidRPr="00A207CB" w:rsidRDefault="009364FB" w:rsidP="00067955">
      <w:pPr>
        <w:spacing w:line="360" w:lineRule="auto"/>
        <w:rPr>
          <w:lang w:val="en-GB"/>
        </w:rPr>
      </w:pPr>
    </w:p>
    <w:p w14:paraId="6F79EF35" w14:textId="77777777" w:rsidR="009364FB" w:rsidRPr="00A207CB" w:rsidRDefault="009364FB" w:rsidP="00067955">
      <w:pPr>
        <w:spacing w:line="360" w:lineRule="auto"/>
        <w:rPr>
          <w:lang w:val="en-GB"/>
        </w:rPr>
      </w:pPr>
    </w:p>
    <w:p w14:paraId="6865342C" w14:textId="77777777" w:rsidR="009364FB" w:rsidRDefault="009364FB" w:rsidP="00067955">
      <w:pPr>
        <w:spacing w:line="360" w:lineRule="auto"/>
        <w:rPr>
          <w:rFonts w:ascii="Times New Roman" w:hAnsi="Times New Roman" w:cs="Times New Roman"/>
          <w:b/>
          <w:bCs/>
          <w:sz w:val="32"/>
          <w:szCs w:val="32"/>
          <w:lang w:val="en-US"/>
        </w:rPr>
      </w:pPr>
    </w:p>
    <w:p w14:paraId="4A17D180" w14:textId="77777777" w:rsidR="009364FB" w:rsidRDefault="009364FB" w:rsidP="00067955">
      <w:pPr>
        <w:spacing w:line="360" w:lineRule="auto"/>
        <w:rPr>
          <w:rFonts w:ascii="Times New Roman" w:hAnsi="Times New Roman" w:cs="Times New Roman"/>
          <w:b/>
          <w:bCs/>
          <w:sz w:val="32"/>
          <w:szCs w:val="32"/>
          <w:lang w:val="en-US"/>
        </w:rPr>
      </w:pPr>
    </w:p>
    <w:p w14:paraId="23FDAE24" w14:textId="09F9AABD" w:rsidR="00067955" w:rsidRPr="00BF0E5E" w:rsidRDefault="00067955" w:rsidP="00067955">
      <w:pPr>
        <w:spacing w:line="360" w:lineRule="auto"/>
        <w:rPr>
          <w:b/>
          <w:bCs/>
          <w:lang w:val="en-GB"/>
        </w:rPr>
      </w:pPr>
      <w:r w:rsidRPr="00BF0E5E">
        <w:rPr>
          <w:b/>
          <w:bCs/>
          <w:lang w:val="en-GB"/>
        </w:rPr>
        <w:lastRenderedPageBreak/>
        <w:t>CSRD</w:t>
      </w:r>
    </w:p>
    <w:p w14:paraId="42EED013" w14:textId="7972D2EC" w:rsidR="00431735" w:rsidRPr="00A207CB" w:rsidRDefault="00431735" w:rsidP="00067955">
      <w:pPr>
        <w:spacing w:line="360" w:lineRule="auto"/>
        <w:rPr>
          <w:lang w:val="en-GB"/>
        </w:rPr>
      </w:pPr>
      <w:r w:rsidRPr="00A207CB">
        <w:rPr>
          <w:lang w:val="en-GB"/>
        </w:rPr>
        <w:t>CSRD</w:t>
      </w:r>
      <w:r w:rsidR="00BF0E5E">
        <w:rPr>
          <w:lang w:val="en-GB"/>
        </w:rPr>
        <w:t xml:space="preserve">, </w:t>
      </w:r>
      <w:r w:rsidR="00BF0E5E" w:rsidRPr="00BF0E5E">
        <w:rPr>
          <w:b/>
          <w:bCs/>
          <w:lang w:val="en-US"/>
        </w:rPr>
        <w:t>Corporate Sustainability Reporting Directive</w:t>
      </w:r>
      <w:r w:rsidR="00BF0E5E">
        <w:rPr>
          <w:b/>
          <w:bCs/>
          <w:lang w:val="en-US"/>
        </w:rPr>
        <w:t>,</w:t>
      </w:r>
      <w:r w:rsidRPr="00A207CB">
        <w:rPr>
          <w:lang w:val="en-GB"/>
        </w:rPr>
        <w:t xml:space="preserve"> is a policy requiring large companies and public-interest entities operating in the EU to disclose information on their ESG performance annually. The European Council approved the CSRD on November 28, and it was published in the Official Journal of the European Union (OJEU) on 16 dec 2022.</w:t>
      </w:r>
    </w:p>
    <w:p w14:paraId="15E8800F" w14:textId="6B904DAE" w:rsidR="00067955" w:rsidRPr="00A207CB" w:rsidRDefault="00067955" w:rsidP="00067955">
      <w:pPr>
        <w:spacing w:line="360" w:lineRule="auto"/>
        <w:rPr>
          <w:lang w:val="en-GB"/>
        </w:rPr>
      </w:pPr>
      <w:r w:rsidRPr="00A207CB">
        <w:rPr>
          <w:lang w:val="en-GB"/>
        </w:rPr>
        <w:t xml:space="preserve">CSRD has been designed to both reinforce and expand upon the existing regulations, aiming to bring more coherence and uniformity to the </w:t>
      </w:r>
      <w:r w:rsidR="00327713" w:rsidRPr="00A207CB">
        <w:rPr>
          <w:lang w:val="en-GB"/>
        </w:rPr>
        <w:t>way</w:t>
      </w:r>
      <w:r w:rsidRPr="00A207CB">
        <w:rPr>
          <w:lang w:val="en-GB"/>
        </w:rPr>
        <w:t xml:space="preserve"> companies disclose their ESG impacts.</w:t>
      </w:r>
      <w:r w:rsidR="000F711A">
        <w:rPr>
          <w:lang w:val="en-GB"/>
        </w:rPr>
        <w:t xml:space="preserve"> </w:t>
      </w:r>
      <w:r w:rsidRPr="00A207CB">
        <w:rPr>
          <w:lang w:val="en-GB"/>
        </w:rPr>
        <w:t xml:space="preserve">This extends not only to the activities of the companies themselves but also </w:t>
      </w:r>
      <w:r w:rsidR="00047DAB" w:rsidRPr="00A207CB">
        <w:rPr>
          <w:lang w:val="en-GB"/>
        </w:rPr>
        <w:t>implies</w:t>
      </w:r>
      <w:r w:rsidRPr="00A207CB">
        <w:rPr>
          <w:lang w:val="en-GB"/>
        </w:rPr>
        <w:t xml:space="preserve"> their entire value chains.</w:t>
      </w:r>
      <w:r w:rsidR="009364FB" w:rsidRPr="00A207CB">
        <w:rPr>
          <w:lang w:val="en-GB"/>
        </w:rPr>
        <w:t xml:space="preserve"> </w:t>
      </w:r>
      <w:r w:rsidRPr="00A207CB">
        <w:rPr>
          <w:lang w:val="en-GB"/>
        </w:rPr>
        <w:t>The main objectives of the CSRD</w:t>
      </w:r>
      <w:r w:rsidR="0020014D">
        <w:rPr>
          <w:lang w:val="en-GB"/>
        </w:rPr>
        <w:t xml:space="preserve"> </w:t>
      </w:r>
      <w:r w:rsidRPr="00A207CB">
        <w:rPr>
          <w:lang w:val="en-GB"/>
        </w:rPr>
        <w:t>are</w:t>
      </w:r>
      <w:r w:rsidR="000F711A">
        <w:rPr>
          <w:lang w:val="en-GB"/>
        </w:rPr>
        <w:t xml:space="preserve"> </w:t>
      </w:r>
      <w:r w:rsidR="00431735" w:rsidRPr="00A207CB">
        <w:rPr>
          <w:lang w:val="en-GB"/>
        </w:rPr>
        <w:footnoteReference w:id="2"/>
      </w:r>
      <w:r w:rsidRPr="00A207CB">
        <w:rPr>
          <w:lang w:val="en-GB"/>
        </w:rPr>
        <w:t>:</w:t>
      </w:r>
    </w:p>
    <w:p w14:paraId="138583DD" w14:textId="7BB69B13" w:rsidR="00067955" w:rsidRPr="00A207CB" w:rsidRDefault="008415C7">
      <w:pPr>
        <w:numPr>
          <w:ilvl w:val="0"/>
          <w:numId w:val="5"/>
        </w:numPr>
        <w:spacing w:before="0" w:after="160" w:line="360" w:lineRule="auto"/>
        <w:rPr>
          <w:lang w:val="en-GB"/>
        </w:rPr>
      </w:pPr>
      <w:r w:rsidRPr="00A207CB">
        <w:rPr>
          <w:b/>
          <w:bCs/>
          <w:lang w:val="en-GB"/>
        </w:rPr>
        <w:t>Standardization</w:t>
      </w:r>
      <w:r w:rsidR="00067955" w:rsidRPr="00A207CB">
        <w:rPr>
          <w:lang w:val="en-GB"/>
        </w:rPr>
        <w:t>: </w:t>
      </w:r>
      <w:r w:rsidRPr="00A207CB">
        <w:rPr>
          <w:lang w:val="en-GB"/>
        </w:rPr>
        <w:t>Standardizing</w:t>
      </w:r>
      <w:r w:rsidR="00067955" w:rsidRPr="00A207CB">
        <w:rPr>
          <w:lang w:val="en-GB"/>
        </w:rPr>
        <w:t xml:space="preserve"> ESG disclosures, thereby reducing inconsistency and information gaps to make it easier for stakeholders to evaluate and compare the sustainability performance of different companies.</w:t>
      </w:r>
    </w:p>
    <w:p w14:paraId="0420628C" w14:textId="0965690F" w:rsidR="00067955" w:rsidRPr="00A207CB" w:rsidRDefault="00067955">
      <w:pPr>
        <w:numPr>
          <w:ilvl w:val="0"/>
          <w:numId w:val="5"/>
        </w:numPr>
        <w:spacing w:before="0" w:after="160" w:line="360" w:lineRule="auto"/>
        <w:rPr>
          <w:lang w:val="en-GB"/>
        </w:rPr>
      </w:pPr>
      <w:r w:rsidRPr="00A207CB">
        <w:rPr>
          <w:b/>
          <w:bCs/>
          <w:lang w:val="en-GB"/>
        </w:rPr>
        <w:t>Transparency</w:t>
      </w:r>
      <w:r w:rsidRPr="00A207CB">
        <w:rPr>
          <w:lang w:val="en-GB"/>
        </w:rPr>
        <w:t>: By mandating comprehensive disclosures</w:t>
      </w:r>
      <w:r w:rsidR="00F76E3F" w:rsidRPr="00A207CB">
        <w:rPr>
          <w:lang w:val="en-GB"/>
        </w:rPr>
        <w:t xml:space="preserve"> </w:t>
      </w:r>
      <w:r w:rsidRPr="00A207CB">
        <w:rPr>
          <w:lang w:val="en-GB"/>
        </w:rPr>
        <w:t>CSRD aims to increase transparency around corporate ESG activities, enabling better-informed decision-making for investors, consumers, and other stakeholders.</w:t>
      </w:r>
    </w:p>
    <w:p w14:paraId="69713D3E" w14:textId="2401F1BB" w:rsidR="00067955" w:rsidRPr="00A207CB" w:rsidRDefault="00067955">
      <w:pPr>
        <w:numPr>
          <w:ilvl w:val="0"/>
          <w:numId w:val="5"/>
        </w:numPr>
        <w:spacing w:before="0" w:after="160" w:line="360" w:lineRule="auto"/>
        <w:rPr>
          <w:lang w:val="en-GB"/>
        </w:rPr>
      </w:pPr>
      <w:r w:rsidRPr="00A207CB">
        <w:rPr>
          <w:b/>
          <w:bCs/>
          <w:lang w:val="en-GB"/>
        </w:rPr>
        <w:t>Alignment with Other Regulations</w:t>
      </w:r>
      <w:r w:rsidRPr="00A207CB">
        <w:rPr>
          <w:lang w:val="en-GB"/>
        </w:rPr>
        <w:t>:</w:t>
      </w:r>
      <w:r w:rsidR="00F76E3F" w:rsidRPr="00A207CB">
        <w:rPr>
          <w:lang w:val="en-GB"/>
        </w:rPr>
        <w:t xml:space="preserve"> </w:t>
      </w:r>
      <w:r w:rsidRPr="00A207CB">
        <w:rPr>
          <w:lang w:val="en-GB"/>
        </w:rPr>
        <w:t>It aligns closely with other EU legislative initiatives, such as the EU Taxonomy and the SFDR, creating a more streamlined and efficient framework for ESG reporting.</w:t>
      </w:r>
    </w:p>
    <w:p w14:paraId="3847700E" w14:textId="77777777" w:rsidR="00067955" w:rsidRPr="00BF0E5E" w:rsidRDefault="00067955" w:rsidP="00067955">
      <w:pPr>
        <w:spacing w:line="360" w:lineRule="auto"/>
        <w:rPr>
          <w:lang w:val="en-GB"/>
        </w:rPr>
      </w:pPr>
      <w:r w:rsidRPr="00A207CB">
        <w:rPr>
          <w:lang w:val="en-GB"/>
        </w:rPr>
        <w:t xml:space="preserve">The CSRD and the SFDR are two complementary regulations that aim to improve transparency and accountability in ESG matters. The CSRD requires large companies to report on their sustainability performance against the EU Taxonomy, while the SFDR requires financial market participants to disclose how their products align with the EU Taxonomy. The CSRD is relevant for the SFDR because it provides part of the </w:t>
      </w:r>
      <w:r w:rsidRPr="00A207CB">
        <w:rPr>
          <w:lang w:val="en-GB"/>
        </w:rPr>
        <w:lastRenderedPageBreak/>
        <w:t>information to be disclosed for the SFDR report. In particular, the CSRD requires companies to disclose their greenhouse gas emissions, water usage, and waste production. This information can be used by financial market participants to assess the ESG risks and opportunities of a company's investments. CSRD and SFDR together form a synergistic framework to promote sustainable finance. By requiring</w:t>
      </w:r>
      <w:r w:rsidRPr="00BF0E5E">
        <w:rPr>
          <w:lang w:val="en-GB"/>
        </w:rPr>
        <w:t xml:space="preserve"> companies to disclose their ESG performance and financial market participants to disclose how their products align with ESG factors, these regulations help to ensure that investors have the information they need to make informed decisions. </w:t>
      </w:r>
    </w:p>
    <w:p w14:paraId="27A29E95" w14:textId="77777777" w:rsidR="00067955" w:rsidRPr="00BF0E5E" w:rsidRDefault="00067955" w:rsidP="00067955">
      <w:pPr>
        <w:spacing w:line="360" w:lineRule="auto"/>
        <w:rPr>
          <w:lang w:val="en-GB"/>
        </w:rPr>
      </w:pPr>
    </w:p>
    <w:p w14:paraId="24AA7746" w14:textId="77777777" w:rsidR="00067955" w:rsidRPr="00BF0E5E" w:rsidRDefault="00067955" w:rsidP="00067955">
      <w:pPr>
        <w:spacing w:line="360" w:lineRule="auto"/>
        <w:rPr>
          <w:b/>
          <w:bCs/>
          <w:lang w:val="en-GB"/>
        </w:rPr>
      </w:pPr>
      <w:r w:rsidRPr="00BF0E5E">
        <w:rPr>
          <w:b/>
          <w:bCs/>
          <w:lang w:val="en-GB"/>
        </w:rPr>
        <w:t>EU Taxonomy: Definition and Significance</w:t>
      </w:r>
    </w:p>
    <w:p w14:paraId="3AAE744C" w14:textId="77777777" w:rsidR="00067955" w:rsidRPr="00BF0E5E" w:rsidRDefault="00067955" w:rsidP="00067955">
      <w:pPr>
        <w:spacing w:line="360" w:lineRule="auto"/>
        <w:rPr>
          <w:lang w:val="en-GB"/>
        </w:rPr>
      </w:pPr>
      <w:r w:rsidRPr="00BF0E5E">
        <w:rPr>
          <w:lang w:val="en-GB"/>
        </w:rPr>
        <w:t>The EU Taxonomy acts as a pivotal classification system for demarcating environmentally sustainable economic activities. By setting robust assessment criteria, it standardizes the concept of sustainability across diverse sectors and industries, creating a universally understood language for what qualifies as sustainable.</w:t>
      </w:r>
    </w:p>
    <w:p w14:paraId="51B06678" w14:textId="28495956" w:rsidR="00067955" w:rsidRDefault="00067955" w:rsidP="00067955">
      <w:pPr>
        <w:spacing w:line="360" w:lineRule="auto"/>
        <w:rPr>
          <w:lang w:val="en-GB"/>
        </w:rPr>
      </w:pPr>
      <w:r w:rsidRPr="00BF0E5E">
        <w:rPr>
          <w:lang w:val="en-GB"/>
        </w:rPr>
        <w:t xml:space="preserve">This framework facilitates multiple objectives: it guides companies and financial institutions in making informed green investment decisions while providing insights into associated financial risks; enables comparative analyses based on quantifiable sustainability metrics; integrates Environmental, Social, and Governance (ESG) factors into broader business strategies; and helps </w:t>
      </w:r>
      <w:r w:rsidR="00B239E6" w:rsidRPr="00BF0E5E">
        <w:rPr>
          <w:lang w:val="en-GB"/>
        </w:rPr>
        <w:t>organizations</w:t>
      </w:r>
      <w:r w:rsidRPr="00BF0E5E">
        <w:rPr>
          <w:lang w:val="en-GB"/>
        </w:rPr>
        <w:t xml:space="preserve"> set, achieve, and communicate clear, measurable sustainability goals. In doing so, it not only fosters informed decision-making but also serves as a countermeasure against greenwashing, where companies falsely claim to be more eco-friendly than they are. Overall, the EU Taxonomy serves as a foundational framework for elevating environmental sustainability as a core consideration in economic activities.</w:t>
      </w:r>
    </w:p>
    <w:p w14:paraId="660C2B57" w14:textId="77777777" w:rsidR="00BF0E5E" w:rsidRDefault="00BF0E5E" w:rsidP="00067955">
      <w:pPr>
        <w:spacing w:line="360" w:lineRule="auto"/>
        <w:rPr>
          <w:lang w:val="en-GB"/>
        </w:rPr>
      </w:pPr>
    </w:p>
    <w:p w14:paraId="0060C918" w14:textId="77777777" w:rsidR="00BF0E5E" w:rsidRPr="00BF0E5E" w:rsidRDefault="00BF0E5E" w:rsidP="00067955">
      <w:pPr>
        <w:spacing w:line="360" w:lineRule="auto"/>
        <w:rPr>
          <w:lang w:val="en-GB"/>
        </w:rPr>
      </w:pPr>
    </w:p>
    <w:p w14:paraId="7757E1C8" w14:textId="77777777" w:rsidR="00067955" w:rsidRPr="00BF0E5E" w:rsidRDefault="00067955" w:rsidP="00067955">
      <w:pPr>
        <w:spacing w:line="360" w:lineRule="auto"/>
        <w:rPr>
          <w:b/>
          <w:bCs/>
          <w:lang w:val="en-GB"/>
        </w:rPr>
      </w:pPr>
      <w:r w:rsidRPr="00BF0E5E">
        <w:rPr>
          <w:b/>
          <w:bCs/>
          <w:lang w:val="en-GB"/>
        </w:rPr>
        <w:lastRenderedPageBreak/>
        <w:t>Relationship between SFDR, CSRD, and EU Taxonomy</w:t>
      </w:r>
    </w:p>
    <w:p w14:paraId="017DADD8" w14:textId="66291841" w:rsidR="00067955" w:rsidRPr="00BF0E5E" w:rsidRDefault="00067955" w:rsidP="00067955">
      <w:pPr>
        <w:spacing w:line="360" w:lineRule="auto"/>
        <w:rPr>
          <w:lang w:val="en-GB"/>
        </w:rPr>
      </w:pPr>
      <w:r w:rsidRPr="00BF0E5E">
        <w:rPr>
          <w:lang w:val="en-GB"/>
        </w:rPr>
        <w:t xml:space="preserve">The EU sustainable finance framework includes the EU Taxonomy, the Corporate Sustainability Reporting Directive (CSRD), and the Sustainable Finance Disclosure Regulation (SFDR). These three regulations are closely interrelated and work together to support </w:t>
      </w:r>
      <w:r w:rsidR="00A978AF" w:rsidRPr="00BF0E5E">
        <w:rPr>
          <w:lang w:val="en-GB"/>
        </w:rPr>
        <w:t>direct</w:t>
      </w:r>
      <w:r w:rsidRPr="00BF0E5E">
        <w:rPr>
          <w:lang w:val="en-GB"/>
        </w:rPr>
        <w:t xml:space="preserve"> investments toward Taxonomy aligned activities, by enabling investors to identify</w:t>
      </w:r>
      <w:r w:rsidR="00423AE6" w:rsidRPr="00BF0E5E">
        <w:rPr>
          <w:lang w:val="en-GB"/>
        </w:rPr>
        <w:t>:</w:t>
      </w:r>
    </w:p>
    <w:p w14:paraId="4D82F86E" w14:textId="35EB7822" w:rsidR="00067955" w:rsidRPr="00BF0E5E" w:rsidRDefault="00067955">
      <w:pPr>
        <w:numPr>
          <w:ilvl w:val="0"/>
          <w:numId w:val="6"/>
        </w:numPr>
        <w:spacing w:before="0" w:after="160" w:line="360" w:lineRule="auto"/>
        <w:rPr>
          <w:lang w:val="en-GB"/>
        </w:rPr>
      </w:pPr>
      <w:r w:rsidRPr="00BF0E5E">
        <w:rPr>
          <w:lang w:val="en-GB"/>
        </w:rPr>
        <w:t xml:space="preserve">The EU Taxonomy provides a classification system for sustainable economic activities that </w:t>
      </w:r>
      <w:r w:rsidR="00A978AF" w:rsidRPr="00BF0E5E">
        <w:rPr>
          <w:lang w:val="en-GB"/>
        </w:rPr>
        <w:t>are</w:t>
      </w:r>
      <w:r w:rsidRPr="00BF0E5E">
        <w:rPr>
          <w:lang w:val="en-GB"/>
        </w:rPr>
        <w:t xml:space="preserve"> applied within the CSRD and SFDR.</w:t>
      </w:r>
    </w:p>
    <w:p w14:paraId="3481804F" w14:textId="77777777" w:rsidR="00067955" w:rsidRPr="00BF0E5E" w:rsidRDefault="00067955">
      <w:pPr>
        <w:numPr>
          <w:ilvl w:val="0"/>
          <w:numId w:val="6"/>
        </w:numPr>
        <w:spacing w:before="0" w:after="160" w:line="360" w:lineRule="auto"/>
        <w:rPr>
          <w:lang w:val="en-GB"/>
        </w:rPr>
      </w:pPr>
      <w:r w:rsidRPr="00BF0E5E">
        <w:rPr>
          <w:lang w:val="en-GB"/>
        </w:rPr>
        <w:t>The CSRD is relevant for the SFDR, as it provides part of the information to be disclosed for the SFDR report.</w:t>
      </w:r>
    </w:p>
    <w:p w14:paraId="4F7FD12A" w14:textId="15FD772C" w:rsidR="00A978AF" w:rsidRPr="00BF0E5E" w:rsidRDefault="00067955">
      <w:pPr>
        <w:numPr>
          <w:ilvl w:val="0"/>
          <w:numId w:val="6"/>
        </w:numPr>
        <w:spacing w:before="0" w:after="160" w:line="360" w:lineRule="auto"/>
        <w:rPr>
          <w:lang w:val="en-GB"/>
        </w:rPr>
      </w:pPr>
      <w:r w:rsidRPr="00BF0E5E">
        <w:rPr>
          <w:lang w:val="en-GB"/>
        </w:rPr>
        <w:t xml:space="preserve">Companies affected by the SFDR, in turn, need the EU Taxonomy metrics from the CSRD report of their investment objects to </w:t>
      </w:r>
      <w:r w:rsidR="00394537" w:rsidRPr="00BF0E5E">
        <w:rPr>
          <w:lang w:val="en-GB"/>
        </w:rPr>
        <w:t>fulfil</w:t>
      </w:r>
      <w:r w:rsidRPr="00BF0E5E">
        <w:rPr>
          <w:lang w:val="en-GB"/>
        </w:rPr>
        <w:t xml:space="preserve"> their reporting obligations.     </w:t>
      </w:r>
    </w:p>
    <w:p w14:paraId="67242EAA" w14:textId="256C86E5" w:rsidR="00067955" w:rsidRPr="00BF0E5E" w:rsidRDefault="00067955" w:rsidP="00A978AF">
      <w:pPr>
        <w:spacing w:before="0" w:after="160" w:line="360" w:lineRule="auto"/>
        <w:ind w:left="360"/>
        <w:rPr>
          <w:lang w:val="en-GB"/>
        </w:rPr>
      </w:pPr>
      <w:r w:rsidRPr="00BF0E5E">
        <w:rPr>
          <w:lang w:val="en-GB"/>
        </w:rPr>
        <w:t xml:space="preserve">                    </w:t>
      </w:r>
    </w:p>
    <w:p w14:paraId="5F6FA141" w14:textId="0B9E0BAD" w:rsidR="00AE6362" w:rsidRDefault="00067955" w:rsidP="006F597C">
      <w:pPr>
        <w:spacing w:line="360" w:lineRule="auto"/>
        <w:rPr>
          <w:lang w:val="en-GB"/>
        </w:rPr>
      </w:pPr>
      <w:r w:rsidRPr="00BF0E5E">
        <w:rPr>
          <w:lang w:val="en-GB"/>
        </w:rPr>
        <w:t>Adherence to SFDR and CSRD aligns with EU Taxonomy requirements as the EU Taxonomy provides a classification system for sustainable economic activities that is applied within the CSRD and SFDR. The publication of the EU Taxonomy metrics is part of the reporting obligation of companies covered by the CSRD, and companies affected by the SFDR need the EU Taxonomy metrics from their CSRD report.</w:t>
      </w:r>
    </w:p>
    <w:p w14:paraId="2B2A48DE" w14:textId="77777777" w:rsidR="003D073C" w:rsidRDefault="003D073C" w:rsidP="006F597C">
      <w:pPr>
        <w:spacing w:line="360" w:lineRule="auto"/>
        <w:rPr>
          <w:lang w:val="en-GB"/>
        </w:rPr>
      </w:pPr>
    </w:p>
    <w:p w14:paraId="25224CEE" w14:textId="77777777" w:rsidR="003D073C" w:rsidRDefault="003D073C" w:rsidP="006F597C">
      <w:pPr>
        <w:spacing w:line="360" w:lineRule="auto"/>
        <w:rPr>
          <w:lang w:val="en-GB"/>
        </w:rPr>
      </w:pPr>
    </w:p>
    <w:p w14:paraId="1A157DEC" w14:textId="77777777" w:rsidR="003D073C" w:rsidRDefault="003D073C" w:rsidP="006F597C">
      <w:pPr>
        <w:spacing w:line="360" w:lineRule="auto"/>
        <w:rPr>
          <w:lang w:val="en-GB"/>
        </w:rPr>
      </w:pPr>
    </w:p>
    <w:p w14:paraId="3B2D8E76" w14:textId="77777777" w:rsidR="003D073C" w:rsidRPr="00BF0E5E" w:rsidRDefault="003D073C" w:rsidP="006F597C">
      <w:pPr>
        <w:spacing w:line="360" w:lineRule="auto"/>
        <w:rPr>
          <w:lang w:val="en-GB"/>
        </w:rPr>
      </w:pPr>
    </w:p>
    <w:p w14:paraId="684F8E60" w14:textId="40BF953F" w:rsidR="00AE164A" w:rsidRPr="001F44C9" w:rsidRDefault="00AE164A" w:rsidP="00AE164A">
      <w:pPr>
        <w:pStyle w:val="Titolo2"/>
        <w:numPr>
          <w:ilvl w:val="0"/>
          <w:numId w:val="0"/>
        </w:numPr>
        <w:ind w:left="851" w:hanging="851"/>
        <w:rPr>
          <w:lang w:val="en-US"/>
        </w:rPr>
      </w:pPr>
      <w:bookmarkStart w:id="11" w:name="_Toc207225633"/>
      <w:bookmarkStart w:id="12" w:name="_Toc207471584"/>
      <w:r w:rsidRPr="00D74832">
        <w:rPr>
          <w:lang w:val="en-US"/>
        </w:rPr>
        <w:lastRenderedPageBreak/>
        <w:t>1.</w:t>
      </w:r>
      <w:r w:rsidR="004871CA">
        <w:rPr>
          <w:lang w:val="en-US"/>
        </w:rPr>
        <w:t>2</w:t>
      </w:r>
      <w:r w:rsidRPr="00D74832">
        <w:rPr>
          <w:lang w:val="en-US"/>
        </w:rPr>
        <w:t xml:space="preserve"> Reference standards in reporting (GRI, SASB, ISSB, ESRS, TCFD</w:t>
      </w:r>
      <w:r w:rsidR="003D073C">
        <w:rPr>
          <w:lang w:val="en-US"/>
        </w:rPr>
        <w:t>, VSME</w:t>
      </w:r>
      <w:r w:rsidRPr="00D74832">
        <w:rPr>
          <w:lang w:val="en-US"/>
        </w:rPr>
        <w:t>)</w:t>
      </w:r>
      <w:bookmarkEnd w:id="11"/>
      <w:bookmarkEnd w:id="12"/>
    </w:p>
    <w:p w14:paraId="4F15FA93" w14:textId="45A4B952" w:rsidR="00AE164A" w:rsidRPr="00BF0E5E" w:rsidRDefault="00AE164A" w:rsidP="00AE164A">
      <w:pPr>
        <w:spacing w:line="360" w:lineRule="auto"/>
        <w:rPr>
          <w:lang w:val="en-GB"/>
        </w:rPr>
      </w:pPr>
      <w:r w:rsidRPr="00BF0E5E">
        <w:rPr>
          <w:lang w:val="en-GB"/>
        </w:rPr>
        <w:t>Once the relevant material issues of the field have been identified, identifying what is an important one for us as well as for internal and external stakeholders, one should proceed by going to choose the Framework to be used for reporting non-financial data. First</w:t>
      </w:r>
      <w:r w:rsidR="00AB0FB6" w:rsidRPr="00BF0E5E">
        <w:rPr>
          <w:lang w:val="en-GB"/>
        </w:rPr>
        <w:t xml:space="preserve">, it’s </w:t>
      </w:r>
      <w:r w:rsidRPr="00BF0E5E">
        <w:rPr>
          <w:lang w:val="en-GB"/>
        </w:rPr>
        <w:t xml:space="preserve">necessary to conform to a Standard that is globally recognized, in addition to having better recognition from readers, to also give more comparability to the data. </w:t>
      </w:r>
    </w:p>
    <w:p w14:paraId="67409F75" w14:textId="77777777" w:rsidR="00977849" w:rsidRPr="00BF0E5E" w:rsidRDefault="00AE164A" w:rsidP="00AE164A">
      <w:pPr>
        <w:spacing w:line="360" w:lineRule="auto"/>
        <w:rPr>
          <w:lang w:val="en-GB"/>
        </w:rPr>
      </w:pPr>
      <w:r w:rsidRPr="00BF0E5E">
        <w:rPr>
          <w:lang w:val="en-GB"/>
        </w:rPr>
        <w:t>One may also come across cases where the</w:t>
      </w:r>
      <w:r w:rsidR="00977849" w:rsidRPr="00BF0E5E">
        <w:rPr>
          <w:lang w:val="en-GB"/>
        </w:rPr>
        <w:t xml:space="preserve"> fr</w:t>
      </w:r>
      <w:r w:rsidRPr="00BF0E5E">
        <w:rPr>
          <w:lang w:val="en-GB"/>
        </w:rPr>
        <w:t xml:space="preserve">ameworks used are more than one, it depends on whose attention one wants to attract, with one's reporting. In fact, if you intend to operate in Europe, most likely, GRI or ESRS will be adopted. On the other hand, if you also wanted to operate in the American financial market, think of the New York Stock Exchange, it would be very interesting to also go and introduce SASB, as they are highly valued in the US.                    </w:t>
      </w:r>
    </w:p>
    <w:p w14:paraId="193AC35B" w14:textId="208346D2" w:rsidR="00AE164A" w:rsidRPr="00BF0E5E" w:rsidRDefault="00AE164A" w:rsidP="00AE164A">
      <w:pPr>
        <w:spacing w:line="360" w:lineRule="auto"/>
        <w:rPr>
          <w:lang w:val="en-GB"/>
        </w:rPr>
      </w:pPr>
      <w:r w:rsidRPr="00BF0E5E">
        <w:rPr>
          <w:lang w:val="en-GB"/>
        </w:rPr>
        <w:t>So, depending on the area in which a company is positioned, there will be certain themes to which will correspond a whole set of indicators that the organization will have to decide whether to report or not. Since they are also shared around the globe, these frameworks also make it possible to compare different companies with each other, observe their performance, even making possible distinctions between sectors. However, there is not to date, unfortunately, a set of principles that are required to be reported on, as is the case in financial sector with the standards IASB – IFRS. </w:t>
      </w:r>
    </w:p>
    <w:p w14:paraId="7E652763" w14:textId="55075C1A" w:rsidR="00AE164A" w:rsidRPr="00BF0E5E" w:rsidRDefault="00AE164A" w:rsidP="00AE164A">
      <w:pPr>
        <w:spacing w:line="360" w:lineRule="auto"/>
        <w:rPr>
          <w:lang w:val="en-GB"/>
        </w:rPr>
      </w:pPr>
      <w:r w:rsidRPr="00BF0E5E">
        <w:rPr>
          <w:b/>
          <w:bCs/>
          <w:lang w:val="en-GB"/>
        </w:rPr>
        <w:t>The Global Reporting Initiative (GRI)</w:t>
      </w:r>
      <w:r w:rsidRPr="00BF0E5E">
        <w:rPr>
          <w:lang w:val="en-GB"/>
        </w:rPr>
        <w:t xml:space="preserve"> is one of the most widely recognized and adopted standards for sustainability reporting. Founded in 1997, GRI provides a detailed and comprehensive framework for disclosing a company's environmental, social and economic impacts. It's divided into </w:t>
      </w:r>
      <w:r w:rsidR="00A769C4" w:rsidRPr="00BF0E5E">
        <w:rPr>
          <w:lang w:val="en-GB"/>
        </w:rPr>
        <w:t>3</w:t>
      </w:r>
      <w:r w:rsidRPr="00BF0E5E">
        <w:rPr>
          <w:lang w:val="en-GB"/>
        </w:rPr>
        <w:t xml:space="preserve"> macro categories of </w:t>
      </w:r>
      <w:r w:rsidR="00A769C4" w:rsidRPr="00BF0E5E">
        <w:rPr>
          <w:lang w:val="en-GB"/>
        </w:rPr>
        <w:t>standards</w:t>
      </w:r>
      <w:r w:rsidRPr="00BF0E5E">
        <w:rPr>
          <w:lang w:val="en-GB"/>
        </w:rPr>
        <w:t>, namely “</w:t>
      </w:r>
      <w:r w:rsidR="00A769C4" w:rsidRPr="00BF0E5E">
        <w:rPr>
          <w:lang w:val="en-GB"/>
        </w:rPr>
        <w:t>Universal Standards</w:t>
      </w:r>
      <w:r w:rsidRPr="00BF0E5E">
        <w:rPr>
          <w:lang w:val="en-GB"/>
        </w:rPr>
        <w:t>,” “</w:t>
      </w:r>
      <w:r w:rsidR="00A769C4" w:rsidRPr="00BF0E5E">
        <w:rPr>
          <w:lang w:val="en-GB"/>
        </w:rPr>
        <w:t>Sectors</w:t>
      </w:r>
      <w:r w:rsidRPr="00BF0E5E">
        <w:rPr>
          <w:lang w:val="en-GB"/>
        </w:rPr>
        <w:t>”</w:t>
      </w:r>
      <w:r w:rsidR="00A769C4" w:rsidRPr="00BF0E5E">
        <w:rPr>
          <w:lang w:val="en-GB"/>
        </w:rPr>
        <w:t xml:space="preserve"> specific for each sector, and</w:t>
      </w:r>
      <w:r w:rsidRPr="00BF0E5E">
        <w:rPr>
          <w:lang w:val="en-GB"/>
        </w:rPr>
        <w:t xml:space="preserve"> “</w:t>
      </w:r>
      <w:r w:rsidR="00C24CF9" w:rsidRPr="00BF0E5E">
        <w:rPr>
          <w:lang w:val="en-GB"/>
        </w:rPr>
        <w:t>topic standards</w:t>
      </w:r>
      <w:r w:rsidRPr="00BF0E5E">
        <w:rPr>
          <w:lang w:val="en-GB"/>
        </w:rPr>
        <w:t>”</w:t>
      </w:r>
      <w:r w:rsidR="00C24CF9" w:rsidRPr="00BF0E5E">
        <w:rPr>
          <w:lang w:val="en-GB"/>
        </w:rPr>
        <w:t>, for specific topic,</w:t>
      </w:r>
      <w:r w:rsidRPr="00BF0E5E">
        <w:rPr>
          <w:lang w:val="en-GB"/>
        </w:rPr>
        <w:t xml:space="preserve"> thus </w:t>
      </w:r>
      <w:r w:rsidR="00F95349" w:rsidRPr="00BF0E5E">
        <w:rPr>
          <w:lang w:val="en-GB"/>
        </w:rPr>
        <w:t>considering</w:t>
      </w:r>
      <w:r w:rsidRPr="00BF0E5E">
        <w:rPr>
          <w:lang w:val="en-GB"/>
        </w:rPr>
        <w:t xml:space="preserve"> the needs of different stakeholders, including investors, employees, authorities.... This standard thus allows for detailed disclosure of key metrics </w:t>
      </w:r>
      <w:r w:rsidRPr="00BF0E5E">
        <w:rPr>
          <w:lang w:val="en-GB"/>
        </w:rPr>
        <w:lastRenderedPageBreak/>
        <w:t>such as gas emissions, diversity and inclusion, and use of natural resources, although it has limitations such as complexity for companies that are approaching the world of sustainability for the first time.</w:t>
      </w:r>
    </w:p>
    <w:p w14:paraId="09A4FD0D" w14:textId="78D9C616" w:rsidR="00AE164A" w:rsidRPr="00BF0E5E" w:rsidRDefault="00AE164A" w:rsidP="00AE164A">
      <w:pPr>
        <w:spacing w:line="360" w:lineRule="auto"/>
        <w:rPr>
          <w:lang w:val="en-GB"/>
        </w:rPr>
      </w:pPr>
      <w:r w:rsidRPr="00BF0E5E">
        <w:rPr>
          <w:b/>
          <w:bCs/>
          <w:lang w:val="en-GB"/>
        </w:rPr>
        <w:t>The Sustainability Accounting Standards Board (SASB)</w:t>
      </w:r>
      <w:r w:rsidRPr="00BF0E5E">
        <w:rPr>
          <w:lang w:val="en-GB"/>
        </w:rPr>
        <w:t xml:space="preserve"> is a standard, on the other hand, developed to help companies communicate sustainability information relevant to investors and the financial market. Created in 2011, it has a set of metrics that prioritize sustainability issues having a direct impact on a company's economic performance. It is ideal for companies’ intent on attracting investors or obtaining incentives or funding from figures or institutional bodies, less suitable for communication to stakeholders other than investors.</w:t>
      </w:r>
    </w:p>
    <w:p w14:paraId="198C8769" w14:textId="606EA29F" w:rsidR="00AE164A" w:rsidRPr="00BF0E5E" w:rsidRDefault="00AE164A" w:rsidP="00AE164A">
      <w:pPr>
        <w:spacing w:line="360" w:lineRule="auto"/>
        <w:rPr>
          <w:lang w:val="en-GB"/>
        </w:rPr>
      </w:pPr>
      <w:r w:rsidRPr="00BF0E5E">
        <w:rPr>
          <w:b/>
          <w:bCs/>
          <w:lang w:val="en-GB"/>
        </w:rPr>
        <w:t>TCFD (Task Force on Climate-related Financial Disclosures)</w:t>
      </w:r>
      <w:r w:rsidRPr="00BF0E5E">
        <w:rPr>
          <w:lang w:val="en-GB"/>
        </w:rPr>
        <w:t xml:space="preserve"> was developed in 2015 by the financial stability board </w:t>
      </w:r>
      <w:r w:rsidR="00F95349" w:rsidRPr="00BF0E5E">
        <w:rPr>
          <w:lang w:val="en-GB"/>
        </w:rPr>
        <w:t>to</w:t>
      </w:r>
      <w:r w:rsidRPr="00BF0E5E">
        <w:rPr>
          <w:lang w:val="en-GB"/>
        </w:rPr>
        <w:t xml:space="preserve"> help companies identify, disclose, and mitigate risks and opportunities related to climate change, emphasizing how it affects companies' financial and operational strategy. Recommended therefore for companies that want to demonstrate transparency in climate risk management and financial planning.</w:t>
      </w:r>
    </w:p>
    <w:p w14:paraId="51979551" w14:textId="77777777" w:rsidR="00BF0E5E" w:rsidRDefault="00AE164A" w:rsidP="00AE164A">
      <w:pPr>
        <w:spacing w:line="360" w:lineRule="auto"/>
        <w:rPr>
          <w:lang w:val="en-GB"/>
        </w:rPr>
      </w:pPr>
      <w:r w:rsidRPr="00BF0E5E">
        <w:rPr>
          <w:b/>
          <w:bCs/>
          <w:lang w:val="en-GB"/>
        </w:rPr>
        <w:t>The European Sustainability Reporting Standards (ESRS)</w:t>
      </w:r>
      <w:r w:rsidRPr="00BF0E5E">
        <w:rPr>
          <w:lang w:val="en-GB"/>
        </w:rPr>
        <w:t xml:space="preserve"> are the new European standards for corporate sustainability reporting, adopted by the European Commission in July 2023. “These standards are an integral part of the European economy's journey toward sustainability, launched with the 2019 Green Deal and supported by various directives and pieces of legislation, including the CSRD Directive, the CSDD Due Diligence Directive, and the 2024/825/EU Greenwashing legislation.”</w:t>
      </w:r>
      <w:r w:rsidRPr="00BF0E5E">
        <w:rPr>
          <w:lang w:val="en-GB"/>
        </w:rPr>
        <w:footnoteReference w:id="3"/>
      </w:r>
      <w:r w:rsidRPr="00BF0E5E">
        <w:rPr>
          <w:lang w:val="en-GB"/>
        </w:rPr>
        <w:t xml:space="preserve"> With ESRS, companies can conduct a comprehensive assessment of the ESG impact of their supply chain, using the specific standards to monitor and improve their sustainability performance. One of the key principles of ESRS is dual materiality, which requires companies to assess both the impact of their activities on the environment and society (impact materiality) and the financial effects these impacts may have on the company itself </w:t>
      </w:r>
      <w:r w:rsidRPr="00BF0E5E">
        <w:rPr>
          <w:lang w:val="en-GB"/>
        </w:rPr>
        <w:lastRenderedPageBreak/>
        <w:t xml:space="preserve">(financial materiality). This approach ensures that companies consider not only environmental and social risks and opportunities, but also how these may affect their economic performance. </w:t>
      </w:r>
    </w:p>
    <w:p w14:paraId="5055BEFD" w14:textId="77777777" w:rsidR="00BF0E5E" w:rsidRDefault="00BF0E5E" w:rsidP="00AE164A">
      <w:pPr>
        <w:spacing w:line="360" w:lineRule="auto"/>
        <w:rPr>
          <w:lang w:val="en-GB"/>
        </w:rPr>
      </w:pPr>
    </w:p>
    <w:p w14:paraId="2BAB33D1" w14:textId="77777777" w:rsidR="00BF0E5E" w:rsidRDefault="00BF0E5E" w:rsidP="00AE164A">
      <w:pPr>
        <w:spacing w:line="360" w:lineRule="auto"/>
        <w:rPr>
          <w:lang w:val="en-GB"/>
        </w:rPr>
      </w:pPr>
    </w:p>
    <w:p w14:paraId="3F3376A6" w14:textId="048CE148" w:rsidR="00AE164A" w:rsidRPr="00BF0E5E" w:rsidRDefault="00AE164A" w:rsidP="00AE164A">
      <w:pPr>
        <w:spacing w:line="360" w:lineRule="auto"/>
        <w:rPr>
          <w:lang w:val="en-GB"/>
        </w:rPr>
      </w:pPr>
      <w:r w:rsidRPr="00BF0E5E">
        <w:rPr>
          <w:lang w:val="en-GB"/>
        </w:rPr>
        <w:t>Companies obligated to comply with ESRS standards are those that fall under the CSRD, those that meet at least two of the following criteria:</w:t>
      </w:r>
    </w:p>
    <w:p w14:paraId="345B9E4A" w14:textId="77777777" w:rsidR="00AE164A" w:rsidRPr="00BF0E5E" w:rsidRDefault="00AE164A" w:rsidP="00AE164A">
      <w:pPr>
        <w:spacing w:line="360" w:lineRule="auto"/>
        <w:rPr>
          <w:lang w:val="en-GB"/>
        </w:rPr>
      </w:pPr>
      <w:r w:rsidRPr="00BF0E5E">
        <w:rPr>
          <w:lang w:val="en-GB"/>
        </w:rPr>
        <w:t>- Balance sheets greater than 20 million euros.</w:t>
      </w:r>
    </w:p>
    <w:p w14:paraId="39D44A82" w14:textId="77777777" w:rsidR="00AE164A" w:rsidRPr="00BF0E5E" w:rsidRDefault="00AE164A" w:rsidP="00AE164A">
      <w:pPr>
        <w:spacing w:line="360" w:lineRule="auto"/>
        <w:rPr>
          <w:lang w:val="en-GB"/>
        </w:rPr>
      </w:pPr>
      <w:r w:rsidRPr="00BF0E5E">
        <w:rPr>
          <w:lang w:val="en-GB"/>
        </w:rPr>
        <w:t>- Turnover greater than 40 million euros.</w:t>
      </w:r>
    </w:p>
    <w:p w14:paraId="203B3DF6" w14:textId="77777777" w:rsidR="00AE164A" w:rsidRPr="00BF0E5E" w:rsidRDefault="00AE164A" w:rsidP="00AE164A">
      <w:pPr>
        <w:spacing w:line="360" w:lineRule="auto"/>
        <w:rPr>
          <w:lang w:val="en-GB"/>
        </w:rPr>
      </w:pPr>
      <w:r w:rsidRPr="00BF0E5E">
        <w:rPr>
          <w:lang w:val="en-GB"/>
        </w:rPr>
        <w:t>- More than 250 employees.</w:t>
      </w:r>
    </w:p>
    <w:p w14:paraId="67F76429" w14:textId="4B099C5D" w:rsidR="00AE164A" w:rsidRPr="00BF0E5E" w:rsidRDefault="00AE164A" w:rsidP="00AE164A">
      <w:pPr>
        <w:spacing w:line="360" w:lineRule="auto"/>
        <w:rPr>
          <w:lang w:val="en-GB"/>
        </w:rPr>
      </w:pPr>
      <w:r w:rsidRPr="00BF0E5E">
        <w:rPr>
          <w:lang w:val="en-GB"/>
        </w:rPr>
        <w:t>The deadline for the adoption of sectoral sustainability reporting standards has been postponed by the EU to June 30, 2026.</w:t>
      </w:r>
      <w:r w:rsidR="00941494" w:rsidRPr="00BF0E5E">
        <w:rPr>
          <w:lang w:val="en-GB"/>
        </w:rPr>
        <w:t xml:space="preserve"> </w:t>
      </w:r>
      <w:r w:rsidRPr="00BF0E5E">
        <w:rPr>
          <w:lang w:val="en-GB"/>
        </w:rPr>
        <w:t>That said, it is understood that the choice of a reporting framework, in addition to being discretionary, can be quite important in the collection phase. There is, of course, the possibility of not responding to certain requests that, for justifiable reasons, we are unable to respond to, however, the organization already has, in broad stroke, an idea of what it will need to go out and collect.</w:t>
      </w:r>
    </w:p>
    <w:p w14:paraId="4AC0739A" w14:textId="2D1C4C43" w:rsidR="00941494" w:rsidRPr="00011DEC" w:rsidRDefault="00941494" w:rsidP="00941494">
      <w:pPr>
        <w:pStyle w:val="Titolo2"/>
        <w:numPr>
          <w:ilvl w:val="0"/>
          <w:numId w:val="0"/>
        </w:numPr>
        <w:ind w:left="851" w:hanging="851"/>
        <w:rPr>
          <w:lang w:val="en-US"/>
        </w:rPr>
      </w:pPr>
      <w:bookmarkStart w:id="13" w:name="_Toc207225634"/>
      <w:bookmarkStart w:id="14" w:name="_Toc207471585"/>
      <w:r w:rsidRPr="001F44C9">
        <w:rPr>
          <w:lang w:val="en-US"/>
        </w:rPr>
        <w:t>1.</w:t>
      </w:r>
      <w:r w:rsidR="004871CA">
        <w:rPr>
          <w:lang w:val="en-US"/>
        </w:rPr>
        <w:t>3</w:t>
      </w:r>
      <w:r w:rsidRPr="001F44C9">
        <w:rPr>
          <w:lang w:val="en-US"/>
        </w:rPr>
        <w:t xml:space="preserve"> The principle of d</w:t>
      </w:r>
      <w:r w:rsidR="00ED45AF">
        <w:rPr>
          <w:lang w:val="en-US"/>
        </w:rPr>
        <w:t>oub</w:t>
      </w:r>
      <w:r w:rsidRPr="001F44C9">
        <w:rPr>
          <w:lang w:val="en-US"/>
        </w:rPr>
        <w:t>l</w:t>
      </w:r>
      <w:r w:rsidR="00ED45AF">
        <w:rPr>
          <w:lang w:val="en-US"/>
        </w:rPr>
        <w:t>e</w:t>
      </w:r>
      <w:r w:rsidRPr="001F44C9">
        <w:rPr>
          <w:lang w:val="en-US"/>
        </w:rPr>
        <w:t xml:space="preserve"> materiality</w:t>
      </w:r>
      <w:bookmarkEnd w:id="13"/>
      <w:bookmarkEnd w:id="14"/>
    </w:p>
    <w:p w14:paraId="541FB04A" w14:textId="77777777" w:rsidR="00941494" w:rsidRPr="00BF0E5E" w:rsidRDefault="00941494" w:rsidP="00941494">
      <w:pPr>
        <w:spacing w:line="360" w:lineRule="auto"/>
        <w:rPr>
          <w:lang w:val="en-GB"/>
        </w:rPr>
      </w:pPr>
      <w:r w:rsidRPr="00BF0E5E">
        <w:rPr>
          <w:lang w:val="en-GB"/>
        </w:rPr>
        <w:t>The principle of double materiality is a fundamental concept in sustainability reporting, introduced by European Directive 2022/2464 (CSRD). This concept, introduced by the European Union in 2019 with the “Guidelines on non-financial reporting,” requires companies to report both on the impact of the company's activities on people and the environment, and on how sustainability issues affect the company.</w:t>
      </w:r>
      <w:r w:rsidRPr="00BF0E5E">
        <w:rPr>
          <w:lang w:val="en-GB"/>
        </w:rPr>
        <w:footnoteReference w:id="4"/>
      </w:r>
    </w:p>
    <w:p w14:paraId="5EBADC73" w14:textId="77777777" w:rsidR="00941494" w:rsidRPr="00BF0E5E" w:rsidRDefault="00941494" w:rsidP="00941494">
      <w:pPr>
        <w:spacing w:line="360" w:lineRule="auto"/>
        <w:rPr>
          <w:lang w:val="en-GB"/>
        </w:rPr>
      </w:pPr>
      <w:r w:rsidRPr="00BF0E5E">
        <w:rPr>
          <w:lang w:val="en-GB"/>
        </w:rPr>
        <w:lastRenderedPageBreak/>
        <w:t>This principle requires companies to analyze and report on two distinct but interconnected aspects:</w:t>
      </w:r>
    </w:p>
    <w:p w14:paraId="0938D472" w14:textId="77777777" w:rsidR="00B93DEF" w:rsidRDefault="00941494" w:rsidP="00941494">
      <w:pPr>
        <w:spacing w:line="360" w:lineRule="auto"/>
        <w:rPr>
          <w:lang w:val="en-US"/>
        </w:rPr>
      </w:pPr>
      <w:r w:rsidRPr="00BF0E5E">
        <w:rPr>
          <w:b/>
          <w:bCs/>
          <w:lang w:val="en-GB"/>
        </w:rPr>
        <w:t>Inside</w:t>
      </w:r>
      <w:r w:rsidR="00AB20D0" w:rsidRPr="00BF0E5E">
        <w:rPr>
          <w:b/>
          <w:bCs/>
          <w:lang w:val="en-GB"/>
        </w:rPr>
        <w:t>-</w:t>
      </w:r>
      <w:r w:rsidRPr="00BF0E5E">
        <w:rPr>
          <w:b/>
          <w:bCs/>
          <w:lang w:val="en-GB"/>
        </w:rPr>
        <w:t>out</w:t>
      </w:r>
      <w:r w:rsidRPr="00BF0E5E">
        <w:rPr>
          <w:lang w:val="en-GB"/>
        </w:rPr>
        <w:t xml:space="preserve">: </w:t>
      </w:r>
      <w:r w:rsidR="00B93DEF" w:rsidRPr="00B93DEF">
        <w:rPr>
          <w:lang w:val="en-US"/>
        </w:rPr>
        <w:t>Also defined as "materiality of impact", this analysis offers an assessment of the external impacts of the organization on the economy, the environment, or people. Companies that have chosen the reporting standards proposed by the Global Reporting Initiative (the most widely used globally), based on the materiality of impact as the driving force of corporate sustainability reporting, are already familiar with this analysis, accustomed to analyzing impacts such as CO2 emissions, the exploitation of natural resources, or working conditions at all stages of production.</w:t>
      </w:r>
    </w:p>
    <w:p w14:paraId="2CF66039" w14:textId="39A9A818" w:rsidR="00D50E24" w:rsidRPr="00D50E24" w:rsidRDefault="00941494" w:rsidP="00941494">
      <w:pPr>
        <w:spacing w:line="360" w:lineRule="auto"/>
        <w:rPr>
          <w:lang w:val="en-US"/>
        </w:rPr>
      </w:pPr>
      <w:r w:rsidRPr="00BF0E5E">
        <w:rPr>
          <w:b/>
          <w:bCs/>
          <w:lang w:val="en-GB"/>
        </w:rPr>
        <w:t>Outside-in</w:t>
      </w:r>
      <w:r w:rsidRPr="00BF0E5E">
        <w:rPr>
          <w:lang w:val="en-GB"/>
        </w:rPr>
        <w:t xml:space="preserve">: </w:t>
      </w:r>
      <w:r w:rsidR="00AE3079" w:rsidRPr="00AE3079">
        <w:rPr>
          <w:lang w:val="en-US"/>
        </w:rPr>
        <w:t xml:space="preserve">Through this perspective, companies evaluate at the same time the concept of materiality of impact with that of "financial materiality" as established by the EU, as defined by EFRAG (European Financial Reporting Advisory Group), the body responsible for setting the mandatory reporting parameters for companies subject to the CSRD. Thus, companies, through this </w:t>
      </w:r>
      <w:r w:rsidR="008922F9" w:rsidRPr="00AE3079">
        <w:rPr>
          <w:lang w:val="en-US"/>
        </w:rPr>
        <w:t>perspective,</w:t>
      </w:r>
      <w:r w:rsidR="00AE3079" w:rsidRPr="00AE3079">
        <w:rPr>
          <w:lang w:val="en-US"/>
        </w:rPr>
        <w:t xml:space="preserve"> which is opposite to the previous one, ask themselves: "How do environmental and social factors influence our business and economic performance?" </w:t>
      </w:r>
      <w:r w:rsidR="00AE3079" w:rsidRPr="00D50E24">
        <w:rPr>
          <w:lang w:val="en-US"/>
        </w:rPr>
        <w:t xml:space="preserve">In practice, companies are asking how environmental factors can affect the company's development and influence its economic value, financial position, cash flow, and thus economic results. Examples could include financial risks related to climate change or disruptions in the supply chain due to extreme weather events and regulatory changes that </w:t>
      </w:r>
      <w:r w:rsidR="00D50E24" w:rsidRPr="00D50E24">
        <w:rPr>
          <w:lang w:val="en-US"/>
        </w:rPr>
        <w:t>impact on</w:t>
      </w:r>
      <w:r w:rsidR="00AE3079" w:rsidRPr="00D50E24">
        <w:rPr>
          <w:lang w:val="en-US"/>
        </w:rPr>
        <w:t xml:space="preserve"> costs.</w:t>
      </w:r>
    </w:p>
    <w:p w14:paraId="57E14BA8" w14:textId="339D19DF" w:rsidR="00941494" w:rsidRDefault="00941494" w:rsidP="00941494">
      <w:pPr>
        <w:spacing w:line="360" w:lineRule="auto"/>
        <w:rPr>
          <w:lang w:val="en-GB"/>
        </w:rPr>
      </w:pPr>
      <w:r w:rsidRPr="00BF0E5E">
        <w:rPr>
          <w:lang w:val="en-GB"/>
        </w:rPr>
        <w:t xml:space="preserve">Companies must therefore report on issues that are material from </w:t>
      </w:r>
      <w:r w:rsidR="008E6319" w:rsidRPr="00BF0E5E">
        <w:rPr>
          <w:lang w:val="en-GB"/>
        </w:rPr>
        <w:t>either or</w:t>
      </w:r>
      <w:r w:rsidRPr="00BF0E5E">
        <w:rPr>
          <w:lang w:val="en-GB"/>
        </w:rPr>
        <w:t xml:space="preserve"> both</w:t>
      </w:r>
      <w:r w:rsidR="00F05419" w:rsidRPr="00BF0E5E">
        <w:rPr>
          <w:lang w:val="en-GB"/>
        </w:rPr>
        <w:t xml:space="preserve"> perspectives</w:t>
      </w:r>
      <w:r w:rsidRPr="00BF0E5E">
        <w:rPr>
          <w:lang w:val="en-GB"/>
        </w:rPr>
        <w:t>. Once the material sustainability issues for the organization have been identified, companies subject to the Corporate Sustainability Reporting Directive must report in their sustainability reports how these issues are managed, through policies and actions, and assessed, through metrics and targets.</w:t>
      </w:r>
    </w:p>
    <w:p w14:paraId="7728AC8F" w14:textId="48444414" w:rsidR="00C940C3" w:rsidRDefault="00C940C3" w:rsidP="00941494">
      <w:pPr>
        <w:spacing w:line="360" w:lineRule="auto"/>
        <w:rPr>
          <w:noProof/>
          <w:lang w:val="en-GB"/>
        </w:rPr>
      </w:pPr>
    </w:p>
    <w:p w14:paraId="2A5A5088" w14:textId="77777777" w:rsidR="0002595B" w:rsidRPr="00BF0E5E" w:rsidRDefault="0002595B" w:rsidP="00941494">
      <w:pPr>
        <w:spacing w:line="360" w:lineRule="auto"/>
        <w:rPr>
          <w:lang w:val="en-GB"/>
        </w:rPr>
      </w:pPr>
    </w:p>
    <w:p w14:paraId="655EF69B" w14:textId="77777777" w:rsidR="00941494" w:rsidRPr="00BF0E5E" w:rsidRDefault="00941494" w:rsidP="00941494">
      <w:pPr>
        <w:spacing w:line="360" w:lineRule="auto"/>
        <w:rPr>
          <w:b/>
          <w:bCs/>
          <w:lang w:val="en-GB"/>
        </w:rPr>
      </w:pPr>
      <w:r w:rsidRPr="00BF0E5E">
        <w:rPr>
          <w:b/>
          <w:bCs/>
          <w:lang w:val="en-GB"/>
        </w:rPr>
        <w:lastRenderedPageBreak/>
        <w:t>How it is calculated and who assesses materiality</w:t>
      </w:r>
    </w:p>
    <w:p w14:paraId="07278196" w14:textId="0F3B7DEB" w:rsidR="00941494" w:rsidRPr="00BF0E5E" w:rsidRDefault="004506F9" w:rsidP="00941494">
      <w:pPr>
        <w:spacing w:line="360" w:lineRule="auto"/>
        <w:rPr>
          <w:lang w:val="en-GB"/>
        </w:rPr>
      </w:pPr>
      <w:r w:rsidRPr="004506F9">
        <w:rPr>
          <w:lang w:val="en-US"/>
        </w:rPr>
        <w:t xml:space="preserve">Stakeholders play a decisive role in determining the materiality of the impacts of an ESG issue, whether it concerns the environment, communities, or governance aspects. The ESRS divides them into two types: those who </w:t>
      </w:r>
      <w:r w:rsidR="008F3B5C" w:rsidRPr="004506F9">
        <w:rPr>
          <w:lang w:val="en-US"/>
        </w:rPr>
        <w:t>are or</w:t>
      </w:r>
      <w:r w:rsidRPr="004506F9">
        <w:rPr>
          <w:lang w:val="en-US"/>
        </w:rPr>
        <w:t xml:space="preserve"> could be directly or indirectly affected by the company's activities, and the users of the sustainability statement, who can be identified as investors, banks, or simply members of civil society interested in the sustainability performance of the company in question</w:t>
      </w:r>
      <w:r w:rsidR="00941494" w:rsidRPr="00BF0E5E">
        <w:rPr>
          <w:lang w:val="en-GB"/>
        </w:rPr>
        <w:t>.</w:t>
      </w:r>
    </w:p>
    <w:p w14:paraId="11A312D7" w14:textId="2481BE47" w:rsidR="00941494" w:rsidRPr="00856EE6" w:rsidRDefault="00941494" w:rsidP="00941494">
      <w:pPr>
        <w:spacing w:line="360" w:lineRule="auto"/>
        <w:rPr>
          <w:lang w:val="en-GB"/>
        </w:rPr>
      </w:pPr>
      <w:r w:rsidRPr="00856EE6">
        <w:rPr>
          <w:lang w:val="en-GB"/>
        </w:rPr>
        <w:t xml:space="preserve">The materiality is assessed based on its severity, </w:t>
      </w:r>
      <w:r w:rsidR="00656E5E" w:rsidRPr="00856EE6">
        <w:rPr>
          <w:lang w:val="en-GB"/>
        </w:rPr>
        <w:t>considering</w:t>
      </w:r>
      <w:r w:rsidRPr="00856EE6">
        <w:rPr>
          <w:lang w:val="en-GB"/>
        </w:rPr>
        <w:t>:</w:t>
      </w:r>
    </w:p>
    <w:p w14:paraId="38167030" w14:textId="22CAF9B3" w:rsidR="00941494" w:rsidRPr="00856EE6" w:rsidRDefault="00941494">
      <w:pPr>
        <w:pStyle w:val="Paragrafoelenco"/>
        <w:numPr>
          <w:ilvl w:val="0"/>
          <w:numId w:val="7"/>
        </w:numPr>
        <w:spacing w:before="0" w:after="160" w:line="360" w:lineRule="auto"/>
        <w:rPr>
          <w:lang w:val="en-GB"/>
        </w:rPr>
      </w:pPr>
      <w:r w:rsidRPr="00856EE6">
        <w:rPr>
          <w:lang w:val="en-GB"/>
        </w:rPr>
        <w:t>The impact</w:t>
      </w:r>
      <w:r w:rsidR="008E60AC">
        <w:rPr>
          <w:lang w:val="en-GB"/>
        </w:rPr>
        <w:t>’s extent</w:t>
      </w:r>
      <w:r w:rsidRPr="00856EE6">
        <w:rPr>
          <w:lang w:val="en-GB"/>
        </w:rPr>
        <w:t>, which defines its severity,</w:t>
      </w:r>
    </w:p>
    <w:p w14:paraId="4FDAB01D" w14:textId="77777777" w:rsidR="00941494" w:rsidRPr="00856EE6" w:rsidRDefault="00941494">
      <w:pPr>
        <w:pStyle w:val="Paragrafoelenco"/>
        <w:numPr>
          <w:ilvl w:val="0"/>
          <w:numId w:val="7"/>
        </w:numPr>
        <w:spacing w:before="0" w:after="160" w:line="360" w:lineRule="auto"/>
        <w:rPr>
          <w:lang w:val="en-GB"/>
        </w:rPr>
      </w:pPr>
      <w:r w:rsidRPr="00856EE6">
        <w:rPr>
          <w:lang w:val="en-GB"/>
        </w:rPr>
        <w:t>The scope, which measures its spread,</w:t>
      </w:r>
    </w:p>
    <w:p w14:paraId="13A317BD" w14:textId="77777777" w:rsidR="00941494" w:rsidRPr="00856EE6" w:rsidRDefault="00941494">
      <w:pPr>
        <w:pStyle w:val="Paragrafoelenco"/>
        <w:numPr>
          <w:ilvl w:val="0"/>
          <w:numId w:val="7"/>
        </w:numPr>
        <w:spacing w:before="0" w:after="160" w:line="360" w:lineRule="auto"/>
        <w:rPr>
          <w:lang w:val="en-GB"/>
        </w:rPr>
      </w:pPr>
      <w:r w:rsidRPr="00856EE6">
        <w:rPr>
          <w:lang w:val="en-GB"/>
        </w:rPr>
        <w:t>The irremediable nature of the impact, which assesses the limits in restoring the situation to what it was before the impact occurred.</w:t>
      </w:r>
    </w:p>
    <w:p w14:paraId="2C581741" w14:textId="3C359EAB" w:rsidR="00A65B9E" w:rsidRPr="00A65B9E" w:rsidRDefault="00A65B9E" w:rsidP="00941494">
      <w:pPr>
        <w:spacing w:line="360" w:lineRule="auto"/>
        <w:rPr>
          <w:lang w:val="en-US"/>
        </w:rPr>
      </w:pPr>
      <w:r w:rsidRPr="00A65B9E">
        <w:rPr>
          <w:lang w:val="en-US"/>
        </w:rPr>
        <w:t xml:space="preserve">These factors are clearly </w:t>
      </w:r>
      <w:r w:rsidR="008F3B5C" w:rsidRPr="00A65B9E">
        <w:rPr>
          <w:lang w:val="en-US"/>
        </w:rPr>
        <w:t>interconnected,</w:t>
      </w:r>
      <w:r w:rsidRPr="00A65B9E">
        <w:rPr>
          <w:lang w:val="en-US"/>
        </w:rPr>
        <w:t xml:space="preserve"> in fact, the greater the scale and scope, the more irreparable the nature of the impact. Another factor to consider for potential impacts, the occurrence of which is uncertain, is probability. The ESRS specifies that, in the presence of a potential negative impact on human rights, its severity will be considered more relevant than its probability. In summary, a company can be assessed by an </w:t>
      </w:r>
      <w:r w:rsidR="00D53150" w:rsidRPr="00A65B9E">
        <w:rPr>
          <w:lang w:val="en-US"/>
        </w:rPr>
        <w:t>investor</w:t>
      </w:r>
      <w:r w:rsidRPr="00A65B9E">
        <w:rPr>
          <w:lang w:val="en-US"/>
        </w:rPr>
        <w:t xml:space="preserve"> based on the volume of emissions it can include in its portfolio, an information that I think is very important for evaluating the quality of an investment or a loan from financial institutions. Therefore, double materiality has a direct impact on companies both on the cost they must bear to access capital and on their actual ability to attract capital.</w:t>
      </w:r>
    </w:p>
    <w:p w14:paraId="23E031AF" w14:textId="32A5A06D" w:rsidR="006955A8" w:rsidRDefault="006645AB" w:rsidP="00941494">
      <w:pPr>
        <w:spacing w:line="360" w:lineRule="auto"/>
        <w:rPr>
          <w:lang w:val="en-US"/>
        </w:rPr>
      </w:pPr>
      <w:r w:rsidRPr="006645AB">
        <w:rPr>
          <w:lang w:val="en-US"/>
        </w:rPr>
        <w:t>Data from the S&amp;P Global Corporate Sustainability Assessment shows that about two-thirds of companies publicly disclose their process for determining materiality</w:t>
      </w:r>
      <w:r w:rsidR="00FB046D">
        <w:rPr>
          <w:lang w:val="en-US"/>
        </w:rPr>
        <w:t xml:space="preserve"> and </w:t>
      </w:r>
      <w:r w:rsidR="005F0F10">
        <w:rPr>
          <w:lang w:val="en-US"/>
        </w:rPr>
        <w:t>48</w:t>
      </w:r>
      <w:r w:rsidR="00FB046D" w:rsidRPr="00FB046D">
        <w:rPr>
          <w:lang w:val="en-US"/>
        </w:rPr>
        <w:t>%</w:t>
      </w:r>
      <w:r w:rsidR="00FB046D">
        <w:rPr>
          <w:lang w:val="en-US"/>
        </w:rPr>
        <w:t xml:space="preserve"> </w:t>
      </w:r>
      <w:r w:rsidR="00FB046D" w:rsidRPr="00FB046D">
        <w:rPr>
          <w:lang w:val="en-US"/>
        </w:rPr>
        <w:t xml:space="preserve">of </w:t>
      </w:r>
      <w:r w:rsidR="005F0F10" w:rsidRPr="00FB046D">
        <w:rPr>
          <w:lang w:val="en-US"/>
        </w:rPr>
        <w:t xml:space="preserve">companies globally </w:t>
      </w:r>
      <w:r w:rsidR="00FB046D" w:rsidRPr="00FB046D">
        <w:rPr>
          <w:lang w:val="en-US"/>
        </w:rPr>
        <w:t xml:space="preserve">assessed </w:t>
      </w:r>
      <w:r w:rsidR="00620D5F">
        <w:rPr>
          <w:lang w:val="en-US"/>
        </w:rPr>
        <w:t xml:space="preserve">say </w:t>
      </w:r>
      <w:r w:rsidR="00FB046D" w:rsidRPr="00FB046D">
        <w:rPr>
          <w:lang w:val="en-US"/>
        </w:rPr>
        <w:t xml:space="preserve">their approach is based on </w:t>
      </w:r>
      <w:r w:rsidR="005F0F10">
        <w:rPr>
          <w:lang w:val="en-US"/>
        </w:rPr>
        <w:t>that</w:t>
      </w:r>
      <w:r w:rsidR="00FB046D" w:rsidRPr="00FB046D">
        <w:rPr>
          <w:lang w:val="en-US"/>
        </w:rPr>
        <w:t>.</w:t>
      </w:r>
      <w:r w:rsidR="006304B6">
        <w:rPr>
          <w:rStyle w:val="Rimandonotaapidipagina"/>
          <w:lang w:val="en-US"/>
        </w:rPr>
        <w:footnoteReference w:id="5"/>
      </w:r>
    </w:p>
    <w:p w14:paraId="2CC0E705" w14:textId="361C7699" w:rsidR="008F3B5C" w:rsidRPr="0002595B" w:rsidRDefault="007A6B10" w:rsidP="00941494">
      <w:pPr>
        <w:spacing w:line="360" w:lineRule="auto"/>
        <w:rPr>
          <w:lang w:val="en-US"/>
        </w:rPr>
      </w:pPr>
      <w:r w:rsidRPr="007A6B10">
        <w:rPr>
          <w:lang w:val="en-US"/>
        </w:rPr>
        <w:lastRenderedPageBreak/>
        <w:t xml:space="preserve">The relevance of the principle of double materiality highlights the significant changes that companies are facing and will need to face </w:t>
      </w:r>
      <w:r w:rsidR="00620D5F" w:rsidRPr="007A6B10">
        <w:rPr>
          <w:lang w:val="en-US"/>
        </w:rPr>
        <w:t>to</w:t>
      </w:r>
      <w:r w:rsidRPr="007A6B10">
        <w:rPr>
          <w:lang w:val="en-US"/>
        </w:rPr>
        <w:t xml:space="preserve"> pursue a sustainable path: the issue of sustainability entails the definition of new business models that drive corporate strategies and generate significant impacts across all business sectors at all levels: from management to processes to corporate culture</w:t>
      </w:r>
      <w:r w:rsidR="0002595B">
        <w:rPr>
          <w:lang w:val="en-US"/>
        </w:rPr>
        <w:t>.</w:t>
      </w:r>
    </w:p>
    <w:p w14:paraId="710C00BA" w14:textId="1358C167" w:rsidR="003C1BC1" w:rsidRDefault="00630DB7" w:rsidP="00630DB7">
      <w:pPr>
        <w:pStyle w:val="Titolo2"/>
        <w:numPr>
          <w:ilvl w:val="0"/>
          <w:numId w:val="0"/>
        </w:numPr>
        <w:ind w:left="851" w:hanging="851"/>
        <w:rPr>
          <w:lang w:val="en-US"/>
        </w:rPr>
      </w:pPr>
      <w:bookmarkStart w:id="15" w:name="_Toc207471586"/>
      <w:r w:rsidRPr="00856EE6">
        <w:rPr>
          <w:lang w:val="en-US"/>
        </w:rPr>
        <w:t>1</w:t>
      </w:r>
      <w:r w:rsidRPr="00856EE6">
        <w:rPr>
          <w:rFonts w:eastAsiaTheme="minorHAnsi" w:cstheme="minorBidi"/>
          <w:color w:val="auto"/>
          <w:sz w:val="24"/>
          <w:szCs w:val="22"/>
          <w:lang w:val="en-GB"/>
        </w:rPr>
        <w:t>.</w:t>
      </w:r>
      <w:r w:rsidR="004871CA">
        <w:rPr>
          <w:lang w:val="en-US"/>
        </w:rPr>
        <w:t>4</w:t>
      </w:r>
      <w:r w:rsidR="003C1BC1" w:rsidRPr="00D74832">
        <w:rPr>
          <w:lang w:val="en-US"/>
        </w:rPr>
        <w:t xml:space="preserve"> ESG reporting objectives, advantages, and critical issues</w:t>
      </w:r>
      <w:bookmarkEnd w:id="15"/>
    </w:p>
    <w:p w14:paraId="55001F08" w14:textId="77777777" w:rsidR="00753F95" w:rsidRPr="00753F95" w:rsidRDefault="00753F95" w:rsidP="00753F95">
      <w:pPr>
        <w:rPr>
          <w:lang w:val="en-US"/>
        </w:rPr>
      </w:pPr>
    </w:p>
    <w:p w14:paraId="26B215E3" w14:textId="5046ED48" w:rsidR="003C1BC1" w:rsidRPr="00856EE6" w:rsidRDefault="003C1BC1" w:rsidP="003C1BC1">
      <w:pPr>
        <w:rPr>
          <w:lang w:val="en-GB"/>
        </w:rPr>
      </w:pPr>
      <w:r w:rsidRPr="00856EE6">
        <w:rPr>
          <w:lang w:val="en-GB"/>
        </w:rPr>
        <w:t>"Banks</w:t>
      </w:r>
      <w:r w:rsidR="00753F95" w:rsidRPr="00856EE6">
        <w:rPr>
          <w:lang w:val="en-GB"/>
        </w:rPr>
        <w:t xml:space="preserve"> </w:t>
      </w:r>
      <w:r w:rsidRPr="00856EE6">
        <w:rPr>
          <w:lang w:val="en-GB"/>
        </w:rPr>
        <w:t xml:space="preserve">evaluate ESG profiles to decide who to grant credit to and under what conditions. In practice, ESG data has become an integral part of the new ‘creditworthiness’. That's why I tell my clients (companies, ed.) not to pursue sustainability just because it's mandatory, but because it's beneficial." </w:t>
      </w:r>
      <w:r w:rsidRPr="00856EE6">
        <w:rPr>
          <w:lang w:val="en-GB"/>
        </w:rPr>
        <w:footnoteReference w:id="6"/>
      </w:r>
      <w:r w:rsidR="00753F95" w:rsidRPr="00856EE6">
        <w:rPr>
          <w:lang w:val="en-GB"/>
        </w:rPr>
        <w:t xml:space="preserve">  </w:t>
      </w:r>
      <w:r w:rsidR="00560654" w:rsidRPr="00856EE6">
        <w:rPr>
          <w:lang w:val="en-GB"/>
        </w:rPr>
        <w:t>(</w:t>
      </w:r>
      <w:r w:rsidRPr="00856EE6">
        <w:rPr>
          <w:lang w:val="en-GB"/>
        </w:rPr>
        <w:t>Raffaele Barteselli, Head of Sustainability BANCO BPM</w:t>
      </w:r>
      <w:r w:rsidR="00560654" w:rsidRPr="00856EE6">
        <w:rPr>
          <w:lang w:val="en-GB"/>
        </w:rPr>
        <w:t>)</w:t>
      </w:r>
    </w:p>
    <w:p w14:paraId="6B8246A3" w14:textId="77777777" w:rsidR="00753F95" w:rsidRPr="00856EE6" w:rsidRDefault="00753F95" w:rsidP="003C1BC1">
      <w:pPr>
        <w:rPr>
          <w:lang w:val="en-GB"/>
        </w:rPr>
      </w:pPr>
    </w:p>
    <w:p w14:paraId="18FE7737" w14:textId="02D2E8A5" w:rsidR="003C1BC1" w:rsidRPr="00856EE6" w:rsidRDefault="003C1BC1" w:rsidP="003C1BC1">
      <w:pPr>
        <w:spacing w:line="360" w:lineRule="auto"/>
        <w:rPr>
          <w:lang w:val="en-GB"/>
        </w:rPr>
      </w:pPr>
      <w:r w:rsidRPr="00856EE6">
        <w:rPr>
          <w:lang w:val="en-GB"/>
        </w:rPr>
        <w:t xml:space="preserve">Sustainability reporting </w:t>
      </w:r>
      <w:r w:rsidR="00C753AA">
        <w:rPr>
          <w:lang w:val="en-GB"/>
        </w:rPr>
        <w:t xml:space="preserve">can enable </w:t>
      </w:r>
      <w:r w:rsidRPr="00856EE6">
        <w:rPr>
          <w:lang w:val="en-GB"/>
        </w:rPr>
        <w:t>companies to identify</w:t>
      </w:r>
      <w:r w:rsidR="00837891">
        <w:rPr>
          <w:lang w:val="en-GB"/>
        </w:rPr>
        <w:t xml:space="preserve"> </w:t>
      </w:r>
      <w:r w:rsidRPr="00856EE6">
        <w:rPr>
          <w:lang w:val="en-GB"/>
        </w:rPr>
        <w:t xml:space="preserve">and manage environmental and social risks, </w:t>
      </w:r>
      <w:r w:rsidR="00C753AA">
        <w:rPr>
          <w:lang w:val="en-GB"/>
        </w:rPr>
        <w:t xml:space="preserve">so including </w:t>
      </w:r>
      <w:r w:rsidRPr="00856EE6">
        <w:rPr>
          <w:lang w:val="en-GB"/>
        </w:rPr>
        <w:t xml:space="preserve">a consequent impact on corporate reputation </w:t>
      </w:r>
      <w:r w:rsidR="0061366D">
        <w:rPr>
          <w:lang w:val="en-GB"/>
        </w:rPr>
        <w:t xml:space="preserve">with </w:t>
      </w:r>
      <w:r w:rsidRPr="00856EE6">
        <w:rPr>
          <w:lang w:val="en-GB"/>
        </w:rPr>
        <w:t xml:space="preserve">customers, investors, and </w:t>
      </w:r>
      <w:r w:rsidR="0061366D">
        <w:rPr>
          <w:lang w:val="en-GB"/>
        </w:rPr>
        <w:t xml:space="preserve">all the </w:t>
      </w:r>
      <w:r w:rsidRPr="00856EE6">
        <w:rPr>
          <w:lang w:val="en-GB"/>
        </w:rPr>
        <w:t>communities.</w:t>
      </w:r>
      <w:r w:rsidR="0061366D">
        <w:rPr>
          <w:lang w:val="en-GB"/>
        </w:rPr>
        <w:t xml:space="preserve"> Nowadays</w:t>
      </w:r>
      <w:r w:rsidRPr="00856EE6">
        <w:rPr>
          <w:lang w:val="en-GB"/>
        </w:rPr>
        <w:t xml:space="preserve"> </w:t>
      </w:r>
      <w:r w:rsidR="0061366D">
        <w:rPr>
          <w:lang w:val="en-GB"/>
        </w:rPr>
        <w:t>be</w:t>
      </w:r>
      <w:r w:rsidRPr="00856EE6">
        <w:rPr>
          <w:lang w:val="en-GB"/>
        </w:rPr>
        <w:t xml:space="preserve">ing transparent about the environmental and social impact of their activities can also </w:t>
      </w:r>
      <w:r w:rsidR="00776307">
        <w:rPr>
          <w:lang w:val="en-GB"/>
        </w:rPr>
        <w:t>have an impact</w:t>
      </w:r>
      <w:r w:rsidR="00412350">
        <w:rPr>
          <w:lang w:val="en-GB"/>
        </w:rPr>
        <w:t xml:space="preserve"> on</w:t>
      </w:r>
      <w:r w:rsidRPr="00856EE6">
        <w:rPr>
          <w:lang w:val="en-GB"/>
        </w:rPr>
        <w:t xml:space="preserve"> customer loyalty and the perceived value of the brand</w:t>
      </w:r>
      <w:r w:rsidR="00412350">
        <w:rPr>
          <w:lang w:val="en-GB"/>
        </w:rPr>
        <w:t>, as it will be explained further.</w:t>
      </w:r>
    </w:p>
    <w:p w14:paraId="753032F9" w14:textId="77777777" w:rsidR="003C1BC1" w:rsidRPr="00856EE6" w:rsidRDefault="003C1BC1" w:rsidP="003C1BC1">
      <w:pPr>
        <w:spacing w:line="360" w:lineRule="auto"/>
        <w:rPr>
          <w:lang w:val="en-GB"/>
        </w:rPr>
      </w:pPr>
      <w:r w:rsidRPr="00856EE6">
        <w:rPr>
          <w:lang w:val="en-GB"/>
        </w:rPr>
        <w:t xml:space="preserve">From an internal perspective, the advantages of sustainability reporting stem from the fact that it helps companies optimize the use of resources, promoting more efficient management and reducing operating costs. For example, monitoring and reducing CO2 emissions, improving waste management, and optimizing energy consumption are concrete measures that not only improve the company's environmental impact but also translate into economic savings. Sustainability reports also offer advantages in terms of attracting and retaining talent. In a labor market where younger generations </w:t>
      </w:r>
      <w:r w:rsidRPr="00856EE6">
        <w:rPr>
          <w:lang w:val="en-GB"/>
        </w:rPr>
        <w:lastRenderedPageBreak/>
        <w:t>are increasingly focused on ethical and environmental values, working for a company that is actively committed to these areas represents added value.                                                                                                                                             Finally, the sustainability report is a strategic lever for attracting investment: many investment funds, in fact, adopt ESG criteria in their capital allocation decisions, rewarding companies that demonstrate a real commitment to sustainability.</w:t>
      </w:r>
    </w:p>
    <w:p w14:paraId="55206AEC" w14:textId="77777777" w:rsidR="003C1BC1" w:rsidRPr="00856EE6" w:rsidRDefault="003C1BC1" w:rsidP="003C1BC1">
      <w:pPr>
        <w:spacing w:line="360" w:lineRule="auto"/>
        <w:rPr>
          <w:lang w:val="en-GB"/>
        </w:rPr>
      </w:pPr>
      <w:r w:rsidRPr="00856EE6">
        <w:rPr>
          <w:lang w:val="en-GB"/>
        </w:rPr>
        <w:t>Despite the numerous advantages of sustainability reporting, preparing such a document can involve certain difficulties and critical issues. For many companies (especially smaller ones), the first challenge is technical in nature: measuring and collecting data on environmental and social impact is not easy, requires significant time and resources, and involves the presence of specially trained personnel.</w:t>
      </w:r>
    </w:p>
    <w:p w14:paraId="57B2D24C" w14:textId="6FCC2D6F" w:rsidR="003C1BC1" w:rsidRDefault="008B66CF" w:rsidP="003C1BC1">
      <w:pPr>
        <w:spacing w:line="360" w:lineRule="auto"/>
        <w:rPr>
          <w:lang w:val="en-GB"/>
        </w:rPr>
      </w:pPr>
      <w:r w:rsidRPr="008B66CF">
        <w:rPr>
          <w:lang w:val="en-US"/>
        </w:rPr>
        <w:t>Companies must invest in developing personnel to be skilled in monitoring and analyzing parameters such as greenhouse gas emissions, water consumption, and respect for human rights throughout the supply chain. For small and medium-sized enterprises, this can be particularly challenging, as they have more limited resources and means compared to a large multinational. Another critical issue is the standardization of measurement criteria. Not all companies adopt the same parameters and methodologies, although international standards exist, making it more complicated to compare sustainability reports of different companies. The lack of rigorous standardization is one of the reasons behind the generation of reports for the so-called "greenwashing," that is, the practice of misrepresenting one's environmental performance by emphasizing positive results and minimizing negative ones.</w:t>
      </w:r>
      <w:r w:rsidR="0060594B">
        <w:rPr>
          <w:lang w:val="en-GB"/>
        </w:rPr>
        <w:t xml:space="preserve"> But let’s </w:t>
      </w:r>
      <w:r w:rsidR="007B34A7">
        <w:rPr>
          <w:lang w:val="en-GB"/>
        </w:rPr>
        <w:t>analyse</w:t>
      </w:r>
      <w:r w:rsidR="0060594B">
        <w:rPr>
          <w:lang w:val="en-GB"/>
        </w:rPr>
        <w:t xml:space="preserve"> deeper what means and some </w:t>
      </w:r>
      <w:r w:rsidR="007B34A7">
        <w:rPr>
          <w:lang w:val="en-GB"/>
        </w:rPr>
        <w:t>real cases of greenwashing.</w:t>
      </w:r>
    </w:p>
    <w:p w14:paraId="72A179FA" w14:textId="77777777" w:rsidR="007B34A7" w:rsidRDefault="007B34A7" w:rsidP="003C1BC1">
      <w:pPr>
        <w:spacing w:line="360" w:lineRule="auto"/>
        <w:rPr>
          <w:lang w:val="en-GB"/>
        </w:rPr>
      </w:pPr>
    </w:p>
    <w:p w14:paraId="763E69F7" w14:textId="77777777" w:rsidR="007B34A7" w:rsidRDefault="007B34A7" w:rsidP="003C1BC1">
      <w:pPr>
        <w:spacing w:line="360" w:lineRule="auto"/>
        <w:rPr>
          <w:lang w:val="en-GB"/>
        </w:rPr>
      </w:pPr>
    </w:p>
    <w:p w14:paraId="26A17532" w14:textId="77777777" w:rsidR="007B34A7" w:rsidRDefault="007B34A7" w:rsidP="003C1BC1">
      <w:pPr>
        <w:spacing w:line="360" w:lineRule="auto"/>
        <w:rPr>
          <w:lang w:val="en-GB"/>
        </w:rPr>
      </w:pPr>
    </w:p>
    <w:p w14:paraId="431AFAB8" w14:textId="77777777" w:rsidR="00A547FC" w:rsidRPr="00856EE6" w:rsidRDefault="00A547FC" w:rsidP="003C1BC1">
      <w:pPr>
        <w:spacing w:line="360" w:lineRule="auto"/>
        <w:rPr>
          <w:lang w:val="en-GB"/>
        </w:rPr>
      </w:pPr>
    </w:p>
    <w:p w14:paraId="023AA367" w14:textId="4B20FF7A" w:rsidR="003C1BC1" w:rsidRPr="00D74832" w:rsidRDefault="00630DB7" w:rsidP="003C1BC1">
      <w:pPr>
        <w:pStyle w:val="Titolo2"/>
        <w:numPr>
          <w:ilvl w:val="0"/>
          <w:numId w:val="0"/>
        </w:numPr>
        <w:ind w:left="851" w:hanging="851"/>
        <w:rPr>
          <w:lang w:val="en-US"/>
        </w:rPr>
      </w:pPr>
      <w:bookmarkStart w:id="16" w:name="_Toc207225636"/>
      <w:bookmarkStart w:id="17" w:name="_Toc207471587"/>
      <w:r>
        <w:rPr>
          <w:lang w:val="en-US"/>
        </w:rPr>
        <w:lastRenderedPageBreak/>
        <w:t>1.</w:t>
      </w:r>
      <w:r w:rsidR="004871CA">
        <w:rPr>
          <w:lang w:val="en-US"/>
        </w:rPr>
        <w:t>5</w:t>
      </w:r>
      <w:r w:rsidR="003C1BC1" w:rsidRPr="00D74832">
        <w:rPr>
          <w:lang w:val="en-US"/>
        </w:rPr>
        <w:t xml:space="preserve"> The risk of greenwashing, real cases, and implications</w:t>
      </w:r>
      <w:bookmarkEnd w:id="16"/>
      <w:bookmarkEnd w:id="17"/>
    </w:p>
    <w:p w14:paraId="1E9B4837" w14:textId="4DEA7567" w:rsidR="003C1BC1" w:rsidRPr="00856EE6" w:rsidRDefault="00695557" w:rsidP="003C1BC1">
      <w:pPr>
        <w:spacing w:line="360" w:lineRule="auto"/>
        <w:rPr>
          <w:lang w:val="en-GB"/>
        </w:rPr>
      </w:pPr>
      <w:r w:rsidRPr="00695557">
        <w:rPr>
          <w:lang w:val="en-US"/>
        </w:rPr>
        <w:t xml:space="preserve">We have seen how public interest regarding the actions that a company takes on sustainability, but especially what it does not do, can determine the success or failure of a brand today, so it is not surprising that companies are positioning themselves to ensure that their products, services, and values reflect this global shift in attitude. However, in the attempt, or obligation, to demonstrate their company's ESG credentials, some organizations have been accused of going too far and deceiving consumers or engaging in 'greenwashing'. </w:t>
      </w:r>
    </w:p>
    <w:p w14:paraId="385FE891" w14:textId="43DEB056" w:rsidR="001B4CDA" w:rsidRDefault="003C1BC1" w:rsidP="003C1BC1">
      <w:pPr>
        <w:spacing w:line="360" w:lineRule="auto"/>
        <w:rPr>
          <w:lang w:val="en-GB"/>
        </w:rPr>
      </w:pPr>
      <w:r w:rsidRPr="00856EE6">
        <w:rPr>
          <w:lang w:val="en-GB"/>
        </w:rPr>
        <w:t>“Greenwashing refers to a communication or marketing technique used by companies, investment funds, institutions, and organizations that promote their activities as environmentally sustainable, highlighting the positive effects of certain initiatives while attempting to conceal the negative environmental impact of others or of the company as a whole.”</w:t>
      </w:r>
      <w:r w:rsidRPr="00856EE6">
        <w:rPr>
          <w:lang w:val="en-GB"/>
        </w:rPr>
        <w:footnoteReference w:id="7"/>
      </w:r>
    </w:p>
    <w:p w14:paraId="09362417" w14:textId="7D1336FB" w:rsidR="00695557" w:rsidRDefault="00695557" w:rsidP="003C1BC1">
      <w:pPr>
        <w:spacing w:line="360" w:lineRule="auto"/>
        <w:rPr>
          <w:lang w:val="en-GB"/>
        </w:rPr>
      </w:pPr>
      <w:r w:rsidRPr="00695557">
        <w:rPr>
          <w:lang w:val="en-US"/>
        </w:rPr>
        <w:t>This can lead to bad publicity and a negative impact on the company's brand value, and in some cases can also result in heavy fines. Accusations of greenwashing can carry significant reputational and legal risks, and recent corporate cases, along with exposure on social networks, are increasingly dissuading companies from using this practice</w:t>
      </w:r>
      <w:r w:rsidRPr="00856EE6">
        <w:rPr>
          <w:lang w:val="en-GB"/>
        </w:rPr>
        <w:t>.</w:t>
      </w:r>
    </w:p>
    <w:p w14:paraId="1C86CF6E" w14:textId="77777777" w:rsidR="00216219" w:rsidRDefault="00216219" w:rsidP="003C1BC1">
      <w:pPr>
        <w:spacing w:line="360" w:lineRule="auto"/>
        <w:rPr>
          <w:lang w:val="en-GB"/>
        </w:rPr>
      </w:pPr>
    </w:p>
    <w:p w14:paraId="29C7388E" w14:textId="77777777" w:rsidR="00216219" w:rsidRDefault="00216219" w:rsidP="003C1BC1">
      <w:pPr>
        <w:spacing w:line="360" w:lineRule="auto"/>
        <w:rPr>
          <w:lang w:val="en-GB"/>
        </w:rPr>
      </w:pPr>
    </w:p>
    <w:p w14:paraId="3090E341" w14:textId="77777777" w:rsidR="00216219" w:rsidRDefault="00216219" w:rsidP="003C1BC1">
      <w:pPr>
        <w:spacing w:line="360" w:lineRule="auto"/>
        <w:rPr>
          <w:lang w:val="en-GB"/>
        </w:rPr>
      </w:pPr>
    </w:p>
    <w:p w14:paraId="41DFD7C8" w14:textId="77777777" w:rsidR="00216219" w:rsidRDefault="00216219" w:rsidP="003C1BC1">
      <w:pPr>
        <w:spacing w:line="360" w:lineRule="auto"/>
        <w:rPr>
          <w:lang w:val="en-GB"/>
        </w:rPr>
      </w:pPr>
    </w:p>
    <w:p w14:paraId="35F94DF8" w14:textId="77777777" w:rsidR="00216219" w:rsidRDefault="00216219" w:rsidP="003C1BC1">
      <w:pPr>
        <w:spacing w:line="360" w:lineRule="auto"/>
        <w:rPr>
          <w:lang w:val="en-GB"/>
        </w:rPr>
      </w:pPr>
    </w:p>
    <w:p w14:paraId="47C94C80" w14:textId="77777777" w:rsidR="00216219" w:rsidRPr="00856EE6" w:rsidRDefault="00216219" w:rsidP="003C1BC1">
      <w:pPr>
        <w:spacing w:line="360" w:lineRule="auto"/>
        <w:rPr>
          <w:lang w:val="en-GB"/>
        </w:rPr>
      </w:pPr>
    </w:p>
    <w:p w14:paraId="711DAB7A" w14:textId="77777777" w:rsidR="003C1BC1" w:rsidRPr="00856EE6" w:rsidRDefault="003C1BC1" w:rsidP="003C1BC1">
      <w:pPr>
        <w:spacing w:line="360" w:lineRule="auto"/>
        <w:rPr>
          <w:b/>
          <w:bCs/>
          <w:sz w:val="32"/>
          <w:szCs w:val="28"/>
          <w:lang w:val="en-GB"/>
        </w:rPr>
      </w:pPr>
      <w:r w:rsidRPr="00856EE6">
        <w:rPr>
          <w:b/>
          <w:bCs/>
          <w:sz w:val="32"/>
          <w:szCs w:val="28"/>
          <w:lang w:val="en-GB"/>
        </w:rPr>
        <w:lastRenderedPageBreak/>
        <w:t>The 6 types of greenwashing</w:t>
      </w:r>
    </w:p>
    <w:p w14:paraId="2ECDFF27" w14:textId="0F83C8A4" w:rsidR="007857B5" w:rsidRPr="00883D5D" w:rsidRDefault="003C1BC1" w:rsidP="003C1BC1">
      <w:pPr>
        <w:spacing w:line="360" w:lineRule="auto"/>
        <w:rPr>
          <w:lang w:val="en-GB"/>
        </w:rPr>
      </w:pPr>
      <w:r w:rsidRPr="00856EE6">
        <w:rPr>
          <w:lang w:val="en-GB"/>
        </w:rPr>
        <w:t>An analysis by Planet Tracker identifies six types of greenwashing:</w:t>
      </w:r>
      <w:r w:rsidRPr="00856EE6">
        <w:rPr>
          <w:lang w:val="en-GB"/>
        </w:rPr>
        <w:footnoteReference w:id="8"/>
      </w:r>
    </w:p>
    <w:p w14:paraId="53A49E23" w14:textId="77777777" w:rsidR="00883D5D" w:rsidRDefault="007857B5" w:rsidP="003C1BC1">
      <w:pPr>
        <w:spacing w:line="360" w:lineRule="auto"/>
        <w:rPr>
          <w:b/>
          <w:bCs/>
          <w:lang w:val="en-US"/>
        </w:rPr>
      </w:pPr>
      <w:r w:rsidRPr="007857B5">
        <w:rPr>
          <w:b/>
          <w:bCs/>
          <w:lang w:val="en-US"/>
        </w:rPr>
        <w:t xml:space="preserve">Greencrowding: </w:t>
      </w:r>
      <w:r w:rsidRPr="00883D5D">
        <w:rPr>
          <w:lang w:val="en-GB"/>
        </w:rPr>
        <w:t>it occurs when companies, based on the belief that you can hide in the crowd, leverage the security of numbers to try to conceal illegal practices. By doing so, it is likely that even in the development of sustainability policies, the group will adapt to the pace of the slowest.</w:t>
      </w:r>
      <w:r w:rsidRPr="00883D5D">
        <w:rPr>
          <w:b/>
          <w:bCs/>
          <w:lang w:val="en-US"/>
        </w:rPr>
        <w:t xml:space="preserve"> </w:t>
      </w:r>
    </w:p>
    <w:p w14:paraId="15D6738A" w14:textId="01451E36" w:rsidR="00883D5D" w:rsidRPr="00883D5D" w:rsidRDefault="007857B5" w:rsidP="003C1BC1">
      <w:pPr>
        <w:spacing w:line="360" w:lineRule="auto"/>
        <w:rPr>
          <w:lang w:val="en-GB"/>
        </w:rPr>
      </w:pPr>
      <w:r w:rsidRPr="00883D5D">
        <w:rPr>
          <w:b/>
          <w:bCs/>
          <w:lang w:val="en-US"/>
        </w:rPr>
        <w:t xml:space="preserve">Greenlighting: </w:t>
      </w:r>
      <w:r w:rsidRPr="00883D5D">
        <w:rPr>
          <w:lang w:val="en-GB"/>
        </w:rPr>
        <w:t>the company stands out through its advertising and communications, highlighting only a specific, particularly 'green' feature of its operations or products, even if it is very small, to divert attention from harmful activities elsewhere. This is particularly common in the fashion sector, as we will analyze more deeply later.</w:t>
      </w:r>
      <w:r w:rsidRPr="00883D5D">
        <w:rPr>
          <w:b/>
          <w:bCs/>
          <w:lang w:val="en-US"/>
        </w:rPr>
        <w:t xml:space="preserve"> Greenshifting: </w:t>
      </w:r>
      <w:r w:rsidRPr="00883D5D">
        <w:rPr>
          <w:lang w:val="en-GB"/>
        </w:rPr>
        <w:t>it occurs when the responsibility for the environmental impact of a company's operations is offloaded onto consumers.</w:t>
      </w:r>
    </w:p>
    <w:p w14:paraId="78A01E9E" w14:textId="77777777" w:rsidR="00216219" w:rsidRDefault="00216219" w:rsidP="003C1BC1">
      <w:pPr>
        <w:spacing w:line="360" w:lineRule="auto"/>
        <w:rPr>
          <w:b/>
          <w:bCs/>
          <w:lang w:val="en-US"/>
        </w:rPr>
      </w:pPr>
      <w:r w:rsidRPr="00216219">
        <w:rPr>
          <w:b/>
          <w:bCs/>
          <w:lang w:val="en-US"/>
        </w:rPr>
        <w:t xml:space="preserve">Green labeling: </w:t>
      </w:r>
      <w:r w:rsidRPr="00216219">
        <w:rPr>
          <w:lang w:val="en-GB"/>
        </w:rPr>
        <w:t>a practice in which, after more in-depth research, products or services defined with terms that refer to 'green' are not actually considered as such, and thus the claims made by companies are misleading to consumers.</w:t>
      </w:r>
      <w:r w:rsidRPr="00216219">
        <w:rPr>
          <w:b/>
          <w:bCs/>
          <w:lang w:val="en-US"/>
        </w:rPr>
        <w:t xml:space="preserve"> </w:t>
      </w:r>
    </w:p>
    <w:p w14:paraId="5FDBD704" w14:textId="687D83C0" w:rsidR="00216219" w:rsidRDefault="00216219" w:rsidP="003C1BC1">
      <w:pPr>
        <w:spacing w:line="360" w:lineRule="auto"/>
        <w:rPr>
          <w:b/>
          <w:bCs/>
          <w:lang w:val="en-US"/>
        </w:rPr>
      </w:pPr>
      <w:r w:rsidRPr="00216219">
        <w:rPr>
          <w:b/>
          <w:bCs/>
          <w:lang w:val="en-US"/>
        </w:rPr>
        <w:t>Greenwashing</w:t>
      </w:r>
      <w:r w:rsidRPr="00216219">
        <w:rPr>
          <w:lang w:val="en-GB"/>
        </w:rPr>
        <w:t>: refers to when, to conceal any delays or failures, a company regularly changes its ESG goals</w:t>
      </w:r>
      <w:r w:rsidRPr="00216219">
        <w:rPr>
          <w:b/>
          <w:bCs/>
          <w:lang w:val="en-US"/>
        </w:rPr>
        <w:t xml:space="preserve">. </w:t>
      </w:r>
    </w:p>
    <w:p w14:paraId="055E1509" w14:textId="77777777" w:rsidR="00216219" w:rsidRDefault="00216219" w:rsidP="003C1BC1">
      <w:pPr>
        <w:spacing w:line="360" w:lineRule="auto"/>
        <w:rPr>
          <w:lang w:val="en-GB"/>
        </w:rPr>
      </w:pPr>
      <w:r w:rsidRPr="00216219">
        <w:rPr>
          <w:b/>
          <w:bCs/>
          <w:lang w:val="en-US"/>
        </w:rPr>
        <w:t xml:space="preserve">Green silence: </w:t>
      </w:r>
      <w:r w:rsidRPr="00216219">
        <w:rPr>
          <w:lang w:val="en-GB"/>
        </w:rPr>
        <w:t>an unfortunately increasingly widespread phenomenon where companies avoid declaring their sustainability certifications to protect themselves from accusations of greenwashing and to avoid having to account for the results achieved.</w:t>
      </w:r>
    </w:p>
    <w:p w14:paraId="5CCFE588" w14:textId="77777777" w:rsidR="00216219" w:rsidRDefault="00216219" w:rsidP="003C1BC1">
      <w:pPr>
        <w:spacing w:line="360" w:lineRule="auto"/>
        <w:rPr>
          <w:lang w:val="en-GB"/>
        </w:rPr>
      </w:pPr>
    </w:p>
    <w:p w14:paraId="64913539" w14:textId="77777777" w:rsidR="00216219" w:rsidRDefault="00216219" w:rsidP="003C1BC1">
      <w:pPr>
        <w:spacing w:line="360" w:lineRule="auto"/>
        <w:rPr>
          <w:lang w:val="en-GB"/>
        </w:rPr>
      </w:pPr>
    </w:p>
    <w:p w14:paraId="593AFFF9" w14:textId="77777777" w:rsidR="00216219" w:rsidRDefault="00216219" w:rsidP="003C1BC1">
      <w:pPr>
        <w:spacing w:line="360" w:lineRule="auto"/>
        <w:rPr>
          <w:lang w:val="en-GB"/>
        </w:rPr>
      </w:pPr>
    </w:p>
    <w:p w14:paraId="02CDCF68" w14:textId="107F7953" w:rsidR="003C1BC1" w:rsidRPr="00856EE6" w:rsidRDefault="003C1BC1" w:rsidP="003C1BC1">
      <w:pPr>
        <w:spacing w:line="360" w:lineRule="auto"/>
        <w:rPr>
          <w:b/>
          <w:bCs/>
          <w:sz w:val="28"/>
          <w:szCs w:val="24"/>
          <w:lang w:val="en-GB"/>
        </w:rPr>
      </w:pPr>
      <w:r w:rsidRPr="00856EE6">
        <w:rPr>
          <w:b/>
          <w:bCs/>
          <w:sz w:val="28"/>
          <w:szCs w:val="24"/>
          <w:lang w:val="en-GB"/>
        </w:rPr>
        <w:lastRenderedPageBreak/>
        <w:t>Penalties</w:t>
      </w:r>
    </w:p>
    <w:p w14:paraId="2C9A6C73" w14:textId="77777777" w:rsidR="003C1BC1" w:rsidRPr="00856EE6" w:rsidRDefault="003C1BC1" w:rsidP="003C1BC1">
      <w:pPr>
        <w:spacing w:line="360" w:lineRule="auto"/>
        <w:rPr>
          <w:lang w:val="en-GB"/>
        </w:rPr>
      </w:pPr>
      <w:r w:rsidRPr="00856EE6">
        <w:rPr>
          <w:lang w:val="en-GB"/>
        </w:rPr>
        <w:t>Now that the regulatory framework on greenwashing is becoming more mature, those who communicate in a non-transparent manner risk facing heavy financial penalties. In Italy, pending the entry into force of the new European regulatory framework, jurisdiction in this area lies with the Institute of Advertising Self-Regulation (IAP) and the Italian Competition and Market Authority (AGCM, also known as Antitrust). If the violation is particularly serious and widespread, the AGCM may intervene. As a state authority, it has the power to initiate formal proceedings that can lead to much heavier administrative penalties.</w:t>
      </w:r>
    </w:p>
    <w:p w14:paraId="3B3F3CF0" w14:textId="77777777" w:rsidR="003C1BC1" w:rsidRPr="00364C7D" w:rsidRDefault="003C1BC1" w:rsidP="003C1BC1">
      <w:pPr>
        <w:spacing w:line="360" w:lineRule="auto"/>
        <w:rPr>
          <w:b/>
          <w:bCs/>
          <w:sz w:val="28"/>
          <w:szCs w:val="24"/>
          <w:lang w:val="en-GB"/>
        </w:rPr>
      </w:pPr>
      <w:r w:rsidRPr="00364C7D">
        <w:rPr>
          <w:b/>
          <w:bCs/>
          <w:sz w:val="28"/>
          <w:szCs w:val="24"/>
          <w:lang w:val="en-GB"/>
        </w:rPr>
        <w:t>Loss of consumer confidence</w:t>
      </w:r>
    </w:p>
    <w:p w14:paraId="0411A6C5" w14:textId="77777777" w:rsidR="003C1BC1" w:rsidRPr="00856EE6" w:rsidRDefault="003C1BC1" w:rsidP="003C1BC1">
      <w:pPr>
        <w:spacing w:line="360" w:lineRule="auto"/>
        <w:rPr>
          <w:lang w:val="en-GB"/>
        </w:rPr>
      </w:pPr>
      <w:r w:rsidRPr="00856EE6">
        <w:rPr>
          <w:lang w:val="en-GB"/>
        </w:rPr>
        <w:t>Even in the absence of a fine, the mere emergence of a greenwashing controversy exposes companies to the risk of losing consumer confidence. And once consumers discover they have been deceived, it is very difficult to rebuild the company's image and reputation, with the result that the damage can be even greater than the benefit the company hoped to gain. This is confirmed by research conducted by Deloitte</w:t>
      </w:r>
      <w:r w:rsidRPr="00856EE6">
        <w:rPr>
          <w:lang w:val="en-GB"/>
        </w:rPr>
        <w:footnoteReference w:id="9"/>
      </w:r>
      <w:r w:rsidRPr="00856EE6">
        <w:rPr>
          <w:lang w:val="en-GB"/>
        </w:rPr>
        <w:t>, which shows that, when faced with superficial environmentalism, 17% of consumers are ready to stop purchasing and using the company's products and services, and another 42% are ready to limit future purchases.</w:t>
      </w:r>
    </w:p>
    <w:p w14:paraId="34379667" w14:textId="05F05A2B" w:rsidR="003C1BC1" w:rsidRPr="00856EE6" w:rsidRDefault="00E26B1A" w:rsidP="003C1BC1">
      <w:pPr>
        <w:spacing w:line="360" w:lineRule="auto"/>
        <w:rPr>
          <w:lang w:val="en-GB"/>
        </w:rPr>
      </w:pPr>
      <w:r w:rsidRPr="00856EE6">
        <w:rPr>
          <w:lang w:val="en-GB"/>
        </w:rPr>
        <w:t xml:space="preserve">Based on the report, </w:t>
      </w:r>
      <w:r w:rsidR="003C1BC1" w:rsidRPr="00856EE6">
        <w:rPr>
          <w:lang w:val="en-GB"/>
        </w:rPr>
        <w:t xml:space="preserve">78% of Italians trust brands that publicly share their sustainability goals more. </w:t>
      </w:r>
      <w:r w:rsidR="00194BC6" w:rsidRPr="00856EE6">
        <w:rPr>
          <w:lang w:val="en-GB"/>
        </w:rPr>
        <w:t>T</w:t>
      </w:r>
      <w:r w:rsidR="003C1BC1" w:rsidRPr="00856EE6">
        <w:rPr>
          <w:lang w:val="en-GB"/>
        </w:rPr>
        <w:t>he fourth report by the Deloitte Observatory on sustainability and innovation trends</w:t>
      </w:r>
      <w:r w:rsidR="00194BC6" w:rsidRPr="00856EE6">
        <w:rPr>
          <w:lang w:val="en-GB"/>
        </w:rPr>
        <w:t xml:space="preserve"> </w:t>
      </w:r>
      <w:r w:rsidR="003C1BC1" w:rsidRPr="00856EE6">
        <w:rPr>
          <w:lang w:val="en-GB"/>
        </w:rPr>
        <w:t>in Italy</w:t>
      </w:r>
      <w:r w:rsidR="00194BC6" w:rsidRPr="00856EE6">
        <w:rPr>
          <w:lang w:val="en-GB"/>
        </w:rPr>
        <w:t xml:space="preserve"> </w:t>
      </w:r>
      <w:r w:rsidR="002D2B13" w:rsidRPr="00856EE6">
        <w:rPr>
          <w:lang w:val="en-GB"/>
        </w:rPr>
        <w:t xml:space="preserve">shows that  </w:t>
      </w:r>
      <w:r w:rsidR="003C1BC1" w:rsidRPr="00856EE6">
        <w:rPr>
          <w:lang w:val="en-GB"/>
        </w:rPr>
        <w:t xml:space="preserve">9 out of 10 citizens want to reduce their ecological footprint and more than 9 out of 10 consumers appreciate companies' transparency regarding sustainability strategies, with 78% expressing greater trust in companies </w:t>
      </w:r>
      <w:r w:rsidR="003C1BC1" w:rsidRPr="00856EE6">
        <w:rPr>
          <w:lang w:val="en-GB"/>
        </w:rPr>
        <w:lastRenderedPageBreak/>
        <w:t>that publicly share their ESG objectives</w:t>
      </w:r>
      <w:r w:rsidR="002D2B13" w:rsidRPr="00856EE6">
        <w:rPr>
          <w:lang w:val="en-GB"/>
        </w:rPr>
        <w:t xml:space="preserve"> </w:t>
      </w:r>
      <w:r w:rsidR="00194BC6" w:rsidRPr="00856EE6">
        <w:rPr>
          <w:lang w:val="en-GB"/>
        </w:rPr>
        <w:footnoteReference w:id="10"/>
      </w:r>
      <w:r w:rsidR="00856EE6">
        <w:rPr>
          <w:lang w:val="en-GB"/>
        </w:rPr>
        <w:t xml:space="preserve"> </w:t>
      </w:r>
      <w:r w:rsidR="002D2B13" w:rsidRPr="00856EE6">
        <w:rPr>
          <w:lang w:val="en-GB"/>
        </w:rPr>
        <w:t>(The Conscious Citizen: the value of trust in sustainable consumption choices,</w:t>
      </w:r>
      <w:r w:rsidR="00194BC6" w:rsidRPr="00856EE6">
        <w:rPr>
          <w:lang w:val="en-GB"/>
        </w:rPr>
        <w:t xml:space="preserve"> Pag.4)</w:t>
      </w:r>
    </w:p>
    <w:p w14:paraId="7281DD4F" w14:textId="1AB682CA" w:rsidR="009916C1" w:rsidRPr="00856EE6" w:rsidRDefault="003C1BC1" w:rsidP="003C1BC1">
      <w:pPr>
        <w:spacing w:line="360" w:lineRule="auto"/>
        <w:rPr>
          <w:lang w:val="en-GB"/>
        </w:rPr>
      </w:pPr>
      <w:r w:rsidRPr="00856EE6">
        <w:rPr>
          <w:lang w:val="en-GB"/>
        </w:rPr>
        <w:t xml:space="preserve">When presenting the report, Stefano Alfonso, growth leader at Deloitte Central Mediterranean, emphasized that </w:t>
      </w:r>
      <w:r w:rsidR="007429BE" w:rsidRPr="00856EE6">
        <w:rPr>
          <w:lang w:val="en-GB"/>
        </w:rPr>
        <w:t>“</w:t>
      </w:r>
      <w:r w:rsidRPr="00856EE6">
        <w:rPr>
          <w:i/>
          <w:iCs/>
          <w:lang w:val="en-GB"/>
        </w:rPr>
        <w:t xml:space="preserve">Italians are increasingly attentive to the issue of sustainability, and their trust in companies is a crucial issue in the current market context. Based on mutual responsibility and environmental awareness, the relationship between consumers and brands is not only a symbol of authenticity and commitment to a sustainable future but also a key to the success of organizations. In a historical moment of great uncertainty and complexity, trust is indispensable in the relationship between a brand and its customers. A brand that inspires trust will be better able to create stable, lasting, engaging, and valuable relationships with its </w:t>
      </w:r>
      <w:r w:rsidR="007429BE" w:rsidRPr="00856EE6">
        <w:rPr>
          <w:i/>
          <w:iCs/>
          <w:lang w:val="en-GB"/>
        </w:rPr>
        <w:t>customers</w:t>
      </w:r>
      <w:r w:rsidR="007429BE" w:rsidRPr="00856EE6">
        <w:rPr>
          <w:lang w:val="en-GB"/>
        </w:rPr>
        <w:t>”.</w:t>
      </w:r>
      <w:r w:rsidR="00136C6A" w:rsidRPr="00856EE6">
        <w:rPr>
          <w:lang w:val="en-GB"/>
        </w:rPr>
        <w:t xml:space="preserve"> </w:t>
      </w:r>
      <w:r w:rsidR="00096027" w:rsidRPr="00856EE6">
        <w:rPr>
          <w:lang w:val="en-GB"/>
        </w:rPr>
        <w:t xml:space="preserve"> </w:t>
      </w:r>
      <w:r w:rsidR="00136C6A" w:rsidRPr="00856EE6">
        <w:rPr>
          <w:lang w:val="en-GB"/>
        </w:rPr>
        <w:t xml:space="preserve">(Stefano Alfonso, </w:t>
      </w:r>
      <w:r w:rsidR="007429BE" w:rsidRPr="00856EE6">
        <w:rPr>
          <w:lang w:val="en-GB"/>
        </w:rPr>
        <w:t>Senior Partner, Growth Leader Deloitte Central Mediterranean)</w:t>
      </w:r>
    </w:p>
    <w:p w14:paraId="1AB87F19" w14:textId="77777777" w:rsidR="003C1BC1" w:rsidRPr="00856EE6" w:rsidRDefault="003C1BC1" w:rsidP="003C1BC1">
      <w:pPr>
        <w:spacing w:line="360" w:lineRule="auto"/>
        <w:rPr>
          <w:b/>
          <w:bCs/>
          <w:sz w:val="32"/>
          <w:szCs w:val="28"/>
          <w:lang w:val="en-GB"/>
        </w:rPr>
      </w:pPr>
      <w:r w:rsidRPr="00856EE6">
        <w:rPr>
          <w:b/>
          <w:bCs/>
          <w:sz w:val="32"/>
          <w:szCs w:val="28"/>
          <w:lang w:val="en-GB"/>
        </w:rPr>
        <w:t>Greenwashing: the most striking cases in recent years</w:t>
      </w:r>
    </w:p>
    <w:p w14:paraId="32F0B062" w14:textId="77777777" w:rsidR="003C1BC1" w:rsidRPr="00856EE6" w:rsidRDefault="003C1BC1" w:rsidP="003C1BC1">
      <w:pPr>
        <w:spacing w:line="360" w:lineRule="auto"/>
        <w:rPr>
          <w:b/>
          <w:bCs/>
          <w:lang w:val="en-GB"/>
        </w:rPr>
      </w:pPr>
      <w:r w:rsidRPr="00856EE6">
        <w:rPr>
          <w:b/>
          <w:bCs/>
          <w:lang w:val="en-GB"/>
        </w:rPr>
        <w:t>Mercedes: sustainability claims and emissions controversies</w:t>
      </w:r>
    </w:p>
    <w:p w14:paraId="56AB7252" w14:textId="05560ADA" w:rsidR="003C1BC1" w:rsidRPr="00856EE6" w:rsidRDefault="003C1BC1" w:rsidP="003C1BC1">
      <w:pPr>
        <w:spacing w:line="360" w:lineRule="auto"/>
        <w:rPr>
          <w:lang w:val="en-GB"/>
        </w:rPr>
      </w:pPr>
      <w:r w:rsidRPr="00856EE6">
        <w:rPr>
          <w:lang w:val="en-GB"/>
        </w:rPr>
        <w:t xml:space="preserve">Mercedes has promoted its vehicles as environmentally friendly but has faced controversies related to the actual emissions of its vehicles, which in some cases have been found to be higher than claimed. </w:t>
      </w:r>
      <w:r w:rsidR="00612A2A" w:rsidRPr="00856EE6">
        <w:rPr>
          <w:lang w:val="en-GB"/>
        </w:rPr>
        <w:t>Daimler expects costs of approx. USD 1.5 billion (approx. EUR 1.27 billion) for the settlement with the U.S. authorities</w:t>
      </w:r>
      <w:r w:rsidR="00CF6387" w:rsidRPr="00856EE6">
        <w:rPr>
          <w:lang w:val="en-GB"/>
        </w:rPr>
        <w:t xml:space="preserve">. </w:t>
      </w:r>
      <w:r w:rsidR="00612A2A" w:rsidRPr="00612A2A">
        <w:rPr>
          <w:lang w:val="en-GB"/>
        </w:rPr>
        <w:t>The estimated cost of the class action settlement is approx. USD 700 million (approx. EUR 591 million)</w:t>
      </w:r>
      <w:r w:rsidR="00612A2A" w:rsidRPr="00856EE6">
        <w:rPr>
          <w:lang w:val="en-GB"/>
        </w:rPr>
        <w:t>.</w:t>
      </w:r>
      <w:r w:rsidR="00412467" w:rsidRPr="00856EE6">
        <w:rPr>
          <w:lang w:val="en-GB"/>
        </w:rPr>
        <w:footnoteReference w:id="11"/>
      </w:r>
    </w:p>
    <w:p w14:paraId="0A4DA203" w14:textId="77777777" w:rsidR="003C1BC1" w:rsidRPr="00856EE6" w:rsidRDefault="003C1BC1" w:rsidP="003C1BC1">
      <w:pPr>
        <w:spacing w:line="360" w:lineRule="auto"/>
        <w:rPr>
          <w:b/>
          <w:bCs/>
          <w:lang w:val="en-GB"/>
        </w:rPr>
      </w:pPr>
      <w:r w:rsidRPr="00856EE6">
        <w:rPr>
          <w:b/>
          <w:bCs/>
          <w:lang w:val="en-GB"/>
        </w:rPr>
        <w:t>ENI: false promises with ENIdiesel+ fuel</w:t>
      </w:r>
    </w:p>
    <w:p w14:paraId="5F4D07FB" w14:textId="77777777" w:rsidR="003C1BC1" w:rsidRPr="00856EE6" w:rsidRDefault="003C1BC1" w:rsidP="003C1BC1">
      <w:pPr>
        <w:spacing w:line="360" w:lineRule="auto"/>
        <w:rPr>
          <w:lang w:val="en-GB"/>
        </w:rPr>
      </w:pPr>
      <w:r w:rsidRPr="00856EE6">
        <w:rPr>
          <w:lang w:val="en-GB"/>
        </w:rPr>
        <w:t>A notable case of greenwashing in Italy involved ENI promoting ENIdiesel+ fuel, which the company described as an eco-friendly product capable of reducing both emissions and fuel consumption. This fuel was heavily criticized because, despite the claims, it contained palm oil and did not deliver the promised environmental benefits.</w:t>
      </w:r>
    </w:p>
    <w:p w14:paraId="0E24A982" w14:textId="547EECC3" w:rsidR="00E3048C" w:rsidRPr="00856EE6" w:rsidRDefault="00E3048C" w:rsidP="003C1BC1">
      <w:pPr>
        <w:spacing w:line="360" w:lineRule="auto"/>
        <w:rPr>
          <w:lang w:val="en-GB"/>
        </w:rPr>
      </w:pPr>
      <w:r w:rsidRPr="00856EE6">
        <w:rPr>
          <w:lang w:val="en-GB"/>
        </w:rPr>
        <w:lastRenderedPageBreak/>
        <w:t>In the press release of January 15, 2020, AGCM imposed a fine of 5 million euros on ENI for misleading advertising related to the ENI Diesel+ campaign. The alleged reductions in emissions and consumption were attributed to the 'Green Diesel' (HVO) component without any basis, causing confusion among consumers.</w:t>
      </w:r>
      <w:r w:rsidRPr="00856EE6">
        <w:rPr>
          <w:lang w:val="en-GB"/>
        </w:rPr>
        <w:footnoteReference w:id="12"/>
      </w:r>
    </w:p>
    <w:p w14:paraId="29381F8C" w14:textId="77777777" w:rsidR="003C1BC1" w:rsidRPr="00856EE6" w:rsidRDefault="003C1BC1" w:rsidP="003C1BC1">
      <w:pPr>
        <w:spacing w:line="360" w:lineRule="auto"/>
        <w:rPr>
          <w:b/>
          <w:bCs/>
          <w:lang w:val="en-GB"/>
        </w:rPr>
      </w:pPr>
      <w:r w:rsidRPr="00856EE6">
        <w:rPr>
          <w:b/>
          <w:bCs/>
          <w:lang w:val="en-GB"/>
        </w:rPr>
        <w:t>Coca-Cola: the “World Without Waste” claim and the use of plastic</w:t>
      </w:r>
    </w:p>
    <w:p w14:paraId="3E1F3F3F" w14:textId="153B423C" w:rsidR="00761570" w:rsidRPr="00761570" w:rsidRDefault="003C1BC1" w:rsidP="00761570">
      <w:pPr>
        <w:spacing w:line="360" w:lineRule="auto"/>
        <w:rPr>
          <w:lang w:val="en-GB"/>
        </w:rPr>
      </w:pPr>
      <w:r w:rsidRPr="00856EE6">
        <w:rPr>
          <w:lang w:val="en-GB"/>
        </w:rPr>
        <w:t xml:space="preserve">Coca-Cola launched </w:t>
      </w:r>
      <w:r w:rsidR="00A85BDB" w:rsidRPr="00856EE6">
        <w:rPr>
          <w:lang w:val="en-GB"/>
        </w:rPr>
        <w:t xml:space="preserve">in 2018 </w:t>
      </w:r>
      <w:r w:rsidRPr="00856EE6">
        <w:rPr>
          <w:lang w:val="en-GB"/>
        </w:rPr>
        <w:t>the “World Without Waste” campaign, stating its intention to reduce the environmental impact of its products.</w:t>
      </w:r>
      <w:r w:rsidR="00481AE8" w:rsidRPr="00856EE6">
        <w:rPr>
          <w:lang w:val="en-GB"/>
        </w:rPr>
        <w:t xml:space="preserve"> </w:t>
      </w:r>
      <w:r w:rsidR="00761570" w:rsidRPr="00761570">
        <w:rPr>
          <w:lang w:val="en-GB"/>
        </w:rPr>
        <w:t xml:space="preserve">Under </w:t>
      </w:r>
      <w:r w:rsidR="00481AE8" w:rsidRPr="00856EE6">
        <w:rPr>
          <w:lang w:val="en-GB"/>
        </w:rPr>
        <w:t xml:space="preserve">this </w:t>
      </w:r>
      <w:r w:rsidR="00761570" w:rsidRPr="00761570">
        <w:rPr>
          <w:lang w:val="en-GB"/>
        </w:rPr>
        <w:t xml:space="preserve">initiative, Coca-Cola set goals </w:t>
      </w:r>
      <w:r w:rsidR="00F46E4F" w:rsidRPr="00856EE6">
        <w:rPr>
          <w:lang w:val="en-GB"/>
        </w:rPr>
        <w:t>for</w:t>
      </w:r>
      <w:r w:rsidR="00761570" w:rsidRPr="00761570">
        <w:rPr>
          <w:lang w:val="en-GB"/>
        </w:rPr>
        <w:t>:</w:t>
      </w:r>
    </w:p>
    <w:p w14:paraId="4FCA360B" w14:textId="77777777" w:rsidR="00761570" w:rsidRPr="00761570" w:rsidRDefault="00761570">
      <w:pPr>
        <w:numPr>
          <w:ilvl w:val="0"/>
          <w:numId w:val="8"/>
        </w:numPr>
        <w:tabs>
          <w:tab w:val="num" w:pos="720"/>
        </w:tabs>
        <w:spacing w:line="360" w:lineRule="auto"/>
        <w:rPr>
          <w:lang w:val="en-GB"/>
        </w:rPr>
      </w:pPr>
      <w:r w:rsidRPr="00761570">
        <w:rPr>
          <w:lang w:val="en-GB"/>
        </w:rPr>
        <w:t>Recycled Content: Incorporate 35% to 40% recycled material in primary packaging, with a target of 30% to 35% recycled plastic globally by 2035.</w:t>
      </w:r>
    </w:p>
    <w:p w14:paraId="5766C1B0" w14:textId="15DEE36E" w:rsidR="00761570" w:rsidRPr="00856EE6" w:rsidRDefault="00761570">
      <w:pPr>
        <w:numPr>
          <w:ilvl w:val="0"/>
          <w:numId w:val="8"/>
        </w:numPr>
        <w:spacing w:line="360" w:lineRule="auto"/>
        <w:rPr>
          <w:lang w:val="en-GB"/>
        </w:rPr>
      </w:pPr>
      <w:r w:rsidRPr="00761570">
        <w:rPr>
          <w:lang w:val="en-GB"/>
        </w:rPr>
        <w:t>Collection and Recycling: Collect and recycle 70% to 75% of the equivalent number of bottles and cans introduced into the market annually by 2035</w:t>
      </w:r>
      <w:r w:rsidRPr="00856EE6">
        <w:rPr>
          <w:lang w:val="en-GB"/>
        </w:rPr>
        <w:footnoteReference w:id="13"/>
      </w:r>
    </w:p>
    <w:p w14:paraId="3D5CA882" w14:textId="039FB21B" w:rsidR="00833EF4" w:rsidRPr="00856EE6" w:rsidRDefault="003C1BC1" w:rsidP="003C1BC1">
      <w:pPr>
        <w:spacing w:line="360" w:lineRule="auto"/>
        <w:rPr>
          <w:lang w:val="en-GB"/>
        </w:rPr>
      </w:pPr>
      <w:r w:rsidRPr="00856EE6">
        <w:rPr>
          <w:lang w:val="en-GB"/>
        </w:rPr>
        <w:t>However, it has repeatedly been identified as one of the biggest contributors to plastic pollution globally.</w:t>
      </w:r>
      <w:r w:rsidR="0012416E" w:rsidRPr="00856EE6">
        <w:rPr>
          <w:lang w:val="en-GB"/>
        </w:rPr>
        <w:t xml:space="preserve"> In 2023, Coca-Cola was the largest contributor to branded plastic waste, responsible for 11% of all branded plastic identified in global audits</w:t>
      </w:r>
      <w:r w:rsidR="0012416E" w:rsidRPr="00856EE6">
        <w:rPr>
          <w:lang w:val="en-GB"/>
        </w:rPr>
        <w:footnoteReference w:id="14"/>
      </w:r>
      <w:r w:rsidR="0012416E" w:rsidRPr="00856EE6">
        <w:rPr>
          <w:lang w:val="en-GB"/>
        </w:rPr>
        <w:t>.</w:t>
      </w:r>
    </w:p>
    <w:p w14:paraId="65258A81" w14:textId="77777777" w:rsidR="003C1BC1" w:rsidRPr="00856EE6" w:rsidRDefault="003C1BC1" w:rsidP="003C1BC1">
      <w:pPr>
        <w:spacing w:line="360" w:lineRule="auto"/>
        <w:rPr>
          <w:lang w:val="en-GB"/>
        </w:rPr>
      </w:pPr>
      <w:r w:rsidRPr="00856EE6">
        <w:rPr>
          <w:lang w:val="en-GB"/>
        </w:rPr>
        <w:t>Shein: misleading communication and unverified environmental promises</w:t>
      </w:r>
    </w:p>
    <w:p w14:paraId="1D3F130A" w14:textId="2EF9DC2D" w:rsidR="00283A25" w:rsidRDefault="003C1BC1" w:rsidP="0002595B">
      <w:pPr>
        <w:spacing w:line="360" w:lineRule="auto"/>
        <w:rPr>
          <w:rFonts w:ascii="Times New Roman" w:hAnsi="Times New Roman" w:cs="Times New Roman"/>
          <w:lang w:val="en-US"/>
        </w:rPr>
      </w:pPr>
      <w:r w:rsidRPr="00856EE6">
        <w:rPr>
          <w:lang w:val="en-GB"/>
        </w:rPr>
        <w:t>In Italy</w:t>
      </w:r>
      <w:r w:rsidR="00707EE0" w:rsidRPr="00856EE6">
        <w:rPr>
          <w:lang w:val="en-GB"/>
        </w:rPr>
        <w:t xml:space="preserve"> </w:t>
      </w:r>
      <w:r w:rsidRPr="00856EE6">
        <w:rPr>
          <w:lang w:val="en-GB"/>
        </w:rPr>
        <w:t>AGC</w:t>
      </w:r>
      <w:r w:rsidR="00707EE0" w:rsidRPr="00856EE6">
        <w:rPr>
          <w:lang w:val="en-GB"/>
        </w:rPr>
        <w:t>M</w:t>
      </w:r>
      <w:r w:rsidRPr="00856EE6">
        <w:rPr>
          <w:lang w:val="en-GB"/>
        </w:rPr>
        <w:t xml:space="preserve"> has sanctioned Shein for vague, misleading, or false green claims published on the website it.shein.com and on related information and promotional channels. </w:t>
      </w:r>
      <w:r w:rsidR="00283A25" w:rsidRPr="00283A25">
        <w:rPr>
          <w:lang w:val="en-US"/>
        </w:rPr>
        <w:t>The AGCM discovered that from the collection 'evoluSHEIN by Design' only a small fraction of the entire catalog, and that the pieces from this line could not be defined as 'totally recyclable', as claimed.</w:t>
      </w:r>
      <w:r w:rsidR="008033B3">
        <w:rPr>
          <w:rStyle w:val="Rimandonotaapidipagina"/>
          <w:rFonts w:ascii="Times New Roman" w:hAnsi="Times New Roman" w:cs="Times New Roman"/>
          <w:lang w:val="en-US"/>
        </w:rPr>
        <w:footnoteReference w:id="15"/>
      </w:r>
      <w:bookmarkStart w:id="18" w:name="_Toc207225637"/>
      <w:bookmarkStart w:id="19" w:name="_Toc207471588"/>
      <w:bookmarkStart w:id="20" w:name="_Hlk75248798"/>
      <w:bookmarkEnd w:id="10"/>
    </w:p>
    <w:p w14:paraId="31D4460A" w14:textId="396CC7F0" w:rsidR="005C0EFF" w:rsidRPr="006E740E" w:rsidRDefault="005C0EFF" w:rsidP="00364C7D">
      <w:pPr>
        <w:pStyle w:val="Titolo1"/>
        <w:numPr>
          <w:ilvl w:val="0"/>
          <w:numId w:val="0"/>
        </w:numPr>
        <w:rPr>
          <w:rFonts w:ascii="Times New Roman" w:hAnsi="Times New Roman" w:cs="Times New Roman"/>
          <w:lang w:val="en-US"/>
        </w:rPr>
      </w:pPr>
      <w:r>
        <w:rPr>
          <w:rFonts w:ascii="Times New Roman" w:hAnsi="Times New Roman" w:cs="Times New Roman"/>
          <w:lang w:val="en-US"/>
        </w:rPr>
        <w:lastRenderedPageBreak/>
        <w:t>2</w:t>
      </w:r>
      <w:r w:rsidRPr="006E740E">
        <w:rPr>
          <w:rFonts w:ascii="Times New Roman" w:hAnsi="Times New Roman" w:cs="Times New Roman"/>
          <w:lang w:val="en-US"/>
        </w:rPr>
        <w:t xml:space="preserve"> - Integrating sustainability into finance</w:t>
      </w:r>
      <w:bookmarkEnd w:id="18"/>
      <w:bookmarkEnd w:id="19"/>
    </w:p>
    <w:p w14:paraId="57B02D0E" w14:textId="77777777" w:rsidR="00A207CB" w:rsidRPr="006E740E" w:rsidRDefault="00A207CB" w:rsidP="00A207CB">
      <w:pPr>
        <w:pStyle w:val="Titolo2"/>
        <w:numPr>
          <w:ilvl w:val="0"/>
          <w:numId w:val="0"/>
        </w:numPr>
        <w:ind w:left="851" w:hanging="851"/>
        <w:rPr>
          <w:rFonts w:ascii="Times New Roman" w:hAnsi="Times New Roman" w:cs="Times New Roman"/>
          <w:lang w:val="en-US"/>
        </w:rPr>
      </w:pPr>
      <w:bookmarkStart w:id="21" w:name="_Toc207225638"/>
      <w:bookmarkStart w:id="22" w:name="_Toc207471589"/>
      <w:r w:rsidRPr="006E740E">
        <w:rPr>
          <w:rFonts w:ascii="Times New Roman" w:hAnsi="Times New Roman" w:cs="Times New Roman"/>
          <w:lang w:val="en-US"/>
        </w:rPr>
        <w:t>2.1 Sustainable finance: definition and evolutionary trends</w:t>
      </w:r>
      <w:bookmarkEnd w:id="21"/>
      <w:bookmarkEnd w:id="22"/>
    </w:p>
    <w:p w14:paraId="1CBD60FB" w14:textId="55FA304E" w:rsidR="00A207CB" w:rsidRDefault="00A207CB" w:rsidP="00A207CB">
      <w:pPr>
        <w:rPr>
          <w:lang w:val="en-GB"/>
        </w:rPr>
      </w:pPr>
      <w:r w:rsidRPr="006E740E">
        <w:rPr>
          <w:rFonts w:ascii="Times New Roman" w:hAnsi="Times New Roman" w:cs="Times New Roman"/>
          <w:i/>
          <w:iCs/>
          <w:lang w:val="en-US"/>
        </w:rPr>
        <w:t>"</w:t>
      </w:r>
      <w:r w:rsidRPr="00364C7D">
        <w:rPr>
          <w:i/>
          <w:iCs/>
          <w:lang w:val="en-GB"/>
        </w:rPr>
        <w:t>The social responsibilities of businesspeople must be commensurate with their social power and that avoiding this obligation would lead to a decrease in the social power of the company</w:t>
      </w:r>
      <w:r w:rsidRPr="00364C7D">
        <w:rPr>
          <w:sz w:val="20"/>
          <w:szCs w:val="18"/>
          <w:lang w:val="en-GB"/>
        </w:rPr>
        <w:t>”.</w:t>
      </w:r>
      <w:r w:rsidR="00D678B6" w:rsidRPr="00364C7D">
        <w:rPr>
          <w:lang w:val="en-GB"/>
        </w:rPr>
        <w:t xml:space="preserve"> </w:t>
      </w:r>
      <w:r w:rsidRPr="00364C7D">
        <w:rPr>
          <w:lang w:val="en-GB"/>
        </w:rPr>
        <w:t>K. DAVIS, “Can business afford to ignore social responsibilities?”</w:t>
      </w:r>
    </w:p>
    <w:p w14:paraId="4364148E" w14:textId="77777777" w:rsidR="00DE2D85" w:rsidRPr="006E740E" w:rsidRDefault="00DE2D85" w:rsidP="00A207CB">
      <w:pPr>
        <w:rPr>
          <w:rFonts w:ascii="Times New Roman" w:hAnsi="Times New Roman" w:cs="Times New Roman"/>
          <w:i/>
          <w:iCs/>
          <w:lang w:val="en-US"/>
        </w:rPr>
      </w:pPr>
    </w:p>
    <w:bookmarkEnd w:id="20"/>
    <w:p w14:paraId="7C549043" w14:textId="6351A54C" w:rsidR="00DE2D85" w:rsidRPr="00DE2D85" w:rsidRDefault="00DE2D85" w:rsidP="00DE2D85">
      <w:pPr>
        <w:spacing w:line="360" w:lineRule="auto"/>
        <w:rPr>
          <w:lang w:val="en-GB"/>
        </w:rPr>
      </w:pPr>
      <w:r w:rsidRPr="00DE2D85">
        <w:rPr>
          <w:lang w:val="en-GB"/>
        </w:rPr>
        <w:t xml:space="preserve">In the previous chapter we looked at the different types of reporting on environmental, social, and governance issues, and we saw how sustainability is a highly influential issue in today's market. </w:t>
      </w:r>
      <w:r w:rsidR="007C7069">
        <w:rPr>
          <w:lang w:val="en-GB"/>
        </w:rPr>
        <w:t>ES</w:t>
      </w:r>
      <w:r w:rsidR="00E55129">
        <w:rPr>
          <w:lang w:val="en-GB"/>
        </w:rPr>
        <w:t xml:space="preserve">G reporting, as we said, can give to clients, but also people </w:t>
      </w:r>
      <w:r w:rsidR="005B1C59">
        <w:rPr>
          <w:lang w:val="en-GB"/>
        </w:rPr>
        <w:t xml:space="preserve">interested, </w:t>
      </w:r>
      <w:r w:rsidR="005B1C59" w:rsidRPr="00DE2D85">
        <w:rPr>
          <w:lang w:val="en-GB"/>
        </w:rPr>
        <w:t>information</w:t>
      </w:r>
      <w:r w:rsidRPr="00DE2D85">
        <w:rPr>
          <w:lang w:val="en-GB"/>
        </w:rPr>
        <w:t xml:space="preserve"> about the environmental impact of what they use or buy, and the different strategies adopted by companies regarding social and/or environmental issues can be a reason for choosing one company over another. But sustainability is not just an attempt to advertise to customers, some with catastrophic results, as in the cases of greenwashing illustrated above, or to position oneself with respect to competitors in one's sector.</w:t>
      </w:r>
    </w:p>
    <w:p w14:paraId="532F5D63" w14:textId="24FF958E" w:rsidR="00DE2D85" w:rsidRPr="00DE2D85" w:rsidRDefault="005B1C59" w:rsidP="00DE2D85">
      <w:pPr>
        <w:spacing w:line="360" w:lineRule="auto"/>
        <w:rPr>
          <w:lang w:val="en-GB"/>
        </w:rPr>
      </w:pPr>
      <w:r>
        <w:rPr>
          <w:lang w:val="en-GB"/>
        </w:rPr>
        <w:t>During t</w:t>
      </w:r>
      <w:r w:rsidR="00DE2D85" w:rsidRPr="00DE2D85">
        <w:rPr>
          <w:lang w:val="en-GB"/>
        </w:rPr>
        <w:t>he United Nations conference in Stockholm</w:t>
      </w:r>
      <w:r>
        <w:rPr>
          <w:lang w:val="en-GB"/>
        </w:rPr>
        <w:t xml:space="preserve"> </w:t>
      </w:r>
      <w:r w:rsidR="00DE2D85" w:rsidRPr="00DE2D85">
        <w:rPr>
          <w:lang w:val="en-GB"/>
        </w:rPr>
        <w:t xml:space="preserve">in 1972 </w:t>
      </w:r>
      <w:r>
        <w:rPr>
          <w:lang w:val="en-GB"/>
        </w:rPr>
        <w:t>there was</w:t>
      </w:r>
      <w:r w:rsidR="00DE2D85" w:rsidRPr="00DE2D85">
        <w:rPr>
          <w:lang w:val="en-GB"/>
        </w:rPr>
        <w:t xml:space="preserve"> the introduction of the concept of sustainable development; </w:t>
      </w:r>
      <w:r w:rsidR="00DB3A2B">
        <w:rPr>
          <w:lang w:val="en-GB"/>
        </w:rPr>
        <w:t xml:space="preserve">50 years </w:t>
      </w:r>
      <w:r w:rsidR="003133FD">
        <w:rPr>
          <w:lang w:val="en-GB"/>
        </w:rPr>
        <w:t xml:space="preserve">ago </w:t>
      </w:r>
      <w:r w:rsidR="00DB3A2B">
        <w:rPr>
          <w:lang w:val="en-GB"/>
        </w:rPr>
        <w:t>was</w:t>
      </w:r>
      <w:r w:rsidR="00DE2D85" w:rsidRPr="00DE2D85">
        <w:rPr>
          <w:lang w:val="en-GB"/>
        </w:rPr>
        <w:t xml:space="preserve"> emphasized</w:t>
      </w:r>
      <w:r w:rsidR="00DB3A2B">
        <w:rPr>
          <w:lang w:val="en-GB"/>
        </w:rPr>
        <w:t xml:space="preserve"> already</w:t>
      </w:r>
      <w:r w:rsidR="00DE2D85" w:rsidRPr="00DE2D85">
        <w:rPr>
          <w:lang w:val="en-GB"/>
        </w:rPr>
        <w:t xml:space="preserve"> the need for changes in economic development policy, </w:t>
      </w:r>
      <w:r w:rsidR="0064315B">
        <w:rPr>
          <w:lang w:val="en-GB"/>
        </w:rPr>
        <w:t>alarming</w:t>
      </w:r>
      <w:r w:rsidR="00DE2D85" w:rsidRPr="00DE2D85">
        <w:rPr>
          <w:lang w:val="en-GB"/>
        </w:rPr>
        <w:t xml:space="preserve"> all countries </w:t>
      </w:r>
      <w:r w:rsidR="0064315B">
        <w:rPr>
          <w:lang w:val="en-GB"/>
        </w:rPr>
        <w:t xml:space="preserve">and governments </w:t>
      </w:r>
      <w:r w:rsidR="00DE2D85" w:rsidRPr="00DE2D85">
        <w:rPr>
          <w:lang w:val="en-GB"/>
        </w:rPr>
        <w:t xml:space="preserve">to </w:t>
      </w:r>
      <w:r w:rsidR="0031235B">
        <w:rPr>
          <w:lang w:val="en-GB"/>
        </w:rPr>
        <w:t xml:space="preserve">begin to </w:t>
      </w:r>
      <w:r w:rsidR="0064315B">
        <w:rPr>
          <w:lang w:val="en-GB"/>
        </w:rPr>
        <w:t>apply</w:t>
      </w:r>
      <w:r w:rsidR="00DE2D85" w:rsidRPr="00DE2D85">
        <w:rPr>
          <w:lang w:val="en-GB"/>
        </w:rPr>
        <w:t xml:space="preserve"> environmental management policies in investment decisions.</w:t>
      </w:r>
      <w:r w:rsidR="0031235B">
        <w:rPr>
          <w:lang w:val="en-GB"/>
        </w:rPr>
        <w:t xml:space="preserve"> </w:t>
      </w:r>
      <w:r w:rsidR="00DE2D85" w:rsidRPr="00DE2D85">
        <w:rPr>
          <w:lang w:val="en-GB"/>
        </w:rPr>
        <w:t>Years after the Stockholm Conference (between the late 1980s and early 1990s) an international institution known as the World Commission on Environment and Development (WCED) drafted a report on human development, “Our Common Future” 26, defining for the first time the notion and concept of sustainable development.</w:t>
      </w:r>
    </w:p>
    <w:p w14:paraId="6115C444" w14:textId="13746A85" w:rsidR="00547D4C" w:rsidRDefault="00A94A69" w:rsidP="00547D4C">
      <w:pPr>
        <w:pStyle w:val="Testonotaapidipagina"/>
        <w:rPr>
          <w:lang w:val="en-GB"/>
        </w:rPr>
      </w:pPr>
      <w:r w:rsidRPr="00552967">
        <w:rPr>
          <w:rFonts w:ascii="Palatino Linotype" w:hAnsi="Palatino Linotype"/>
          <w:sz w:val="24"/>
          <w:szCs w:val="22"/>
          <w:lang w:val="en-GB"/>
        </w:rPr>
        <w:t xml:space="preserve">The goal was to introduce a new model of corporate governance that linked the social and environmental impacts of companies to their financial/commercial operations and their relationships with stakeholders, thereby giving companies a guide for a sustainable economic future without harming the environment, evading their social responsibilities, or neglecting consumer interests, thus emphasizing the role of "finance" as a promoter and engine of growth for sustainable investments and a more </w:t>
      </w:r>
      <w:r w:rsidRPr="00552967">
        <w:rPr>
          <w:rFonts w:ascii="Palatino Linotype" w:hAnsi="Palatino Linotype"/>
          <w:sz w:val="24"/>
          <w:szCs w:val="22"/>
          <w:lang w:val="en-GB"/>
        </w:rPr>
        <w:lastRenderedPageBreak/>
        <w:t>transparent relationship with everyone</w:t>
      </w:r>
      <w:r w:rsidR="00DE2D85" w:rsidRPr="00552967">
        <w:rPr>
          <w:rFonts w:ascii="Palatino Linotype" w:hAnsi="Palatino Linotype"/>
          <w:sz w:val="24"/>
          <w:szCs w:val="22"/>
          <w:lang w:val="en-GB"/>
        </w:rPr>
        <w:t>.</w:t>
      </w:r>
      <w:r w:rsidR="003A662F" w:rsidRPr="00552967">
        <w:rPr>
          <w:rFonts w:ascii="Palatino Linotype" w:hAnsi="Palatino Linotype"/>
          <w:sz w:val="24"/>
          <w:szCs w:val="22"/>
          <w:lang w:val="en-GB"/>
        </w:rPr>
        <w:t xml:space="preserve"> </w:t>
      </w:r>
      <w:r w:rsidR="00DE2D85" w:rsidRPr="00552967">
        <w:rPr>
          <w:rFonts w:ascii="Palatino Linotype" w:hAnsi="Palatino Linotype"/>
          <w:sz w:val="24"/>
          <w:szCs w:val="22"/>
          <w:lang w:val="en-GB"/>
        </w:rPr>
        <w:t>Sustainable Finance (in the</w:t>
      </w:r>
      <w:r w:rsidR="00563137" w:rsidRPr="00552967">
        <w:rPr>
          <w:rFonts w:ascii="Palatino Linotype" w:hAnsi="Palatino Linotype"/>
          <w:sz w:val="24"/>
          <w:szCs w:val="22"/>
          <w:lang w:val="en-GB"/>
        </w:rPr>
        <w:t xml:space="preserve"> most widely accepted</w:t>
      </w:r>
      <w:r w:rsidR="00DE2D85" w:rsidRPr="00552967">
        <w:rPr>
          <w:rFonts w:ascii="Palatino Linotype" w:hAnsi="Palatino Linotype"/>
          <w:sz w:val="24"/>
          <w:szCs w:val="22"/>
          <w:lang w:val="en-GB"/>
        </w:rPr>
        <w:t xml:space="preserve"> definition) </w:t>
      </w:r>
      <w:r w:rsidR="003A662F" w:rsidRPr="00552967">
        <w:rPr>
          <w:rFonts w:ascii="Palatino Linotype" w:hAnsi="Palatino Linotype"/>
          <w:sz w:val="24"/>
          <w:szCs w:val="22"/>
          <w:lang w:val="en-GB"/>
        </w:rPr>
        <w:t xml:space="preserve">collect </w:t>
      </w:r>
      <w:r w:rsidR="00DE2D85" w:rsidRPr="00552967">
        <w:rPr>
          <w:rFonts w:ascii="Palatino Linotype" w:hAnsi="Palatino Linotype"/>
          <w:sz w:val="24"/>
          <w:szCs w:val="22"/>
          <w:lang w:val="en-GB"/>
        </w:rPr>
        <w:t>all investment strategies that, directly or indirectly, aim to achieve a socially shared return together with the expected economic return on the investment</w:t>
      </w:r>
      <w:r w:rsidR="00552967" w:rsidRPr="00552967">
        <w:rPr>
          <w:rFonts w:ascii="Palatino Linotype" w:hAnsi="Palatino Linotype"/>
          <w:sz w:val="24"/>
          <w:szCs w:val="22"/>
          <w:lang w:val="en-GB"/>
        </w:rPr>
        <w:t xml:space="preserve"> (</w:t>
      </w:r>
      <w:r w:rsidR="00552967" w:rsidRPr="00751015">
        <w:rPr>
          <w:rFonts w:ascii="Palatino Linotype" w:hAnsi="Palatino Linotype"/>
          <w:i/>
          <w:iCs/>
          <w:sz w:val="24"/>
          <w:szCs w:val="22"/>
          <w:lang w:val="en-GB"/>
        </w:rPr>
        <w:t>A.</w:t>
      </w:r>
      <w:r w:rsidR="00547D4C" w:rsidRPr="00751015">
        <w:rPr>
          <w:rFonts w:ascii="Palatino Linotype" w:hAnsi="Palatino Linotype"/>
          <w:i/>
          <w:iCs/>
          <w:sz w:val="24"/>
          <w:szCs w:val="22"/>
          <w:lang w:val="en-GB"/>
        </w:rPr>
        <w:t>Del Giudice</w:t>
      </w:r>
      <w:r w:rsidR="00552967" w:rsidRPr="00751015">
        <w:rPr>
          <w:rFonts w:ascii="Palatino Linotype" w:hAnsi="Palatino Linotype"/>
          <w:i/>
          <w:iCs/>
          <w:sz w:val="24"/>
          <w:szCs w:val="22"/>
          <w:lang w:val="en-GB"/>
        </w:rPr>
        <w:t xml:space="preserve"> (2019)</w:t>
      </w:r>
      <w:r w:rsidR="00547D4C" w:rsidRPr="00751015">
        <w:rPr>
          <w:rFonts w:ascii="Palatino Linotype" w:hAnsi="Palatino Linotype"/>
          <w:i/>
          <w:iCs/>
          <w:sz w:val="24"/>
          <w:szCs w:val="22"/>
          <w:lang w:val="en-GB"/>
        </w:rPr>
        <w:t>.</w:t>
      </w:r>
      <w:r w:rsidR="00552967" w:rsidRPr="00751015">
        <w:rPr>
          <w:rFonts w:ascii="Palatino Linotype" w:hAnsi="Palatino Linotype"/>
          <w:i/>
          <w:iCs/>
          <w:sz w:val="24"/>
          <w:szCs w:val="22"/>
          <w:lang w:val="en-GB"/>
        </w:rPr>
        <w:t xml:space="preserve"> “La finanza sostenibile”</w:t>
      </w:r>
      <w:r w:rsidR="00547D4C">
        <w:rPr>
          <w:rFonts w:ascii="Palatino Linotype" w:hAnsi="Palatino Linotype"/>
          <w:sz w:val="24"/>
          <w:szCs w:val="22"/>
          <w:lang w:val="en-GB"/>
        </w:rPr>
        <w:t>)</w:t>
      </w:r>
    </w:p>
    <w:p w14:paraId="66094931" w14:textId="77777777" w:rsidR="00547D4C" w:rsidRDefault="00547D4C" w:rsidP="00547D4C">
      <w:pPr>
        <w:pStyle w:val="Testonotaapidipagina"/>
        <w:rPr>
          <w:lang w:val="en-GB"/>
        </w:rPr>
      </w:pPr>
    </w:p>
    <w:p w14:paraId="5B1E9354" w14:textId="27083153" w:rsidR="00DE2D85" w:rsidRPr="001E14EF" w:rsidRDefault="00D02483" w:rsidP="00547D4C">
      <w:pPr>
        <w:pStyle w:val="Testonotaapidipagina"/>
        <w:rPr>
          <w:lang w:val="en-US"/>
        </w:rPr>
      </w:pPr>
      <w:r w:rsidRPr="00547D4C">
        <w:rPr>
          <w:rFonts w:ascii="Palatino Linotype" w:hAnsi="Palatino Linotype"/>
          <w:sz w:val="24"/>
          <w:szCs w:val="22"/>
          <w:lang w:val="en-US"/>
        </w:rPr>
        <w:t>Sustainable finance has made significant progress in gaining recognition, also due to the numerous issues encountered with having different ESG performance measurement tools, thus showing confusion and inconsistency in observing and evaluating results</w:t>
      </w:r>
      <w:r w:rsidR="00547D4C">
        <w:rPr>
          <w:rFonts w:ascii="Palatino Linotype" w:hAnsi="Palatino Linotype"/>
          <w:sz w:val="24"/>
          <w:szCs w:val="22"/>
          <w:lang w:val="en-US"/>
        </w:rPr>
        <w:t xml:space="preserve"> </w:t>
      </w:r>
      <w:r w:rsidR="001E14EF" w:rsidRPr="001E14EF">
        <w:rPr>
          <w:rFonts w:ascii="Palatino Linotype" w:hAnsi="Palatino Linotype"/>
          <w:sz w:val="24"/>
          <w:szCs w:val="22"/>
          <w:lang w:val="en-GB"/>
        </w:rPr>
        <w:t>(</w:t>
      </w:r>
      <w:r w:rsidR="001E14EF" w:rsidRPr="00D678B6">
        <w:rPr>
          <w:rFonts w:ascii="Palatino Linotype" w:hAnsi="Palatino Linotype"/>
          <w:i/>
          <w:iCs/>
          <w:sz w:val="24"/>
          <w:szCs w:val="22"/>
          <w:lang w:val="en-GB"/>
        </w:rPr>
        <w:t>A.Viscovi, C.Tintori, A.Di Turi. 2020. “Guida alla finanza sostenibile per investitori cattolici” pag.11</w:t>
      </w:r>
      <w:r w:rsidR="001E14EF">
        <w:rPr>
          <w:lang w:val="en-US"/>
        </w:rPr>
        <w:t>)</w:t>
      </w:r>
      <w:r w:rsidR="00DE2D85" w:rsidRPr="00DE2D85">
        <w:rPr>
          <w:lang w:val="en-GB"/>
        </w:rPr>
        <w:t>.</w:t>
      </w:r>
    </w:p>
    <w:p w14:paraId="29D97CD0" w14:textId="22A27E34" w:rsidR="00A27D8E" w:rsidRDefault="00A27D8E" w:rsidP="00DE2D85">
      <w:pPr>
        <w:spacing w:line="360" w:lineRule="auto"/>
        <w:rPr>
          <w:lang w:val="en-US"/>
        </w:rPr>
      </w:pPr>
      <w:r>
        <w:rPr>
          <w:lang w:val="en-US"/>
        </w:rPr>
        <w:t>S</w:t>
      </w:r>
      <w:r w:rsidRPr="00A27D8E">
        <w:rPr>
          <w:lang w:val="en-US"/>
        </w:rPr>
        <w:t>ustainable finance wanted to go a step further than the traditional financial system, where the sole objective is profit.</w:t>
      </w:r>
      <w:r>
        <w:rPr>
          <w:lang w:val="en-US"/>
        </w:rPr>
        <w:t xml:space="preserve"> </w:t>
      </w:r>
      <w:r w:rsidR="00000268">
        <w:rPr>
          <w:lang w:val="en-US"/>
        </w:rPr>
        <w:t>Nowadays</w:t>
      </w:r>
      <w:r w:rsidRPr="00A27D8E">
        <w:rPr>
          <w:lang w:val="en-US"/>
        </w:rPr>
        <w:t>, alongside greater knowledge of ESG dynamics, there is a different approach to capital allocation; capital is used to finance activities and projects that offer both positive financial returns and social and environmental benefits.</w:t>
      </w:r>
    </w:p>
    <w:p w14:paraId="72B7EEA8" w14:textId="77777777" w:rsidR="00B45B93" w:rsidRPr="00CC4042" w:rsidRDefault="00CA508F" w:rsidP="00B45B93">
      <w:pPr>
        <w:keepNext/>
        <w:spacing w:line="360" w:lineRule="auto"/>
        <w:rPr>
          <w:lang w:val="en-US"/>
        </w:rPr>
      </w:pPr>
      <w:r w:rsidRPr="00CA508F">
        <w:rPr>
          <w:lang w:val="en-US"/>
        </w:rPr>
        <w:t xml:space="preserve">SRI (Socially Responsible Investment) generally comes in three forms: investment screening, shareholder activism, and community economic development. As shown in the following chart, sustainable financial instruments, or green financial </w:t>
      </w:r>
      <w:r w:rsidR="004A6E95" w:rsidRPr="00CA508F">
        <w:rPr>
          <w:lang w:val="en-US"/>
        </w:rPr>
        <w:t>instruments</w:t>
      </w:r>
      <w:r w:rsidRPr="00CA508F">
        <w:rPr>
          <w:lang w:val="en-US"/>
        </w:rPr>
        <w:t xml:space="preserve"> and sustainable investment strategies, are increasingly used in the markets: investing in sustainable activities and projects is no longer a 'niche' activity, but an increasingly </w:t>
      </w:r>
      <w:r w:rsidRPr="00CA508F">
        <w:rPr>
          <w:lang w:val="en-US"/>
        </w:rPr>
        <w:lastRenderedPageBreak/>
        <w:t>important part of investors' financial decisions</w:t>
      </w:r>
      <w:r w:rsidR="00611AC7">
        <w:rPr>
          <w:lang w:val="en-US"/>
        </w:rPr>
        <w:t>,</w:t>
      </w:r>
      <w:r w:rsidR="00611AC7" w:rsidRPr="00611AC7">
        <w:rPr>
          <w:rFonts w:ascii="Roboto" w:hAnsi="Roboto"/>
          <w:color w:val="111111"/>
          <w:sz w:val="27"/>
          <w:szCs w:val="27"/>
          <w:shd w:val="clear" w:color="auto" w:fill="F7F7F7"/>
          <w:lang w:val="en-US"/>
        </w:rPr>
        <w:t xml:space="preserve"> </w:t>
      </w:r>
      <w:r w:rsidR="00611AC7" w:rsidRPr="00611AC7">
        <w:rPr>
          <w:lang w:val="en-US"/>
        </w:rPr>
        <w:t>as will be analyzed in more detail later</w:t>
      </w:r>
      <w:r w:rsidRPr="00CA508F">
        <w:rPr>
          <w:lang w:val="en-US"/>
        </w:rPr>
        <w:t>.</w:t>
      </w:r>
      <w:r w:rsidR="00B852CA" w:rsidRPr="00B852CA">
        <w:rPr>
          <w:noProof/>
          <w:lang w:val="en-GB"/>
        </w:rPr>
        <w:drawing>
          <wp:inline distT="0" distB="0" distL="0" distR="0" wp14:anchorId="560D4BF2" wp14:editId="68DCEC7A">
            <wp:extent cx="5636260" cy="3594100"/>
            <wp:effectExtent l="0" t="0" r="2540" b="6350"/>
            <wp:docPr id="663725889" name="Immagine 1" descr="Immagine che contiene testo, schermata, linea, Policrom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725889" name="Immagine 1" descr="Immagine che contiene testo, schermata, linea, Policromia&#10;&#10;Il contenuto generato dall'IA potrebbe non essere corretto."/>
                    <pic:cNvPicPr/>
                  </pic:nvPicPr>
                  <pic:blipFill>
                    <a:blip r:embed="rId31"/>
                    <a:stretch>
                      <a:fillRect/>
                    </a:stretch>
                  </pic:blipFill>
                  <pic:spPr>
                    <a:xfrm>
                      <a:off x="0" y="0"/>
                      <a:ext cx="5636848" cy="3594475"/>
                    </a:xfrm>
                    <a:prstGeom prst="rect">
                      <a:avLst/>
                    </a:prstGeom>
                  </pic:spPr>
                </pic:pic>
              </a:graphicData>
            </a:graphic>
          </wp:inline>
        </w:drawing>
      </w:r>
    </w:p>
    <w:p w14:paraId="52D03E1A" w14:textId="2573C70E" w:rsidR="00B852CA" w:rsidRPr="004A0EDF" w:rsidRDefault="00B45B93" w:rsidP="004A0EDF">
      <w:pPr>
        <w:pStyle w:val="Didascalia"/>
        <w:jc w:val="both"/>
      </w:pPr>
      <w:r>
        <w:t xml:space="preserve">Figure </w:t>
      </w:r>
      <w:r>
        <w:fldChar w:fldCharType="begin"/>
      </w:r>
      <w:r>
        <w:instrText xml:space="preserve"> SEQ Figure \* ARABIC </w:instrText>
      </w:r>
      <w:r>
        <w:fldChar w:fldCharType="separate"/>
      </w:r>
      <w:r w:rsidR="008F724A">
        <w:rPr>
          <w:noProof/>
        </w:rPr>
        <w:t>2</w:t>
      </w:r>
      <w:r>
        <w:fldChar w:fldCharType="end"/>
      </w:r>
      <w:r w:rsidR="00E0456D">
        <w:t xml:space="preserve"> </w:t>
      </w:r>
      <w:r w:rsidR="00E0456D" w:rsidRPr="004A0EDF">
        <w:rPr>
          <w:i/>
          <w:iCs w:val="0"/>
          <w:sz w:val="24"/>
          <w:szCs w:val="20"/>
        </w:rPr>
        <w:t>Euro area issuances of sustainable debt</w:t>
      </w:r>
      <w:r w:rsidR="00E0456D">
        <w:t xml:space="preserve">, </w:t>
      </w:r>
      <w:r w:rsidR="00E0456D" w:rsidRPr="004A0EDF">
        <w:rPr>
          <w:i/>
          <w:iCs w:val="0"/>
        </w:rPr>
        <w:t xml:space="preserve">Left hand scale: </w:t>
      </w:r>
      <w:r w:rsidR="00A378E9" w:rsidRPr="004A0EDF">
        <w:rPr>
          <w:i/>
          <w:iCs w:val="0"/>
        </w:rPr>
        <w:t>outstanding amounts at face value (€); right hand</w:t>
      </w:r>
      <w:r w:rsidR="004A0EDF" w:rsidRPr="004A0EDF">
        <w:rPr>
          <w:i/>
          <w:iCs w:val="0"/>
        </w:rPr>
        <w:t xml:space="preserve"> scale: percentages)</w:t>
      </w:r>
      <w:r w:rsidR="00B852CA" w:rsidRPr="0058138B">
        <w:rPr>
          <w:rStyle w:val="Rimandonotaapidipagina"/>
          <w:sz w:val="28"/>
          <w:szCs w:val="24"/>
          <w:lang w:val="en-GB"/>
        </w:rPr>
        <w:footnoteReference w:id="16"/>
      </w:r>
    </w:p>
    <w:p w14:paraId="35776F67" w14:textId="1D2BF0A2" w:rsidR="00DE2D85" w:rsidRPr="001E1880" w:rsidRDefault="00514EA7" w:rsidP="001E1880">
      <w:pPr>
        <w:pStyle w:val="Testonotaapidipagina"/>
        <w:rPr>
          <w:rFonts w:ascii="Palatino Linotype" w:hAnsi="Palatino Linotype"/>
          <w:sz w:val="24"/>
          <w:szCs w:val="22"/>
          <w:lang w:val="en-GB"/>
        </w:rPr>
      </w:pPr>
      <w:r w:rsidRPr="001E1880">
        <w:rPr>
          <w:rFonts w:ascii="Palatino Linotype" w:hAnsi="Palatino Linotype"/>
          <w:sz w:val="24"/>
          <w:szCs w:val="22"/>
          <w:lang w:val="en-GB"/>
        </w:rPr>
        <w:t>Not only have financial instruments gained importance for companies' operations, but the integration of the concepts of 'sustainability', 'ecology', and many others into production activities has become fundamental and widely adopted by companies. A study by MSCI, conducted from 2015 to 2024, shows that the adoption of ecological and sustainable practices improves reputation and allows the company to be more competitive in the medium and long term; there is also greater appeal to investors attentive to ESG dynamics, and finally, companies benefit from lower financing costs and see a reduction in operational costs</w:t>
      </w:r>
      <w:r w:rsidR="00FC1072" w:rsidRPr="001E1880">
        <w:rPr>
          <w:rFonts w:ascii="Palatino Linotype" w:hAnsi="Palatino Linotype"/>
          <w:sz w:val="24"/>
          <w:szCs w:val="22"/>
          <w:lang w:val="en-GB"/>
        </w:rPr>
        <w:t>. (</w:t>
      </w:r>
      <w:r w:rsidR="00CE304A" w:rsidRPr="00751015">
        <w:rPr>
          <w:rFonts w:ascii="Palatino Linotype" w:hAnsi="Palatino Linotype"/>
          <w:i/>
          <w:iCs/>
          <w:sz w:val="24"/>
          <w:szCs w:val="22"/>
          <w:lang w:val="en-GB"/>
        </w:rPr>
        <w:t>J.</w:t>
      </w:r>
      <w:r w:rsidR="001E1880" w:rsidRPr="00751015">
        <w:rPr>
          <w:rFonts w:ascii="Palatino Linotype" w:hAnsi="Palatino Linotype"/>
          <w:i/>
          <w:iCs/>
          <w:sz w:val="24"/>
          <w:szCs w:val="22"/>
          <w:lang w:val="en-GB"/>
        </w:rPr>
        <w:t>Malich, A. Husi</w:t>
      </w:r>
      <w:r w:rsidR="00CE304A" w:rsidRPr="00751015">
        <w:rPr>
          <w:rFonts w:ascii="Palatino Linotype" w:hAnsi="Palatino Linotype"/>
          <w:i/>
          <w:iCs/>
          <w:sz w:val="24"/>
          <w:szCs w:val="22"/>
          <w:lang w:val="en-GB"/>
        </w:rPr>
        <w:t xml:space="preserve">. </w:t>
      </w:r>
      <w:r w:rsidR="001E1880" w:rsidRPr="00751015">
        <w:rPr>
          <w:rFonts w:ascii="Palatino Linotype" w:hAnsi="Palatino Linotype"/>
          <w:i/>
          <w:iCs/>
          <w:sz w:val="24"/>
          <w:szCs w:val="22"/>
          <w:lang w:val="en-GB"/>
        </w:rPr>
        <w:t>2025</w:t>
      </w:r>
      <w:r w:rsidR="00CE304A" w:rsidRPr="00751015">
        <w:rPr>
          <w:rFonts w:ascii="Palatino Linotype" w:hAnsi="Palatino Linotype"/>
          <w:i/>
          <w:iCs/>
          <w:sz w:val="24"/>
          <w:szCs w:val="22"/>
          <w:lang w:val="en-GB"/>
        </w:rPr>
        <w:t xml:space="preserve">. </w:t>
      </w:r>
      <w:r w:rsidR="00FC1072" w:rsidRPr="00751015">
        <w:rPr>
          <w:rFonts w:ascii="Palatino Linotype" w:hAnsi="Palatino Linotype"/>
          <w:i/>
          <w:iCs/>
          <w:sz w:val="24"/>
          <w:szCs w:val="22"/>
          <w:lang w:val="en-GB"/>
        </w:rPr>
        <w:t>MSCI ESG Ratings and Cost of Capital</w:t>
      </w:r>
      <w:r w:rsidR="001E1880">
        <w:rPr>
          <w:rFonts w:ascii="Palatino Linotype" w:hAnsi="Palatino Linotype"/>
          <w:sz w:val="24"/>
          <w:szCs w:val="22"/>
          <w:lang w:val="en-GB"/>
        </w:rPr>
        <w:t xml:space="preserve">). </w:t>
      </w:r>
    </w:p>
    <w:p w14:paraId="41F9A181" w14:textId="77777777" w:rsidR="00DE2D85" w:rsidRPr="00DE2D85" w:rsidRDefault="00DE2D85" w:rsidP="00DE2D85">
      <w:pPr>
        <w:spacing w:line="360" w:lineRule="auto"/>
        <w:rPr>
          <w:lang w:val="en-GB"/>
        </w:rPr>
      </w:pPr>
      <w:r w:rsidRPr="00DE2D85">
        <w:rPr>
          <w:lang w:val="en-GB"/>
        </w:rPr>
        <w:t>In this context, this thesis aims to examine the evolution of sustainable finance, green financial instruments, and sustainable investment strategies that have enabled and will increasingly enable sustainable finance to grow.</w:t>
      </w:r>
    </w:p>
    <w:p w14:paraId="42C14362" w14:textId="77777777" w:rsidR="00674DA1" w:rsidRPr="006E740E" w:rsidRDefault="00674DA1" w:rsidP="004B24D5">
      <w:pPr>
        <w:pStyle w:val="Titolo2"/>
        <w:numPr>
          <w:ilvl w:val="0"/>
          <w:numId w:val="0"/>
        </w:numPr>
        <w:ind w:left="851" w:hanging="851"/>
        <w:rPr>
          <w:rFonts w:ascii="Times New Roman" w:hAnsi="Times New Roman" w:cs="Times New Roman"/>
          <w:lang w:val="en-US"/>
        </w:rPr>
      </w:pPr>
      <w:bookmarkStart w:id="23" w:name="_Toc207225639"/>
      <w:bookmarkStart w:id="24" w:name="_Toc207471590"/>
      <w:r w:rsidRPr="006E740E">
        <w:rPr>
          <w:rFonts w:ascii="Times New Roman" w:hAnsi="Times New Roman" w:cs="Times New Roman"/>
          <w:lang w:val="en-US"/>
        </w:rPr>
        <w:lastRenderedPageBreak/>
        <w:t>2.2 ESG-oriented financial instruments:</w:t>
      </w:r>
      <w:bookmarkEnd w:id="23"/>
      <w:bookmarkEnd w:id="24"/>
    </w:p>
    <w:p w14:paraId="0B42E0BE" w14:textId="77777777" w:rsidR="00674DA1" w:rsidRPr="006E740E" w:rsidRDefault="00674DA1" w:rsidP="004B24D5">
      <w:pPr>
        <w:pStyle w:val="Titolo3"/>
        <w:numPr>
          <w:ilvl w:val="0"/>
          <w:numId w:val="0"/>
        </w:numPr>
        <w:ind w:left="851" w:hanging="851"/>
        <w:rPr>
          <w:rFonts w:ascii="Times New Roman" w:hAnsi="Times New Roman" w:cs="Times New Roman"/>
          <w:lang w:val="en-US"/>
        </w:rPr>
      </w:pPr>
      <w:bookmarkStart w:id="25" w:name="_Toc207225640"/>
      <w:bookmarkStart w:id="26" w:name="_Toc207471591"/>
      <w:r w:rsidRPr="006E740E">
        <w:rPr>
          <w:rFonts w:ascii="Times New Roman" w:hAnsi="Times New Roman" w:cs="Times New Roman"/>
          <w:lang w:val="en-US"/>
        </w:rPr>
        <w:t>2.2.1 Green loan (E-loan)</w:t>
      </w:r>
      <w:bookmarkEnd w:id="25"/>
      <w:bookmarkEnd w:id="26"/>
    </w:p>
    <w:p w14:paraId="2B387862" w14:textId="77777777" w:rsidR="008A0B6D" w:rsidRDefault="00D22C84" w:rsidP="00674DA1">
      <w:pPr>
        <w:spacing w:line="360" w:lineRule="auto"/>
        <w:rPr>
          <w:lang w:val="en-US"/>
        </w:rPr>
      </w:pPr>
      <w:r w:rsidRPr="00D22C84">
        <w:rPr>
          <w:lang w:val="en-US"/>
        </w:rPr>
        <w:t xml:space="preserve">The Green Loan is a medium-to-long-term financing product favored by a gradual repayment and the possibility of installment payments. It is granted by financial institutions exclusively for projects that are considered 'green' according to the principles of the Green Loan (renewable energies, waste management, improvements in energy efficiency or reduction of air emissions, etc.). Green loans are also targeted towards sustainable mobility. These loans allow companies to purchase electric cars, hybrid cars, electric bicycles, and electric scooters for work. </w:t>
      </w:r>
    </w:p>
    <w:p w14:paraId="492A6911" w14:textId="03BAAAD6" w:rsidR="00D22C84" w:rsidRPr="00D22C84" w:rsidRDefault="00D22C84" w:rsidP="00674DA1">
      <w:pPr>
        <w:spacing w:line="360" w:lineRule="auto"/>
        <w:rPr>
          <w:lang w:val="en-US"/>
        </w:rPr>
      </w:pPr>
      <w:r w:rsidRPr="00D22C84">
        <w:rPr>
          <w:lang w:val="en-US"/>
        </w:rPr>
        <w:t>This financing also allows for an additional reduction in costs upon achieving specific sustainability targets in the environmental, social, and corporate governance areas set with the institution at the time of grant.</w:t>
      </w:r>
    </w:p>
    <w:p w14:paraId="2428269F" w14:textId="5917118E" w:rsidR="00674DA1" w:rsidRPr="00674DA1" w:rsidRDefault="00674DA1" w:rsidP="00674DA1">
      <w:pPr>
        <w:spacing w:line="360" w:lineRule="auto"/>
        <w:rPr>
          <w:lang w:val="en-GB"/>
        </w:rPr>
      </w:pPr>
      <w:r w:rsidRPr="00674DA1">
        <w:rPr>
          <w:lang w:val="en-GB"/>
        </w:rPr>
        <w:t xml:space="preserve">These objectives are initially established between the bank and the company and must be linked to improving business performance towards more sustainable business models. </w:t>
      </w:r>
      <w:r w:rsidR="00173787">
        <w:rPr>
          <w:lang w:val="en-GB"/>
        </w:rPr>
        <w:t>Activities</w:t>
      </w:r>
      <w:r w:rsidRPr="00674DA1">
        <w:rPr>
          <w:lang w:val="en-GB"/>
        </w:rPr>
        <w:t xml:space="preserve"> are monitored and reported periodically; the advantage in the economic conditions applied is recognized upon achieving 100% of the objectives.</w:t>
      </w:r>
    </w:p>
    <w:p w14:paraId="335E5F6E" w14:textId="77777777" w:rsidR="00674DA1" w:rsidRPr="00674DA1" w:rsidRDefault="00674DA1" w:rsidP="00674DA1">
      <w:pPr>
        <w:spacing w:line="360" w:lineRule="auto"/>
        <w:rPr>
          <w:lang w:val="en-GB"/>
        </w:rPr>
      </w:pPr>
      <w:r w:rsidRPr="00674DA1">
        <w:rPr>
          <w:lang w:val="en-GB"/>
        </w:rPr>
        <w:t>The first “Green Framework Loan” in Italy was granted by the European Investment Bank (EIB) to Edison in the form of an aggregate credit line of €300 million for energy efficiency and renewable energy projects, plus €150 million in financing to upgrade a combined cycle power plant in Marghera (VE) with the specific goal of reducing CO₂ and NO</w:t>
      </w:r>
      <w:r w:rsidRPr="00674DA1">
        <w:rPr>
          <w:rFonts w:ascii="Cambria Math" w:hAnsi="Cambria Math" w:cs="Cambria Math"/>
          <w:lang w:val="en-GB"/>
        </w:rPr>
        <w:t>ₓ</w:t>
      </w:r>
      <w:r w:rsidRPr="00674DA1">
        <w:rPr>
          <w:lang w:val="en-GB"/>
        </w:rPr>
        <w:t xml:space="preserve"> emissions. (2020)</w:t>
      </w:r>
    </w:p>
    <w:p w14:paraId="467FC53E" w14:textId="77777777" w:rsidR="00674DA1" w:rsidRPr="00674DA1" w:rsidRDefault="00674DA1" w:rsidP="00674DA1">
      <w:pPr>
        <w:spacing w:line="360" w:lineRule="auto"/>
        <w:rPr>
          <w:lang w:val="en-GB"/>
        </w:rPr>
      </w:pPr>
      <w:r w:rsidRPr="00674DA1">
        <w:rPr>
          <w:lang w:val="en-GB"/>
        </w:rPr>
        <w:t>ERG obtained a €243 million loan from the EIB for new wind farms in France, repowering in Italy and Germany, and the modernization of seven Italian solar plants. (December 2024)</w:t>
      </w:r>
    </w:p>
    <w:p w14:paraId="2EBEC3E6" w14:textId="77777777" w:rsidR="00674DA1" w:rsidRPr="00674DA1" w:rsidRDefault="00674DA1" w:rsidP="00674DA1">
      <w:pPr>
        <w:spacing w:line="360" w:lineRule="auto"/>
        <w:rPr>
          <w:lang w:val="en-GB"/>
        </w:rPr>
      </w:pPr>
      <w:r w:rsidRPr="00674DA1">
        <w:rPr>
          <w:lang w:val="en-GB"/>
        </w:rPr>
        <w:t xml:space="preserve">UniCredit recently finalized a €50.5 million green loan project financing with SACE guarantee in favor of GR Value Assets S.r.l., a holding company wholly owned by GR Value S.p.A., which owns the special purpose vehicle GR Value Ferrandina S.r.l. The </w:t>
      </w:r>
      <w:r w:rsidRPr="00674DA1">
        <w:rPr>
          <w:lang w:val="en-GB"/>
        </w:rPr>
        <w:lastRenderedPageBreak/>
        <w:t>financing, certified green in accordance with the Green Loan Principles and benefiting from EIB (European Investment Bank) funds dedicated to energy transition and the SACE guarantee for works of strategic importance, is intended to support the costs of construction and commissioning of a renewable energy wind farm located in Basilicata. The plant, located in the municipalities of Ferrandina (MT), Salandra (MT), and Garaguso (MT) in Basilicata, has a total installed capacity of 32 MW and an expected annual production of approximately 72 GWh, capable of covering the annual energy needs of approximately 71,000 people. Once operational, the plant will prevent climate-changing emissions of over 52,000 tons of CO₂ equivalent per year, which, considering the plant's useful life of approximately thirty years, will correspond to a saving of over 1.5 million tons of CO₂ equivalent that will not be emitted into the atmosphere.</w:t>
      </w:r>
      <w:r w:rsidRPr="00674DA1">
        <w:rPr>
          <w:lang w:val="en-GB"/>
        </w:rPr>
        <w:footnoteReference w:id="17"/>
      </w:r>
    </w:p>
    <w:p w14:paraId="676E295E" w14:textId="77777777" w:rsidR="00674DA1" w:rsidRPr="006E740E" w:rsidRDefault="00674DA1" w:rsidP="004B24D5">
      <w:pPr>
        <w:pStyle w:val="Titolo3"/>
        <w:numPr>
          <w:ilvl w:val="0"/>
          <w:numId w:val="0"/>
        </w:numPr>
        <w:ind w:left="851" w:hanging="851"/>
        <w:rPr>
          <w:lang w:val="en-US"/>
        </w:rPr>
      </w:pPr>
      <w:bookmarkStart w:id="27" w:name="_Toc207225641"/>
      <w:bookmarkStart w:id="28" w:name="_Toc207471592"/>
      <w:r w:rsidRPr="006E740E">
        <w:rPr>
          <w:lang w:val="en-US"/>
        </w:rPr>
        <w:t>2.2.2 Sustainability-linked loan (S-loan)</w:t>
      </w:r>
      <w:bookmarkEnd w:id="27"/>
      <w:bookmarkEnd w:id="28"/>
    </w:p>
    <w:p w14:paraId="0835DAB0" w14:textId="77777777" w:rsidR="00674DA1" w:rsidRDefault="00674DA1" w:rsidP="00674DA1">
      <w:pPr>
        <w:spacing w:line="360" w:lineRule="auto"/>
        <w:rPr>
          <w:lang w:val="en-GB"/>
        </w:rPr>
      </w:pPr>
      <w:r w:rsidRPr="00674DA1">
        <w:rPr>
          <w:lang w:val="en-GB"/>
        </w:rPr>
        <w:t>Sustainability-Linked Loans (SLLs) represent an increasingly important segment of the sustainable finance market, offering borrowers incentivized financing structures tied to sustainability performance and enabling companies with high social and environmental performance to obtain financing at favorable rates. Unlike green loans, which require proceeds to be directed to specific environmental projects, SLLs provide flexibility for general corporate purposes while creating financial incentives for improved sustainability outcomes. Therefore, there is no restriction on the use of funds for a specific project agreed in advance with the lending institution, but rather they are granted to the company to encourage the achievement of measurable and predefined ESG KPIs.</w:t>
      </w:r>
    </w:p>
    <w:p w14:paraId="0F02CA7C" w14:textId="77777777" w:rsidR="00E850FE" w:rsidRDefault="00E850FE" w:rsidP="00674DA1">
      <w:pPr>
        <w:spacing w:line="360" w:lineRule="auto"/>
        <w:rPr>
          <w:lang w:val="en-GB"/>
        </w:rPr>
      </w:pPr>
    </w:p>
    <w:p w14:paraId="2B048B62" w14:textId="77777777" w:rsidR="00E850FE" w:rsidRPr="00674DA1" w:rsidRDefault="00E850FE" w:rsidP="00674DA1">
      <w:pPr>
        <w:spacing w:line="360" w:lineRule="auto"/>
        <w:rPr>
          <w:lang w:val="en-GB"/>
        </w:rPr>
      </w:pPr>
    </w:p>
    <w:p w14:paraId="151335C2" w14:textId="77777777" w:rsidR="00674DA1" w:rsidRPr="00674DA1" w:rsidRDefault="00674DA1" w:rsidP="00674DA1">
      <w:pPr>
        <w:spacing w:line="360" w:lineRule="auto"/>
        <w:rPr>
          <w:lang w:val="en-GB"/>
        </w:rPr>
      </w:pPr>
      <w:r w:rsidRPr="00674DA1">
        <w:rPr>
          <w:lang w:val="en-GB"/>
        </w:rPr>
        <w:lastRenderedPageBreak/>
        <w:t>The key features that define SLLs include:</w:t>
      </w:r>
    </w:p>
    <w:p w14:paraId="1D020036" w14:textId="77777777" w:rsidR="00674DA1" w:rsidRPr="00674DA1" w:rsidRDefault="00674DA1">
      <w:pPr>
        <w:numPr>
          <w:ilvl w:val="0"/>
          <w:numId w:val="9"/>
        </w:numPr>
        <w:spacing w:before="0" w:after="160" w:line="360" w:lineRule="auto"/>
        <w:rPr>
          <w:lang w:val="en-GB"/>
        </w:rPr>
      </w:pPr>
      <w:r w:rsidRPr="00674DA1">
        <w:rPr>
          <w:b/>
          <w:bCs/>
          <w:lang w:val="en-GB"/>
        </w:rPr>
        <w:t>General purpose funding</w:t>
      </w:r>
      <w:r w:rsidRPr="00674DA1">
        <w:rPr>
          <w:lang w:val="en-GB"/>
        </w:rPr>
        <w:t>: Loans are used for general corporate purposes rather than being earmarked for specific sustainable projects.</w:t>
      </w:r>
    </w:p>
    <w:p w14:paraId="70CEDBF3" w14:textId="77777777" w:rsidR="00674DA1" w:rsidRPr="00674DA1" w:rsidRDefault="00674DA1">
      <w:pPr>
        <w:numPr>
          <w:ilvl w:val="0"/>
          <w:numId w:val="9"/>
        </w:numPr>
        <w:spacing w:before="0" w:after="160" w:line="360" w:lineRule="auto"/>
        <w:rPr>
          <w:lang w:val="en-GB"/>
        </w:rPr>
      </w:pPr>
      <w:r w:rsidRPr="00674DA1">
        <w:rPr>
          <w:b/>
          <w:bCs/>
          <w:lang w:val="en-GB"/>
        </w:rPr>
        <w:t>Performance linkage</w:t>
      </w:r>
      <w:r w:rsidRPr="00674DA1">
        <w:rPr>
          <w:lang w:val="en-GB"/>
        </w:rPr>
        <w:t>: Loans are tied to specific environmental or social Key Performance Indicators (KPIs).</w:t>
      </w:r>
    </w:p>
    <w:p w14:paraId="4AD8EC4B" w14:textId="77777777" w:rsidR="00674DA1" w:rsidRPr="00674DA1" w:rsidRDefault="00674DA1">
      <w:pPr>
        <w:numPr>
          <w:ilvl w:val="0"/>
          <w:numId w:val="9"/>
        </w:numPr>
        <w:spacing w:before="0" w:after="160" w:line="360" w:lineRule="auto"/>
        <w:rPr>
          <w:lang w:val="en-GB"/>
        </w:rPr>
      </w:pPr>
      <w:r w:rsidRPr="00674DA1">
        <w:rPr>
          <w:b/>
          <w:bCs/>
          <w:lang w:val="en-GB"/>
        </w:rPr>
        <w:t>Target-based structure</w:t>
      </w:r>
      <w:r w:rsidRPr="00674DA1">
        <w:rPr>
          <w:lang w:val="en-GB"/>
        </w:rPr>
        <w:t>: Each KPI has one or several measurable and ambitious Sustainability Performance Targets (SPTs).</w:t>
      </w:r>
    </w:p>
    <w:p w14:paraId="7EEDCC30" w14:textId="7CC504A2" w:rsidR="00674DA1" w:rsidRPr="00674DA1" w:rsidRDefault="00674DA1">
      <w:pPr>
        <w:numPr>
          <w:ilvl w:val="0"/>
          <w:numId w:val="9"/>
        </w:numPr>
        <w:spacing w:before="0" w:after="160" w:line="360" w:lineRule="auto"/>
        <w:rPr>
          <w:lang w:val="en-GB"/>
        </w:rPr>
      </w:pPr>
      <w:r w:rsidRPr="00674DA1">
        <w:rPr>
          <w:b/>
          <w:bCs/>
          <w:lang w:val="en-GB"/>
        </w:rPr>
        <w:t>Financial incentives</w:t>
      </w:r>
      <w:r w:rsidRPr="00674DA1">
        <w:rPr>
          <w:lang w:val="en-GB"/>
        </w:rPr>
        <w:t>: The financial characteristics of the loan (typically the interest rate) change based on whether the SPTs are achieved</w:t>
      </w:r>
      <w:r w:rsidR="00BE3709">
        <w:rPr>
          <w:lang w:val="en-GB"/>
        </w:rPr>
        <w:t xml:space="preserve"> (</w:t>
      </w:r>
      <w:r w:rsidR="00585DF4" w:rsidRPr="00BE3709">
        <w:rPr>
          <w:lang w:val="en-GB"/>
        </w:rPr>
        <w:t>A</w:t>
      </w:r>
      <w:r w:rsidR="00585DF4">
        <w:rPr>
          <w:lang w:val="en-GB"/>
        </w:rPr>
        <w:t>.</w:t>
      </w:r>
      <w:r w:rsidR="00585DF4" w:rsidRPr="00BE3709">
        <w:rPr>
          <w:lang w:val="en-GB"/>
        </w:rPr>
        <w:t xml:space="preserve"> Dudwan</w:t>
      </w:r>
      <w:r w:rsidR="00585DF4">
        <w:rPr>
          <w:lang w:val="en-GB"/>
        </w:rPr>
        <w:t>.</w:t>
      </w:r>
      <w:r w:rsidR="00585DF4" w:rsidRPr="00BE3709">
        <w:rPr>
          <w:lang w:val="en-GB"/>
        </w:rPr>
        <w:t xml:space="preserve"> </w:t>
      </w:r>
      <w:r w:rsidR="00BE3709" w:rsidRPr="00BE3709">
        <w:rPr>
          <w:lang w:val="en-GB"/>
        </w:rPr>
        <w:t>What are Sustainability-Linked Loans?</w:t>
      </w:r>
      <w:r w:rsidR="00585DF4">
        <w:rPr>
          <w:lang w:val="en-GB"/>
        </w:rPr>
        <w:t>).</w:t>
      </w:r>
    </w:p>
    <w:p w14:paraId="03BF5091" w14:textId="77777777" w:rsidR="00674DA1" w:rsidRPr="00674DA1" w:rsidRDefault="00674DA1" w:rsidP="00674DA1">
      <w:pPr>
        <w:spacing w:line="360" w:lineRule="auto"/>
        <w:rPr>
          <w:lang w:val="en-GB"/>
        </w:rPr>
      </w:pPr>
      <w:r w:rsidRPr="00674DA1">
        <w:rPr>
          <w:lang w:val="en-GB"/>
        </w:rPr>
        <w:t>This structure creates a direct financial incentive for borrowers to improve their sustainability performance, typically through margin reductions for achieving targets and/or margin increases for missing them.</w:t>
      </w:r>
    </w:p>
    <w:p w14:paraId="4A77804C" w14:textId="63D6BBB7" w:rsidR="00D93427" w:rsidRPr="00674DA1" w:rsidRDefault="00674DA1" w:rsidP="00D93427">
      <w:pPr>
        <w:spacing w:line="360" w:lineRule="auto"/>
        <w:rPr>
          <w:lang w:val="en-GB"/>
        </w:rPr>
      </w:pPr>
      <w:r w:rsidRPr="00674DA1">
        <w:rPr>
          <w:lang w:val="en-GB"/>
        </w:rPr>
        <w:t>Intesa San Paolo, one of Italy's largest banking groups, launched an S-Loan called “S-Loan Soluzione Lavoro” last year.</w:t>
      </w:r>
      <w:r w:rsidR="00D93427" w:rsidRPr="00D93427">
        <w:rPr>
          <w:lang w:val="en-GB"/>
        </w:rPr>
        <w:t xml:space="preserve"> </w:t>
      </w:r>
      <w:r w:rsidR="00D93427" w:rsidRPr="00674DA1">
        <w:rPr>
          <w:lang w:val="en-GB"/>
        </w:rPr>
        <w:t>The aim of the initiative</w:t>
      </w:r>
      <w:r w:rsidR="006D7BA6">
        <w:rPr>
          <w:lang w:val="en-GB"/>
        </w:rPr>
        <w:t xml:space="preserve"> </w:t>
      </w:r>
      <w:r w:rsidR="006D7BA6" w:rsidRPr="00674DA1">
        <w:rPr>
          <w:lang w:val="en-GB"/>
        </w:rPr>
        <w:t xml:space="preserve">is to encourage Italian companies to make high-tech investments, one of the strategic levers for </w:t>
      </w:r>
      <w:r w:rsidR="00E74BB6">
        <w:rPr>
          <w:lang w:val="en-GB"/>
        </w:rPr>
        <w:t xml:space="preserve">our </w:t>
      </w:r>
      <w:r w:rsidR="00585DF4">
        <w:rPr>
          <w:lang w:val="en-GB"/>
        </w:rPr>
        <w:t>country’s</w:t>
      </w:r>
      <w:r w:rsidR="006D7BA6" w:rsidRPr="00674DA1">
        <w:rPr>
          <w:lang w:val="en-GB"/>
        </w:rPr>
        <w:t xml:space="preserve"> competitiveness, which are also capable of increasing productivity and consequently boosting employment in the long term</w:t>
      </w:r>
      <w:r w:rsidR="00E74BB6">
        <w:rPr>
          <w:lang w:val="en-GB"/>
        </w:rPr>
        <w:t xml:space="preserve">, </w:t>
      </w:r>
      <w:r w:rsidR="00D93427" w:rsidRPr="00674DA1">
        <w:rPr>
          <w:lang w:val="en-GB"/>
        </w:rPr>
        <w:t>as recently announced by Carlo Messina, managing director and CEO of Intesa Sanpaolo</w:t>
      </w:r>
    </w:p>
    <w:p w14:paraId="5D82795B" w14:textId="659527A3" w:rsidR="00674DA1" w:rsidRPr="00674DA1" w:rsidRDefault="00674DA1" w:rsidP="00674DA1">
      <w:pPr>
        <w:spacing w:line="360" w:lineRule="auto"/>
        <w:rPr>
          <w:lang w:val="en-GB"/>
        </w:rPr>
      </w:pPr>
      <w:r w:rsidRPr="00674DA1">
        <w:rPr>
          <w:lang w:val="en-GB"/>
        </w:rPr>
        <w:t xml:space="preserve">This is one of the largest examples of S-Loans and </w:t>
      </w:r>
      <w:r w:rsidR="00217F00">
        <w:rPr>
          <w:lang w:val="en-GB"/>
        </w:rPr>
        <w:t xml:space="preserve">underline the importance and the </w:t>
      </w:r>
      <w:r w:rsidR="00FC582A">
        <w:rPr>
          <w:lang w:val="en-GB"/>
        </w:rPr>
        <w:t>popularity</w:t>
      </w:r>
      <w:r w:rsidR="00217F00">
        <w:rPr>
          <w:lang w:val="en-GB"/>
        </w:rPr>
        <w:t xml:space="preserve"> of </w:t>
      </w:r>
      <w:r w:rsidRPr="00674DA1">
        <w:rPr>
          <w:lang w:val="en-GB"/>
        </w:rPr>
        <w:t xml:space="preserve">financing businesses </w:t>
      </w:r>
      <w:r w:rsidR="00217F00">
        <w:rPr>
          <w:lang w:val="en-GB"/>
        </w:rPr>
        <w:t xml:space="preserve">which </w:t>
      </w:r>
      <w:r w:rsidRPr="00674DA1">
        <w:rPr>
          <w:lang w:val="en-GB"/>
        </w:rPr>
        <w:t>aim to promote employment growth while supporting investments to increase competitiveness through an “additional reward” mechanism that grants an interest rate subsidy</w:t>
      </w:r>
      <w:r w:rsidR="002952C4">
        <w:rPr>
          <w:lang w:val="en-GB"/>
        </w:rPr>
        <w:t xml:space="preserve"> </w:t>
      </w:r>
      <w:r w:rsidR="00585DF4">
        <w:rPr>
          <w:lang w:val="en-GB"/>
        </w:rPr>
        <w:t>also</w:t>
      </w:r>
      <w:r w:rsidRPr="00674DA1">
        <w:rPr>
          <w:lang w:val="en-GB"/>
        </w:rPr>
        <w:t xml:space="preserve"> in the event of new hires, particularly young people and women”</w:t>
      </w:r>
      <w:r w:rsidRPr="00674DA1">
        <w:rPr>
          <w:lang w:val="en-GB"/>
        </w:rPr>
        <w:footnoteReference w:id="18"/>
      </w:r>
      <w:r w:rsidRPr="00674DA1">
        <w:rPr>
          <w:lang w:val="en-GB"/>
        </w:rPr>
        <w:t xml:space="preserve">. The measure, intended for corporate customers of </w:t>
      </w:r>
      <w:r w:rsidRPr="00674DA1">
        <w:rPr>
          <w:lang w:val="en-GB"/>
        </w:rPr>
        <w:lastRenderedPageBreak/>
        <w:t>Banca dei Territori, is inspired by the Ires reward model and will have €10 billion available over the next three years, as part of the €410 billion earmarked by the Group to support projects linked to the PNRR (National Recovery and Resilience Plan).</w:t>
      </w:r>
    </w:p>
    <w:p w14:paraId="68EAEB7E" w14:textId="77777777" w:rsidR="00674DA1" w:rsidRPr="00674DA1" w:rsidRDefault="00674DA1" w:rsidP="00674DA1">
      <w:pPr>
        <w:spacing w:line="360" w:lineRule="auto"/>
        <w:rPr>
          <w:lang w:val="en-GB"/>
        </w:rPr>
      </w:pPr>
      <w:r w:rsidRPr="00674DA1">
        <w:rPr>
          <w:lang w:val="en-GB"/>
        </w:rPr>
        <w:t>"</w:t>
      </w:r>
      <w:r w:rsidRPr="00674DA1">
        <w:rPr>
          <w:i/>
          <w:iCs/>
          <w:lang w:val="en-GB"/>
        </w:rPr>
        <w:t>The aim of our intervention, which has a budget of €10 billion, is not only to guarantee new economic resources for businesses, but also to provide incentives through credit to companies that focus on technological investments and are committed to hiring. Investing in technology while bringing young people into the company and introducing new talent can be a new driver of growth for the country</w:t>
      </w:r>
      <w:r w:rsidRPr="00674DA1">
        <w:rPr>
          <w:lang w:val="en-GB"/>
        </w:rPr>
        <w:t>," explains Barrese, head of Intesa Sanpaolo's Banca dei Territori division.</w:t>
      </w:r>
    </w:p>
    <w:p w14:paraId="17591D76" w14:textId="77777777" w:rsidR="00674DA1" w:rsidRPr="006E740E" w:rsidRDefault="00674DA1" w:rsidP="00AD09ED">
      <w:pPr>
        <w:pStyle w:val="Titolo3"/>
        <w:numPr>
          <w:ilvl w:val="0"/>
          <w:numId w:val="0"/>
        </w:numPr>
        <w:ind w:left="851" w:hanging="851"/>
        <w:rPr>
          <w:rFonts w:ascii="Times New Roman" w:hAnsi="Times New Roman" w:cs="Times New Roman"/>
          <w:lang w:val="en-US"/>
        </w:rPr>
      </w:pPr>
      <w:bookmarkStart w:id="29" w:name="_Toc207225642"/>
      <w:bookmarkStart w:id="30" w:name="_Toc207471593"/>
      <w:r w:rsidRPr="006E740E">
        <w:rPr>
          <w:rFonts w:ascii="Times New Roman" w:hAnsi="Times New Roman" w:cs="Times New Roman"/>
          <w:lang w:val="en-US"/>
        </w:rPr>
        <w:t>2.2.3 Green bond, social bond, and sustainability bond</w:t>
      </w:r>
      <w:bookmarkEnd w:id="29"/>
      <w:bookmarkEnd w:id="30"/>
    </w:p>
    <w:p w14:paraId="50CC05CB" w14:textId="5D0206D6" w:rsidR="00674DA1" w:rsidRPr="00674DA1" w:rsidRDefault="00674DA1" w:rsidP="00674DA1">
      <w:pPr>
        <w:spacing w:line="360" w:lineRule="auto"/>
        <w:rPr>
          <w:lang w:val="en-GB"/>
        </w:rPr>
      </w:pPr>
      <w:r w:rsidRPr="00674DA1">
        <w:rPr>
          <w:lang w:val="en-GB"/>
        </w:rPr>
        <w:t xml:space="preserve">Loans granted by credit institutions are not the only instruments available to finance specific environmental and/or social projects. </w:t>
      </w:r>
      <w:r w:rsidR="003D6619">
        <w:rPr>
          <w:lang w:val="en-GB"/>
        </w:rPr>
        <w:t>The</w:t>
      </w:r>
      <w:r w:rsidRPr="00674DA1">
        <w:rPr>
          <w:lang w:val="en-GB"/>
        </w:rPr>
        <w:t xml:space="preserve"> </w:t>
      </w:r>
      <w:r w:rsidR="003D6619">
        <w:rPr>
          <w:lang w:val="en-GB"/>
        </w:rPr>
        <w:t xml:space="preserve">sustainability </w:t>
      </w:r>
      <w:r w:rsidRPr="00674DA1">
        <w:rPr>
          <w:lang w:val="en-GB"/>
        </w:rPr>
        <w:t>bonds</w:t>
      </w:r>
      <w:r w:rsidR="003D6619">
        <w:rPr>
          <w:lang w:val="en-GB"/>
        </w:rPr>
        <w:t xml:space="preserve"> </w:t>
      </w:r>
      <w:r w:rsidRPr="00674DA1">
        <w:rPr>
          <w:lang w:val="en-GB"/>
        </w:rPr>
        <w:t xml:space="preserve">are tied to the financing of specific projects. Green, Social and Sustainability Bonds are any type of bond instrument where the proceeds will be exclusively applied to eligible environmental and social projects or a combination of both:  </w:t>
      </w:r>
    </w:p>
    <w:p w14:paraId="3E0712FD" w14:textId="391ED8F3" w:rsidR="00674DA1" w:rsidRPr="00674DA1" w:rsidRDefault="00674DA1" w:rsidP="00674DA1">
      <w:pPr>
        <w:spacing w:line="360" w:lineRule="auto"/>
        <w:rPr>
          <w:lang w:val="en-GB"/>
        </w:rPr>
      </w:pPr>
      <w:r w:rsidRPr="00674DA1">
        <w:rPr>
          <w:lang w:val="en-GB"/>
        </w:rPr>
        <w:t xml:space="preserve">• </w:t>
      </w:r>
      <w:r w:rsidRPr="00674DA1">
        <w:rPr>
          <w:b/>
          <w:bCs/>
          <w:lang w:val="en-GB"/>
        </w:rPr>
        <w:t>Green Bonds</w:t>
      </w:r>
      <w:r w:rsidR="009F14CD">
        <w:rPr>
          <w:lang w:val="en-GB"/>
        </w:rPr>
        <w:t xml:space="preserve">: </w:t>
      </w:r>
      <w:r w:rsidR="009F14CD" w:rsidRPr="009F14CD">
        <w:rPr>
          <w:lang w:val="en-GB"/>
        </w:rPr>
        <w:t>loans issued in the market by a public or private organization to finance environmentally friendly activities.</w:t>
      </w:r>
      <w:r w:rsidR="00E953E2" w:rsidRPr="00E953E2">
        <w:rPr>
          <w:lang w:val="en-GB"/>
        </w:rPr>
        <w:t xml:space="preserve"> </w:t>
      </w:r>
      <w:r w:rsidR="007D17FE">
        <w:rPr>
          <w:lang w:val="en-GB"/>
        </w:rPr>
        <w:t>The</w:t>
      </w:r>
      <w:r w:rsidR="007D17FE" w:rsidRPr="009F14CD">
        <w:rPr>
          <w:lang w:val="en-GB"/>
        </w:rPr>
        <w:t xml:space="preserve"> aim of this type is to encourage the financing of green projects by attracting investors and therefore reducing the cost of borrowing.</w:t>
      </w:r>
      <w:r w:rsidR="007D17FE">
        <w:rPr>
          <w:lang w:val="en-GB"/>
        </w:rPr>
        <w:t xml:space="preserve"> </w:t>
      </w:r>
      <w:r w:rsidR="00E953E2" w:rsidRPr="009F14CD">
        <w:rPr>
          <w:lang w:val="en-GB"/>
        </w:rPr>
        <w:t>They reached $170 billion in 2018 and $523 billion in 2021</w:t>
      </w:r>
      <w:r w:rsidR="00585DF4">
        <w:rPr>
          <w:lang w:val="en-GB"/>
        </w:rPr>
        <w:t xml:space="preserve"> (</w:t>
      </w:r>
      <w:r w:rsidR="00585DF4" w:rsidRPr="006530D3">
        <w:rPr>
          <w:i/>
          <w:iCs/>
          <w:lang w:val="en-US"/>
        </w:rPr>
        <w:t>Harrison, C; MacGeoch, M; Michetti, C (2022). Sustainable Debt Global State of the Market 2021</w:t>
      </w:r>
      <w:r w:rsidR="00585DF4" w:rsidRPr="00585DF4">
        <w:rPr>
          <w:sz w:val="22"/>
          <w:szCs w:val="20"/>
          <w:lang w:val="en-US"/>
        </w:rPr>
        <w:t xml:space="preserve">) </w:t>
      </w:r>
      <w:r w:rsidR="00E953E2">
        <w:rPr>
          <w:lang w:val="en-GB"/>
        </w:rPr>
        <w:t>and t</w:t>
      </w:r>
      <w:r w:rsidR="009F14CD" w:rsidRPr="009F14CD">
        <w:rPr>
          <w:lang w:val="en-GB"/>
        </w:rPr>
        <w:t>heir issuance is growing steadily with an average growth of over 50% per year over the last five years.</w:t>
      </w:r>
      <w:r w:rsidR="007D17FE">
        <w:rPr>
          <w:lang w:val="en-GB"/>
        </w:rPr>
        <w:t xml:space="preserve"> </w:t>
      </w:r>
      <w:r w:rsidRPr="00674DA1">
        <w:rPr>
          <w:lang w:val="en-GB"/>
        </w:rPr>
        <w:t>Eligible green projects include</w:t>
      </w:r>
      <w:r w:rsidR="003107BA" w:rsidRPr="00674DA1">
        <w:rPr>
          <w:lang w:val="en-GB"/>
        </w:rPr>
        <w:t>, eco-efficient and/or circular economy adapted products, production technologies and processes</w:t>
      </w:r>
      <w:r w:rsidR="003107BA">
        <w:rPr>
          <w:lang w:val="en-GB"/>
        </w:rPr>
        <w:t>,</w:t>
      </w:r>
      <w:r w:rsidRPr="00674DA1">
        <w:rPr>
          <w:lang w:val="en-GB"/>
        </w:rPr>
        <w:t xml:space="preserve"> renewable energy, energy efficiency, </w:t>
      </w:r>
      <w:r w:rsidR="001E246C" w:rsidRPr="00674DA1">
        <w:rPr>
          <w:lang w:val="en-GB"/>
        </w:rPr>
        <w:t>terrestrial and aquatic biodiversity conservation</w:t>
      </w:r>
      <w:r w:rsidR="001E246C">
        <w:rPr>
          <w:lang w:val="en-GB"/>
        </w:rPr>
        <w:t xml:space="preserve">, </w:t>
      </w:r>
      <w:r w:rsidRPr="00674DA1">
        <w:rPr>
          <w:lang w:val="en-GB"/>
        </w:rPr>
        <w:t>pollution prevention</w:t>
      </w:r>
      <w:r w:rsidR="003A0EF4">
        <w:rPr>
          <w:lang w:val="en-GB"/>
        </w:rPr>
        <w:t xml:space="preserve">, </w:t>
      </w:r>
      <w:r w:rsidRPr="00674DA1">
        <w:rPr>
          <w:lang w:val="en-GB"/>
        </w:rPr>
        <w:t>green buildings, clean transportation etc.</w:t>
      </w:r>
      <w:r w:rsidRPr="00674DA1">
        <w:rPr>
          <w:lang w:val="en-GB"/>
        </w:rPr>
        <w:footnoteReference w:id="19"/>
      </w:r>
    </w:p>
    <w:p w14:paraId="3070505F" w14:textId="182ACE79" w:rsidR="00674DA1" w:rsidRPr="00674DA1" w:rsidRDefault="00674DA1" w:rsidP="00674DA1">
      <w:pPr>
        <w:spacing w:line="360" w:lineRule="auto"/>
        <w:rPr>
          <w:lang w:val="en-GB"/>
        </w:rPr>
      </w:pPr>
      <w:r w:rsidRPr="00674DA1">
        <w:rPr>
          <w:lang w:val="en-GB"/>
        </w:rPr>
        <w:lastRenderedPageBreak/>
        <w:t xml:space="preserve">• </w:t>
      </w:r>
      <w:r w:rsidRPr="00674DA1">
        <w:rPr>
          <w:b/>
          <w:bCs/>
          <w:lang w:val="en-GB"/>
        </w:rPr>
        <w:t>Social Bonds</w:t>
      </w:r>
      <w:r w:rsidRPr="00674DA1">
        <w:rPr>
          <w:lang w:val="en-GB"/>
        </w:rPr>
        <w:t xml:space="preserve"> finance projects that aim to address or mitigate a specific social issue and/or seek to achieve positive social outcomes, especially but not exclusively for a target population(s). For the avoidance of doubt, it is acknowledged that the definition of target population can vary depending on local contexts and that, in some cases, such target population(s) may also be served by addressing the public. Social Project categories include providing and/or promoting affordable basic infrastructure, access to essential services, affordable housing, employment generation, food security, or socioeconomic advancement and empowerment.</w:t>
      </w:r>
      <w:r w:rsidRPr="00674DA1">
        <w:rPr>
          <w:lang w:val="en-GB"/>
        </w:rPr>
        <w:footnoteReference w:id="20"/>
      </w:r>
    </w:p>
    <w:p w14:paraId="5FC82BE5" w14:textId="1820B249" w:rsidR="00674DA1" w:rsidRPr="00674DA1" w:rsidRDefault="00674DA1" w:rsidP="00674DA1">
      <w:pPr>
        <w:spacing w:line="360" w:lineRule="auto"/>
        <w:rPr>
          <w:lang w:val="en-GB"/>
        </w:rPr>
      </w:pPr>
      <w:r w:rsidRPr="00674DA1">
        <w:rPr>
          <w:lang w:val="en-GB"/>
        </w:rPr>
        <w:t xml:space="preserve">• </w:t>
      </w:r>
      <w:r w:rsidRPr="00674DA1">
        <w:rPr>
          <w:b/>
          <w:bCs/>
          <w:lang w:val="en-GB"/>
        </w:rPr>
        <w:t>Sustainability Bonds</w:t>
      </w:r>
      <w:r w:rsidRPr="00674DA1">
        <w:rPr>
          <w:lang w:val="en-GB"/>
        </w:rPr>
        <w:t xml:space="preserve"> are any type of bond instrument </w:t>
      </w:r>
      <w:r w:rsidR="0088474A" w:rsidRPr="00674DA1">
        <w:rPr>
          <w:lang w:val="en-GB"/>
        </w:rPr>
        <w:t>aligned</w:t>
      </w:r>
      <w:r w:rsidR="0088474A">
        <w:rPr>
          <w:lang w:val="en-GB"/>
        </w:rPr>
        <w:t>,</w:t>
      </w:r>
      <w:r w:rsidR="0088474A" w:rsidRPr="00674DA1">
        <w:rPr>
          <w:lang w:val="en-GB"/>
        </w:rPr>
        <w:t xml:space="preserve"> with the four core components of the GBP and/or SBP</w:t>
      </w:r>
      <w:r w:rsidR="0088474A">
        <w:rPr>
          <w:lang w:val="en-GB"/>
        </w:rPr>
        <w:t xml:space="preserve">, </w:t>
      </w:r>
      <w:r w:rsidRPr="00674DA1">
        <w:rPr>
          <w:lang w:val="en-GB"/>
        </w:rPr>
        <w:t>applied to finance or re-finance a combination of green and social projects and which are</w:t>
      </w:r>
      <w:r w:rsidR="0088474A">
        <w:rPr>
          <w:lang w:val="en-GB"/>
        </w:rPr>
        <w:t>.</w:t>
      </w:r>
    </w:p>
    <w:p w14:paraId="1D48D2CD" w14:textId="47259E0E" w:rsidR="00674DA1" w:rsidRPr="00674DA1" w:rsidRDefault="0088474A" w:rsidP="00674DA1">
      <w:pPr>
        <w:spacing w:line="360" w:lineRule="auto"/>
        <w:rPr>
          <w:lang w:val="en-GB"/>
        </w:rPr>
      </w:pPr>
      <w:r w:rsidRPr="00674DA1">
        <w:rPr>
          <w:lang w:val="en-GB"/>
        </w:rPr>
        <w:t>The classification of the use of proceeds bonds as a Green Bond, Social Bond, or Sustainability Bond is determined by the issuer based on its primary objectives for the underlying projects.</w:t>
      </w:r>
      <w:r w:rsidR="00674DA1" w:rsidRPr="00674DA1">
        <w:rPr>
          <w:lang w:val="en-GB"/>
        </w:rPr>
        <w:t xml:space="preserve"> Green, Social and Sustainability Bonds are regulated instruments subject to the same capital market and financial regulation as other listed fixed income securities. It is understood that certain Social Projects may also have environmental co-benefits, and that certain Green Projects may have social co-benefits. </w:t>
      </w:r>
    </w:p>
    <w:p w14:paraId="624C394E" w14:textId="6000088A" w:rsidR="00962926" w:rsidRPr="00674DA1" w:rsidRDefault="00962926" w:rsidP="003F2435">
      <w:pPr>
        <w:pStyle w:val="Text"/>
        <w:rPr>
          <w:lang w:val="en-GB"/>
        </w:rPr>
      </w:pPr>
    </w:p>
    <w:p w14:paraId="4794C3D2" w14:textId="2777F12A" w:rsidR="00971925" w:rsidRPr="00544E92" w:rsidRDefault="00971925" w:rsidP="003F2435">
      <w:pPr>
        <w:pStyle w:val="Text"/>
        <w:rPr>
          <w:lang w:val="en-GB"/>
        </w:rPr>
      </w:pPr>
    </w:p>
    <w:p w14:paraId="0FFF2547" w14:textId="4A45D468" w:rsidR="00E24B2E" w:rsidRPr="00544E92" w:rsidRDefault="00E24B2E" w:rsidP="003F2435">
      <w:pPr>
        <w:pStyle w:val="Text"/>
        <w:rPr>
          <w:lang w:val="en-GB"/>
        </w:rPr>
      </w:pPr>
    </w:p>
    <w:p w14:paraId="0E474F61" w14:textId="77777777" w:rsidR="00E24B2E" w:rsidRPr="00544E92" w:rsidRDefault="00E24B2E" w:rsidP="00E24B2E">
      <w:pPr>
        <w:rPr>
          <w:lang w:val="en-GB"/>
        </w:rPr>
      </w:pPr>
    </w:p>
    <w:p w14:paraId="2AA9CEA5" w14:textId="77777777" w:rsidR="00E24B2E" w:rsidRPr="00544E92" w:rsidRDefault="00E24B2E" w:rsidP="00E24B2E">
      <w:pPr>
        <w:rPr>
          <w:lang w:val="en-GB"/>
        </w:rPr>
        <w:sectPr w:rsidR="00E24B2E" w:rsidRPr="00544E92" w:rsidSect="00070452">
          <w:headerReference w:type="even" r:id="rId32"/>
          <w:headerReference w:type="default" r:id="rId33"/>
          <w:footerReference w:type="even" r:id="rId34"/>
          <w:footerReference w:type="default" r:id="rId35"/>
          <w:headerReference w:type="first" r:id="rId36"/>
          <w:footerReference w:type="first" r:id="rId37"/>
          <w:type w:val="oddPage"/>
          <w:pgSz w:w="11906" w:h="16838" w:code="9"/>
          <w:pgMar w:top="1701" w:right="1418" w:bottom="1418" w:left="1418" w:header="851" w:footer="851" w:gutter="0"/>
          <w:cols w:space="708"/>
          <w:titlePg/>
          <w:docGrid w:linePitch="360"/>
        </w:sectPr>
      </w:pPr>
    </w:p>
    <w:p w14:paraId="1098D38A" w14:textId="77777777" w:rsidR="00AD09ED" w:rsidRDefault="00AD09ED" w:rsidP="004B24D5">
      <w:pPr>
        <w:pStyle w:val="Titolo2"/>
        <w:numPr>
          <w:ilvl w:val="0"/>
          <w:numId w:val="0"/>
        </w:numPr>
        <w:ind w:left="851" w:hanging="851"/>
        <w:rPr>
          <w:lang w:val="en-GB"/>
        </w:rPr>
      </w:pPr>
      <w:bookmarkStart w:id="31" w:name="_Toc207471594"/>
      <w:r w:rsidRPr="004B24D5">
        <w:rPr>
          <w:rFonts w:ascii="Times New Roman" w:hAnsi="Times New Roman" w:cs="Times New Roman"/>
          <w:lang w:val="en-US"/>
        </w:rPr>
        <w:lastRenderedPageBreak/>
        <w:t>2.3 ESG analysis in banking processes</w:t>
      </w:r>
      <w:bookmarkEnd w:id="31"/>
      <w:r w:rsidRPr="004B24D5">
        <w:rPr>
          <w:rFonts w:ascii="Times New Roman" w:hAnsi="Times New Roman" w:cs="Times New Roman"/>
          <w:lang w:val="en-US"/>
        </w:rPr>
        <w:t xml:space="preserve"> </w:t>
      </w:r>
    </w:p>
    <w:p w14:paraId="087ACE4D" w14:textId="77777777" w:rsidR="00F86038" w:rsidRPr="00F86038" w:rsidRDefault="00F86038" w:rsidP="00F86038">
      <w:pPr>
        <w:spacing w:line="360" w:lineRule="auto"/>
        <w:rPr>
          <w:lang w:val="en-GB"/>
        </w:rPr>
      </w:pPr>
      <w:r w:rsidRPr="00A710EE">
        <w:rPr>
          <w:lang w:val="en-GB"/>
        </w:rPr>
        <w:t>After analyzing the main financial</w:t>
      </w:r>
      <w:r w:rsidRPr="00F86038">
        <w:rPr>
          <w:lang w:val="en-GB"/>
        </w:rPr>
        <w:t xml:space="preserve"> instruments used by companies or individual entities to incentivize projects aimed at improving environmental and/or social policies, we need to analyze the other side of these instruments, namely how banks and financial institutions relate to ESG issues, as they determine how banks operate and interact with their stakeholders. </w:t>
      </w:r>
    </w:p>
    <w:p w14:paraId="15543BB9" w14:textId="77777777" w:rsidR="007E5FE8" w:rsidRPr="007E5FE8" w:rsidRDefault="00CA34DA" w:rsidP="00F86038">
      <w:pPr>
        <w:spacing w:line="360" w:lineRule="auto"/>
        <w:rPr>
          <w:lang w:val="en-US"/>
        </w:rPr>
      </w:pPr>
      <w:r w:rsidRPr="00CA34DA">
        <w:rPr>
          <w:lang w:val="en-US"/>
        </w:rPr>
        <w:t xml:space="preserve">As we defined earlier, ESG criteria and standards are used to assess the sustainability and social impact of an organization. </w:t>
      </w:r>
      <w:r w:rsidRPr="007E5FE8">
        <w:rPr>
          <w:lang w:val="en-US"/>
        </w:rPr>
        <w:t>Consequently, this can be used by investors to evaluate how well an institution manages risks and opportunities related to environmental, social, and governance factors. Integrating ESG principles can be an effective strategy and an opportunity to align their operations with sustainable practices, contribute to positive social outcomes, and improve their social reputation.</w:t>
      </w:r>
    </w:p>
    <w:p w14:paraId="4DCFCD88" w14:textId="77777777" w:rsidR="0077364F" w:rsidRDefault="0077364F" w:rsidP="00F86038">
      <w:pPr>
        <w:rPr>
          <w:lang w:val="en-US"/>
        </w:rPr>
      </w:pPr>
      <w:r w:rsidRPr="0077364F">
        <w:rPr>
          <w:lang w:val="en-US"/>
        </w:rPr>
        <w:t>The introduction of effective ESG practices begins with the development of a clear</w:t>
      </w:r>
    </w:p>
    <w:p w14:paraId="5AA2441A" w14:textId="4E6F0AD5" w:rsidR="0077364F" w:rsidRDefault="0077364F" w:rsidP="00F86038">
      <w:pPr>
        <w:rPr>
          <w:lang w:val="en-US"/>
        </w:rPr>
      </w:pPr>
      <w:r w:rsidRPr="0077364F">
        <w:rPr>
          <w:lang w:val="en-US"/>
        </w:rPr>
        <w:t xml:space="preserve">sustainability strategy, thereby aligning core values with a bank's business objectives. </w:t>
      </w:r>
    </w:p>
    <w:p w14:paraId="1DD4ECB0" w14:textId="77777777" w:rsidR="0077364F" w:rsidRDefault="0077364F" w:rsidP="00F86038">
      <w:pPr>
        <w:rPr>
          <w:lang w:val="en-US"/>
        </w:rPr>
      </w:pPr>
      <w:r w:rsidRPr="0077364F">
        <w:rPr>
          <w:lang w:val="en-US"/>
        </w:rPr>
        <w:t xml:space="preserve">This involves defining measurable ESG goals, integrating sustainability principles </w:t>
      </w:r>
    </w:p>
    <w:p w14:paraId="76E60E8C" w14:textId="77777777" w:rsidR="0077364F" w:rsidRDefault="0077364F" w:rsidP="00F86038">
      <w:pPr>
        <w:rPr>
          <w:lang w:val="en-US"/>
        </w:rPr>
      </w:pPr>
      <w:r w:rsidRPr="0077364F">
        <w:rPr>
          <w:lang w:val="en-US"/>
        </w:rPr>
        <w:t xml:space="preserve">across all aspects of the bank's operations, and ensuring that leadership is fully </w:t>
      </w:r>
    </w:p>
    <w:p w14:paraId="679146CC" w14:textId="77777777" w:rsidR="00241948" w:rsidRDefault="0077364F" w:rsidP="00F86038">
      <w:pPr>
        <w:rPr>
          <w:lang w:val="en-US"/>
        </w:rPr>
      </w:pPr>
      <w:r w:rsidRPr="0077364F">
        <w:rPr>
          <w:lang w:val="en-US"/>
        </w:rPr>
        <w:t>committed to these objectives. Developing a robust ESG strategy also requires</w:t>
      </w:r>
    </w:p>
    <w:p w14:paraId="359FCC58" w14:textId="4B55F5F9" w:rsidR="0077364F" w:rsidRDefault="0077364F" w:rsidP="00F86038">
      <w:pPr>
        <w:rPr>
          <w:lang w:val="en-US"/>
        </w:rPr>
      </w:pPr>
      <w:r w:rsidRPr="0077364F">
        <w:rPr>
          <w:lang w:val="en-US"/>
        </w:rPr>
        <w:t xml:space="preserve">collaboration with stakeholders, transparent reporting, and precise and regular </w:t>
      </w:r>
    </w:p>
    <w:p w14:paraId="42F17F26" w14:textId="77777777" w:rsidR="00241948" w:rsidRDefault="0077364F" w:rsidP="00F86038">
      <w:pPr>
        <w:rPr>
          <w:lang w:val="en-US"/>
        </w:rPr>
      </w:pPr>
      <w:r w:rsidRPr="0077364F">
        <w:rPr>
          <w:lang w:val="en-US"/>
        </w:rPr>
        <w:t>monitoring.</w:t>
      </w:r>
    </w:p>
    <w:p w14:paraId="0ACC9F68" w14:textId="77777777" w:rsidR="00400DCE" w:rsidRDefault="00F86038" w:rsidP="00400DCE">
      <w:pPr>
        <w:keepNext/>
      </w:pPr>
      <w:r w:rsidRPr="006E740E">
        <w:rPr>
          <w:rFonts w:ascii="Times New Roman" w:hAnsi="Times New Roman" w:cs="Times New Roman"/>
          <w:noProof/>
        </w:rPr>
        <w:drawing>
          <wp:inline distT="0" distB="0" distL="0" distR="0" wp14:anchorId="6A5498BE" wp14:editId="66F752CE">
            <wp:extent cx="5175250" cy="1968364"/>
            <wp:effectExtent l="0" t="0" r="6350" b="0"/>
            <wp:docPr id="109445590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455908" name="Immagine 1"/>
                    <pic:cNvPicPr>
                      <a:picLocks noChangeAspect="1" noChangeArrowheads="1"/>
                    </pic:cNvPicPr>
                  </pic:nvPicPr>
                  <pic:blipFill>
                    <a:blip r:embed="rId38" cstate="print">
                      <a:extLst>
                        <a:ext uri="{28A0092B-C50C-407E-A947-70E740481C1C}">
                          <a14:useLocalDpi xmlns:a14="http://schemas.microsoft.com/office/drawing/2010/main" val="0"/>
                        </a:ext>
                      </a:extLst>
                    </a:blip>
                    <a:stretch>
                      <a:fillRect/>
                    </a:stretch>
                  </pic:blipFill>
                  <pic:spPr bwMode="auto">
                    <a:xfrm>
                      <a:off x="0" y="0"/>
                      <a:ext cx="5188681" cy="1973472"/>
                    </a:xfrm>
                    <a:prstGeom prst="rect">
                      <a:avLst/>
                    </a:prstGeom>
                    <a:noFill/>
                    <a:ln>
                      <a:noFill/>
                    </a:ln>
                  </pic:spPr>
                </pic:pic>
              </a:graphicData>
            </a:graphic>
          </wp:inline>
        </w:drawing>
      </w:r>
    </w:p>
    <w:p w14:paraId="0D82C3EE" w14:textId="08E94B72" w:rsidR="00F86038" w:rsidRPr="007B64EB" w:rsidRDefault="00400DCE" w:rsidP="007B64EB">
      <w:pPr>
        <w:pStyle w:val="Didascalia"/>
        <w:jc w:val="both"/>
      </w:pPr>
      <w:r>
        <w:t xml:space="preserve">Figure </w:t>
      </w:r>
      <w:r>
        <w:fldChar w:fldCharType="begin"/>
      </w:r>
      <w:r>
        <w:instrText xml:space="preserve"> SEQ Figure \* ARABIC </w:instrText>
      </w:r>
      <w:r>
        <w:fldChar w:fldCharType="separate"/>
      </w:r>
      <w:r w:rsidR="008F724A">
        <w:rPr>
          <w:noProof/>
        </w:rPr>
        <w:t>3</w:t>
      </w:r>
      <w:r>
        <w:fldChar w:fldCharType="end"/>
      </w:r>
      <w:r w:rsidR="00B031D8">
        <w:t xml:space="preserve"> </w:t>
      </w:r>
      <w:r w:rsidR="00B031D8" w:rsidRPr="007B64EB">
        <w:rPr>
          <w:i/>
          <w:iCs w:val="0"/>
        </w:rPr>
        <w:t>Change in banks’ ESG performance, Refinitiv data [2002-2020]</w:t>
      </w:r>
      <w:r w:rsidR="007B64EB" w:rsidRPr="007B64EB">
        <w:rPr>
          <w:i/>
          <w:iCs w:val="0"/>
        </w:rPr>
        <w:t>, Roland Burger</w:t>
      </w:r>
      <w:r w:rsidR="00F86038" w:rsidRPr="006E740E">
        <w:rPr>
          <w:rStyle w:val="Rimandonotaapidipagina"/>
          <w:rFonts w:ascii="Times New Roman" w:hAnsi="Times New Roman" w:cs="Times New Roman"/>
        </w:rPr>
        <w:footnoteReference w:id="21"/>
      </w:r>
    </w:p>
    <w:p w14:paraId="197516A2" w14:textId="77777777" w:rsidR="00F86038" w:rsidRPr="006E740E" w:rsidRDefault="00F86038" w:rsidP="00F86038">
      <w:pPr>
        <w:rPr>
          <w:rFonts w:ascii="Times New Roman" w:hAnsi="Times New Roman" w:cs="Times New Roman"/>
          <w:lang w:val="en-US"/>
        </w:rPr>
      </w:pPr>
    </w:p>
    <w:p w14:paraId="3BF2097D" w14:textId="77777777" w:rsidR="00F86038" w:rsidRPr="00F86038" w:rsidRDefault="00F86038" w:rsidP="00F86038">
      <w:pPr>
        <w:spacing w:line="360" w:lineRule="auto"/>
        <w:rPr>
          <w:rFonts w:ascii="Times New Roman" w:eastAsiaTheme="majorEastAsia" w:hAnsi="Times New Roman" w:cs="Times New Roman"/>
          <w:color w:val="728FA5"/>
          <w:sz w:val="28"/>
          <w:szCs w:val="24"/>
          <w:lang w:val="en-US"/>
        </w:rPr>
      </w:pPr>
      <w:r w:rsidRPr="00F86038">
        <w:rPr>
          <w:rFonts w:ascii="Times New Roman" w:eastAsiaTheme="majorEastAsia" w:hAnsi="Times New Roman" w:cs="Times New Roman"/>
          <w:color w:val="728FA5"/>
          <w:sz w:val="28"/>
          <w:szCs w:val="24"/>
          <w:lang w:val="en-US"/>
        </w:rPr>
        <w:t>What is ESG scoring for banks?</w:t>
      </w:r>
    </w:p>
    <w:p w14:paraId="68CBAADD" w14:textId="77777777" w:rsidR="0080517E" w:rsidRPr="0080517E" w:rsidRDefault="0080517E" w:rsidP="00F86038">
      <w:pPr>
        <w:spacing w:line="360" w:lineRule="auto"/>
        <w:rPr>
          <w:lang w:val="en-US"/>
        </w:rPr>
      </w:pPr>
      <w:r w:rsidRPr="0080517E">
        <w:rPr>
          <w:lang w:val="en-US"/>
        </w:rPr>
        <w:t>In assessing and classifying the performance of a bank, an ESG score is assigned, which is used to provide a framework of how an institution's operations align with global standards in business practices. Factors such as carbon emissions, energy efficiency, the level of investment in sustainable finance, and resource management are considered. Employment practices, community impact, and customer relations are also evaluated in the judgment. Banks should finally apply governance criteria in the composition of the board, in the remuneration of executives, employees, and transparent communication with all stakeholders. ESG reporting is an integral part of the assessment, where banks provide results and detailed data on their objectives.</w:t>
      </w:r>
    </w:p>
    <w:p w14:paraId="0278760B" w14:textId="3A8EA1ED" w:rsidR="00417174" w:rsidRDefault="00941582" w:rsidP="00417174">
      <w:pPr>
        <w:spacing w:line="360" w:lineRule="auto"/>
        <w:rPr>
          <w:lang w:val="en-US"/>
        </w:rPr>
      </w:pPr>
      <w:r w:rsidRPr="00941582">
        <w:rPr>
          <w:lang w:val="en-US"/>
        </w:rPr>
        <w:t>For example, in the article "what is ESG in banking" published in October 2024 by the European banking group Unicredit, the ongoing sustainability reporting process has highlighted and enabled continuous improvement. According to the banking group, this has allowed stakeholders to recognize how their commitment to achieving their ESG goals has created lasting value over time.</w:t>
      </w:r>
      <w:r w:rsidR="00F86038" w:rsidRPr="00F86038">
        <w:rPr>
          <w:lang w:val="en-GB"/>
        </w:rPr>
        <w:footnoteReference w:id="22"/>
      </w:r>
    </w:p>
    <w:p w14:paraId="34AA92E6" w14:textId="049B3F07" w:rsidR="00894706" w:rsidRPr="005E2183" w:rsidRDefault="00F40242" w:rsidP="005E2183">
      <w:pPr>
        <w:spacing w:line="360" w:lineRule="auto"/>
        <w:rPr>
          <w:lang w:val="en-US"/>
        </w:rPr>
      </w:pPr>
      <w:r w:rsidRPr="00F40242">
        <w:rPr>
          <w:lang w:val="en-US"/>
        </w:rPr>
        <w:t>A company with a good ESG score is less likely to encounter sanctions or reputational damage, may demonstrate strength in the ecological transition, and because of these factors, the company can obtain more favorable conditions (lower rates, greater availability of credit). As demonstrated in the article "ESG ratings are important for the financing costs of banks?" through an analysis of bonds issued by banks in the euro area between 2015 and 2022, banks with higher ESG ratings were able to finance themselves at a lower cost; in particular, the governance factor is the most significant in reducing financing costs when considering sustainability factors individually</w:t>
      </w:r>
      <w:bookmarkStart w:id="32" w:name="_Toc207225644"/>
      <w:bookmarkStart w:id="33" w:name="_Toc207471595"/>
      <w:r w:rsidR="001F7574">
        <w:rPr>
          <w:lang w:val="en-US"/>
        </w:rPr>
        <w:t xml:space="preserve"> (</w:t>
      </w:r>
      <w:r w:rsidR="00817D15" w:rsidRPr="006530D3">
        <w:rPr>
          <w:i/>
          <w:iCs/>
          <w:sz w:val="22"/>
          <w:szCs w:val="20"/>
          <w:lang w:val="en-US"/>
        </w:rPr>
        <w:t>S.Nobili, M. Persico, and R. Romeo.</w:t>
      </w:r>
      <w:r w:rsidR="003D75B0" w:rsidRPr="006530D3">
        <w:rPr>
          <w:i/>
          <w:iCs/>
          <w:sz w:val="22"/>
          <w:szCs w:val="20"/>
          <w:lang w:val="en-US"/>
        </w:rPr>
        <w:t xml:space="preserve"> </w:t>
      </w:r>
      <w:r w:rsidR="00817D15" w:rsidRPr="006530D3">
        <w:rPr>
          <w:i/>
          <w:iCs/>
          <w:sz w:val="22"/>
          <w:szCs w:val="20"/>
          <w:lang w:val="en-US"/>
        </w:rPr>
        <w:t>202</w:t>
      </w:r>
      <w:r w:rsidR="003D75B0" w:rsidRPr="006530D3">
        <w:rPr>
          <w:i/>
          <w:iCs/>
          <w:sz w:val="22"/>
          <w:szCs w:val="20"/>
          <w:lang w:val="en-US"/>
        </w:rPr>
        <w:t>4.</w:t>
      </w:r>
      <w:r w:rsidR="00817D15" w:rsidRPr="006530D3">
        <w:rPr>
          <w:i/>
          <w:iCs/>
          <w:sz w:val="22"/>
          <w:szCs w:val="20"/>
          <w:lang w:val="en-US"/>
        </w:rPr>
        <w:t xml:space="preserve"> </w:t>
      </w:r>
      <w:r w:rsidR="001F7574" w:rsidRPr="006530D3">
        <w:rPr>
          <w:i/>
          <w:iCs/>
          <w:sz w:val="22"/>
          <w:szCs w:val="20"/>
          <w:lang w:val="en-US"/>
        </w:rPr>
        <w:t>"ESG ratings are important for the financing costs of banks?"</w:t>
      </w:r>
      <w:r w:rsidR="00817D15" w:rsidRPr="00817D15">
        <w:rPr>
          <w:sz w:val="22"/>
          <w:szCs w:val="20"/>
          <w:lang w:val="en-US"/>
        </w:rPr>
        <w:t>).</w:t>
      </w:r>
    </w:p>
    <w:p w14:paraId="6E2A7EC6" w14:textId="63F477F3" w:rsidR="00F86038" w:rsidRPr="006E740E" w:rsidRDefault="00F86038" w:rsidP="00F86038">
      <w:pPr>
        <w:pStyle w:val="Titolo3"/>
        <w:numPr>
          <w:ilvl w:val="0"/>
          <w:numId w:val="0"/>
        </w:numPr>
        <w:ind w:left="851" w:hanging="851"/>
        <w:rPr>
          <w:rFonts w:ascii="Times New Roman" w:hAnsi="Times New Roman" w:cs="Times New Roman"/>
          <w:lang w:val="en-US"/>
        </w:rPr>
      </w:pPr>
      <w:r w:rsidRPr="006E740E">
        <w:rPr>
          <w:rFonts w:ascii="Times New Roman" w:hAnsi="Times New Roman" w:cs="Times New Roman"/>
          <w:lang w:val="en-US"/>
        </w:rPr>
        <w:lastRenderedPageBreak/>
        <w:t>2.3.1 ESG rating and access to credit</w:t>
      </w:r>
      <w:bookmarkEnd w:id="32"/>
      <w:bookmarkEnd w:id="33"/>
    </w:p>
    <w:p w14:paraId="6DE1EE92" w14:textId="77777777" w:rsidR="00400549" w:rsidRPr="00400549" w:rsidRDefault="00400549" w:rsidP="00F86038">
      <w:pPr>
        <w:spacing w:line="360" w:lineRule="auto"/>
        <w:rPr>
          <w:lang w:val="en-US"/>
        </w:rPr>
      </w:pPr>
      <w:r w:rsidRPr="00400549">
        <w:rPr>
          <w:lang w:val="en-US"/>
        </w:rPr>
        <w:t>Banks assign internal credit ratings to their borrowers, just as they do for retail or corporate clients when discussing various lending alternatives between the bank and the client. The purpose of the bank's credit rating is to analyze the solvency of its clients; these internal ratings are not public information and are therefore not provided to external entities or other stakeholders interested in a credit assessment.</w:t>
      </w:r>
    </w:p>
    <w:p w14:paraId="2D6C6BE5" w14:textId="6ED49EED" w:rsidR="00F86038" w:rsidRPr="00F86038" w:rsidRDefault="00F86038" w:rsidP="00F86038">
      <w:pPr>
        <w:spacing w:line="360" w:lineRule="auto"/>
        <w:rPr>
          <w:lang w:val="en-GB"/>
        </w:rPr>
      </w:pPr>
      <w:r w:rsidRPr="00F86038">
        <w:rPr>
          <w:lang w:val="en-GB"/>
        </w:rPr>
        <w:t>The ESG rating agencies assess the corporate sustainability performance of companies – the assessments are done by agencies’ own research methodologies, and the tools, metrics and frameworks differ between the rating agencies. The most prominent ESG rating agencies are Morgan Stanley Capital International (MSCI), Refinitiv, Bloomberg and Sustainalytics.</w:t>
      </w:r>
    </w:p>
    <w:p w14:paraId="337407A2" w14:textId="77777777" w:rsidR="00F86038" w:rsidRPr="00F86038" w:rsidRDefault="00F86038" w:rsidP="00F86038">
      <w:pPr>
        <w:spacing w:line="360" w:lineRule="auto"/>
        <w:rPr>
          <w:lang w:val="en-GB"/>
        </w:rPr>
      </w:pPr>
      <w:r w:rsidRPr="00F86038">
        <w:rPr>
          <w:lang w:val="en-GB"/>
        </w:rPr>
        <w:t xml:space="preserve">The ESG ratings by MSCI are aimed at measuring a company’s resilience to financially relevant ESG risks on a long-term horizon. Thus, the ratings aim to help inform users to understand the financially relevant ESG risks and opportunities a company faces – the assessments are industry-relative and assessed on a 7-point scale ranging from AAA-CCC. The companies which are assigned the highest rate are considered to best manage their exposure to material ESG risks and opportunities. The assessment of a company’s ability to manage its exposure is divided into three broad categories – firstly, the capacity of an organization and level of commitment in addressing key risks and opportunities, secondly, the scope and strength of initiatives, programs, and targets in place to improve performance, and lastly, a track record of the company showcasing the management of specific risks or opportunities. </w:t>
      </w:r>
      <w:r w:rsidRPr="00F86038">
        <w:rPr>
          <w:lang w:val="en-GB"/>
        </w:rPr>
        <w:footnoteReference w:id="23"/>
      </w:r>
    </w:p>
    <w:p w14:paraId="0555AAB8" w14:textId="6D0AAB73" w:rsidR="00F86038" w:rsidRPr="00F86038" w:rsidRDefault="00F86038" w:rsidP="00F86038">
      <w:pPr>
        <w:spacing w:line="360" w:lineRule="auto"/>
        <w:rPr>
          <w:lang w:val="en-GB"/>
        </w:rPr>
      </w:pPr>
      <w:r w:rsidRPr="00F86038">
        <w:rPr>
          <w:lang w:val="en-GB"/>
        </w:rPr>
        <w:t xml:space="preserve">The core building blocks of the MSCI ESG Ratings methodology can be seen in the hierarchy shown in </w:t>
      </w:r>
      <w:r>
        <w:rPr>
          <w:lang w:val="en-GB"/>
        </w:rPr>
        <w:t>the graph</w:t>
      </w:r>
      <w:r w:rsidRPr="00F86038">
        <w:rPr>
          <w:lang w:val="en-GB"/>
        </w:rPr>
        <w:t xml:space="preserve">. The Environmental and Social Key Issues are described as industry-specific, which are determined based on externalities on these two </w:t>
      </w:r>
      <w:r w:rsidRPr="00F86038">
        <w:rPr>
          <w:lang w:val="en-GB"/>
        </w:rPr>
        <w:lastRenderedPageBreak/>
        <w:t>dimensions that may be material for the specific company and its industry. The Governance dimension’s Key Issues are assessed through a deduction-based scoring model, where all companies are in the beginning assigned a perfect score, which is then deducted based on Key Metrics related to the Key Issues in the dimension. The weighted average of the Key Issue Scores (normalized by the total sum of weights underlying each Theme Scores) then form Theme Scores according to the table above. Theme Scores range from 0 to 10, and the lower scores indicate a more severe risk on the theme.</w:t>
      </w:r>
    </w:p>
    <w:p w14:paraId="25BB6E23" w14:textId="77777777" w:rsidR="0023368E" w:rsidRDefault="00F86038" w:rsidP="0023368E">
      <w:pPr>
        <w:keepNext/>
        <w:spacing w:line="360" w:lineRule="auto"/>
      </w:pPr>
      <w:r w:rsidRPr="006E740E">
        <w:rPr>
          <w:rFonts w:ascii="Times New Roman" w:hAnsi="Times New Roman" w:cs="Times New Roman"/>
          <w:noProof/>
          <w:lang w:val="en-US"/>
        </w:rPr>
        <w:drawing>
          <wp:inline distT="0" distB="0" distL="0" distR="0" wp14:anchorId="79BA0FFF" wp14:editId="1E6324D6">
            <wp:extent cx="4108450" cy="3816350"/>
            <wp:effectExtent l="0" t="0" r="6350" b="0"/>
            <wp:docPr id="72572898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728982" name="Immagine 1"/>
                    <pic:cNvPicPr/>
                  </pic:nvPicPr>
                  <pic:blipFill>
                    <a:blip r:embed="rId39">
                      <a:extLst>
                        <a:ext uri="{28A0092B-C50C-407E-A947-70E740481C1C}">
                          <a14:useLocalDpi xmlns:a14="http://schemas.microsoft.com/office/drawing/2010/main" val="0"/>
                        </a:ext>
                      </a:extLst>
                    </a:blip>
                    <a:stretch>
                      <a:fillRect/>
                    </a:stretch>
                  </pic:blipFill>
                  <pic:spPr>
                    <a:xfrm>
                      <a:off x="0" y="0"/>
                      <a:ext cx="4109134" cy="3816985"/>
                    </a:xfrm>
                    <a:prstGeom prst="rect">
                      <a:avLst/>
                    </a:prstGeom>
                  </pic:spPr>
                </pic:pic>
              </a:graphicData>
            </a:graphic>
          </wp:inline>
        </w:drawing>
      </w:r>
    </w:p>
    <w:p w14:paraId="428318A7" w14:textId="0FCE44F9" w:rsidR="00F86038" w:rsidRPr="00E71E38" w:rsidRDefault="0023368E" w:rsidP="00E71E38">
      <w:pPr>
        <w:pStyle w:val="Didascalia"/>
        <w:jc w:val="both"/>
        <w:rPr>
          <w:i/>
          <w:iCs w:val="0"/>
        </w:rPr>
      </w:pPr>
      <w:r>
        <w:t xml:space="preserve">Figure </w:t>
      </w:r>
      <w:r>
        <w:fldChar w:fldCharType="begin"/>
      </w:r>
      <w:r>
        <w:instrText xml:space="preserve"> SEQ Figure \* ARABIC </w:instrText>
      </w:r>
      <w:r>
        <w:fldChar w:fldCharType="separate"/>
      </w:r>
      <w:r w:rsidR="008F724A">
        <w:rPr>
          <w:noProof/>
        </w:rPr>
        <w:t>4</w:t>
      </w:r>
      <w:r>
        <w:fldChar w:fldCharType="end"/>
      </w:r>
      <w:r>
        <w:t xml:space="preserve"> </w:t>
      </w:r>
      <w:r w:rsidRPr="00E71E38">
        <w:rPr>
          <w:i/>
          <w:iCs w:val="0"/>
        </w:rPr>
        <w:t xml:space="preserve">MSCI </w:t>
      </w:r>
      <w:r w:rsidR="00BA4E39" w:rsidRPr="00E71E38">
        <w:rPr>
          <w:i/>
          <w:iCs w:val="0"/>
        </w:rPr>
        <w:t>ESG R</w:t>
      </w:r>
      <w:r w:rsidRPr="00E71E38">
        <w:rPr>
          <w:i/>
          <w:iCs w:val="0"/>
        </w:rPr>
        <w:t>atings</w:t>
      </w:r>
      <w:r w:rsidR="00BA4E39" w:rsidRPr="00E71E38">
        <w:rPr>
          <w:i/>
          <w:iCs w:val="0"/>
        </w:rPr>
        <w:t xml:space="preserve"> key</w:t>
      </w:r>
      <w:r w:rsidRPr="00E71E38">
        <w:rPr>
          <w:i/>
          <w:iCs w:val="0"/>
        </w:rPr>
        <w:t xml:space="preserve"> </w:t>
      </w:r>
      <w:r w:rsidR="00BA4E39" w:rsidRPr="00E71E38">
        <w:rPr>
          <w:i/>
          <w:iCs w:val="0"/>
        </w:rPr>
        <w:t>issue hierarchy, ESG Ratings Methodology</w:t>
      </w:r>
      <w:r w:rsidR="00E71E38">
        <w:rPr>
          <w:i/>
          <w:iCs w:val="0"/>
        </w:rPr>
        <w:t xml:space="preserve"> pag.5</w:t>
      </w:r>
      <w:r w:rsidR="00E71E38" w:rsidRPr="00E71E38">
        <w:rPr>
          <w:i/>
          <w:iCs w:val="0"/>
        </w:rPr>
        <w:t>,</w:t>
      </w:r>
      <w:r w:rsidR="00E71E38" w:rsidRPr="00E71E38">
        <w:rPr>
          <w:i/>
          <w:iCs w:val="0"/>
          <w:sz w:val="24"/>
          <w:szCs w:val="22"/>
        </w:rPr>
        <w:t xml:space="preserve"> </w:t>
      </w:r>
      <w:r w:rsidR="00E71E38" w:rsidRPr="00E71E38">
        <w:rPr>
          <w:i/>
          <w:iCs w:val="0"/>
        </w:rPr>
        <w:t>MSCI ESG Research LLC April 2024</w:t>
      </w:r>
      <w:r w:rsidR="00E71E38">
        <w:rPr>
          <w:i/>
          <w:iCs w:val="0"/>
        </w:rPr>
        <w:t xml:space="preserve"> </w:t>
      </w:r>
      <w:r w:rsidR="00F86038" w:rsidRPr="006E740E">
        <w:rPr>
          <w:rStyle w:val="Rimandonotaapidipagina"/>
          <w:rFonts w:ascii="Times New Roman" w:hAnsi="Times New Roman" w:cs="Times New Roman"/>
        </w:rPr>
        <w:footnoteReference w:id="24"/>
      </w:r>
    </w:p>
    <w:p w14:paraId="3A55A745" w14:textId="77777777" w:rsidR="00F86038" w:rsidRPr="00F86038" w:rsidRDefault="00F86038" w:rsidP="00F86038">
      <w:pPr>
        <w:spacing w:line="360" w:lineRule="auto"/>
        <w:rPr>
          <w:lang w:val="en-GB"/>
        </w:rPr>
      </w:pPr>
      <w:r w:rsidRPr="00F86038">
        <w:rPr>
          <w:lang w:val="en-GB"/>
        </w:rPr>
        <w:t xml:space="preserve">All companies are evaluated on the Governance Pillar, which is comprised of six Key Issues in the Corporate Governance and Corporate Behavior Themes. The evaluation is based on the gap between best practice and each company’s governance practices.  </w:t>
      </w:r>
      <w:r w:rsidRPr="00F86038">
        <w:rPr>
          <w:lang w:val="en-GB"/>
        </w:rPr>
        <w:lastRenderedPageBreak/>
        <w:t>Where applicable, ESG Rating takes into consideration a company’s position to meet market demand for the provision of products and services that have a positive environmental or social contribution.</w:t>
      </w:r>
      <w:r w:rsidRPr="00F86038">
        <w:rPr>
          <w:lang w:val="en-GB"/>
        </w:rPr>
        <w:footnoteReference w:id="25"/>
      </w:r>
    </w:p>
    <w:p w14:paraId="02FECB6D" w14:textId="77777777" w:rsidR="00F86038" w:rsidRPr="00F86038" w:rsidRDefault="00F86038" w:rsidP="00F86038">
      <w:pPr>
        <w:spacing w:line="360" w:lineRule="auto"/>
        <w:rPr>
          <w:lang w:val="en-GB"/>
        </w:rPr>
      </w:pPr>
      <w:r w:rsidRPr="00F86038">
        <w:rPr>
          <w:lang w:val="en-GB"/>
        </w:rPr>
        <w:t>MSCI ESG Research has also a team dedicated to identifying controversies and their scope and severity of the rated companies and industries they are active in. The controversies are cases or instances where a company’s operations or products have allegations of having negative environmental, social and/or governance impact. The controversy cases can be e.g., violations of laws or regulations, or violations against commonly accepted international norms. Each controversy case is then assessed on its nature of harm, whether it is widespread, and which level of severity the controversy has on society or the environment.</w:t>
      </w:r>
    </w:p>
    <w:p w14:paraId="03CEC169" w14:textId="77777777" w:rsidR="00F86038" w:rsidRPr="006E740E" w:rsidRDefault="00F86038" w:rsidP="00F86038">
      <w:pPr>
        <w:pStyle w:val="Titolo3"/>
        <w:numPr>
          <w:ilvl w:val="0"/>
          <w:numId w:val="0"/>
        </w:numPr>
        <w:ind w:left="851" w:hanging="851"/>
        <w:rPr>
          <w:rFonts w:ascii="Times New Roman" w:hAnsi="Times New Roman" w:cs="Times New Roman"/>
          <w:lang w:val="en-US"/>
        </w:rPr>
      </w:pPr>
      <w:bookmarkStart w:id="34" w:name="_Toc207225645"/>
      <w:bookmarkStart w:id="35" w:name="_Toc207471596"/>
      <w:r w:rsidRPr="006E740E">
        <w:rPr>
          <w:rFonts w:ascii="Times New Roman" w:hAnsi="Times New Roman" w:cs="Times New Roman"/>
          <w:lang w:val="en-US"/>
        </w:rPr>
        <w:t>2.3.2 ESG integration into banking risk models</w:t>
      </w:r>
      <w:bookmarkEnd w:id="34"/>
      <w:bookmarkEnd w:id="35"/>
    </w:p>
    <w:p w14:paraId="2DDE7E17" w14:textId="77777777" w:rsidR="00F86038" w:rsidRPr="00F86038" w:rsidRDefault="00F86038" w:rsidP="00F86038">
      <w:pPr>
        <w:spacing w:line="360" w:lineRule="auto"/>
        <w:rPr>
          <w:lang w:val="en-GB"/>
        </w:rPr>
      </w:pPr>
      <w:r w:rsidRPr="00F86038">
        <w:rPr>
          <w:lang w:val="en-GB"/>
        </w:rPr>
        <w:t>Since the concept of sustainability was introduced into the financial sector, sustainability risks have emerged as new types of risk. These focus on the potential effect that an organization's stakeholders (such as customers, outsourced suppliers, employees, or the environment) can exert and, conversely, the impact that the organization can have on its stakeholders and the environment because of its activities. When they occur, ESG risks will or may have a negative impact on a bank's activities, financial position, income, or reputation.</w:t>
      </w:r>
    </w:p>
    <w:p w14:paraId="46A541FC" w14:textId="11F8243E" w:rsidR="006446CC" w:rsidRPr="006530D3" w:rsidRDefault="00F86038" w:rsidP="006530D3">
      <w:pPr>
        <w:spacing w:line="360" w:lineRule="auto"/>
        <w:rPr>
          <w:lang w:val="en-GB"/>
        </w:rPr>
      </w:pPr>
      <w:r w:rsidRPr="00F86038">
        <w:rPr>
          <w:lang w:val="en-GB"/>
        </w:rPr>
        <w:t>The specialty of the topic concerning banks/the banking sector is that ESG risks can affect the bank directly (e.g. storm damage to bank buildings), but also affect customers (change in sales opportunities, production disruptions, etc.) leading to, for example, higher loan defaults.</w:t>
      </w:r>
      <w:r w:rsidRPr="006446CC">
        <w:rPr>
          <w:lang w:val="en-GB"/>
        </w:rPr>
        <w:t xml:space="preserve">According to Grunert, Norden, and Weber (2005), internal credit ratings for corporate borrowers are based on various financial and non-financial </w:t>
      </w:r>
      <w:r w:rsidRPr="006446CC">
        <w:rPr>
          <w:lang w:val="en-GB"/>
        </w:rPr>
        <w:lastRenderedPageBreak/>
        <w:t>factors, which are then aggregated in a valuation process</w:t>
      </w:r>
      <w:r w:rsidR="007E6142" w:rsidRPr="006446CC">
        <w:rPr>
          <w:lang w:val="en-GB"/>
        </w:rPr>
        <w:t xml:space="preserve"> (</w:t>
      </w:r>
      <w:r w:rsidR="006446CC" w:rsidRPr="006530D3">
        <w:rPr>
          <w:i/>
          <w:iCs/>
          <w:lang w:val="en-GB"/>
        </w:rPr>
        <w:t xml:space="preserve">Grunert, Norden, and Weber. 2005. </w:t>
      </w:r>
      <w:hyperlink r:id="rId40" w:history="1">
        <w:r w:rsidR="006446CC" w:rsidRPr="006530D3">
          <w:rPr>
            <w:i/>
            <w:iCs/>
            <w:lang w:val="en-GB"/>
          </w:rPr>
          <w:t>The role of non-financial factors in internal credit ratings - ScienceDirect</w:t>
        </w:r>
      </w:hyperlink>
      <w:r w:rsidR="00841853">
        <w:rPr>
          <w:sz w:val="22"/>
          <w:lang w:val="en-GB"/>
        </w:rPr>
        <w:t>).</w:t>
      </w:r>
    </w:p>
    <w:p w14:paraId="6E32FCF8" w14:textId="4CE14360" w:rsidR="00395B62" w:rsidRPr="00395B62" w:rsidRDefault="00F86038" w:rsidP="00F86038">
      <w:pPr>
        <w:spacing w:line="360" w:lineRule="auto"/>
        <w:rPr>
          <w:lang w:val="en-US"/>
        </w:rPr>
      </w:pPr>
      <w:r w:rsidRPr="00F86038">
        <w:rPr>
          <w:lang w:val="en-GB"/>
        </w:rPr>
        <w:t xml:space="preserve">. </w:t>
      </w:r>
      <w:r w:rsidR="00395B62" w:rsidRPr="00395B62">
        <w:rPr>
          <w:lang w:val="en-US"/>
        </w:rPr>
        <w:t>An internal credit rating aims to assign a value to companies that reflects all potential default risks related to a particular borrower. Banks assign internal ratings to evaluate loan approvals, pricing choices, and rates, monitoring, and to create provisions for loan losses (</w:t>
      </w:r>
      <w:r w:rsidR="00395B62" w:rsidRPr="006530D3">
        <w:rPr>
          <w:i/>
          <w:iCs/>
          <w:lang w:val="en-US"/>
        </w:rPr>
        <w:t>Grunert, et al., 2005</w:t>
      </w:r>
      <w:r w:rsidR="00395B62" w:rsidRPr="00395B62">
        <w:rPr>
          <w:lang w:val="en-US"/>
        </w:rPr>
        <w:t>). Economists, credit analysts, or credit officials are the ones who determine an internal credit rating, using different models to assess the default risk of a borrower: some factors may be specific to the borrower or to the market based on the industry in which it operates, and models can vary from more qualitative and judgment-based decision-making processes to the use of sophisticated quantitative models.</w:t>
      </w:r>
    </w:p>
    <w:p w14:paraId="2542F697" w14:textId="41C15816" w:rsidR="00F86038" w:rsidRPr="00E17121" w:rsidRDefault="00F86038" w:rsidP="00E17121">
      <w:pPr>
        <w:spacing w:line="360" w:lineRule="auto"/>
        <w:rPr>
          <w:lang w:val="en-US"/>
        </w:rPr>
      </w:pPr>
      <w:r w:rsidRPr="00F86038">
        <w:rPr>
          <w:lang w:val="en-GB"/>
        </w:rPr>
        <w:t xml:space="preserve">According to Bandyopadhyay (2016), </w:t>
      </w:r>
      <w:r w:rsidR="003C47CB" w:rsidRPr="003C47CB">
        <w:rPr>
          <w:lang w:val="en-US"/>
        </w:rPr>
        <w:t xml:space="preserve">Credit risk is the danger arising from the uncertainty in the willingness or ability of the counterparty to fulfill the contractual obligations stated at the time of the agreement with the creditor. Therefore, credit risk particularly refers to the risk that a loan will not be repaid, or that investments may go </w:t>
      </w:r>
      <w:r w:rsidR="00FB3F09" w:rsidRPr="003C47CB">
        <w:rPr>
          <w:lang w:val="en-US"/>
        </w:rPr>
        <w:t>bankrupt,</w:t>
      </w:r>
      <w:r w:rsidR="003C47CB" w:rsidRPr="003C47CB">
        <w:rPr>
          <w:lang w:val="en-US"/>
        </w:rPr>
        <w:t xml:space="preserve"> resulting in a loss for the bank or another type of lender. The creditworthiness of a borrower is nonetheless a factor to be monitored over time as it may undergo changes: variations in financial data, inadequate management, changes in the economic cycle (for example, rising inflation or recession), increasing competition, or weaker exchange rates are some of the reasons listed by </w:t>
      </w:r>
      <w:r w:rsidR="00FB3F09" w:rsidRPr="003C47CB">
        <w:rPr>
          <w:lang w:val="en-US"/>
        </w:rPr>
        <w:t>Bandyopadhyay</w:t>
      </w:r>
      <w:r w:rsidR="00E17121">
        <w:rPr>
          <w:lang w:val="en-US"/>
        </w:rPr>
        <w:t xml:space="preserve"> (</w:t>
      </w:r>
      <w:r w:rsidR="00E17121" w:rsidRPr="006530D3">
        <w:rPr>
          <w:i/>
          <w:iCs/>
          <w:lang w:val="en-US"/>
        </w:rPr>
        <w:t xml:space="preserve">A. </w:t>
      </w:r>
      <w:r w:rsidR="00E17121" w:rsidRPr="006530D3">
        <w:rPr>
          <w:i/>
          <w:iCs/>
          <w:lang w:val="en-GB"/>
        </w:rPr>
        <w:t>Bandyopadhyay</w:t>
      </w:r>
      <w:r w:rsidR="00E17121" w:rsidRPr="006530D3">
        <w:rPr>
          <w:i/>
          <w:iCs/>
          <w:lang w:val="en-US"/>
        </w:rPr>
        <w:t>. 2016. Introduction to Credit Risk, Cambridge University Press)</w:t>
      </w:r>
      <w:r w:rsidR="00E17121" w:rsidRPr="000728A8">
        <w:rPr>
          <w:sz w:val="22"/>
          <w:szCs w:val="20"/>
          <w:lang w:val="en-US"/>
        </w:rPr>
        <w:t>.</w:t>
      </w:r>
    </w:p>
    <w:p w14:paraId="14FAC152" w14:textId="77777777" w:rsidR="00F86038" w:rsidRPr="00F86038" w:rsidRDefault="00F86038" w:rsidP="00F86038">
      <w:pPr>
        <w:spacing w:line="360" w:lineRule="auto"/>
        <w:rPr>
          <w:lang w:val="en-GB"/>
        </w:rPr>
      </w:pPr>
      <w:r w:rsidRPr="00F86038">
        <w:rPr>
          <w:lang w:val="en-GB"/>
        </w:rPr>
        <w:t xml:space="preserve">The major drivers of credit risk according to Bandyopadhyay (2016, p. 3) are: </w:t>
      </w:r>
    </w:p>
    <w:p w14:paraId="72D71EAF" w14:textId="77777777" w:rsidR="00F86038" w:rsidRPr="00F86038" w:rsidRDefault="00F86038" w:rsidP="00F86038">
      <w:pPr>
        <w:rPr>
          <w:lang w:val="en-GB"/>
        </w:rPr>
      </w:pPr>
      <w:r w:rsidRPr="00F86038">
        <w:rPr>
          <w:lang w:val="en-GB"/>
        </w:rPr>
        <w:t xml:space="preserve">1. </w:t>
      </w:r>
      <w:r w:rsidRPr="00F86038">
        <w:rPr>
          <w:b/>
          <w:bCs/>
          <w:lang w:val="en-GB"/>
        </w:rPr>
        <w:t>Default risk</w:t>
      </w:r>
      <w:r w:rsidRPr="00F86038">
        <w:rPr>
          <w:lang w:val="en-GB"/>
        </w:rPr>
        <w:t xml:space="preserve"> – The obligor fails to service debt obligations due to borrower-specific or market-specific factors. </w:t>
      </w:r>
    </w:p>
    <w:p w14:paraId="41C10CBF" w14:textId="77777777" w:rsidR="00F86038" w:rsidRPr="00F86038" w:rsidRDefault="00F86038" w:rsidP="00F86038">
      <w:pPr>
        <w:rPr>
          <w:lang w:val="en-GB"/>
        </w:rPr>
      </w:pPr>
      <w:r w:rsidRPr="00F86038">
        <w:rPr>
          <w:lang w:val="en-GB"/>
        </w:rPr>
        <w:t xml:space="preserve">2. </w:t>
      </w:r>
      <w:r w:rsidRPr="00F86038">
        <w:rPr>
          <w:b/>
          <w:bCs/>
          <w:lang w:val="en-GB"/>
        </w:rPr>
        <w:t>Recovery risk</w:t>
      </w:r>
      <w:r w:rsidRPr="00F86038">
        <w:rPr>
          <w:lang w:val="en-GB"/>
        </w:rPr>
        <w:t xml:space="preserve"> – Recovery post default is uncertain as the value of the collateral changes unexpectedly. </w:t>
      </w:r>
    </w:p>
    <w:p w14:paraId="2612C7E4" w14:textId="77777777" w:rsidR="00F86038" w:rsidRPr="00F86038" w:rsidRDefault="00F86038" w:rsidP="00F86038">
      <w:pPr>
        <w:rPr>
          <w:lang w:val="en-GB"/>
        </w:rPr>
      </w:pPr>
      <w:r w:rsidRPr="00F86038">
        <w:rPr>
          <w:lang w:val="en-GB"/>
        </w:rPr>
        <w:t>3</w:t>
      </w:r>
      <w:r w:rsidRPr="00F86038">
        <w:rPr>
          <w:b/>
          <w:bCs/>
          <w:lang w:val="en-GB"/>
        </w:rPr>
        <w:t>. Spread risk</w:t>
      </w:r>
      <w:r w:rsidRPr="00F86038">
        <w:rPr>
          <w:lang w:val="en-GB"/>
        </w:rPr>
        <w:t xml:space="preserve"> – The credit quality of the obligor changes leading to a fall in the market value of the loan. </w:t>
      </w:r>
    </w:p>
    <w:p w14:paraId="398B3AC3" w14:textId="77777777" w:rsidR="00F86038" w:rsidRPr="00F86038" w:rsidRDefault="00F86038" w:rsidP="00F86038">
      <w:pPr>
        <w:rPr>
          <w:lang w:val="en-GB"/>
        </w:rPr>
      </w:pPr>
      <w:r w:rsidRPr="00F86038">
        <w:rPr>
          <w:lang w:val="en-GB"/>
        </w:rPr>
        <w:lastRenderedPageBreak/>
        <w:t xml:space="preserve">4. </w:t>
      </w:r>
      <w:r w:rsidRPr="00F86038">
        <w:rPr>
          <w:b/>
          <w:bCs/>
          <w:lang w:val="en-GB"/>
        </w:rPr>
        <w:t>Concentration risk</w:t>
      </w:r>
      <w:r w:rsidRPr="00F86038">
        <w:rPr>
          <w:lang w:val="en-GB"/>
        </w:rPr>
        <w:t xml:space="preserve"> – Over-exposure to an individual borrower, group entity or segment  </w:t>
      </w:r>
    </w:p>
    <w:p w14:paraId="76DEF1A3" w14:textId="295BED64" w:rsidR="00F86038" w:rsidRDefault="00F86038" w:rsidP="00F86038">
      <w:pPr>
        <w:rPr>
          <w:lang w:val="en-GB"/>
        </w:rPr>
      </w:pPr>
      <w:r w:rsidRPr="00F86038">
        <w:rPr>
          <w:lang w:val="en-GB"/>
        </w:rPr>
        <w:t xml:space="preserve">5. </w:t>
      </w:r>
      <w:r w:rsidRPr="00F86038">
        <w:rPr>
          <w:b/>
          <w:bCs/>
          <w:lang w:val="en-GB"/>
        </w:rPr>
        <w:t>Correlation risk</w:t>
      </w:r>
      <w:r w:rsidRPr="00F86038">
        <w:rPr>
          <w:lang w:val="en-GB"/>
        </w:rPr>
        <w:t xml:space="preserve"> – Common risk factors between different borrowers, industries, or sectors which may lead to simultaneous defaults.  </w:t>
      </w:r>
    </w:p>
    <w:p w14:paraId="6C3D031B" w14:textId="77777777" w:rsidR="00ED345A" w:rsidRPr="00F86038" w:rsidRDefault="00ED345A" w:rsidP="00F86038">
      <w:pPr>
        <w:rPr>
          <w:lang w:val="en-GB"/>
        </w:rPr>
      </w:pPr>
    </w:p>
    <w:p w14:paraId="61E8F95E" w14:textId="77777777" w:rsidR="00F86038" w:rsidRPr="00F86038" w:rsidRDefault="00F86038" w:rsidP="00F86038">
      <w:pPr>
        <w:spacing w:line="360" w:lineRule="auto"/>
        <w:rPr>
          <w:lang w:val="en-GB"/>
        </w:rPr>
      </w:pPr>
      <w:r w:rsidRPr="003C47CB">
        <w:rPr>
          <w:lang w:val="en-GB"/>
        </w:rPr>
        <w:t>Due to current political debates, presumably also for reasons of materiality, attention is currently</w:t>
      </w:r>
      <w:r w:rsidRPr="00F86038">
        <w:rPr>
          <w:lang w:val="en-GB"/>
        </w:rPr>
        <w:t xml:space="preserve"> focused on environmental risks and the sub-theme of climate change. For their part, environmental risks are divided into physical risks and transition risks: </w:t>
      </w:r>
    </w:p>
    <w:p w14:paraId="37B3E77D" w14:textId="77777777" w:rsidR="002F70F0" w:rsidRPr="002F70F0" w:rsidRDefault="00F86038" w:rsidP="002F70F0">
      <w:pPr>
        <w:spacing w:line="360" w:lineRule="auto"/>
        <w:rPr>
          <w:b/>
          <w:bCs/>
          <w:lang w:val="en-US"/>
        </w:rPr>
      </w:pPr>
      <w:r w:rsidRPr="00F86038">
        <w:rPr>
          <w:lang w:val="en-GB"/>
        </w:rPr>
        <w:t xml:space="preserve">— </w:t>
      </w:r>
      <w:r w:rsidR="002F70F0" w:rsidRPr="002F70F0">
        <w:rPr>
          <w:b/>
          <w:bCs/>
          <w:lang w:val="en-US"/>
        </w:rPr>
        <w:t xml:space="preserve">Physical risks </w:t>
      </w:r>
      <w:r w:rsidR="002F70F0" w:rsidRPr="002F70F0">
        <w:rPr>
          <w:lang w:val="en-GB"/>
        </w:rPr>
        <w:t>arise if the failure to achieve climate goals (e.g., the direct effects of climate change on the water supply of industrial companies) directly threatens economic activities or their value over time. They can occur as acute risks (i.e., individual and irregular physical risk events) or as chronic risks (i.e., a permanent and ongoing deterioration in the process of achieving ESG goals, resulting in lasting negative effects on their economic activities).</w:t>
      </w:r>
      <w:r w:rsidR="002F70F0" w:rsidRPr="002F70F0">
        <w:rPr>
          <w:b/>
          <w:bCs/>
          <w:lang w:val="en-US"/>
        </w:rPr>
        <w:t xml:space="preserve"> </w:t>
      </w:r>
    </w:p>
    <w:p w14:paraId="1BA03F4A" w14:textId="1AC29290" w:rsidR="00F86038" w:rsidRDefault="002F70F0" w:rsidP="002F70F0">
      <w:pPr>
        <w:spacing w:line="360" w:lineRule="auto"/>
        <w:rPr>
          <w:lang w:val="en-GB"/>
        </w:rPr>
      </w:pPr>
      <w:r w:rsidRPr="002F70F0">
        <w:rPr>
          <w:b/>
          <w:bCs/>
          <w:lang w:val="en-US"/>
        </w:rPr>
        <w:t xml:space="preserve">— Transition risks </w:t>
      </w:r>
      <w:r w:rsidRPr="002F70F0">
        <w:rPr>
          <w:lang w:val="en-GB"/>
        </w:rPr>
        <w:t>may arise if the business model on which a company's economic activities are based is constantly threatened by climate or social changes and its negative impact on ESG (</w:t>
      </w:r>
      <w:r>
        <w:rPr>
          <w:lang w:val="en-GB"/>
        </w:rPr>
        <w:t>for example</w:t>
      </w:r>
      <w:r w:rsidRPr="002F70F0">
        <w:rPr>
          <w:lang w:val="en-GB"/>
        </w:rPr>
        <w:t>, the effects of policy measures to combat climate change and their impact on combustion engine manufacturers)</w:t>
      </w:r>
      <w:r w:rsidR="00F86038" w:rsidRPr="00F86038">
        <w:rPr>
          <w:lang w:val="en-GB"/>
        </w:rPr>
        <w:t>.</w:t>
      </w:r>
      <w:r w:rsidR="00F86038" w:rsidRPr="00F86038">
        <w:rPr>
          <w:lang w:val="en-GB"/>
        </w:rPr>
        <w:footnoteReference w:id="26"/>
      </w:r>
    </w:p>
    <w:p w14:paraId="71FB2B1C" w14:textId="77777777" w:rsidR="00B96FAE" w:rsidRDefault="005130B6" w:rsidP="00B96FAE">
      <w:pPr>
        <w:keepNext/>
        <w:spacing w:line="360" w:lineRule="auto"/>
      </w:pPr>
      <w:r>
        <w:rPr>
          <w:noProof/>
        </w:rPr>
        <w:lastRenderedPageBreak/>
        <w:drawing>
          <wp:inline distT="0" distB="0" distL="0" distR="0" wp14:anchorId="4FE5E647" wp14:editId="735D294F">
            <wp:extent cx="5902325" cy="3606800"/>
            <wp:effectExtent l="0" t="0" r="0" b="0"/>
            <wp:docPr id="752815448" name="Immagine 1" descr="Ris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isks"/>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08588" cy="3610627"/>
                    </a:xfrm>
                    <a:prstGeom prst="rect">
                      <a:avLst/>
                    </a:prstGeom>
                    <a:noFill/>
                    <a:ln>
                      <a:noFill/>
                    </a:ln>
                  </pic:spPr>
                </pic:pic>
              </a:graphicData>
            </a:graphic>
          </wp:inline>
        </w:drawing>
      </w:r>
    </w:p>
    <w:p w14:paraId="2742654F" w14:textId="2039902D" w:rsidR="00CC2FAC" w:rsidRDefault="00B96FAE" w:rsidP="00391EB6">
      <w:pPr>
        <w:pStyle w:val="Didascalia"/>
        <w:jc w:val="both"/>
        <w:rPr>
          <w:i/>
          <w:iCs w:val="0"/>
        </w:rPr>
      </w:pPr>
      <w:r>
        <w:t xml:space="preserve">Figure </w:t>
      </w:r>
      <w:r>
        <w:fldChar w:fldCharType="begin"/>
      </w:r>
      <w:r>
        <w:instrText xml:space="preserve"> SEQ Figure \* ARABIC </w:instrText>
      </w:r>
      <w:r>
        <w:fldChar w:fldCharType="separate"/>
      </w:r>
      <w:r w:rsidR="008F724A">
        <w:rPr>
          <w:noProof/>
        </w:rPr>
        <w:t>5</w:t>
      </w:r>
      <w:r>
        <w:fldChar w:fldCharType="end"/>
      </w:r>
      <w:r w:rsidR="00A11927">
        <w:t xml:space="preserve"> </w:t>
      </w:r>
      <w:r w:rsidR="00A11927" w:rsidRPr="00391EB6">
        <w:rPr>
          <w:i/>
          <w:iCs w:val="0"/>
        </w:rPr>
        <w:t>results of the scenario analysis related to climate change, and the risks identified from key nature-related issues, T</w:t>
      </w:r>
      <w:r w:rsidR="006B6F9A" w:rsidRPr="00391EB6">
        <w:rPr>
          <w:i/>
          <w:iCs w:val="0"/>
        </w:rPr>
        <w:t xml:space="preserve">DK x </w:t>
      </w:r>
      <w:r w:rsidR="00391EB6" w:rsidRPr="00391EB6">
        <w:rPr>
          <w:i/>
          <w:iCs w:val="0"/>
        </w:rPr>
        <w:t>Task Force on Climate-related Financial Disclosures (</w:t>
      </w:r>
      <w:r w:rsidR="006B6F9A" w:rsidRPr="00391EB6">
        <w:rPr>
          <w:i/>
          <w:iCs w:val="0"/>
        </w:rPr>
        <w:t>TCFD</w:t>
      </w:r>
      <w:r w:rsidR="00391EB6" w:rsidRPr="00391EB6">
        <w:rPr>
          <w:i/>
          <w:iCs w:val="0"/>
        </w:rPr>
        <w:t>)</w:t>
      </w:r>
      <w:r w:rsidR="005130B6">
        <w:rPr>
          <w:rStyle w:val="Rimandonotaapidipagina"/>
          <w:lang w:val="en-GB"/>
        </w:rPr>
        <w:footnoteReference w:id="27"/>
      </w:r>
    </w:p>
    <w:p w14:paraId="4E9ECB11" w14:textId="77777777" w:rsidR="00391EB6" w:rsidRPr="00391EB6" w:rsidRDefault="00391EB6" w:rsidP="00391EB6">
      <w:pPr>
        <w:rPr>
          <w:lang w:val="en-US"/>
        </w:rPr>
      </w:pPr>
    </w:p>
    <w:p w14:paraId="6DA8BEBD" w14:textId="1AA0D61A" w:rsidR="00F86038" w:rsidRPr="00F86038" w:rsidRDefault="00F86038" w:rsidP="00F86038">
      <w:pPr>
        <w:spacing w:line="360" w:lineRule="auto"/>
        <w:rPr>
          <w:lang w:val="en-GB"/>
        </w:rPr>
      </w:pPr>
      <w:r w:rsidRPr="00F86038">
        <w:rPr>
          <w:lang w:val="en-GB"/>
        </w:rPr>
        <w:t>After analyzing the possible risks of insolvency on the part of the applicant, independent of ESG factors, banks adopt a multi-stage assessment process to measure and determine ESG performance for credit allocation purposes. This process often begins with internal questionnaires, through which companies provide self-assessments of their environmental, social, and governance practices, including opinions and experiences from employees. These qualitative inputs are supplemented by the analysis of financial and economic statements and specific ESG-related key performance indicators (KPIs), which enable financial and credit institutions to measure and assess the sustainability results achieved by the company.</w:t>
      </w:r>
    </w:p>
    <w:p w14:paraId="7DAA5616" w14:textId="77777777" w:rsidR="00F86038" w:rsidRPr="00F86038" w:rsidRDefault="00F86038" w:rsidP="00F86038">
      <w:pPr>
        <w:spacing w:line="360" w:lineRule="auto"/>
        <w:rPr>
          <w:lang w:val="en-GB"/>
        </w:rPr>
      </w:pPr>
      <w:r w:rsidRPr="00F86038">
        <w:rPr>
          <w:lang w:val="en-GB"/>
        </w:rPr>
        <w:t xml:space="preserve">In addition, official institutions issue certifications, such as ISO 14001 for environmental management, SA8000 for social responsibility, or B Corp certification, which serve as a certificate and guarantee of compliance with recognized sustainability standards. </w:t>
      </w:r>
      <w:r w:rsidRPr="00F86038">
        <w:rPr>
          <w:lang w:val="en-GB"/>
        </w:rPr>
        <w:lastRenderedPageBreak/>
        <w:t>Many banks also rely on external ESG ratings provided by specialized agencies to compare a company's performance with that of its industry competitors, as we saw earlier. Finally, periodic document checks and on-site audits are carried out to ensure the accuracy and reliability of the information provided, thus reinforcing the soundness and reliability of the overall assessment.</w:t>
      </w:r>
    </w:p>
    <w:p w14:paraId="0AB58CE5" w14:textId="77777777" w:rsidR="00F86038" w:rsidRPr="00F86038" w:rsidRDefault="00F86038" w:rsidP="00F86038">
      <w:pPr>
        <w:spacing w:line="360" w:lineRule="auto"/>
        <w:rPr>
          <w:lang w:val="en-GB"/>
        </w:rPr>
      </w:pPr>
      <w:r w:rsidRPr="00F86038">
        <w:rPr>
          <w:lang w:val="en-GB"/>
        </w:rPr>
        <w:t>In addition to their different characteristics described above, two dimensions can be distinguished regarding ESG risks, a financial as well as an extra-financial dimension as we said before.</w:t>
      </w:r>
    </w:p>
    <w:p w14:paraId="71EAED41" w14:textId="77777777" w:rsidR="00F86038" w:rsidRPr="00F86038" w:rsidRDefault="00F86038" w:rsidP="00F86038">
      <w:pPr>
        <w:spacing w:line="360" w:lineRule="auto"/>
        <w:rPr>
          <w:lang w:val="en-GB"/>
        </w:rPr>
      </w:pPr>
      <w:r w:rsidRPr="00F86038">
        <w:rPr>
          <w:lang w:val="en-GB"/>
        </w:rPr>
        <w:t xml:space="preserve">Regarding the financial dimension, the key question banks must ask themselves is: “What ESG risks and opportunities does the business model of our customers and investments hold and what does this mean for our business model?” This dimension is closely linked with the outside-in effects of ESG, i.e. the consequences from external current and expected ESG developments in businesses. </w:t>
      </w:r>
    </w:p>
    <w:p w14:paraId="5C9CBC11" w14:textId="77777777" w:rsidR="00F86038" w:rsidRPr="00F86038" w:rsidRDefault="00F86038" w:rsidP="00F86038">
      <w:pPr>
        <w:spacing w:line="360" w:lineRule="auto"/>
        <w:rPr>
          <w:lang w:val="en-GB"/>
        </w:rPr>
      </w:pPr>
      <w:r w:rsidRPr="00F86038">
        <w:rPr>
          <w:lang w:val="en-GB"/>
        </w:rPr>
        <w:t>In contrast, the extra-financial dimension considers the impact a bank has on the environment and society. The key question reads: “What opportunities will arise from sustainable products and sustainable trading, and how can reputational risks be avoided?” This addresses the inside-out effect, i.e. the results of a bank’s actions on environmental or societal issues. However, once outside-in and inside-out effects have arisen and triggered further reactions, they are no longer easily distinguishable, at the latest after the occurrence of second-round effects.</w:t>
      </w:r>
    </w:p>
    <w:p w14:paraId="03E7AFEC" w14:textId="77777777" w:rsidR="00F86038" w:rsidRDefault="00F86038" w:rsidP="00F86038">
      <w:pPr>
        <w:spacing w:line="360" w:lineRule="auto"/>
        <w:rPr>
          <w:lang w:val="en-GB"/>
        </w:rPr>
      </w:pPr>
      <w:r w:rsidRPr="00F86038">
        <w:rPr>
          <w:lang w:val="en-GB"/>
        </w:rPr>
        <w:t xml:space="preserve">Naturally, banks also possess knowledge regarding ESG risk mitigation strategies. First and foremost, adequate due diligence is necessary to allow for the screening of clients, suppliers, and projects for ESG compliance, while the use of standardized KPIs and external third-party assessments measures exposure. An analysis of possible future scenarios and stress tests is then conducted to evaluate the impacts of physical and transition risks under different climate scenarios based on probability assessments also informed by scientific studies. Each specific sector is then more or less involved </w:t>
      </w:r>
      <w:r w:rsidRPr="00F86038">
        <w:rPr>
          <w:lang w:val="en-GB"/>
        </w:rPr>
        <w:lastRenderedPageBreak/>
        <w:t>and subject to ESG policies. Sector-specific policies, such as the exclusion of coal financing, and active client engagement promote improvements in ESG performance. Finally, dedicated governance structures, including ESG committees and clear accountability mechanisms, ensure coordination and oversight of ESG initiatives.</w:t>
      </w:r>
    </w:p>
    <w:p w14:paraId="7F45589A" w14:textId="77777777" w:rsidR="00365517" w:rsidRPr="00886868" w:rsidRDefault="00365517" w:rsidP="0055373D">
      <w:pPr>
        <w:pStyle w:val="Titolo2"/>
        <w:numPr>
          <w:ilvl w:val="0"/>
          <w:numId w:val="0"/>
        </w:numPr>
        <w:ind w:left="851" w:hanging="851"/>
        <w:rPr>
          <w:b/>
          <w:bCs/>
          <w:lang w:val="en-US"/>
        </w:rPr>
      </w:pPr>
      <w:bookmarkStart w:id="36" w:name="_Toc207225646"/>
      <w:bookmarkStart w:id="37" w:name="_Toc207471597"/>
      <w:r w:rsidRPr="001F44C9">
        <w:rPr>
          <w:lang w:val="en-US"/>
        </w:rPr>
        <w:t>2.4 Advantages and disadvantages for firms and lenders</w:t>
      </w:r>
      <w:bookmarkEnd w:id="36"/>
      <w:bookmarkEnd w:id="37"/>
    </w:p>
    <w:p w14:paraId="2264F945" w14:textId="77777777" w:rsidR="00365517" w:rsidRPr="00365517" w:rsidRDefault="00365517" w:rsidP="00365517">
      <w:pPr>
        <w:spacing w:line="360" w:lineRule="auto"/>
        <w:rPr>
          <w:lang w:val="en-GB"/>
        </w:rPr>
      </w:pPr>
      <w:r w:rsidRPr="00365517">
        <w:rPr>
          <w:lang w:val="en-GB"/>
        </w:rPr>
        <w:t xml:space="preserve">We have thus seen in this chapter how sustainability has also become a financial theme, both for companies and for financial institutions such as banks and credit institutions. We have looked at what financial sustainability is, the main tools used to incentivize specific projects with the aim of improving environmental and social sustainability. These tools, as illustrated in this chapter, allow obtaining loans at favorable rates in exchange for achieving specific pre-agreed objectives with the entity granting this financial credit. Therefore, one might think that investing in sustainability brings only benefits: loans with lower interest rates, investments that improve the quality of life for employees and citizens, image benefits for the brand, and various other advantages. So why doesn't everyone invest in this sector and with these objectives? </w:t>
      </w:r>
    </w:p>
    <w:p w14:paraId="16BB8BAF" w14:textId="77777777" w:rsidR="00365517" w:rsidRDefault="00365517" w:rsidP="00365517">
      <w:pPr>
        <w:spacing w:line="360" w:lineRule="auto"/>
        <w:rPr>
          <w:rFonts w:ascii="Times New Roman" w:hAnsi="Times New Roman" w:cs="Times New Roman"/>
          <w:lang w:val="en-US"/>
        </w:rPr>
      </w:pPr>
      <w:r w:rsidRPr="00365517">
        <w:rPr>
          <w:lang w:val="en-GB"/>
        </w:rPr>
        <w:t>ESG is not a bed of roses, as there are drawbacks. This chapter will outline and summarize the main advantages and disadvantages faced by both the companies that wish to use these financial tools and the institutions that provide these types of financing</w:t>
      </w:r>
      <w:r w:rsidRPr="00C56F10">
        <w:rPr>
          <w:rFonts w:ascii="Times New Roman" w:hAnsi="Times New Roman" w:cs="Times New Roman"/>
          <w:lang w:val="en-US"/>
        </w:rPr>
        <w:t>.</w:t>
      </w:r>
    </w:p>
    <w:p w14:paraId="33EA7438" w14:textId="77777777" w:rsidR="00365517" w:rsidRDefault="00365517" w:rsidP="00365517">
      <w:pPr>
        <w:spacing w:line="360" w:lineRule="auto"/>
        <w:rPr>
          <w:rFonts w:ascii="Times New Roman" w:hAnsi="Times New Roman" w:cs="Times New Roman"/>
          <w:lang w:val="en-US"/>
        </w:rPr>
      </w:pPr>
    </w:p>
    <w:p w14:paraId="4479524C" w14:textId="77777777" w:rsidR="00365517" w:rsidRPr="00BB27FE" w:rsidRDefault="00365517" w:rsidP="00365517">
      <w:pPr>
        <w:spacing w:line="360" w:lineRule="auto"/>
        <w:rPr>
          <w:rFonts w:ascii="Times New Roman" w:hAnsi="Times New Roman" w:cs="Times New Roman"/>
          <w:b/>
          <w:bCs/>
          <w:lang w:val="en-US"/>
        </w:rPr>
      </w:pPr>
      <w:r w:rsidRPr="00BB27FE">
        <w:rPr>
          <w:rFonts w:ascii="Times New Roman" w:hAnsi="Times New Roman" w:cs="Times New Roman"/>
          <w:b/>
          <w:bCs/>
          <w:sz w:val="32"/>
          <w:szCs w:val="32"/>
          <w:lang w:val="en-US"/>
        </w:rPr>
        <w:t>Advantages of ESG Investing</w:t>
      </w:r>
      <w:r>
        <w:rPr>
          <w:rStyle w:val="Rimandonotaapidipagina"/>
          <w:rFonts w:ascii="Times New Roman" w:hAnsi="Times New Roman" w:cs="Times New Roman"/>
          <w:b/>
          <w:bCs/>
          <w:lang w:val="en-US"/>
        </w:rPr>
        <w:footnoteReference w:id="28"/>
      </w:r>
    </w:p>
    <w:p w14:paraId="7D571229" w14:textId="77777777" w:rsidR="00365517" w:rsidRPr="00BB27FE" w:rsidRDefault="00365517" w:rsidP="00365517">
      <w:pPr>
        <w:spacing w:line="360" w:lineRule="auto"/>
        <w:rPr>
          <w:rFonts w:ascii="Times New Roman" w:hAnsi="Times New Roman" w:cs="Times New Roman"/>
          <w:lang w:val="en-US"/>
        </w:rPr>
      </w:pPr>
      <w:r w:rsidRPr="00BB27FE">
        <w:rPr>
          <w:rFonts w:ascii="Times New Roman" w:hAnsi="Times New Roman" w:cs="Times New Roman"/>
          <w:lang w:val="en-US"/>
        </w:rPr>
        <w:t xml:space="preserve">1. </w:t>
      </w:r>
      <w:r w:rsidRPr="00365517">
        <w:rPr>
          <w:b/>
          <w:bCs/>
          <w:lang w:val="en-GB"/>
        </w:rPr>
        <w:t>Enhanced Risk Management Through ESG Considerations</w:t>
      </w:r>
    </w:p>
    <w:p w14:paraId="1060A5F5" w14:textId="20F36AC1" w:rsidR="00365517" w:rsidRPr="00365517" w:rsidRDefault="00365517" w:rsidP="00365517">
      <w:pPr>
        <w:spacing w:line="360" w:lineRule="auto"/>
        <w:rPr>
          <w:lang w:val="en-GB"/>
        </w:rPr>
      </w:pPr>
      <w:r w:rsidRPr="00365517">
        <w:rPr>
          <w:lang w:val="en-GB"/>
        </w:rPr>
        <w:t xml:space="preserve">Incorporating ESG criteria helps organizations identify and mitigate risks related to environmental and social factors. Climate change, regulatory compliance, </w:t>
      </w:r>
      <w:r w:rsidR="0049766A" w:rsidRPr="00365517">
        <w:rPr>
          <w:lang w:val="en-GB"/>
        </w:rPr>
        <w:t>labour</w:t>
      </w:r>
      <w:r w:rsidRPr="00365517">
        <w:rPr>
          <w:lang w:val="en-GB"/>
        </w:rPr>
        <w:t xml:space="preserve"> practices, and corporate governance are all aspects that affect long-term viability. A report </w:t>
      </w:r>
      <w:r w:rsidRPr="00365517">
        <w:rPr>
          <w:lang w:val="en-GB"/>
        </w:rPr>
        <w:lastRenderedPageBreak/>
        <w:t>from Sta</w:t>
      </w:r>
      <w:r>
        <w:rPr>
          <w:lang w:val="en-GB"/>
        </w:rPr>
        <w:t>n</w:t>
      </w:r>
      <w:r w:rsidRPr="00365517">
        <w:rPr>
          <w:lang w:val="en-GB"/>
        </w:rPr>
        <w:t xml:space="preserve">ford University (May 2025) reveals that 80% of the studies </w:t>
      </w:r>
      <w:r w:rsidR="00F31C05" w:rsidRPr="00365517">
        <w:rPr>
          <w:lang w:val="en-GB"/>
        </w:rPr>
        <w:t>analysed</w:t>
      </w:r>
      <w:r w:rsidRPr="00365517">
        <w:rPr>
          <w:lang w:val="en-GB"/>
        </w:rPr>
        <w:t xml:space="preserve"> show a positive correlation between ESG performance and financial results, with evident benefits in terms of reduced capital costs, operational efficiency, and risk management.</w:t>
      </w:r>
      <w:r w:rsidRPr="00365517">
        <w:rPr>
          <w:lang w:val="en-GB"/>
        </w:rPr>
        <w:footnoteReference w:id="29"/>
      </w:r>
      <w:r w:rsidRPr="00365517">
        <w:rPr>
          <w:lang w:val="en-GB"/>
        </w:rPr>
        <w:t xml:space="preserve"> ESG initiatives thus serve as proactive tools in risk management, especially as environmental and social issues become more prominent globally.</w:t>
      </w:r>
    </w:p>
    <w:p w14:paraId="66CB739B" w14:textId="77777777" w:rsidR="00365517" w:rsidRPr="00BB27FE" w:rsidRDefault="00365517" w:rsidP="00365517">
      <w:pPr>
        <w:spacing w:line="360" w:lineRule="auto"/>
        <w:rPr>
          <w:rFonts w:ascii="Times New Roman" w:hAnsi="Times New Roman" w:cs="Times New Roman"/>
          <w:b/>
          <w:bCs/>
          <w:lang w:val="en-US"/>
        </w:rPr>
      </w:pPr>
      <w:r w:rsidRPr="00BB27FE">
        <w:rPr>
          <w:rFonts w:ascii="Times New Roman" w:hAnsi="Times New Roman" w:cs="Times New Roman"/>
          <w:lang w:val="en-US"/>
        </w:rPr>
        <w:t xml:space="preserve">2. </w:t>
      </w:r>
      <w:r w:rsidRPr="00365517">
        <w:rPr>
          <w:b/>
          <w:bCs/>
          <w:lang w:val="en-GB"/>
        </w:rPr>
        <w:t>Improved Financial Performance and Long-Term Investment Value</w:t>
      </w:r>
    </w:p>
    <w:p w14:paraId="261EE5B7" w14:textId="3E608458" w:rsidR="00365517" w:rsidRPr="00365517" w:rsidRDefault="00365517" w:rsidP="00365517">
      <w:pPr>
        <w:spacing w:line="360" w:lineRule="auto"/>
        <w:rPr>
          <w:lang w:val="en-GB"/>
        </w:rPr>
      </w:pPr>
      <w:r w:rsidRPr="00365517">
        <w:rPr>
          <w:lang w:val="en-GB"/>
        </w:rPr>
        <w:t xml:space="preserve">Contrary to the belief that ESG investing sacrifices returns, a study on European markets (January 2025) shows that during times of crisis—such as the pandemic and the conflict in Ukraine—ESG portfolios have proven to be more resilient compared to traditional </w:t>
      </w:r>
      <w:r w:rsidR="00F31C05" w:rsidRPr="00365517">
        <w:rPr>
          <w:lang w:val="en-GB"/>
        </w:rPr>
        <w:t>indices</w:t>
      </w:r>
      <w:r w:rsidR="00125C9F">
        <w:rPr>
          <w:lang w:val="en-GB"/>
        </w:rPr>
        <w:t xml:space="preserve"> (</w:t>
      </w:r>
      <w:r w:rsidR="006530D3" w:rsidRPr="006530D3">
        <w:rPr>
          <w:i/>
          <w:iCs/>
          <w:lang w:val="en-US"/>
        </w:rPr>
        <w:t>B. Iannone, P. Duttilo, S. Gattone</w:t>
      </w:r>
      <w:r w:rsidR="006530D3">
        <w:rPr>
          <w:i/>
          <w:iCs/>
          <w:lang w:val="en-US"/>
        </w:rPr>
        <w:t>. “</w:t>
      </w:r>
      <w:r w:rsidR="00125C9F" w:rsidRPr="006530D3">
        <w:rPr>
          <w:i/>
          <w:iCs/>
          <w:lang w:val="en-US"/>
        </w:rPr>
        <w:t>Evaluating the resilience of ESG investments in European Markets during turmoil periods</w:t>
      </w:r>
      <w:r w:rsidR="006530D3">
        <w:rPr>
          <w:i/>
          <w:iCs/>
          <w:lang w:val="en-US"/>
        </w:rPr>
        <w:t>”</w:t>
      </w:r>
      <w:r w:rsidR="00125C9F">
        <w:rPr>
          <w:lang w:val="en-US"/>
        </w:rPr>
        <w:t>)</w:t>
      </w:r>
      <w:r w:rsidRPr="00365517">
        <w:rPr>
          <w:lang w:val="en-GB"/>
        </w:rPr>
        <w:t xml:space="preserve">. Good governance and sustainable operations contribute to stable earnings and lower volatility. ESG investors find value in businesses that avoid environmental fines, maintain strong stakeholder relationships, and prioritize ethical governance. As a result, ESG investments may yield </w:t>
      </w:r>
      <w:r w:rsidR="00F31C05" w:rsidRPr="00365517">
        <w:rPr>
          <w:lang w:val="en-GB"/>
        </w:rPr>
        <w:t>favourable</w:t>
      </w:r>
      <w:r w:rsidRPr="00365517">
        <w:rPr>
          <w:lang w:val="en-GB"/>
        </w:rPr>
        <w:t xml:space="preserve"> long-term returns and attract socially responsible investors seeking more than just financial gain.</w:t>
      </w:r>
    </w:p>
    <w:p w14:paraId="0A5F603F" w14:textId="77777777" w:rsidR="00365517" w:rsidRPr="00BB27FE" w:rsidRDefault="00365517" w:rsidP="00365517">
      <w:pPr>
        <w:spacing w:line="360" w:lineRule="auto"/>
        <w:rPr>
          <w:rFonts w:ascii="Times New Roman" w:hAnsi="Times New Roman" w:cs="Times New Roman"/>
          <w:lang w:val="en-US"/>
        </w:rPr>
      </w:pPr>
      <w:r w:rsidRPr="00BB27FE">
        <w:rPr>
          <w:rFonts w:ascii="Times New Roman" w:hAnsi="Times New Roman" w:cs="Times New Roman"/>
          <w:lang w:val="en-US"/>
        </w:rPr>
        <w:t xml:space="preserve">3. </w:t>
      </w:r>
      <w:r w:rsidRPr="00365517">
        <w:rPr>
          <w:b/>
          <w:bCs/>
          <w:lang w:val="en-GB"/>
        </w:rPr>
        <w:t>Positive Impact on Brand Reputation and Customer Loyalty</w:t>
      </w:r>
    </w:p>
    <w:p w14:paraId="07FBFE4C" w14:textId="77777777" w:rsidR="00365517" w:rsidRDefault="00365517" w:rsidP="00365517">
      <w:pPr>
        <w:spacing w:line="360" w:lineRule="auto"/>
        <w:rPr>
          <w:lang w:val="en-GB"/>
        </w:rPr>
      </w:pPr>
      <w:r w:rsidRPr="00365517">
        <w:rPr>
          <w:lang w:val="en-GB"/>
        </w:rPr>
        <w:t>Implementing ESG practices may significantly elevate a company’s public image. Consumers and clients increasingly demand transparency and ethical behavior from the brands they support. By embracing sustainability and social responsibility, businesses not only reduce their environmental impact but also strengthen loyalty and trust among stakeholders. ESG measures enhance brand value, attract conscious consumers, and opens new market opportunities aligned with environmental and social trends.</w:t>
      </w:r>
    </w:p>
    <w:p w14:paraId="783032F4" w14:textId="77777777" w:rsidR="007A2228" w:rsidRDefault="007A2228" w:rsidP="00365517">
      <w:pPr>
        <w:spacing w:line="360" w:lineRule="auto"/>
        <w:rPr>
          <w:lang w:val="en-GB"/>
        </w:rPr>
      </w:pPr>
    </w:p>
    <w:p w14:paraId="16D1737E" w14:textId="77777777" w:rsidR="007A2228" w:rsidRPr="00BB27FE" w:rsidRDefault="007A2228" w:rsidP="00365517">
      <w:pPr>
        <w:spacing w:line="360" w:lineRule="auto"/>
        <w:rPr>
          <w:rFonts w:ascii="Times New Roman" w:hAnsi="Times New Roman" w:cs="Times New Roman"/>
          <w:lang w:val="en-US"/>
        </w:rPr>
      </w:pPr>
    </w:p>
    <w:p w14:paraId="69575FEE" w14:textId="77777777" w:rsidR="00365517" w:rsidRPr="00BB27FE" w:rsidRDefault="00365517" w:rsidP="00365517">
      <w:pPr>
        <w:spacing w:line="360" w:lineRule="auto"/>
        <w:rPr>
          <w:rFonts w:ascii="Times New Roman" w:hAnsi="Times New Roman" w:cs="Times New Roman"/>
          <w:b/>
          <w:bCs/>
          <w:lang w:val="en-US"/>
        </w:rPr>
      </w:pPr>
      <w:r w:rsidRPr="00BB27FE">
        <w:rPr>
          <w:rFonts w:ascii="Times New Roman" w:hAnsi="Times New Roman" w:cs="Times New Roman"/>
          <w:lang w:val="en-US"/>
        </w:rPr>
        <w:t xml:space="preserve">4. </w:t>
      </w:r>
      <w:r w:rsidRPr="00365517">
        <w:rPr>
          <w:b/>
          <w:bCs/>
          <w:lang w:val="en-GB"/>
        </w:rPr>
        <w:t>Alignment with Regulatory and ESG Reporting Standards</w:t>
      </w:r>
    </w:p>
    <w:p w14:paraId="580821C0" w14:textId="77777777" w:rsidR="00365517" w:rsidRPr="00365517" w:rsidRDefault="00365517" w:rsidP="00365517">
      <w:pPr>
        <w:spacing w:line="360" w:lineRule="auto"/>
        <w:rPr>
          <w:lang w:val="en-GB"/>
        </w:rPr>
      </w:pPr>
      <w:r w:rsidRPr="00365517">
        <w:rPr>
          <w:lang w:val="en-GB"/>
        </w:rPr>
        <w:t>Governments and regulatory bodies are establishing stricter ESG reporting requirements. Companies that integrate ESG considerations early are better positioned to meet these evolving standards. ESG reporting provides a clear structure for documenting performance on ESG metrics and improves transparency for investors. ESG data collection and compliance help firms avoid legal risks, improve their governance practices, and stay ahead of industry shifts.</w:t>
      </w:r>
    </w:p>
    <w:p w14:paraId="4B0398FE" w14:textId="77777777" w:rsidR="00365517" w:rsidRPr="00BB27FE" w:rsidRDefault="00365517" w:rsidP="00365517">
      <w:pPr>
        <w:spacing w:line="360" w:lineRule="auto"/>
        <w:rPr>
          <w:rFonts w:ascii="Times New Roman" w:hAnsi="Times New Roman" w:cs="Times New Roman"/>
          <w:lang w:val="en-US"/>
        </w:rPr>
      </w:pPr>
      <w:r w:rsidRPr="00BB27FE">
        <w:rPr>
          <w:rFonts w:ascii="Times New Roman" w:hAnsi="Times New Roman" w:cs="Times New Roman"/>
          <w:lang w:val="en-US"/>
        </w:rPr>
        <w:t xml:space="preserve">5. </w:t>
      </w:r>
      <w:r w:rsidRPr="00365517">
        <w:rPr>
          <w:b/>
          <w:bCs/>
          <w:lang w:val="en-GB"/>
        </w:rPr>
        <w:t>Access to New Capital and ESG-Focused Funds</w:t>
      </w:r>
    </w:p>
    <w:p w14:paraId="641124BC" w14:textId="769B6903" w:rsidR="00365517" w:rsidRPr="00365517" w:rsidRDefault="00365517" w:rsidP="00365517">
      <w:pPr>
        <w:spacing w:line="360" w:lineRule="auto"/>
        <w:rPr>
          <w:lang w:val="en-GB"/>
        </w:rPr>
      </w:pPr>
      <w:r w:rsidRPr="00365517">
        <w:rPr>
          <w:lang w:val="en-GB"/>
        </w:rPr>
        <w:t>The rise in ESG funds and sustainable investing portfolios provides access to a growing pool of capital. Investors are increasingly seeking impact investing opportunities that align with their values. Companies that can demonstrate a solid ESG status are more likely to attract institutional investors, partnerships, and innovation funding</w:t>
      </w:r>
      <w:r w:rsidR="00D44E07">
        <w:rPr>
          <w:lang w:val="en-GB"/>
        </w:rPr>
        <w:t xml:space="preserve"> </w:t>
      </w:r>
      <w:r w:rsidR="006530D3">
        <w:rPr>
          <w:rStyle w:val="Rimandonotaapidipagina"/>
          <w:lang w:val="en-GB"/>
        </w:rPr>
        <w:footnoteReference w:id="30"/>
      </w:r>
      <w:r w:rsidRPr="00365517">
        <w:rPr>
          <w:lang w:val="en-GB"/>
        </w:rPr>
        <w:t>. ESG portfolios are becoming mainstream, making investing in companies with strong ESG practices a strategic decision for forward-thinking investors.</w:t>
      </w:r>
    </w:p>
    <w:p w14:paraId="29027D30" w14:textId="77777777" w:rsidR="006530D3" w:rsidRDefault="00365517" w:rsidP="006530D3">
      <w:pPr>
        <w:spacing w:line="360" w:lineRule="auto"/>
        <w:rPr>
          <w:b/>
          <w:bCs/>
          <w:lang w:val="en-GB"/>
        </w:rPr>
      </w:pPr>
      <w:r w:rsidRPr="00BB27FE">
        <w:rPr>
          <w:rFonts w:ascii="Times New Roman" w:hAnsi="Times New Roman" w:cs="Times New Roman"/>
          <w:lang w:val="en-US"/>
        </w:rPr>
        <w:t xml:space="preserve">6. </w:t>
      </w:r>
      <w:r w:rsidRPr="00365517">
        <w:rPr>
          <w:b/>
          <w:bCs/>
          <w:lang w:val="en-GB"/>
        </w:rPr>
        <w:t>Better Employee Engagement and Talent Attraction</w:t>
      </w:r>
      <w:r w:rsidR="00AF772F">
        <w:rPr>
          <w:rStyle w:val="Rimandonotaapidipagina"/>
          <w:rFonts w:ascii="Times New Roman" w:hAnsi="Times New Roman" w:cs="Times New Roman"/>
          <w:lang w:val="en-US"/>
        </w:rPr>
        <w:footnoteReference w:id="31"/>
      </w:r>
    </w:p>
    <w:p w14:paraId="2DC31311" w14:textId="687D4665" w:rsidR="00CC31CB" w:rsidRPr="006530D3" w:rsidRDefault="00785163" w:rsidP="006530D3">
      <w:pPr>
        <w:spacing w:line="360" w:lineRule="auto"/>
        <w:rPr>
          <w:rFonts w:ascii="Times New Roman" w:hAnsi="Times New Roman" w:cs="Times New Roman"/>
          <w:lang w:val="en-US"/>
        </w:rPr>
      </w:pPr>
      <w:r w:rsidRPr="00CC31CB">
        <w:rPr>
          <w:lang w:val="en-GB"/>
        </w:rPr>
        <w:t>Based on R</w:t>
      </w:r>
      <w:r w:rsidR="00CC31CB" w:rsidRPr="00CC31CB">
        <w:rPr>
          <w:lang w:val="en-GB"/>
        </w:rPr>
        <w:t xml:space="preserve">obin Lewis’ studies, </w:t>
      </w:r>
      <w:r w:rsidR="00365517" w:rsidRPr="00CC31CB">
        <w:rPr>
          <w:lang w:val="en-GB"/>
        </w:rPr>
        <w:t>strong ESG framework is associated with better</w:t>
      </w:r>
      <w:r w:rsidR="00CC31CB">
        <w:rPr>
          <w:lang w:val="en-GB"/>
        </w:rPr>
        <w:t xml:space="preserve"> </w:t>
      </w:r>
    </w:p>
    <w:p w14:paraId="7ABF9161" w14:textId="5965B112" w:rsidR="00CC31CB" w:rsidRPr="006530D3" w:rsidRDefault="00365517" w:rsidP="001D4999">
      <w:pPr>
        <w:pStyle w:val="Testonotaapidipagina"/>
        <w:rPr>
          <w:rFonts w:ascii="Palatino Linotype" w:hAnsi="Palatino Linotype"/>
          <w:i/>
          <w:iCs/>
          <w:sz w:val="24"/>
          <w:szCs w:val="22"/>
          <w:lang w:val="en-GB"/>
        </w:rPr>
      </w:pPr>
      <w:r w:rsidRPr="00CC31CB">
        <w:rPr>
          <w:rFonts w:ascii="Palatino Linotype" w:hAnsi="Palatino Linotype"/>
          <w:sz w:val="24"/>
          <w:szCs w:val="22"/>
          <w:lang w:val="en-GB"/>
        </w:rPr>
        <w:t>workplace practices, inclusive cultures, and ethical leadership</w:t>
      </w:r>
      <w:r w:rsidR="00CC31CB" w:rsidRPr="00CC31CB">
        <w:rPr>
          <w:rFonts w:ascii="Palatino Linotype" w:hAnsi="Palatino Linotype"/>
          <w:sz w:val="24"/>
          <w:szCs w:val="22"/>
          <w:lang w:val="en-GB"/>
        </w:rPr>
        <w:t xml:space="preserve"> (</w:t>
      </w:r>
      <w:r w:rsidR="00CC31CB" w:rsidRPr="006530D3">
        <w:rPr>
          <w:rFonts w:ascii="Palatino Linotype" w:hAnsi="Palatino Linotype"/>
          <w:i/>
          <w:iCs/>
          <w:sz w:val="24"/>
          <w:szCs w:val="22"/>
          <w:lang w:val="en-GB"/>
        </w:rPr>
        <w:t xml:space="preserve">Robin Lewis, 5 ways </w:t>
      </w:r>
    </w:p>
    <w:p w14:paraId="58C6C4C2" w14:textId="39383188" w:rsidR="00CC31CB" w:rsidRPr="00CC31CB" w:rsidRDefault="00CC31CB" w:rsidP="001D4999">
      <w:pPr>
        <w:pStyle w:val="Testonotaapidipagina"/>
        <w:rPr>
          <w:rFonts w:ascii="Palatino Linotype" w:hAnsi="Palatino Linotype"/>
          <w:sz w:val="24"/>
          <w:szCs w:val="22"/>
          <w:lang w:val="en-GB"/>
        </w:rPr>
      </w:pPr>
      <w:r w:rsidRPr="006530D3">
        <w:rPr>
          <w:rFonts w:ascii="Palatino Linotype" w:hAnsi="Palatino Linotype"/>
          <w:i/>
          <w:iCs/>
          <w:sz w:val="24"/>
          <w:szCs w:val="22"/>
          <w:lang w:val="en-GB"/>
        </w:rPr>
        <w:t>ESG creates value for companies, beyond virtue signaling</w:t>
      </w:r>
      <w:r w:rsidRPr="00CC31CB">
        <w:rPr>
          <w:rFonts w:ascii="Palatino Linotype" w:hAnsi="Palatino Linotype"/>
          <w:sz w:val="24"/>
          <w:szCs w:val="22"/>
          <w:lang w:val="en-GB"/>
        </w:rPr>
        <w:t>)</w:t>
      </w:r>
      <w:r w:rsidR="001D4999">
        <w:rPr>
          <w:rFonts w:ascii="Palatino Linotype" w:hAnsi="Palatino Linotype"/>
          <w:sz w:val="24"/>
          <w:szCs w:val="22"/>
          <w:lang w:val="en-GB"/>
        </w:rPr>
        <w:t>.</w:t>
      </w:r>
    </w:p>
    <w:p w14:paraId="25BB38D2" w14:textId="5B2F5A9C" w:rsidR="00365517" w:rsidRPr="00BB27FE" w:rsidRDefault="00365517" w:rsidP="00365517">
      <w:pPr>
        <w:spacing w:line="360" w:lineRule="auto"/>
        <w:rPr>
          <w:rFonts w:ascii="Times New Roman" w:hAnsi="Times New Roman" w:cs="Times New Roman"/>
          <w:lang w:val="en-US"/>
        </w:rPr>
      </w:pPr>
      <w:r w:rsidRPr="00365517">
        <w:rPr>
          <w:lang w:val="en-GB"/>
        </w:rPr>
        <w:t>Such environments attract top talent and enhance employee morale. Workers, especially younger generation</w:t>
      </w:r>
      <w:r>
        <w:rPr>
          <w:lang w:val="en-GB"/>
        </w:rPr>
        <w:t>s,</w:t>
      </w:r>
      <w:r w:rsidRPr="00365517">
        <w:rPr>
          <w:lang w:val="en-GB"/>
        </w:rPr>
        <w:t xml:space="preserve"> value companies that prioritize social and environmental responsibility. By incorporating ESG into corporate culture, businesses foster a more engaged and loyal workforce, which in turn drives innovation and productivity</w:t>
      </w:r>
      <w:r w:rsidRPr="00BB27FE">
        <w:rPr>
          <w:rFonts w:ascii="Times New Roman" w:hAnsi="Times New Roman" w:cs="Times New Roman"/>
          <w:lang w:val="en-US"/>
        </w:rPr>
        <w:t>.</w:t>
      </w:r>
    </w:p>
    <w:p w14:paraId="1A7F8544" w14:textId="77777777" w:rsidR="00365517" w:rsidRPr="00BB27FE" w:rsidRDefault="00365517" w:rsidP="00365517">
      <w:pPr>
        <w:spacing w:line="360" w:lineRule="auto"/>
        <w:rPr>
          <w:rFonts w:ascii="Times New Roman" w:hAnsi="Times New Roman" w:cs="Times New Roman"/>
          <w:b/>
          <w:bCs/>
          <w:lang w:val="en-US"/>
        </w:rPr>
      </w:pPr>
      <w:r w:rsidRPr="00BB27FE">
        <w:rPr>
          <w:rFonts w:ascii="Times New Roman" w:hAnsi="Times New Roman" w:cs="Times New Roman"/>
          <w:lang w:val="en-US"/>
        </w:rPr>
        <w:t xml:space="preserve">7. </w:t>
      </w:r>
      <w:r w:rsidRPr="00365517">
        <w:rPr>
          <w:b/>
          <w:bCs/>
          <w:lang w:val="en-GB"/>
        </w:rPr>
        <w:t>Promotion of Innovation and Sustainability Initiatives</w:t>
      </w:r>
    </w:p>
    <w:p w14:paraId="292850CB" w14:textId="77777777" w:rsidR="00365517" w:rsidRPr="00365517" w:rsidRDefault="00365517" w:rsidP="00365517">
      <w:pPr>
        <w:spacing w:line="360" w:lineRule="auto"/>
        <w:rPr>
          <w:lang w:val="en-GB"/>
        </w:rPr>
      </w:pPr>
      <w:r w:rsidRPr="00365517">
        <w:rPr>
          <w:lang w:val="en-GB"/>
        </w:rPr>
        <w:lastRenderedPageBreak/>
        <w:t>Companies committed to ESG goals often lead the way in developing sustainable technologies and innovative solutions. From reducing carbon emissions to transforming supply chains, ESG practices inspire organizations to rethink operations. These efforts not only help achieve long-term sustainability goals but also differentiate firms in competitive markets, positioning them as leaders in the age of ESG.</w:t>
      </w:r>
    </w:p>
    <w:p w14:paraId="0AB037BB" w14:textId="77777777" w:rsidR="00365517" w:rsidRPr="00365517" w:rsidRDefault="00365517" w:rsidP="00365517">
      <w:pPr>
        <w:spacing w:line="360" w:lineRule="auto"/>
        <w:rPr>
          <w:rFonts w:cs="Times New Roman"/>
          <w:b/>
          <w:bCs/>
          <w:sz w:val="32"/>
          <w:szCs w:val="32"/>
          <w:lang w:val="en-US"/>
        </w:rPr>
      </w:pPr>
      <w:r w:rsidRPr="00365517">
        <w:rPr>
          <w:rFonts w:cs="Times New Roman"/>
          <w:b/>
          <w:bCs/>
          <w:sz w:val="32"/>
          <w:szCs w:val="32"/>
          <w:lang w:val="en-US"/>
        </w:rPr>
        <w:t>Disadvantages of ESG Investing</w:t>
      </w:r>
    </w:p>
    <w:p w14:paraId="2556B0B4" w14:textId="77777777" w:rsidR="00365517" w:rsidRPr="00BB27FE" w:rsidRDefault="00365517" w:rsidP="00365517">
      <w:pPr>
        <w:spacing w:line="360" w:lineRule="auto"/>
        <w:rPr>
          <w:rFonts w:ascii="Times New Roman" w:hAnsi="Times New Roman" w:cs="Times New Roman"/>
          <w:lang w:val="en-US"/>
        </w:rPr>
      </w:pPr>
      <w:r w:rsidRPr="00BB27FE">
        <w:rPr>
          <w:rFonts w:ascii="Times New Roman" w:hAnsi="Times New Roman" w:cs="Times New Roman"/>
          <w:lang w:val="en-US"/>
        </w:rPr>
        <w:t xml:space="preserve">1. </w:t>
      </w:r>
      <w:r w:rsidRPr="00365517">
        <w:rPr>
          <w:b/>
          <w:bCs/>
          <w:lang w:val="en-GB"/>
        </w:rPr>
        <w:t>Inconsistent ESG Metrics and ESG Rating Systems</w:t>
      </w:r>
    </w:p>
    <w:p w14:paraId="09C5A839" w14:textId="77777777" w:rsidR="00365517" w:rsidRPr="00365517" w:rsidRDefault="00365517" w:rsidP="00365517">
      <w:pPr>
        <w:spacing w:line="360" w:lineRule="auto"/>
        <w:rPr>
          <w:lang w:val="en-GB"/>
        </w:rPr>
      </w:pPr>
      <w:r w:rsidRPr="00365517">
        <w:rPr>
          <w:lang w:val="en-GB"/>
        </w:rPr>
        <w:t>One of the significant limitations of ESG is the lack of uniform standards for ESG reporting. ESG scores and metrics can vary across rating agencies, making it difficult for investors to evaluate companies accurately. The absence of a universal ESG framework leads to confusion and raises questions about credibility. This inconsistency can distort investment decisions, especially when ESG status is a critical criterion for portfolio inclusion.</w:t>
      </w:r>
    </w:p>
    <w:p w14:paraId="7ED33EB9" w14:textId="77777777" w:rsidR="00365517" w:rsidRPr="00BB27FE" w:rsidRDefault="00365517" w:rsidP="00365517">
      <w:pPr>
        <w:spacing w:line="360" w:lineRule="auto"/>
        <w:rPr>
          <w:rFonts w:ascii="Times New Roman" w:hAnsi="Times New Roman" w:cs="Times New Roman"/>
          <w:lang w:val="en-US"/>
        </w:rPr>
      </w:pPr>
      <w:r w:rsidRPr="00BB27FE">
        <w:rPr>
          <w:rFonts w:ascii="Times New Roman" w:hAnsi="Times New Roman" w:cs="Times New Roman"/>
          <w:lang w:val="en-US"/>
        </w:rPr>
        <w:t xml:space="preserve">2. </w:t>
      </w:r>
      <w:r w:rsidRPr="00365517">
        <w:rPr>
          <w:b/>
          <w:bCs/>
          <w:lang w:val="en-GB"/>
        </w:rPr>
        <w:t>Risk of Greenwashing and Misleading ESG Practices</w:t>
      </w:r>
    </w:p>
    <w:p w14:paraId="091A479E" w14:textId="77777777" w:rsidR="00365517" w:rsidRPr="00365517" w:rsidRDefault="00365517" w:rsidP="00365517">
      <w:pPr>
        <w:spacing w:line="360" w:lineRule="auto"/>
        <w:rPr>
          <w:lang w:val="en-GB"/>
        </w:rPr>
      </w:pPr>
      <w:r w:rsidRPr="00365517">
        <w:rPr>
          <w:lang w:val="en-GB"/>
        </w:rPr>
        <w:t>Greenwashing refers to the practice of falsely portraying a company as environmentally or socially responsible without meaningful action. Some businesses promote superficial ESG initiatives to appeal to ESG investors, despite poor underlying practices. This misrepresentation undermines the credibility of ESG investing and misguides stakeholders. The risk of greenwashing is a growing concern that challenges the integrity of ESG implementation.</w:t>
      </w:r>
    </w:p>
    <w:p w14:paraId="503A32C4" w14:textId="77777777" w:rsidR="00365517" w:rsidRPr="00BB27FE" w:rsidRDefault="00365517" w:rsidP="00365517">
      <w:pPr>
        <w:spacing w:line="360" w:lineRule="auto"/>
        <w:rPr>
          <w:rFonts w:ascii="Times New Roman" w:hAnsi="Times New Roman" w:cs="Times New Roman"/>
          <w:b/>
          <w:bCs/>
          <w:lang w:val="en-US"/>
        </w:rPr>
      </w:pPr>
      <w:r w:rsidRPr="00BB27FE">
        <w:rPr>
          <w:rFonts w:ascii="Times New Roman" w:hAnsi="Times New Roman" w:cs="Times New Roman"/>
          <w:lang w:val="en-US"/>
        </w:rPr>
        <w:t xml:space="preserve">3. </w:t>
      </w:r>
      <w:r w:rsidRPr="00365517">
        <w:rPr>
          <w:b/>
          <w:bCs/>
          <w:lang w:val="en-GB"/>
        </w:rPr>
        <w:t>Potential Trade-Offs Between Profitability and ESG Goals</w:t>
      </w:r>
    </w:p>
    <w:p w14:paraId="63BA7626" w14:textId="77777777" w:rsidR="00365517" w:rsidRPr="00365517" w:rsidRDefault="00365517" w:rsidP="00365517">
      <w:pPr>
        <w:spacing w:line="360" w:lineRule="auto"/>
        <w:rPr>
          <w:lang w:val="en-GB"/>
        </w:rPr>
      </w:pPr>
      <w:r w:rsidRPr="00365517">
        <w:rPr>
          <w:lang w:val="en-GB"/>
        </w:rPr>
        <w:t>While ESG investing has benefits, it may not always align with short-term financial goals. Certain ESG measures, such as reducing carbon emissions or reforming labor practices, can be costly and affect profitability. Some investors worry that a strong focus on ESG may hinder</w:t>
      </w:r>
      <w:r w:rsidRPr="00BB27FE">
        <w:rPr>
          <w:rFonts w:ascii="Times New Roman" w:hAnsi="Times New Roman" w:cs="Times New Roman"/>
          <w:lang w:val="en-US"/>
        </w:rPr>
        <w:t xml:space="preserve"> </w:t>
      </w:r>
      <w:r w:rsidRPr="00365517">
        <w:rPr>
          <w:lang w:val="en-GB"/>
        </w:rPr>
        <w:t xml:space="preserve">performance or divert resources from core business functions. </w:t>
      </w:r>
      <w:r w:rsidRPr="00365517">
        <w:rPr>
          <w:lang w:val="en-GB"/>
        </w:rPr>
        <w:lastRenderedPageBreak/>
        <w:t>These trade-offs are part of the broader debate surrounding the pros and cons of ESG strategies.</w:t>
      </w:r>
    </w:p>
    <w:p w14:paraId="03536DB2" w14:textId="77777777" w:rsidR="00365517" w:rsidRPr="00BB27FE" w:rsidRDefault="00365517" w:rsidP="00365517">
      <w:pPr>
        <w:spacing w:line="360" w:lineRule="auto"/>
        <w:rPr>
          <w:rFonts w:ascii="Times New Roman" w:hAnsi="Times New Roman" w:cs="Times New Roman"/>
          <w:lang w:val="en-US"/>
        </w:rPr>
      </w:pPr>
      <w:r w:rsidRPr="00BB27FE">
        <w:rPr>
          <w:rFonts w:ascii="Times New Roman" w:hAnsi="Times New Roman" w:cs="Times New Roman"/>
          <w:lang w:val="en-US"/>
        </w:rPr>
        <w:t xml:space="preserve">4. </w:t>
      </w:r>
      <w:r w:rsidRPr="00365517">
        <w:rPr>
          <w:b/>
          <w:bCs/>
          <w:lang w:val="en-GB"/>
        </w:rPr>
        <w:t>High Implementation Costs for ESG Compliance</w:t>
      </w:r>
    </w:p>
    <w:p w14:paraId="32A3E9A1" w14:textId="77777777" w:rsidR="00365517" w:rsidRPr="00365517" w:rsidRDefault="00365517" w:rsidP="00365517">
      <w:pPr>
        <w:spacing w:line="360" w:lineRule="auto"/>
        <w:rPr>
          <w:lang w:val="en-GB"/>
        </w:rPr>
      </w:pPr>
      <w:r w:rsidRPr="00365517">
        <w:rPr>
          <w:lang w:val="en-GB"/>
        </w:rPr>
        <w:t>Implementing ESG frameworks often involves significant upfront investment. From data collection systems to ESG audits and employee training, the costs can be substantial, particularly for small and medium-sized enterprises. These financial burdens may deter companies from pursuing robust ESG policies, even if they recognize the long-term benefits. The cost of ESG compliance can become a barrier to adoption and scalability.</w:t>
      </w:r>
    </w:p>
    <w:p w14:paraId="5546A686" w14:textId="77777777" w:rsidR="00365517" w:rsidRPr="00BB27FE" w:rsidRDefault="00365517" w:rsidP="00365517">
      <w:pPr>
        <w:spacing w:line="360" w:lineRule="auto"/>
        <w:rPr>
          <w:rFonts w:ascii="Times New Roman" w:hAnsi="Times New Roman" w:cs="Times New Roman"/>
          <w:lang w:val="en-US"/>
        </w:rPr>
      </w:pPr>
      <w:r w:rsidRPr="00BB27FE">
        <w:rPr>
          <w:rFonts w:ascii="Times New Roman" w:hAnsi="Times New Roman" w:cs="Times New Roman"/>
          <w:lang w:val="en-US"/>
        </w:rPr>
        <w:t>5</w:t>
      </w:r>
      <w:r w:rsidRPr="00BB27FE">
        <w:rPr>
          <w:rFonts w:ascii="Times New Roman" w:hAnsi="Times New Roman" w:cs="Times New Roman"/>
          <w:b/>
          <w:bCs/>
          <w:lang w:val="en-US"/>
        </w:rPr>
        <w:t xml:space="preserve">. </w:t>
      </w:r>
      <w:r w:rsidRPr="00365517">
        <w:rPr>
          <w:b/>
          <w:bCs/>
          <w:lang w:val="en-GB"/>
        </w:rPr>
        <w:t>Limited Availability and Accuracy of ESG Data</w:t>
      </w:r>
    </w:p>
    <w:p w14:paraId="126F35C7" w14:textId="677BC5B4" w:rsidR="00365517" w:rsidRPr="00365517" w:rsidRDefault="00365517" w:rsidP="00365517">
      <w:pPr>
        <w:spacing w:line="360" w:lineRule="auto"/>
        <w:rPr>
          <w:lang w:val="en-GB"/>
        </w:rPr>
      </w:pPr>
      <w:r w:rsidRPr="00365517">
        <w:rPr>
          <w:lang w:val="en-GB"/>
        </w:rPr>
        <w:t>Reliable ESG data is essential for making informed investment decisions, yet many companies lack the infrastructure to report accurately. Data gaps, inconsistencies, and lack of transparency can limit the effectiveness of ESG analysis. Investors may struggle to evaluate a company’s performance on ESG metrics due to poor disclosures. This lack of high-quality data reduces confidence in </w:t>
      </w:r>
      <w:r>
        <w:rPr>
          <w:lang w:val="en-GB"/>
        </w:rPr>
        <w:t xml:space="preserve">ESG </w:t>
      </w:r>
      <w:r w:rsidRPr="00365517">
        <w:rPr>
          <w:lang w:val="en-GB"/>
        </w:rPr>
        <w:t>investing and complicates the evaluation of ESG-focused strategies.</w:t>
      </w:r>
    </w:p>
    <w:p w14:paraId="4F6ED7A1" w14:textId="77777777" w:rsidR="00365517" w:rsidRPr="00365517" w:rsidRDefault="00365517" w:rsidP="00365517">
      <w:pPr>
        <w:spacing w:line="360" w:lineRule="auto"/>
        <w:rPr>
          <w:b/>
          <w:bCs/>
          <w:lang w:val="en-GB"/>
        </w:rPr>
      </w:pPr>
      <w:r w:rsidRPr="00BB27FE">
        <w:rPr>
          <w:rFonts w:ascii="Times New Roman" w:hAnsi="Times New Roman" w:cs="Times New Roman"/>
          <w:lang w:val="en-US"/>
        </w:rPr>
        <w:t xml:space="preserve">6. </w:t>
      </w:r>
      <w:r w:rsidRPr="00365517">
        <w:rPr>
          <w:b/>
          <w:bCs/>
          <w:lang w:val="en-GB"/>
        </w:rPr>
        <w:t>Difficulty in Quantifying Social and Governance Impact</w:t>
      </w:r>
    </w:p>
    <w:p w14:paraId="6A530823" w14:textId="77777777" w:rsidR="00365517" w:rsidRDefault="00365517" w:rsidP="00365517">
      <w:pPr>
        <w:spacing w:line="360" w:lineRule="auto"/>
        <w:rPr>
          <w:lang w:val="en-GB"/>
        </w:rPr>
      </w:pPr>
      <w:r w:rsidRPr="00365517">
        <w:rPr>
          <w:lang w:val="en-GB"/>
        </w:rPr>
        <w:t>Unlike financial metrics, social and governance issues are often qualitative and complex to measure. Factors such as corporate culture, community engagement, or board diversity are essential but subjective. This makes it difficult to establish concrete benchmarks and compare companies effectively. The inability to quantify social and governance factors limits the usefulness of ESG assessments in guiding investment strategies.</w:t>
      </w:r>
    </w:p>
    <w:p w14:paraId="51AB67BB" w14:textId="77777777" w:rsidR="00773E61" w:rsidRPr="00365517" w:rsidRDefault="00773E61" w:rsidP="00365517">
      <w:pPr>
        <w:spacing w:line="360" w:lineRule="auto"/>
        <w:rPr>
          <w:lang w:val="en-GB"/>
        </w:rPr>
      </w:pPr>
    </w:p>
    <w:p w14:paraId="0E6C1FF4" w14:textId="77777777" w:rsidR="00365517" w:rsidRPr="00BB27FE" w:rsidRDefault="00365517" w:rsidP="00365517">
      <w:pPr>
        <w:spacing w:line="360" w:lineRule="auto"/>
        <w:rPr>
          <w:rFonts w:ascii="Times New Roman" w:hAnsi="Times New Roman" w:cs="Times New Roman"/>
          <w:lang w:val="en-US"/>
        </w:rPr>
      </w:pPr>
      <w:r w:rsidRPr="00BB27FE">
        <w:rPr>
          <w:rFonts w:ascii="Times New Roman" w:hAnsi="Times New Roman" w:cs="Times New Roman"/>
          <w:lang w:val="en-US"/>
        </w:rPr>
        <w:t xml:space="preserve">7. </w:t>
      </w:r>
      <w:r w:rsidRPr="00365517">
        <w:rPr>
          <w:b/>
          <w:bCs/>
          <w:lang w:val="en-GB"/>
        </w:rPr>
        <w:t>Possibility of Overemphasis on ESG at the Expense of Core Business</w:t>
      </w:r>
    </w:p>
    <w:p w14:paraId="65128311" w14:textId="77777777" w:rsidR="00365517" w:rsidRPr="00365517" w:rsidRDefault="00365517" w:rsidP="00365517">
      <w:pPr>
        <w:spacing w:line="360" w:lineRule="auto"/>
        <w:rPr>
          <w:lang w:val="en-GB"/>
        </w:rPr>
      </w:pPr>
      <w:r w:rsidRPr="00365517">
        <w:rPr>
          <w:lang w:val="en-GB"/>
        </w:rPr>
        <w:t xml:space="preserve">An overemphasis on meeting ESG goals may lead some companies to lose focus on their primary business objectives. While ESG should be integrated, it should not </w:t>
      </w:r>
      <w:r w:rsidRPr="00365517">
        <w:rPr>
          <w:lang w:val="en-GB"/>
        </w:rPr>
        <w:lastRenderedPageBreak/>
        <w:t>overshadow core operations or lead to misaligned strategies. ESG practices may become performative if not implemented with purpose and authenticity. Finding the right balance is essential to avoid disrupting the business model while still making progress toward sustainability.</w:t>
      </w:r>
    </w:p>
    <w:p w14:paraId="123B228F" w14:textId="77777777" w:rsidR="00365517" w:rsidRPr="00365517" w:rsidRDefault="00365517" w:rsidP="00365517">
      <w:pPr>
        <w:spacing w:line="360" w:lineRule="auto"/>
        <w:rPr>
          <w:b/>
          <w:bCs/>
          <w:lang w:val="en-GB"/>
        </w:rPr>
      </w:pPr>
      <w:r w:rsidRPr="00365517">
        <w:rPr>
          <w:b/>
          <w:bCs/>
          <w:lang w:val="en-GB"/>
        </w:rPr>
        <w:t>Conclusion</w:t>
      </w:r>
    </w:p>
    <w:p w14:paraId="01A97356" w14:textId="77777777" w:rsidR="00365517" w:rsidRPr="00365517" w:rsidRDefault="00365517" w:rsidP="00365517">
      <w:pPr>
        <w:spacing w:line="360" w:lineRule="auto"/>
        <w:rPr>
          <w:lang w:val="en-GB"/>
        </w:rPr>
      </w:pPr>
      <w:r w:rsidRPr="00365517">
        <w:rPr>
          <w:lang w:val="en-GB"/>
        </w:rPr>
        <w:t>The rise in ESG investing marks a significant shift in how companies are valued and how capital is allocated in the 21st century. With its emphasis on sustainability, social responsibility, and governance, ESG represents a more holistic approach to business and investment. Yet, as with any framework, ESG has both opportunities and obstacles. From enhanced risk management and improved financial performance to data inconsistencies and the risk of greenwashing, the advantages and disadvantages of ESG must be carefully weighed.</w:t>
      </w:r>
    </w:p>
    <w:p w14:paraId="15D21EFA" w14:textId="75E34EFA" w:rsidR="006F7E41" w:rsidRDefault="00365517" w:rsidP="006F7E41">
      <w:pPr>
        <w:spacing w:line="360" w:lineRule="auto"/>
        <w:rPr>
          <w:lang w:val="en-GB"/>
        </w:rPr>
      </w:pPr>
      <w:r w:rsidRPr="00365517">
        <w:rPr>
          <w:lang w:val="en-GB"/>
        </w:rPr>
        <w:t>As investors and companies continue to refine ESG practices, it is essential to develop transparent reporting standards, encourage genuine commitment to ethical conduct, and avoid using ESG as a mere marketing tool. ESG is not a universal solution, but it is a powerful tool when implemented with clarity, purpose, and accountability. As ESG continues to shape the future of investing, the goal should remain clear: to build a more equitable, sustainable, and responsible world through better business practices.</w:t>
      </w:r>
      <w:bookmarkStart w:id="38" w:name="_Toc207225647"/>
    </w:p>
    <w:p w14:paraId="13949390" w14:textId="77777777" w:rsidR="00481B9D" w:rsidRDefault="00481B9D" w:rsidP="006F7E41">
      <w:pPr>
        <w:spacing w:line="360" w:lineRule="auto"/>
        <w:rPr>
          <w:lang w:val="en-GB"/>
        </w:rPr>
      </w:pPr>
    </w:p>
    <w:p w14:paraId="3BA46F86" w14:textId="77777777" w:rsidR="00481B9D" w:rsidRDefault="00481B9D" w:rsidP="006F7E41">
      <w:pPr>
        <w:spacing w:line="360" w:lineRule="auto"/>
        <w:rPr>
          <w:lang w:val="en-GB"/>
        </w:rPr>
      </w:pPr>
    </w:p>
    <w:p w14:paraId="3091A440" w14:textId="77777777" w:rsidR="00481B9D" w:rsidRDefault="00481B9D" w:rsidP="006F7E41">
      <w:pPr>
        <w:spacing w:line="360" w:lineRule="auto"/>
        <w:rPr>
          <w:lang w:val="en-GB"/>
        </w:rPr>
      </w:pPr>
    </w:p>
    <w:p w14:paraId="679D045B" w14:textId="77777777" w:rsidR="00481B9D" w:rsidRDefault="00481B9D" w:rsidP="006F7E41">
      <w:pPr>
        <w:spacing w:line="360" w:lineRule="auto"/>
        <w:rPr>
          <w:lang w:val="en-GB"/>
        </w:rPr>
      </w:pPr>
    </w:p>
    <w:p w14:paraId="36B80735" w14:textId="77777777" w:rsidR="00481B9D" w:rsidRDefault="00481B9D" w:rsidP="006F7E41">
      <w:pPr>
        <w:spacing w:line="360" w:lineRule="auto"/>
        <w:rPr>
          <w:lang w:val="en-GB"/>
        </w:rPr>
      </w:pPr>
    </w:p>
    <w:p w14:paraId="0B0F9B88" w14:textId="77777777" w:rsidR="00481B9D" w:rsidRPr="006F7E41" w:rsidRDefault="00481B9D" w:rsidP="006F7E41">
      <w:pPr>
        <w:spacing w:line="360" w:lineRule="auto"/>
        <w:rPr>
          <w:lang w:val="en-GB"/>
        </w:rPr>
      </w:pPr>
    </w:p>
    <w:p w14:paraId="4DD3E7A3" w14:textId="5579228F" w:rsidR="00DF6F78" w:rsidRPr="00245193" w:rsidRDefault="00DF6F78" w:rsidP="00DF6F78">
      <w:pPr>
        <w:pStyle w:val="Titolo2"/>
        <w:numPr>
          <w:ilvl w:val="0"/>
          <w:numId w:val="0"/>
        </w:numPr>
        <w:ind w:left="851" w:hanging="851"/>
        <w:rPr>
          <w:lang w:val="en-US"/>
        </w:rPr>
      </w:pPr>
      <w:bookmarkStart w:id="39" w:name="_Toc207471598"/>
      <w:r w:rsidRPr="001F44C9">
        <w:rPr>
          <w:lang w:val="en-US"/>
        </w:rPr>
        <w:lastRenderedPageBreak/>
        <w:t>2.</w:t>
      </w:r>
      <w:r>
        <w:rPr>
          <w:lang w:val="en-US"/>
        </w:rPr>
        <w:t>5</w:t>
      </w:r>
      <w:r w:rsidRPr="001F44C9">
        <w:rPr>
          <w:lang w:val="en-US"/>
        </w:rPr>
        <w:t xml:space="preserve"> The ESG paradox: trade-offs between economic performance and sustainability</w:t>
      </w:r>
      <w:bookmarkEnd w:id="38"/>
      <w:bookmarkEnd w:id="39"/>
    </w:p>
    <w:p w14:paraId="6756C603" w14:textId="49F5C267" w:rsidR="00DF6F78" w:rsidRPr="00D0467A" w:rsidRDefault="006530D3" w:rsidP="006530D3">
      <w:pPr>
        <w:spacing w:line="360" w:lineRule="auto"/>
        <w:rPr>
          <w:lang w:val="en-GB"/>
        </w:rPr>
      </w:pPr>
      <w:r w:rsidRPr="00D82E9E">
        <w:rPr>
          <w:noProof/>
          <w:lang w:val="en-GB"/>
        </w:rPr>
        <mc:AlternateContent>
          <mc:Choice Requires="wps">
            <w:drawing>
              <wp:anchor distT="0" distB="0" distL="114300" distR="114300" simplePos="0" relativeHeight="251662336" behindDoc="0" locked="0" layoutInCell="1" allowOverlap="1" wp14:anchorId="01E60600" wp14:editId="603A68C0">
                <wp:simplePos x="0" y="0"/>
                <wp:positionH relativeFrom="margin">
                  <wp:posOffset>13970</wp:posOffset>
                </wp:positionH>
                <wp:positionV relativeFrom="paragraph">
                  <wp:posOffset>3345180</wp:posOffset>
                </wp:positionV>
                <wp:extent cx="2438400" cy="311150"/>
                <wp:effectExtent l="0" t="0" r="0" b="0"/>
                <wp:wrapThrough wrapText="bothSides">
                  <wp:wrapPolygon edited="0">
                    <wp:start x="0" y="0"/>
                    <wp:lineTo x="0" y="19837"/>
                    <wp:lineTo x="21431" y="19837"/>
                    <wp:lineTo x="21431" y="0"/>
                    <wp:lineTo x="0" y="0"/>
                  </wp:wrapPolygon>
                </wp:wrapThrough>
                <wp:docPr id="1309924275" name="Casella di testo 1"/>
                <wp:cNvGraphicFramePr/>
                <a:graphic xmlns:a="http://schemas.openxmlformats.org/drawingml/2006/main">
                  <a:graphicData uri="http://schemas.microsoft.com/office/word/2010/wordprocessingShape">
                    <wps:wsp>
                      <wps:cNvSpPr txBox="1"/>
                      <wps:spPr>
                        <a:xfrm>
                          <a:off x="0" y="0"/>
                          <a:ext cx="2438400" cy="311150"/>
                        </a:xfrm>
                        <a:prstGeom prst="rect">
                          <a:avLst/>
                        </a:prstGeom>
                        <a:solidFill>
                          <a:prstClr val="white"/>
                        </a:solidFill>
                        <a:ln>
                          <a:noFill/>
                        </a:ln>
                      </wps:spPr>
                      <wps:txbx>
                        <w:txbxContent>
                          <w:p w14:paraId="3C30E70A" w14:textId="3DFEF504" w:rsidR="0097611B" w:rsidRPr="0097611B" w:rsidRDefault="0097611B" w:rsidP="0097611B">
                            <w:pPr>
                              <w:pStyle w:val="Didascalia"/>
                              <w:jc w:val="both"/>
                              <w:rPr>
                                <w:lang w:val="it-IT"/>
                              </w:rPr>
                            </w:pPr>
                            <w:r>
                              <w:t xml:space="preserve"> Figure </w:t>
                            </w:r>
                            <w:r w:rsidRPr="0097611B">
                              <w:rPr>
                                <w:i/>
                                <w:iCs w:val="0"/>
                              </w:rPr>
                              <w:fldChar w:fldCharType="begin"/>
                            </w:r>
                            <w:r w:rsidRPr="0097611B">
                              <w:rPr>
                                <w:i/>
                                <w:iCs w:val="0"/>
                              </w:rPr>
                              <w:instrText xml:space="preserve"> SEQ Figure \* ARABIC </w:instrText>
                            </w:r>
                            <w:r w:rsidRPr="0097611B">
                              <w:rPr>
                                <w:i/>
                                <w:iCs w:val="0"/>
                              </w:rPr>
                              <w:fldChar w:fldCharType="separate"/>
                            </w:r>
                            <w:r w:rsidR="008F724A">
                              <w:rPr>
                                <w:i/>
                                <w:iCs w:val="0"/>
                                <w:noProof/>
                              </w:rPr>
                              <w:t>6</w:t>
                            </w:r>
                            <w:r w:rsidRPr="0097611B">
                              <w:rPr>
                                <w:i/>
                                <w:iCs w:val="0"/>
                              </w:rPr>
                              <w:fldChar w:fldCharType="end"/>
                            </w:r>
                            <w:r>
                              <w:rPr>
                                <w:i/>
                                <w:iCs w:val="0"/>
                              </w:rPr>
                              <w:t xml:space="preserve"> </w:t>
                            </w:r>
                            <w:r w:rsidRPr="0097611B">
                              <w:rPr>
                                <w:i/>
                                <w:iCs w:val="0"/>
                                <w:lang w:val="it-IT"/>
                              </w:rPr>
                              <w:t>Environmental Kuznets curve</w:t>
                            </w:r>
                          </w:p>
                          <w:p w14:paraId="3DCF56A3" w14:textId="3B1C3A35" w:rsidR="0097611B" w:rsidRPr="006A71C1" w:rsidRDefault="0097611B" w:rsidP="0097611B">
                            <w:pPr>
                              <w:pStyle w:val="Didascalia"/>
                              <w:rPr>
                                <w:noProof/>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E60600" id="_x0000_t202" coordsize="21600,21600" o:spt="202" path="m,l,21600r21600,l21600,xe">
                <v:stroke joinstyle="miter"/>
                <v:path gradientshapeok="t" o:connecttype="rect"/>
              </v:shapetype>
              <v:shape id="Casella di testo 1" o:spid="_x0000_s1026" type="#_x0000_t202" style="position:absolute;left:0;text-align:left;margin-left:1.1pt;margin-top:263.4pt;width:192pt;height:24.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" stroked="f">
                <v:textbox inset="0,0,0,0">
                  <w:txbxContent>
                    <w:p w14:paraId="3C30E70A" w14:textId="3DFEF504" w:rsidR="0097611B" w:rsidRPr="0097611B" w:rsidRDefault="0097611B" w:rsidP="0097611B">
                      <w:pPr>
                        <w:pStyle w:val="Didascalia"/>
                        <w:jc w:val="both"/>
                        <w:rPr>
                          <w:lang w:val="it-IT"/>
                        </w:rPr>
                      </w:pPr>
                      <w:r>
                        <w:t xml:space="preserve"> Figure </w:t>
                      </w:r>
                      <w:r w:rsidRPr="0097611B">
                        <w:rPr>
                          <w:i/>
                          <w:iCs w:val="0"/>
                        </w:rPr>
                        <w:fldChar w:fldCharType="begin"/>
                      </w:r>
                      <w:r w:rsidRPr="0097611B">
                        <w:rPr>
                          <w:i/>
                          <w:iCs w:val="0"/>
                        </w:rPr>
                        <w:instrText xml:space="preserve"> SEQ Figure \* ARABIC </w:instrText>
                      </w:r>
                      <w:r w:rsidRPr="0097611B">
                        <w:rPr>
                          <w:i/>
                          <w:iCs w:val="0"/>
                        </w:rPr>
                        <w:fldChar w:fldCharType="separate"/>
                      </w:r>
                      <w:r w:rsidR="008F724A">
                        <w:rPr>
                          <w:i/>
                          <w:iCs w:val="0"/>
                          <w:noProof/>
                        </w:rPr>
                        <w:t>6</w:t>
                      </w:r>
                      <w:r w:rsidRPr="0097611B">
                        <w:rPr>
                          <w:i/>
                          <w:iCs w:val="0"/>
                        </w:rPr>
                        <w:fldChar w:fldCharType="end"/>
                      </w:r>
                      <w:r>
                        <w:rPr>
                          <w:i/>
                          <w:iCs w:val="0"/>
                        </w:rPr>
                        <w:t xml:space="preserve"> </w:t>
                      </w:r>
                      <w:r w:rsidRPr="0097611B">
                        <w:rPr>
                          <w:i/>
                          <w:iCs w:val="0"/>
                          <w:lang w:val="it-IT"/>
                        </w:rPr>
                        <w:t>Environmental Kuznets curve</w:t>
                      </w:r>
                    </w:p>
                    <w:p w14:paraId="3DCF56A3" w14:textId="3B1C3A35" w:rsidR="0097611B" w:rsidRPr="006A71C1" w:rsidRDefault="0097611B" w:rsidP="0097611B">
                      <w:pPr>
                        <w:pStyle w:val="Didascalia"/>
                        <w:rPr>
                          <w:noProof/>
                          <w:szCs w:val="22"/>
                        </w:rPr>
                      </w:pPr>
                    </w:p>
                  </w:txbxContent>
                </v:textbox>
                <w10:wrap type="through" anchorx="margin"/>
              </v:shape>
            </w:pict>
          </mc:Fallback>
        </mc:AlternateContent>
      </w:r>
      <w:r w:rsidR="00DF6F78" w:rsidRPr="00DF6F78">
        <w:rPr>
          <w:lang w:val="en-GB"/>
        </w:rPr>
        <w:t>The relationship between economic growth and environmental sustainability has been extensively studied, yet it remains a subject of ongoing debate. The Environmental Kuznets Curve hypothesis, first introduced by Grossman and Krueger, proposes that environmental degradation follows an inverted U-shaped curve relative to economic development (</w:t>
      </w:r>
      <w:r w:rsidR="00DF6F78" w:rsidRPr="006530D3">
        <w:rPr>
          <w:i/>
          <w:iCs/>
          <w:lang w:val="en-GB"/>
        </w:rPr>
        <w:t>Stern, </w:t>
      </w:r>
      <w:hyperlink r:id="rId42" w:history="1">
        <w:r w:rsidR="00DF6F78" w:rsidRPr="006530D3">
          <w:rPr>
            <w:i/>
            <w:iCs/>
            <w:lang w:val="en-GB"/>
          </w:rPr>
          <w:t>Citation2014</w:t>
        </w:r>
      </w:hyperlink>
      <w:r w:rsidR="00DF6F78" w:rsidRPr="00DF6F78">
        <w:rPr>
          <w:lang w:val="en-GB"/>
        </w:rPr>
        <w:t xml:space="preserve">). </w:t>
      </w:r>
      <w:r w:rsidR="00DF6F78" w:rsidRPr="00DF6F78">
        <w:rPr>
          <w:lang w:val="en-GB"/>
        </w:rPr>
        <w:footnoteReference w:id="32"/>
      </w:r>
      <w:r w:rsidR="00DF6F78" w:rsidRPr="00DF6F78">
        <w:rPr>
          <w:lang w:val="en-GB"/>
        </w:rPr>
        <w:t>This theory suggests that in the early stages of economic growth, industrialization leads to increased pollution and environmental harm.</w:t>
      </w:r>
      <w:r>
        <w:rPr>
          <w:lang w:val="en-GB"/>
        </w:rPr>
        <w:t xml:space="preserve"> </w:t>
      </w:r>
      <w:r w:rsidR="00DF6F78" w:rsidRPr="00D0467A">
        <w:rPr>
          <w:lang w:val="en-GB"/>
        </w:rPr>
        <w:t>While some studies</w:t>
      </w:r>
      <w:r w:rsidR="00544380" w:rsidRPr="00D0467A">
        <w:rPr>
          <w:lang w:val="en-GB"/>
        </w:rPr>
        <w:t>, (one example is</w:t>
      </w:r>
      <w:r w:rsidR="00052980" w:rsidRPr="00D0467A">
        <w:rPr>
          <w:lang w:val="en-GB"/>
        </w:rPr>
        <w:t>:</w:t>
      </w:r>
      <w:r>
        <w:rPr>
          <w:lang w:val="en-GB"/>
        </w:rPr>
        <w:t xml:space="preserve"> </w:t>
      </w:r>
      <w:r w:rsidRPr="006530D3">
        <w:rPr>
          <w:i/>
          <w:iCs/>
          <w:lang w:val="en-GB"/>
        </w:rPr>
        <w:t>A. Chiriluș</w:t>
      </w:r>
      <w:r>
        <w:rPr>
          <w:lang w:val="en-GB"/>
        </w:rPr>
        <w:t xml:space="preserve">. </w:t>
      </w:r>
      <w:r w:rsidR="00544380" w:rsidRPr="00D0467A">
        <w:rPr>
          <w:lang w:val="en-GB"/>
        </w:rPr>
        <w:t>“</w:t>
      </w:r>
      <w:r w:rsidR="00544380" w:rsidRPr="006530D3">
        <w:rPr>
          <w:i/>
          <w:iCs/>
          <w:lang w:val="en-GB"/>
        </w:rPr>
        <w:t xml:space="preserve">Effect of FDI on Environmental Degradation </w:t>
      </w:r>
      <w:r w:rsidR="00416C6B" w:rsidRPr="006530D3">
        <w:rPr>
          <w:i/>
          <w:iCs/>
          <w:noProof/>
          <w:lang w:val="en-GB"/>
        </w:rPr>
        <w:drawing>
          <wp:anchor distT="0" distB="0" distL="114300" distR="114300" simplePos="0" relativeHeight="251658240" behindDoc="0" locked="0" layoutInCell="1" allowOverlap="1" wp14:anchorId="565E6BD4" wp14:editId="0E70BB19">
            <wp:simplePos x="0" y="0"/>
            <wp:positionH relativeFrom="margin">
              <wp:align>left</wp:align>
            </wp:positionH>
            <wp:positionV relativeFrom="paragraph">
              <wp:posOffset>1253490</wp:posOffset>
            </wp:positionV>
            <wp:extent cx="2463165" cy="2095500"/>
            <wp:effectExtent l="0" t="0" r="0" b="0"/>
            <wp:wrapThrough wrapText="bothSides">
              <wp:wrapPolygon edited="0">
                <wp:start x="0" y="0"/>
                <wp:lineTo x="0" y="21404"/>
                <wp:lineTo x="21383" y="21404"/>
                <wp:lineTo x="21383" y="0"/>
                <wp:lineTo x="0" y="0"/>
              </wp:wrapPolygon>
            </wp:wrapThrough>
            <wp:docPr id="1391938475" name="Immagine 6" descr="Graphical representation of the Environmental Kuznets Curve (EKC); Source: economichelp.com, accessed on 20 November 2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raphical representation of the Environmental Kuznets Curve (EKC); Source: economichelp.com, accessed on 20 November 202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463165" cy="2095500"/>
                    </a:xfrm>
                    <a:prstGeom prst="rect">
                      <a:avLst/>
                    </a:prstGeom>
                    <a:noFill/>
                    <a:ln>
                      <a:noFill/>
                    </a:ln>
                  </pic:spPr>
                </pic:pic>
              </a:graphicData>
            </a:graphic>
            <wp14:sizeRelV relativeFrom="margin">
              <wp14:pctHeight>0</wp14:pctHeight>
            </wp14:sizeRelV>
          </wp:anchor>
        </w:drawing>
      </w:r>
      <w:r w:rsidR="00544380" w:rsidRPr="006530D3">
        <w:rPr>
          <w:i/>
          <w:iCs/>
          <w:lang w:val="en-GB"/>
        </w:rPr>
        <w:t>in Romania</w:t>
      </w:r>
      <w:r w:rsidR="00052980" w:rsidRPr="006530D3">
        <w:rPr>
          <w:i/>
          <w:iCs/>
          <w:lang w:val="en-GB"/>
        </w:rPr>
        <w:t>”</w:t>
      </w:r>
      <w:r w:rsidR="00544380" w:rsidRPr="00D0467A">
        <w:rPr>
          <w:lang w:val="en-GB"/>
        </w:rPr>
        <w:t>)</w:t>
      </w:r>
      <w:r w:rsidR="00DF6F78" w:rsidRPr="00D0467A">
        <w:rPr>
          <w:lang w:val="en-GB"/>
        </w:rPr>
        <w:t xml:space="preserve"> have confirmed the existence of an EKC, particularly in high-income countries, others have questioned the universality of this relationship, highlighting the complex and heterogeneous nature of the growth-environment nexus across different economic contexts. The Environmental Kuznets Curve (EKC) has been confirmed in high-income countries, with experts Halkos and Gkampoura</w:t>
      </w:r>
      <w:r w:rsidR="00052980" w:rsidRPr="00D0467A">
        <w:rPr>
          <w:lang w:val="en-GB"/>
        </w:rPr>
        <w:t xml:space="preserve"> (</w:t>
      </w:r>
      <w:r w:rsidR="00052980" w:rsidRPr="00192EA4">
        <w:rPr>
          <w:i/>
          <w:iCs/>
          <w:lang w:val="en-GB"/>
        </w:rPr>
        <w:t>Halkos, G., &amp; Gkampoura, E. (2021). Examining the linkages among carbon dioxide emissions, electricity production and economic growth in different income levels.</w:t>
      </w:r>
      <w:r w:rsidR="00D0467A" w:rsidRPr="00192EA4">
        <w:rPr>
          <w:i/>
          <w:iCs/>
          <w:lang w:val="en-US"/>
        </w:rPr>
        <w:t>)</w:t>
      </w:r>
      <w:r w:rsidR="00DF6F78" w:rsidRPr="00DF6F78">
        <w:rPr>
          <w:lang w:val="en-GB"/>
        </w:rPr>
        <w:t xml:space="preserve"> </w:t>
      </w:r>
      <w:r w:rsidR="00DF6F78" w:rsidRPr="00D0467A">
        <w:rPr>
          <w:lang w:val="en-GB"/>
        </w:rPr>
        <w:t>showing evidence in Turkey</w:t>
      </w:r>
      <w:r w:rsidR="00D0467A">
        <w:rPr>
          <w:lang w:val="en-GB"/>
        </w:rPr>
        <w:t>,</w:t>
      </w:r>
      <w:r w:rsidR="00DF6F78" w:rsidRPr="00D0467A">
        <w:rPr>
          <w:lang w:val="en-GB"/>
        </w:rPr>
        <w:t xml:space="preserve"> and Jalil and Mahmud observing similar trends in developing economies</w:t>
      </w:r>
      <w:r w:rsidR="00D0467A">
        <w:rPr>
          <w:lang w:val="en-GB"/>
        </w:rPr>
        <w:t xml:space="preserve"> (</w:t>
      </w:r>
      <w:r w:rsidR="00D0467A" w:rsidRPr="00192EA4">
        <w:rPr>
          <w:i/>
          <w:iCs/>
          <w:lang w:val="en-GB"/>
        </w:rPr>
        <w:t>Jalil, A., &amp; Mahmud, S. F. (2009). Environment Kuznets curve for CO2 emissions: A cointegration analysis for China. Energy Policy, 37(12), 5167–5172</w:t>
      </w:r>
      <w:r w:rsidR="00D0467A" w:rsidRPr="00D0467A">
        <w:rPr>
          <w:lang w:val="en-GB"/>
        </w:rPr>
        <w:t>)</w:t>
      </w:r>
    </w:p>
    <w:p w14:paraId="2DC810EB" w14:textId="6643969C" w:rsidR="005666FC" w:rsidRPr="00D82E9E" w:rsidRDefault="00DF6F78" w:rsidP="005666FC">
      <w:pPr>
        <w:pStyle w:val="Testonotaapidipagina"/>
        <w:rPr>
          <w:rFonts w:ascii="Palatino Linotype" w:hAnsi="Palatino Linotype"/>
          <w:sz w:val="24"/>
          <w:szCs w:val="22"/>
          <w:lang w:val="en-GB"/>
        </w:rPr>
      </w:pPr>
      <w:r w:rsidRPr="00D82E9E">
        <w:rPr>
          <w:rFonts w:ascii="Palatino Linotype" w:hAnsi="Palatino Linotype"/>
          <w:sz w:val="24"/>
          <w:szCs w:val="22"/>
          <w:lang w:val="en-GB"/>
        </w:rPr>
        <w:t>However, the universality of this relationship is debated, with Pao and Chen</w:t>
      </w:r>
      <w:r w:rsidR="005666FC" w:rsidRPr="00D82E9E">
        <w:rPr>
          <w:rFonts w:ascii="Palatino Linotype" w:hAnsi="Palatino Linotype"/>
          <w:sz w:val="24"/>
          <w:szCs w:val="22"/>
          <w:lang w:val="en-GB"/>
        </w:rPr>
        <w:t xml:space="preserve"> (</w:t>
      </w:r>
      <w:r w:rsidR="005666FC" w:rsidRPr="00192EA4">
        <w:rPr>
          <w:rFonts w:ascii="Palatino Linotype" w:hAnsi="Palatino Linotype"/>
          <w:i/>
          <w:iCs/>
          <w:sz w:val="24"/>
          <w:szCs w:val="22"/>
          <w:lang w:val="en-GB"/>
        </w:rPr>
        <w:t>Pao, H., &amp; Chen, C. (2019). Decoupling strategies: CO2 emissions, energy resources, and economic growth in the group of twenty. Journal of Cleaner Production, 206, 907–919</w:t>
      </w:r>
      <w:r w:rsidR="00D82E9E" w:rsidRPr="00192EA4">
        <w:rPr>
          <w:rFonts w:ascii="Palatino Linotype" w:hAnsi="Palatino Linotype"/>
          <w:i/>
          <w:iCs/>
          <w:sz w:val="24"/>
          <w:szCs w:val="22"/>
          <w:lang w:val="en-GB"/>
        </w:rPr>
        <w:t>)</w:t>
      </w:r>
    </w:p>
    <w:p w14:paraId="59E0DCFD" w14:textId="4194EBE9" w:rsidR="00DF6F78" w:rsidRPr="006530D3" w:rsidRDefault="00DF6F78" w:rsidP="006530D3">
      <w:pPr>
        <w:spacing w:line="360" w:lineRule="auto"/>
        <w:rPr>
          <w:lang w:val="en-GB"/>
        </w:rPr>
      </w:pPr>
      <w:r w:rsidRPr="00DF6F78">
        <w:rPr>
          <w:lang w:val="en-GB"/>
        </w:rPr>
        <w:lastRenderedPageBreak/>
        <w:t>noting that in BRICS economies, economic growth continues to drive CO2 emissions despite efforts toward cleaner technologies. These findings indicate that while the EKC may hold in certain high-income economies, the relationship between economic growth and environmental degradation remains more complex in emerging and developing countries. The authors argue that institutional factors, such as governance quality and the degree of enforcement of environmental regulations, significantly impact the growth-environment relationship. These findings underscore the importance of considering both economic and non-economic factors when evaluating the trade-offs between growth and sustainability.</w:t>
      </w:r>
      <w:r w:rsidR="006530D3">
        <w:rPr>
          <w:lang w:val="en-GB"/>
        </w:rPr>
        <w:t xml:space="preserve"> </w:t>
      </w:r>
      <w:r w:rsidRPr="00E576B8">
        <w:rPr>
          <w:lang w:val="en-GB"/>
        </w:rPr>
        <w:t>In addition to the EKC debate, the role of renewable energy in mitigating environmental damage has been increasingly examined in recent literature. According to Apergis and Payne</w:t>
      </w:r>
      <w:r w:rsidR="00192EA4" w:rsidRPr="00E576B8">
        <w:rPr>
          <w:lang w:val="en-GB"/>
        </w:rPr>
        <w:t xml:space="preserve"> (</w:t>
      </w:r>
      <w:r w:rsidR="00192EA4" w:rsidRPr="00E576B8">
        <w:rPr>
          <w:i/>
          <w:iCs/>
          <w:lang w:val="en-GB"/>
        </w:rPr>
        <w:t>Apergis, N., &amp; Payne, J. E. (2010). Renewable energy consumption and growth in Eurasia. Energy Economics, 32(6), 1392–11</w:t>
      </w:r>
      <w:r w:rsidR="00E576B8" w:rsidRPr="00E576B8">
        <w:rPr>
          <w:lang w:val="en-GB"/>
        </w:rPr>
        <w:t xml:space="preserve">) </w:t>
      </w:r>
      <w:r w:rsidRPr="00E576B8">
        <w:rPr>
          <w:lang w:val="en-GB"/>
        </w:rPr>
        <w:t>renewable energy consumption can significantly reduce CO2 emissions, particularly in high-income countries where the infrastructure for renewable energy is more developed. However, the effectiveness of renewable energy adoption varies across regions. Empirical studies have found that while renewable energy consumption reduces emissions in OECD countries, it has a weaker impact in developing economies due to lower levels of investment and technological advancement. Employing dynamic panel data models and clustering techniques, the research has demonstrated that while economic growth remains a significant driver of CO2 emissions, the current pace of renewable energy adoption is insufficient to mitigate the environmental impacts of rapid industrial expansion.</w:t>
      </w:r>
    </w:p>
    <w:p w14:paraId="228AB632" w14:textId="2084E0F8" w:rsidR="00DF6F78" w:rsidRDefault="00DF6F78" w:rsidP="00DF6F78">
      <w:pPr>
        <w:spacing w:line="360" w:lineRule="auto"/>
        <w:rPr>
          <w:lang w:val="en-GB"/>
        </w:rPr>
      </w:pPr>
      <w:r w:rsidRPr="00DF6F78">
        <w:rPr>
          <w:lang w:val="en-GB"/>
        </w:rPr>
        <w:t xml:space="preserve">This study confirms the Environmental Kuznets Curve hypothesis, demonstrating that early-stage growth drives environmental degradation, particularly in developing economies. Even high-income countries struggle to decouple growth from emissions, underscoring the need for tailored policy interventions. Urgent efforts are required to expand renewable energy adoption and integrate economic and environmental goals. </w:t>
      </w:r>
    </w:p>
    <w:p w14:paraId="7765BD0B" w14:textId="77777777" w:rsidR="005B4D03" w:rsidRDefault="005B4D03" w:rsidP="00DF6F78">
      <w:pPr>
        <w:spacing w:line="360" w:lineRule="auto"/>
        <w:rPr>
          <w:lang w:val="en-GB"/>
        </w:rPr>
      </w:pPr>
    </w:p>
    <w:p w14:paraId="7ED493A1" w14:textId="20C12275" w:rsidR="003921FF" w:rsidRDefault="003921FF" w:rsidP="003921FF">
      <w:pPr>
        <w:pStyle w:val="Titolo1"/>
        <w:numPr>
          <w:ilvl w:val="0"/>
          <w:numId w:val="0"/>
        </w:numPr>
        <w:ind w:left="851" w:hanging="851"/>
        <w:rPr>
          <w:lang w:val="en-US"/>
        </w:rPr>
      </w:pPr>
      <w:bookmarkStart w:id="40" w:name="_Toc207225648"/>
      <w:bookmarkStart w:id="41" w:name="_Toc207471599"/>
      <w:r>
        <w:rPr>
          <w:lang w:val="en-GB"/>
        </w:rPr>
        <w:lastRenderedPageBreak/>
        <w:t>3</w:t>
      </w:r>
      <w:r w:rsidR="005B4D03" w:rsidRPr="00ED7296">
        <w:rPr>
          <w:lang w:val="en-US"/>
        </w:rPr>
        <w:t>- Company internship experience: between technology and ESG consulting</w:t>
      </w:r>
      <w:bookmarkEnd w:id="40"/>
      <w:bookmarkEnd w:id="41"/>
    </w:p>
    <w:p w14:paraId="4EC06B88" w14:textId="77777777" w:rsidR="003921FF" w:rsidRPr="008F1C1C" w:rsidRDefault="003921FF" w:rsidP="00844F1F">
      <w:pPr>
        <w:pStyle w:val="Titolo2"/>
        <w:numPr>
          <w:ilvl w:val="0"/>
          <w:numId w:val="0"/>
        </w:numPr>
        <w:ind w:left="851" w:hanging="851"/>
        <w:rPr>
          <w:lang w:val="en-US"/>
        </w:rPr>
      </w:pPr>
      <w:bookmarkStart w:id="42" w:name="_Toc207225649"/>
      <w:bookmarkStart w:id="43" w:name="_Toc207471600"/>
      <w:r w:rsidRPr="001F44C9">
        <w:rPr>
          <w:lang w:val="en-US"/>
        </w:rPr>
        <w:t>3.1 Introduction of the host company and business model</w:t>
      </w:r>
      <w:bookmarkEnd w:id="42"/>
      <w:bookmarkEnd w:id="43"/>
    </w:p>
    <w:p w14:paraId="46EA0D0F" w14:textId="77777777" w:rsidR="003921FF" w:rsidRDefault="003921FF" w:rsidP="003921FF">
      <w:pPr>
        <w:spacing w:line="360" w:lineRule="auto"/>
        <w:rPr>
          <w:rFonts w:ascii="Times New Roman" w:hAnsi="Times New Roman" w:cs="Times New Roman"/>
          <w:lang w:val="en-US"/>
        </w:rPr>
      </w:pPr>
      <w:r>
        <w:rPr>
          <w:rFonts w:ascii="Times New Roman" w:hAnsi="Times New Roman" w:cs="Times New Roman"/>
          <w:lang w:val="en-US"/>
        </w:rPr>
        <w:t>“</w:t>
      </w:r>
      <w:r w:rsidRPr="008F1C1C">
        <w:rPr>
          <w:rFonts w:ascii="Times New Roman" w:hAnsi="Times New Roman" w:cs="Times New Roman"/>
          <w:i/>
          <w:iCs/>
          <w:lang w:val="en-US"/>
        </w:rPr>
        <w:t>The active management of non-financial KPIs and the direct involvement of corporate management become key variables for the competitiveness and survival of the enterprise. ESGeo is the technology suite that can cover the entire process of corporate sustainability</w:t>
      </w:r>
      <w:r w:rsidRPr="008F1C1C">
        <w:rPr>
          <w:rFonts w:ascii="Times New Roman" w:hAnsi="Times New Roman" w:cs="Times New Roman"/>
          <w:lang w:val="en-US"/>
        </w:rPr>
        <w:t xml:space="preserve">." </w:t>
      </w:r>
    </w:p>
    <w:p w14:paraId="1C03CB53" w14:textId="77777777" w:rsidR="003921FF" w:rsidRDefault="003921FF" w:rsidP="003921FF">
      <w:pPr>
        <w:spacing w:line="360" w:lineRule="auto"/>
        <w:rPr>
          <w:lang w:val="en-US"/>
        </w:rPr>
      </w:pPr>
      <w:r w:rsidRPr="008F1C1C">
        <w:rPr>
          <w:lang w:val="en-US"/>
        </w:rPr>
        <w:t>Fabrizio Fiocchi, CEO and Co-Founder of ESGeo</w:t>
      </w:r>
      <w:r>
        <w:rPr>
          <w:lang w:val="en-US"/>
        </w:rPr>
        <w:t>.</w:t>
      </w:r>
    </w:p>
    <w:p w14:paraId="589BDE95" w14:textId="77777777" w:rsidR="003921FF" w:rsidRPr="00741CD0" w:rsidRDefault="003921FF" w:rsidP="003921FF">
      <w:pPr>
        <w:spacing w:line="360" w:lineRule="auto"/>
        <w:rPr>
          <w:lang w:val="en-US"/>
        </w:rPr>
      </w:pPr>
    </w:p>
    <w:p w14:paraId="6EB6D324" w14:textId="77777777" w:rsidR="003921FF" w:rsidRPr="00844F1F" w:rsidRDefault="003921FF" w:rsidP="003921FF">
      <w:pPr>
        <w:spacing w:line="360" w:lineRule="auto"/>
        <w:rPr>
          <w:lang w:val="en-GB"/>
        </w:rPr>
      </w:pPr>
      <w:r w:rsidRPr="00844F1F">
        <w:rPr>
          <w:lang w:val="en-GB"/>
        </w:rPr>
        <w:t>From January to July 2025, I started participating as an intern in the role of IT junior consultant in a consultancy company specialized in the ESG field called ESGeo.</w:t>
      </w:r>
    </w:p>
    <w:p w14:paraId="76CF042F" w14:textId="77777777" w:rsidR="003921FF" w:rsidRPr="00844F1F" w:rsidRDefault="003921FF" w:rsidP="003921FF">
      <w:pPr>
        <w:spacing w:line="360" w:lineRule="auto"/>
        <w:rPr>
          <w:lang w:val="en-GB"/>
        </w:rPr>
      </w:pPr>
      <w:r w:rsidRPr="00844F1F">
        <w:rPr>
          <w:lang w:val="en-GB"/>
        </w:rPr>
        <w:t xml:space="preserve">ESGeo Srl is a highly specialized reality in sustainability digital governance, certified for ESG data management, compliant with international standards and the EU taxonomy, which supports different frameworks and continuous updates, which offers a SaaS (Software as a Service) platform and consultancy services focused on the strategic integration of ESG criteria. </w:t>
      </w:r>
    </w:p>
    <w:p w14:paraId="7EE085DE" w14:textId="77777777" w:rsidR="003921FF" w:rsidRPr="00844F1F" w:rsidRDefault="003921FF" w:rsidP="003921FF">
      <w:pPr>
        <w:spacing w:line="360" w:lineRule="auto"/>
        <w:rPr>
          <w:lang w:val="en-GB"/>
        </w:rPr>
      </w:pPr>
      <w:r w:rsidRPr="00844F1F">
        <w:rPr>
          <w:lang w:val="en-GB"/>
        </w:rPr>
        <w:t>Its offering is based on two main pillars: a certified technology suite for non-financial data management, and a team of certified ESG analysts ready to provide personalized support to customers.</w:t>
      </w:r>
    </w:p>
    <w:p w14:paraId="067C8D2A" w14:textId="77777777" w:rsidR="003921FF" w:rsidRPr="00844F1F" w:rsidRDefault="003921FF" w:rsidP="003921FF">
      <w:pPr>
        <w:spacing w:line="360" w:lineRule="auto"/>
        <w:rPr>
          <w:lang w:val="en-GB"/>
        </w:rPr>
      </w:pPr>
      <w:r w:rsidRPr="00844F1F">
        <w:rPr>
          <w:lang w:val="en-GB"/>
        </w:rPr>
        <w:t xml:space="preserve">Through the four-step operating model, The Sustainability Journey, the company offers a modular and scalable framework to integrate ESG criteria into business processes, in line with European regulations (CSRD, ESRS) and international best practices. </w:t>
      </w:r>
    </w:p>
    <w:p w14:paraId="73402CF1" w14:textId="77777777" w:rsidR="003921FF" w:rsidRPr="00844F1F" w:rsidRDefault="003921FF" w:rsidP="003921FF">
      <w:pPr>
        <w:spacing w:line="360" w:lineRule="auto"/>
        <w:rPr>
          <w:lang w:val="en-GB"/>
        </w:rPr>
      </w:pPr>
      <w:r w:rsidRPr="00844F1F">
        <w:rPr>
          <w:lang w:val="en-GB"/>
        </w:rPr>
        <w:t xml:space="preserve">The team of certified analysts assists organizations in dual materiality assessments, ESG policy reviews, financial stakeholder responses and supply chain Due Diligence </w:t>
      </w:r>
      <w:r w:rsidRPr="00844F1F">
        <w:rPr>
          <w:lang w:val="en-GB"/>
        </w:rPr>
        <w:lastRenderedPageBreak/>
        <w:t xml:space="preserve">processes, helping to build customized ESG assessment models and manage risks, including reputational ones. </w:t>
      </w:r>
    </w:p>
    <w:p w14:paraId="00090B99" w14:textId="77777777" w:rsidR="003921FF" w:rsidRPr="00844F1F" w:rsidRDefault="003921FF" w:rsidP="003921FF">
      <w:pPr>
        <w:spacing w:line="360" w:lineRule="auto"/>
        <w:rPr>
          <w:lang w:val="en-GB"/>
        </w:rPr>
      </w:pPr>
      <w:r w:rsidRPr="00844F1F">
        <w:rPr>
          <w:lang w:val="en-GB"/>
        </w:rPr>
        <w:t>Mandatory ESG reports are also developed for companies that meet certain requirements, the customer is kept updated on new possibilities in the financial and non-financial fields, and they are also updated on any changes and updates by the European Union and public bodies on regulations regarding sustainability.</w:t>
      </w:r>
    </w:p>
    <w:p w14:paraId="760E8B60" w14:textId="77777777" w:rsidR="003921FF" w:rsidRPr="00844F1F" w:rsidRDefault="003921FF" w:rsidP="003921FF">
      <w:pPr>
        <w:spacing w:line="360" w:lineRule="auto"/>
        <w:rPr>
          <w:lang w:val="en-GB"/>
        </w:rPr>
      </w:pPr>
      <w:r w:rsidRPr="00844F1F">
        <w:rPr>
          <w:lang w:val="en-GB"/>
        </w:rPr>
        <w:t>Thanks to corporate support, ESGeo customers have achieved prestigious recognition, strengthening their leading position in the field of sustainability.</w:t>
      </w:r>
    </w:p>
    <w:p w14:paraId="2705D4D1" w14:textId="77777777" w:rsidR="003921FF" w:rsidRDefault="003921FF" w:rsidP="00B40E0D">
      <w:pPr>
        <w:pStyle w:val="Titolo2"/>
        <w:numPr>
          <w:ilvl w:val="0"/>
          <w:numId w:val="0"/>
        </w:numPr>
        <w:ind w:left="851" w:hanging="851"/>
        <w:rPr>
          <w:lang w:val="en-US"/>
        </w:rPr>
      </w:pPr>
      <w:bookmarkStart w:id="44" w:name="_Toc207225650"/>
      <w:bookmarkStart w:id="45" w:name="_Toc207471601"/>
      <w:r w:rsidRPr="00B40E0D">
        <w:rPr>
          <w:lang w:val="en-US"/>
        </w:rPr>
        <w:t>3.2 Map of the ESG reporting process (from data collection to reporting)</w:t>
      </w:r>
      <w:bookmarkEnd w:id="44"/>
      <w:bookmarkEnd w:id="45"/>
    </w:p>
    <w:p w14:paraId="7C43527E" w14:textId="77777777" w:rsidR="001417B0" w:rsidRPr="001417B0" w:rsidRDefault="001417B0" w:rsidP="001417B0">
      <w:pPr>
        <w:rPr>
          <w:lang w:val="en-US"/>
        </w:rPr>
      </w:pPr>
    </w:p>
    <w:p w14:paraId="25C22F9E" w14:textId="77777777" w:rsidR="003921FF" w:rsidRPr="00844F1F" w:rsidRDefault="003921FF" w:rsidP="003921FF">
      <w:pPr>
        <w:spacing w:line="360" w:lineRule="auto"/>
        <w:rPr>
          <w:lang w:val="en-GB"/>
        </w:rPr>
      </w:pPr>
      <w:r w:rsidRPr="00844F1F">
        <w:rPr>
          <w:lang w:val="en-GB"/>
        </w:rPr>
        <w:t>ESG reporting entails detailed disclosure of a company's environmental footprint, social contributions, and governance ethics. It is guided by standards like GRI, SASB, and TCFD. The usage of these frameworks is key to effective reporting, alongside regulatory reporting obligations.</w:t>
      </w:r>
    </w:p>
    <w:p w14:paraId="25A98423" w14:textId="77777777" w:rsidR="003921FF" w:rsidRPr="00844F1F" w:rsidRDefault="003921FF" w:rsidP="003921FF">
      <w:pPr>
        <w:spacing w:line="360" w:lineRule="auto"/>
        <w:rPr>
          <w:lang w:val="en-GB"/>
        </w:rPr>
      </w:pPr>
      <w:r w:rsidRPr="00844F1F">
        <w:rPr>
          <w:lang w:val="en-GB"/>
        </w:rPr>
        <w:t>The acronym ESRS stands for European Sustainability Reporting Standards. ESRS aim to unify different sectoral regulations and guidelines to provide a holistic approach to reporting on the three ESG pillars (Environmental, Social, Governance). The European Commission approved the first set of ESRS on 31 July 2023, with the intention of standardizing the sustainability reporting practices of EU and non-EU companies. ESRS became law in all 27 member states of the European Union as of October 2023 but can also be adopted by global businesses. ESRS establish a detailed framework for reporting ESG information, providing precise guidelines on how companies should collect, process and disclose this data. This approach aims to ensure that the information provided is relevant, comparable and reliable, allowing stakeholders to precisely evaluate companies' sustainability performance.</w:t>
      </w:r>
    </w:p>
    <w:p w14:paraId="733EEDFB" w14:textId="77777777" w:rsidR="003921FF" w:rsidRPr="00844F1F" w:rsidRDefault="003921FF" w:rsidP="003921FF">
      <w:pPr>
        <w:spacing w:line="360" w:lineRule="auto"/>
        <w:rPr>
          <w:lang w:val="en-GB"/>
        </w:rPr>
      </w:pPr>
      <w:r w:rsidRPr="00844F1F">
        <w:rPr>
          <w:lang w:val="en-GB"/>
        </w:rPr>
        <w:lastRenderedPageBreak/>
        <w:t>Enterprises obliged to comply with ESRS standards are those that fall under the CSRD Directive, that is, those that meet at least two of the following criteria:</w:t>
      </w:r>
    </w:p>
    <w:p w14:paraId="503CAA06" w14:textId="77777777" w:rsidR="003921FF" w:rsidRPr="00844F1F" w:rsidRDefault="003921FF">
      <w:pPr>
        <w:pStyle w:val="Paragrafoelenco"/>
        <w:numPr>
          <w:ilvl w:val="0"/>
          <w:numId w:val="10"/>
        </w:numPr>
        <w:spacing w:before="0" w:after="160" w:line="360" w:lineRule="auto"/>
        <w:rPr>
          <w:lang w:val="en-GB"/>
        </w:rPr>
      </w:pPr>
      <w:r w:rsidRPr="00844F1F">
        <w:rPr>
          <w:lang w:val="en-GB"/>
        </w:rPr>
        <w:t>Balance sheet assets exceeding 20 million euros.</w:t>
      </w:r>
    </w:p>
    <w:p w14:paraId="42537B20" w14:textId="77777777" w:rsidR="003921FF" w:rsidRPr="00844F1F" w:rsidRDefault="003921FF">
      <w:pPr>
        <w:pStyle w:val="Paragrafoelenco"/>
        <w:numPr>
          <w:ilvl w:val="0"/>
          <w:numId w:val="10"/>
        </w:numPr>
        <w:spacing w:before="0" w:after="160" w:line="360" w:lineRule="auto"/>
        <w:rPr>
          <w:lang w:val="en-GB"/>
        </w:rPr>
      </w:pPr>
      <w:r w:rsidRPr="00844F1F">
        <w:rPr>
          <w:lang w:val="en-GB"/>
        </w:rPr>
        <w:t>Turnover exceeding EUR 40 million.</w:t>
      </w:r>
    </w:p>
    <w:p w14:paraId="17A75764" w14:textId="77777777" w:rsidR="003921FF" w:rsidRPr="00844F1F" w:rsidRDefault="003921FF">
      <w:pPr>
        <w:pStyle w:val="Paragrafoelenco"/>
        <w:numPr>
          <w:ilvl w:val="0"/>
          <w:numId w:val="10"/>
        </w:numPr>
        <w:spacing w:before="0" w:after="160" w:line="360" w:lineRule="auto"/>
        <w:rPr>
          <w:lang w:val="en-GB"/>
        </w:rPr>
      </w:pPr>
      <w:r w:rsidRPr="00844F1F">
        <w:rPr>
          <w:lang w:val="en-GB"/>
        </w:rPr>
        <w:t>More than 250 employees.</w:t>
      </w:r>
    </w:p>
    <w:p w14:paraId="09D045DD" w14:textId="77777777" w:rsidR="003921FF" w:rsidRPr="00844F1F" w:rsidRDefault="003921FF" w:rsidP="003921FF">
      <w:pPr>
        <w:spacing w:line="360" w:lineRule="auto"/>
        <w:rPr>
          <w:lang w:val="en-GB"/>
        </w:rPr>
      </w:pPr>
      <w:r w:rsidRPr="00844F1F">
        <w:rPr>
          <w:lang w:val="en-GB"/>
        </w:rPr>
        <w:t xml:space="preserve">The deadline for the adoption of sectoral sustainability reporting standards has been postponed by the EU to 30 June 2026. For large non-EU companies, the application date remains set at the financial year 2028. </w:t>
      </w:r>
    </w:p>
    <w:p w14:paraId="1614DB0C" w14:textId="77777777" w:rsidR="003921FF" w:rsidRPr="00844F1F" w:rsidRDefault="003921FF" w:rsidP="003921FF">
      <w:pPr>
        <w:spacing w:line="360" w:lineRule="auto"/>
        <w:rPr>
          <w:lang w:val="en-GB"/>
        </w:rPr>
      </w:pPr>
      <w:r w:rsidRPr="00844F1F">
        <w:rPr>
          <w:lang w:val="en-GB"/>
        </w:rPr>
        <w:t>Unlisted SMEs, however, can voluntarily adopt the reporting principle “voluntary ESRS”, published on ’8 November 2023, as a preparatory tool for future obligations, especially in the event of a possible listing or falling within the CSRD criteria.</w:t>
      </w:r>
    </w:p>
    <w:p w14:paraId="392411D5" w14:textId="77777777" w:rsidR="003921FF" w:rsidRPr="00844F1F" w:rsidRDefault="003921FF" w:rsidP="003921FF">
      <w:pPr>
        <w:spacing w:line="360" w:lineRule="auto"/>
        <w:rPr>
          <w:lang w:val="en-GB"/>
        </w:rPr>
      </w:pPr>
      <w:r w:rsidRPr="00844F1F">
        <w:rPr>
          <w:lang w:val="en-GB"/>
        </w:rPr>
        <w:t>Clearly the sectors in which companies operate differ greatly from each other, so it will be necessary to identify which KPIs to pay more attention to when reporting based on the company's work. For example, for an international company owning production plants in areas where child labor is legal, it will be necessary to question companies on this issue, while with other companies it will be necessary to focus more on their environmental impact by calculating emissions or exploitation of land. But let's analyze well how a sustainability report is generally developed.</w:t>
      </w:r>
    </w:p>
    <w:p w14:paraId="37CCF43E" w14:textId="77777777" w:rsidR="003921FF" w:rsidRPr="00844F1F" w:rsidRDefault="003921FF" w:rsidP="003921FF">
      <w:pPr>
        <w:spacing w:line="360" w:lineRule="auto"/>
        <w:rPr>
          <w:lang w:val="en-GB"/>
        </w:rPr>
      </w:pPr>
      <w:r w:rsidRPr="00844F1F">
        <w:rPr>
          <w:lang w:val="en-GB"/>
        </w:rPr>
        <w:t>How to prepare for ESG data collection</w:t>
      </w:r>
    </w:p>
    <w:p w14:paraId="4CC2BC86" w14:textId="77777777" w:rsidR="003921FF" w:rsidRPr="00844F1F" w:rsidRDefault="003921FF" w:rsidP="003921FF">
      <w:pPr>
        <w:spacing w:line="360" w:lineRule="auto"/>
        <w:rPr>
          <w:lang w:val="en-GB"/>
        </w:rPr>
      </w:pPr>
      <w:r w:rsidRPr="00844F1F">
        <w:rPr>
          <w:lang w:val="en-GB"/>
        </w:rPr>
        <w:t>The ESG reporting process typically unfolds in sequential stages, combining both data-driven and strategic activities. In the entire process, engaging with stakeholders is key - to respond to their concerns and manage expectations in terms of scope of reporting. It can be mapped as follows:</w:t>
      </w:r>
    </w:p>
    <w:p w14:paraId="65C73DE3" w14:textId="77777777" w:rsidR="003921FF" w:rsidRPr="00844F1F" w:rsidRDefault="003921FF" w:rsidP="003921FF">
      <w:pPr>
        <w:spacing w:line="360" w:lineRule="auto"/>
        <w:rPr>
          <w:lang w:val="en-GB"/>
        </w:rPr>
      </w:pPr>
      <w:r w:rsidRPr="00844F1F">
        <w:rPr>
          <w:lang w:val="en-GB"/>
        </w:rPr>
        <w:t xml:space="preserve">The process of ESG reporting represents a structured pathway through which organizations translate sustainability performance into standardized, credible, and communicable information. It begins with the definition of scope and objectives, where </w:t>
      </w:r>
      <w:r w:rsidRPr="00844F1F">
        <w:rPr>
          <w:lang w:val="en-GB"/>
        </w:rPr>
        <w:lastRenderedPageBreak/>
        <w:t>companies identify the purpose of reporting, the relevant stakeholders, and the frameworks to be adopted. Standards such as the Global Reporting Initiative (GRI), the Sustainability Accounting Standards Board (SASB), or the European Sustainability Reporting Standards (ESRS) are often selected to ensure comparability and compliance. At this stage, the reporting boundaries are also established, clarifying whether the analysis will be limited to the organization itself or extended to subsidiaries and supply chains.</w:t>
      </w:r>
    </w:p>
    <w:p w14:paraId="279E2C2C" w14:textId="77777777" w:rsidR="003921FF" w:rsidRPr="00844F1F" w:rsidRDefault="003921FF" w:rsidP="003921FF">
      <w:pPr>
        <w:spacing w:line="360" w:lineRule="auto"/>
        <w:rPr>
          <w:lang w:val="en-GB"/>
        </w:rPr>
      </w:pPr>
      <w:r w:rsidRPr="00844F1F">
        <w:rPr>
          <w:lang w:val="en-GB"/>
        </w:rPr>
        <w:t>Once the scope is defined, the process moves into the collection of ESG data across environmental, social, and governance dimensions. Information is drawn from a variety of internal systems, including financial, operational, and human resource databases, as well as from external sources such as suppliers and contractors. The challenge lies in ensuring data integrity and completeness while capturing the full range of material issues.</w:t>
      </w:r>
    </w:p>
    <w:p w14:paraId="7A114D60" w14:textId="77777777" w:rsidR="003921FF" w:rsidRPr="00844F1F" w:rsidRDefault="003921FF" w:rsidP="003921FF">
      <w:pPr>
        <w:spacing w:line="360" w:lineRule="auto"/>
        <w:rPr>
          <w:lang w:val="en-GB"/>
        </w:rPr>
      </w:pPr>
      <w:r w:rsidRPr="00844F1F">
        <w:rPr>
          <w:lang w:val="en-GB"/>
        </w:rPr>
        <w:t>For effective Environmental data collection, it’s essential the engagement with suppliers: foster strong collaborations with suppliers to ensure they provide precise and timely environmental data. This could include regular supplier assessments and integrating supplier data into the company's overall environmental data framework. Also, it’s crucial to make regular audits: implement a schedule of environmental audits to validate data accuracy and identify areas of improvement. These audits should be comprehensive, covering all aspects of environmental data collection and reporting.</w:t>
      </w:r>
    </w:p>
    <w:p w14:paraId="04D26154" w14:textId="77777777" w:rsidR="003921FF" w:rsidRPr="00844F1F" w:rsidRDefault="003921FF" w:rsidP="003921FF">
      <w:pPr>
        <w:spacing w:line="360" w:lineRule="auto"/>
        <w:rPr>
          <w:lang w:val="en-GB"/>
        </w:rPr>
      </w:pPr>
      <w:r w:rsidRPr="00844F1F">
        <w:rPr>
          <w:lang w:val="en-GB"/>
        </w:rPr>
        <w:t>Social data involves metrics related to workforce diversity, work practices, and community involvement. Challenges include maintaining data privacy and mitigating reporting biases. To get more truthful data it's helpful to use anonymous surveys to collect authentic, unbiased feedback from employees and other stakeholders. Community involvement is also essential. This should include community feedback sessions and collaborative projects with local organizations.</w:t>
      </w:r>
    </w:p>
    <w:p w14:paraId="15EC73F6" w14:textId="77777777" w:rsidR="003921FF" w:rsidRPr="00844F1F" w:rsidRDefault="003921FF" w:rsidP="003921FF">
      <w:pPr>
        <w:spacing w:line="360" w:lineRule="auto"/>
        <w:rPr>
          <w:lang w:val="en-GB"/>
        </w:rPr>
      </w:pPr>
      <w:r w:rsidRPr="00844F1F">
        <w:rPr>
          <w:lang w:val="en-GB"/>
        </w:rPr>
        <w:lastRenderedPageBreak/>
        <w:t>Governance data focuses on internal controls, ethical compliance, and corporate governance structures. It is often useful to work with independent auditors to validate governance practices and the credibility of data collected or reported.</w:t>
      </w:r>
    </w:p>
    <w:p w14:paraId="2B2970CC" w14:textId="77777777" w:rsidR="003921FF" w:rsidRPr="00844F1F" w:rsidRDefault="003921FF" w:rsidP="003921FF">
      <w:pPr>
        <w:spacing w:line="360" w:lineRule="auto"/>
        <w:rPr>
          <w:lang w:val="en-GB"/>
        </w:rPr>
      </w:pPr>
      <w:r w:rsidRPr="00844F1F">
        <w:rPr>
          <w:lang w:val="en-GB"/>
        </w:rPr>
        <w:t xml:space="preserve">Data collection is followed by consolidation and management, which entails standardizing and centralizing information within dedicated platforms. This stage requires the validation and cleansing of data in order to guarantee accuracy, as well as the application of taxonomies such as the EU Sustainable Finance Taxonomy to classify activities consistently. </w:t>
      </w:r>
    </w:p>
    <w:p w14:paraId="6FD90013" w14:textId="77777777" w:rsidR="003921FF" w:rsidRPr="00844F1F" w:rsidRDefault="003921FF" w:rsidP="003921FF">
      <w:pPr>
        <w:spacing w:line="360" w:lineRule="auto"/>
        <w:rPr>
          <w:lang w:val="en-GB"/>
        </w:rPr>
      </w:pPr>
      <w:r w:rsidRPr="00844F1F">
        <w:rPr>
          <w:lang w:val="en-GB"/>
        </w:rPr>
        <w:t>The next step typically involves a materiality assessment, in which companies engage with stakeholders to determine the ESG topics of greatest relevance and impact. Increasingly, this is carried out through the lens of double materiality, which evaluates both the impact of sustainability factors on the company’s performance and the company’s own impact on society and the environment.</w:t>
      </w:r>
    </w:p>
    <w:p w14:paraId="72E4BB0E" w14:textId="77777777" w:rsidR="003921FF" w:rsidRPr="00844F1F" w:rsidRDefault="003921FF" w:rsidP="003921FF">
      <w:pPr>
        <w:spacing w:line="360" w:lineRule="auto"/>
        <w:rPr>
          <w:lang w:val="en-GB"/>
        </w:rPr>
      </w:pPr>
      <w:r w:rsidRPr="00844F1F">
        <w:rPr>
          <w:lang w:val="en-GB"/>
        </w:rPr>
        <w:t>Once the most relevant issues have been identified, they are translated into measurable indicators and key performance metrics. These may include quantitative measures such as carbon emissions, gender balance, or board independence, which are benchmarked against peers, sector standards, and regulatory requirements. Performance data are then subject to internal analysis and review, enabling companies to assess progress, identify gaps, and prepare for assurance processes.</w:t>
      </w:r>
    </w:p>
    <w:p w14:paraId="4BE9067D" w14:textId="77777777" w:rsidR="003921FF" w:rsidRPr="00844F1F" w:rsidRDefault="003921FF" w:rsidP="003921FF">
      <w:pPr>
        <w:spacing w:line="360" w:lineRule="auto"/>
        <w:rPr>
          <w:lang w:val="en-GB"/>
        </w:rPr>
      </w:pPr>
      <w:r w:rsidRPr="00844F1F">
        <w:rPr>
          <w:lang w:val="en-GB"/>
        </w:rPr>
        <w:t>The drafting of the ESG report represents the synthesis of this effort. At this stage, quantitative data is complemented by a qualitative narrative that explains the organization’s strategy, governance, and future commitments. To enhance credibility, many companies submit their reports to third-party assurance providers who verify compliance and the reliability of disclosures.</w:t>
      </w:r>
    </w:p>
    <w:p w14:paraId="713736AB" w14:textId="4C0CED0B" w:rsidR="003921FF" w:rsidRPr="00844F1F" w:rsidRDefault="003921FF" w:rsidP="003921FF">
      <w:pPr>
        <w:spacing w:line="360" w:lineRule="auto"/>
        <w:rPr>
          <w:lang w:val="en-GB"/>
        </w:rPr>
      </w:pPr>
      <w:r w:rsidRPr="00844F1F">
        <w:rPr>
          <w:lang w:val="en-GB"/>
        </w:rPr>
        <w:t xml:space="preserve">Finally, the reporting process culminates in publication and communication. Reports are made available through official channels, including company websites, regulatory submissions, and investor presentations. Beyond formal disclosure, organizations </w:t>
      </w:r>
      <w:r w:rsidRPr="00844F1F">
        <w:rPr>
          <w:lang w:val="en-GB"/>
        </w:rPr>
        <w:lastRenderedPageBreak/>
        <w:t>often engage stakeholders directly to discuss outcomes and gather feedback, which in turn informs future sustainability strategies. ESG reporting is therefore not a static exercise but a cyclical process of continuous improvement, in which each reporting cycle becomes the foundation for more robust data management, stronger stakeholder engagement, and enhanced strategic alignment.</w:t>
      </w:r>
    </w:p>
    <w:p w14:paraId="6E393BA0" w14:textId="77777777" w:rsidR="003921FF" w:rsidRDefault="003921FF" w:rsidP="00844F1F">
      <w:pPr>
        <w:pStyle w:val="Titolo2"/>
        <w:numPr>
          <w:ilvl w:val="0"/>
          <w:numId w:val="0"/>
        </w:numPr>
        <w:ind w:left="851" w:hanging="851"/>
        <w:rPr>
          <w:lang w:val="en-US"/>
        </w:rPr>
      </w:pPr>
      <w:bookmarkStart w:id="46" w:name="_Toc207225651"/>
      <w:bookmarkStart w:id="47" w:name="_Toc207471602"/>
      <w:r w:rsidRPr="001F44C9">
        <w:rPr>
          <w:lang w:val="en-US"/>
        </w:rPr>
        <w:t>3.3 Activities performed during the internship:</w:t>
      </w:r>
      <w:bookmarkEnd w:id="46"/>
      <w:bookmarkEnd w:id="47"/>
    </w:p>
    <w:p w14:paraId="24B14C8F" w14:textId="77777777" w:rsidR="003921FF" w:rsidRPr="000A3F5D" w:rsidRDefault="003921FF" w:rsidP="00844F1F">
      <w:pPr>
        <w:pStyle w:val="Titolo3"/>
        <w:numPr>
          <w:ilvl w:val="0"/>
          <w:numId w:val="0"/>
        </w:numPr>
        <w:ind w:left="851" w:hanging="851"/>
        <w:rPr>
          <w:lang w:val="en-US"/>
        </w:rPr>
      </w:pPr>
      <w:bookmarkStart w:id="48" w:name="_Toc207225652"/>
      <w:bookmarkStart w:id="49" w:name="_Toc207471603"/>
      <w:r w:rsidRPr="000A3F5D">
        <w:rPr>
          <w:lang w:val="en-US"/>
        </w:rPr>
        <w:t>3.3.1 Collection and management of ESG data</w:t>
      </w:r>
      <w:bookmarkEnd w:id="48"/>
      <w:bookmarkEnd w:id="49"/>
    </w:p>
    <w:p w14:paraId="40D2BEEC" w14:textId="77777777" w:rsidR="003921FF" w:rsidRPr="00844F1F" w:rsidRDefault="003921FF" w:rsidP="003921FF">
      <w:pPr>
        <w:spacing w:line="360" w:lineRule="auto"/>
        <w:rPr>
          <w:lang w:val="en-GB"/>
        </w:rPr>
      </w:pPr>
      <w:r w:rsidRPr="00844F1F">
        <w:rPr>
          <w:lang w:val="en-GB"/>
        </w:rPr>
        <w:t>The focus of this chapter is to study the collection of information related to ESG themes, and to try to identify among the methods we will analyze, which allows for a data collection that is as efficient and effective as possible. Indeed, there is talk of a whole series of regulations that will include non-financial reporting in the Management Report, making the Sustainability Report and the traditional corporate financial report a single entity. The process will be initiated by the CSRD directive, that is, the Corporate Sustainability Reporting Directive. The directive will no longer apply only to companies with over 500 employees, but the minimum threshold will be lowered to 250. This regulation will also include all those SMEs, excluding micro-enterprises, listed on European markets. It is evident that, soon, the number of organizations required to prepare non-financial reporting will significantly increase.</w:t>
      </w:r>
    </w:p>
    <w:p w14:paraId="6FF34DAE" w14:textId="77777777" w:rsidR="003921FF" w:rsidRPr="00844F1F" w:rsidRDefault="003921FF" w:rsidP="003921FF">
      <w:pPr>
        <w:spacing w:line="360" w:lineRule="auto"/>
        <w:rPr>
          <w:lang w:val="en-GB"/>
        </w:rPr>
      </w:pPr>
      <w:r w:rsidRPr="00844F1F">
        <w:rPr>
          <w:lang w:val="en-GB"/>
        </w:rPr>
        <w:t xml:space="preserve">Regarding the information that will be collected, it must also take into account the reporting framework chosen for the preparation of the Financial Statement. For example, if we were to use only the SASB, we would then need to report one or more indicators designed for our relevant sector. In fact, this framework defines a series of sectors and depending on whether the organization's activity falls within one or more of these, the SASB identifies a set of indicators, which do not necessarily have to be reported in their entirety. If we were instead to adopt the GRI standards, the situation would be different. This is because, in the latest update of these Reporting Standards, a series of sectors have been identified for which the mandatory reporting of specific </w:t>
      </w:r>
      <w:r w:rsidRPr="00844F1F">
        <w:rPr>
          <w:lang w:val="en-GB"/>
        </w:rPr>
        <w:lastRenderedPageBreak/>
        <w:t>indicators is required. The definition of these specific GRI principles is anticipated for a total of forty different sectors.</w:t>
      </w:r>
    </w:p>
    <w:p w14:paraId="63F80644" w14:textId="77777777" w:rsidR="003921FF" w:rsidRPr="00844F1F" w:rsidRDefault="003921FF" w:rsidP="003921FF">
      <w:pPr>
        <w:spacing w:line="360" w:lineRule="auto"/>
        <w:rPr>
          <w:lang w:val="en-GB"/>
        </w:rPr>
      </w:pPr>
      <w:r w:rsidRPr="00844F1F">
        <w:rPr>
          <w:lang w:val="en-GB"/>
        </w:rPr>
        <w:t>So far, the Sector Standards related to the Oil and Gas, Coal, and Agriculture, Aquaculture, and Fishing sectors have been published, and the next publication is expected to be related to the Mining sector. We will specifically address the topic of reporting frameworks when we discuss data collection in depth, as they play a significant role in this process. The organization will thus find itself in a situation where it is obliged to report a range of indicators, and only afterward will it evaluate whether to add further information. However, it is worth noting that non-financial reporting commonly adopts GRI standards, while SASB becomes a set of additional indicators to the previous framework, especially when the organization's interest is to attract attention from Anglo-Saxon investors.</w:t>
      </w:r>
    </w:p>
    <w:p w14:paraId="3D155ADC" w14:textId="77777777" w:rsidR="003921FF" w:rsidRPr="00844F1F" w:rsidRDefault="003921FF" w:rsidP="003921FF">
      <w:pPr>
        <w:spacing w:line="360" w:lineRule="auto"/>
        <w:rPr>
          <w:lang w:val="en-GB"/>
        </w:rPr>
      </w:pPr>
      <w:r w:rsidRPr="00844F1F">
        <w:rPr>
          <w:lang w:val="en-GB"/>
        </w:rPr>
        <w:t>When the organization needs to build the different indicators to be included in the Sustainability Report, these must be aligned with the guidelines of the chosen framework. These indicators can generally be divided into two large families: qualitative and quantitative. The former will be characterized by a 'description' that is constructed based on the requirements of the reference reporting principle. Meanwhile, the latter will generally be expressed in the form of numerical values. In this first subsection, the peculiarities of the two families presented will be studied, trying to understand how they will fit into the data collection process.</w:t>
      </w:r>
    </w:p>
    <w:p w14:paraId="774B82EF" w14:textId="0B076463" w:rsidR="003921FF" w:rsidRPr="000206BB" w:rsidRDefault="003921FF">
      <w:pPr>
        <w:pStyle w:val="Titolo4"/>
        <w:numPr>
          <w:ilvl w:val="2"/>
          <w:numId w:val="12"/>
        </w:numPr>
        <w:rPr>
          <w:lang w:val="en-US"/>
        </w:rPr>
      </w:pPr>
      <w:r w:rsidRPr="000206BB">
        <w:rPr>
          <w:lang w:val="en-US"/>
        </w:rPr>
        <w:t>Qualitative data</w:t>
      </w:r>
    </w:p>
    <w:p w14:paraId="26EB02F0" w14:textId="77777777" w:rsidR="003921FF" w:rsidRPr="00844F1F" w:rsidRDefault="003921FF" w:rsidP="003921FF">
      <w:pPr>
        <w:spacing w:line="360" w:lineRule="auto"/>
        <w:rPr>
          <w:lang w:val="en-GB"/>
        </w:rPr>
      </w:pPr>
      <w:r w:rsidRPr="00844F1F">
        <w:rPr>
          <w:lang w:val="en-GB"/>
        </w:rPr>
        <w:t xml:space="preserve">Qualitative information, as we will see, are data that allow us to describe a concept, a context, a result, and so on, but do not inherently translate into values. Very often, sustainability reporting frameworks identify a whole series of indicators that are satisfied by a text, by a description. Indeed, they require the disclosure of a whole series of information that, for various reasons, cannot be exhausted with a simple numerical value, such as a report or a percentage, but require a true digression by the </w:t>
      </w:r>
      <w:r w:rsidRPr="00844F1F">
        <w:rPr>
          <w:lang w:val="en-GB"/>
        </w:rPr>
        <w:lastRenderedPageBreak/>
        <w:t>organization. Such indicators often require, therefore, data and descriptions that, in most cases, must also be supplemented with materials, documents, or attachments that certify their accuracy, or that provide greater completeness to the non-financial information.</w:t>
      </w:r>
    </w:p>
    <w:p w14:paraId="20DC6B42" w14:textId="77777777" w:rsidR="003921FF" w:rsidRPr="00844F1F" w:rsidRDefault="003921FF" w:rsidP="003921FF">
      <w:pPr>
        <w:spacing w:line="360" w:lineRule="auto"/>
        <w:rPr>
          <w:lang w:val="en-GB"/>
        </w:rPr>
      </w:pPr>
      <w:r w:rsidRPr="00844F1F">
        <w:rPr>
          <w:lang w:val="en-GB"/>
        </w:rPr>
        <w:t>Taking a classic example, let's consider the information required by the GRI Standards, specifically from the guidelines of indicator 303-1 "Interaction with water as a shared resource," which belongs to the GRI 303 "Water and wastewater" set. This standard requires a description of how the company interacts with water resources, where they are extracted, consumed, and discharged. It requires a description of the impacts related to the activities carried out by the organization, its products, and services regarding water resources. It also asks what approaches are used to identify the aforementioned impacts. Finally, at the heart of the request for this indicator, it should be clarified how the impacts are managed sustainably, including those related to suppliers and customers, who may have significant impacts in the course of their activities. This is all related to the process of identifying targets and objectives regarding water management, with particular attention to all those areas where the organization operates, considered to be under water stress.</w:t>
      </w:r>
    </w:p>
    <w:p w14:paraId="430B940D" w14:textId="77777777" w:rsidR="003921FF" w:rsidRPr="00844F1F" w:rsidRDefault="003921FF" w:rsidP="003921FF">
      <w:pPr>
        <w:spacing w:line="360" w:lineRule="auto"/>
        <w:rPr>
          <w:lang w:val="en-GB"/>
        </w:rPr>
      </w:pPr>
      <w:r w:rsidRPr="00844F1F">
        <w:rPr>
          <w:lang w:val="en-GB"/>
        </w:rPr>
        <w:t>In light of this, the numerical data, in this context, takes on the value of a complement to the disclosure of such an indicator, as a help to understanding and transparency of the information. This allows stakeholders to have a complete knowledge that satisfies every curiosity, thanks to the availability of a whole series of information, primarily discursive, that enable them to understand how the organization has decided to manage the impacts on the water resource, in every aspect. If this were not the case, furthermore, the reporting obligations of this analyzed GRI principle would not be respected either.</w:t>
      </w:r>
    </w:p>
    <w:p w14:paraId="2E3B7EBB" w14:textId="77777777" w:rsidR="003921FF" w:rsidRPr="00844F1F" w:rsidRDefault="003921FF" w:rsidP="003921FF">
      <w:pPr>
        <w:spacing w:line="360" w:lineRule="auto"/>
        <w:rPr>
          <w:lang w:val="en-GB"/>
        </w:rPr>
      </w:pPr>
      <w:r w:rsidRPr="00844F1F">
        <w:rPr>
          <w:lang w:val="en-GB"/>
        </w:rPr>
        <w:t xml:space="preserve">Collecting this type of data seems like a less difficult process compared to searching for precise quantitative information, but it is not so. Sometimes reporting requests can </w:t>
      </w:r>
      <w:r w:rsidRPr="00844F1F">
        <w:rPr>
          <w:lang w:val="en-GB"/>
        </w:rPr>
        <w:lastRenderedPageBreak/>
        <w:t>be very specific, and it is not always possible to have all of them readily available. Furthermore, the 'storage' of such data will not always be a simple operation, as, taking the previous example of water resource management, this may vary within a calendar year, adapting to changes in the context in which the organization operates.</w:t>
      </w:r>
    </w:p>
    <w:p w14:paraId="3B7994C4" w14:textId="609D7CD0" w:rsidR="003921FF" w:rsidRDefault="003921FF">
      <w:pPr>
        <w:pStyle w:val="Titolo4"/>
        <w:numPr>
          <w:ilvl w:val="2"/>
          <w:numId w:val="12"/>
        </w:numPr>
        <w:rPr>
          <w:lang w:val="en-US"/>
        </w:rPr>
      </w:pPr>
      <w:r>
        <w:rPr>
          <w:lang w:val="en-US"/>
        </w:rPr>
        <w:t>Quantitative data</w:t>
      </w:r>
    </w:p>
    <w:p w14:paraId="424CEBF5" w14:textId="082EDEA9" w:rsidR="003921FF" w:rsidRPr="00844F1F" w:rsidRDefault="003921FF" w:rsidP="003921FF">
      <w:pPr>
        <w:spacing w:line="360" w:lineRule="auto"/>
        <w:rPr>
          <w:lang w:val="en-GB"/>
        </w:rPr>
      </w:pPr>
      <w:r w:rsidRPr="00844F1F">
        <w:rPr>
          <w:lang w:val="en-GB"/>
        </w:rPr>
        <w:t xml:space="preserve">When a quantitative piece of data is collected, one will expect to come across a number, a value, that quantifies a specific item that one wants to present to the reader of the Balance Sheet. Furthermore, it is important to remember that, in addition to being a value, quantitative data, unlike qualitative data, is accompanied by a specific unit of measure. We will see </w:t>
      </w:r>
      <w:r w:rsidR="009333E4" w:rsidRPr="00844F1F">
        <w:rPr>
          <w:lang w:val="en-GB"/>
        </w:rPr>
        <w:t>that it</w:t>
      </w:r>
      <w:r w:rsidRPr="00844F1F">
        <w:rPr>
          <w:lang w:val="en-GB"/>
        </w:rPr>
        <w:t xml:space="preserve"> must be taken into careful consideration by those who are involved in data collection.</w:t>
      </w:r>
    </w:p>
    <w:p w14:paraId="1C04FE28" w14:textId="77777777" w:rsidR="003921FF" w:rsidRPr="00844F1F" w:rsidRDefault="003921FF" w:rsidP="003921FF">
      <w:pPr>
        <w:spacing w:line="360" w:lineRule="auto"/>
        <w:rPr>
          <w:lang w:val="en-GB"/>
        </w:rPr>
      </w:pPr>
      <w:r w:rsidRPr="00844F1F">
        <w:rPr>
          <w:lang w:val="en-GB"/>
        </w:rPr>
        <w:t xml:space="preserve">When we deal with quantitative data, we aggregate them to higher levels of organizational units, using sums or other functions, we obtain a unique new result, which is expressed in a value. If the collection process is disorganized and poorly organized, it is easy for duplicate values to accumulate, or for some to be lost, thus failing to guarantee the transparency and accuracy of the final data. This manifests itself in numbers that are either too high or lower than what we expected to obtain. Quantitative data, often collected via Excel, may also be repeated. Deleting duplicate data could also lead to the removal of data that were correct, so greater attention is needed. </w:t>
      </w:r>
    </w:p>
    <w:p w14:paraId="06970A71" w14:textId="77777777" w:rsidR="003921FF" w:rsidRPr="00844F1F" w:rsidRDefault="003921FF" w:rsidP="003921FF">
      <w:pPr>
        <w:spacing w:line="360" w:lineRule="auto"/>
        <w:rPr>
          <w:lang w:val="en-GB"/>
        </w:rPr>
      </w:pPr>
      <w:r w:rsidRPr="00844F1F">
        <w:rPr>
          <w:lang w:val="en-GB"/>
        </w:rPr>
        <w:t xml:space="preserve">Let's consider the classic case of a multinational company equipped with numerous production facilities to be considered in the scope of non-financial reporting. With very many functions to consider, within the plants spread around the world that use this raw material, we understand how easy it is to lose data or overlap it before arriving at the unique group level. We will try to provide an idea, a method, to best organize the collection process and avoid these issues. This is also because identifying the duplicate data, or the lost one, in such a situation becomes quite complicated if not impossible </w:t>
      </w:r>
      <w:r w:rsidRPr="00844F1F">
        <w:rPr>
          <w:lang w:val="en-GB"/>
        </w:rPr>
        <w:lastRenderedPageBreak/>
        <w:t>and could lead to having to redo the collection process, wasting additional time and resources.</w:t>
      </w:r>
    </w:p>
    <w:p w14:paraId="6B785695" w14:textId="77777777" w:rsidR="003921FF" w:rsidRPr="00844F1F" w:rsidRDefault="003921FF" w:rsidP="003921FF">
      <w:pPr>
        <w:spacing w:line="360" w:lineRule="auto"/>
        <w:rPr>
          <w:lang w:val="en-GB"/>
        </w:rPr>
      </w:pPr>
      <w:r w:rsidRPr="00844F1F">
        <w:rPr>
          <w:lang w:val="en-GB"/>
        </w:rPr>
        <w:t>Let’s choose, to stay within the context of the hypothetical multinational presented a moment ago, GRI 301-1 "Materials used by weight or volume." This indicator requires that the organization in question provides information regarding the weight or volume of the total materials used in the production and packaging processes of primary services and/or products during the period considered. It also requires a breakdown between non-renewable and renewable materials. In the guidelines for such reporting, the GRI Standard specifies the types of materials for which weight or volume must be indicated. Among these are raw materials, other materials related to the process that are not part of the final product, as well as products or semi-finished components and packaging. All of this must include a distinction between products generated internally and those purchased from suppliers.</w:t>
      </w:r>
    </w:p>
    <w:p w14:paraId="029E818D" w14:textId="77777777" w:rsidR="003921FF" w:rsidRPr="00844F1F" w:rsidRDefault="003921FF" w:rsidP="003921FF">
      <w:pPr>
        <w:spacing w:line="360" w:lineRule="auto"/>
        <w:rPr>
          <w:lang w:val="en-GB"/>
        </w:rPr>
      </w:pPr>
      <w:r w:rsidRPr="00844F1F">
        <w:rPr>
          <w:lang w:val="en-GB"/>
        </w:rPr>
        <w:t>Requiring a clear distinction between internal production and procurement from suppliers, identifying the different categories of materials used, and differentiating between renewable and non-renewable materials generates considerable complexity. Returning to the hypothesis of the multinational corporation, it is evident how complicated it can be to collect all these data at an aggregated level, especially while managing to ensure all these distinctions during the collection phase.</w:t>
      </w:r>
    </w:p>
    <w:p w14:paraId="15DCB599" w14:textId="77777777" w:rsidR="003921FF" w:rsidRDefault="003921FF" w:rsidP="00F53570">
      <w:pPr>
        <w:pStyle w:val="Titolo4"/>
        <w:numPr>
          <w:ilvl w:val="0"/>
          <w:numId w:val="0"/>
        </w:numPr>
        <w:ind w:left="851" w:hanging="851"/>
        <w:rPr>
          <w:lang w:val="en-US"/>
        </w:rPr>
      </w:pPr>
      <w:r w:rsidRPr="008661AC">
        <w:rPr>
          <w:lang w:val="en-US"/>
        </w:rPr>
        <w:t>H</w:t>
      </w:r>
      <w:r>
        <w:rPr>
          <w:lang w:val="en-US"/>
        </w:rPr>
        <w:t>ow to collect sustainability data</w:t>
      </w:r>
    </w:p>
    <w:p w14:paraId="4F2F6AFA" w14:textId="77777777" w:rsidR="003921FF" w:rsidRPr="00844F1F" w:rsidRDefault="003921FF" w:rsidP="003921FF">
      <w:pPr>
        <w:spacing w:line="360" w:lineRule="auto"/>
        <w:rPr>
          <w:lang w:val="en-GB"/>
        </w:rPr>
      </w:pPr>
      <w:r w:rsidRPr="00844F1F">
        <w:rPr>
          <w:lang w:val="en-GB"/>
        </w:rPr>
        <w:t xml:space="preserve">After studying the nature of the data and its main sources, let's now move on to studying the data collection process. We will try to understand how a company, especially a novice in this regard, can best manage this new transition. </w:t>
      </w:r>
    </w:p>
    <w:p w14:paraId="6927D2BB" w14:textId="418F35B6" w:rsidR="003921FF" w:rsidRPr="00844F1F" w:rsidRDefault="003921FF" w:rsidP="003921FF">
      <w:pPr>
        <w:spacing w:line="360" w:lineRule="auto"/>
        <w:rPr>
          <w:lang w:val="en-GB"/>
        </w:rPr>
      </w:pPr>
      <w:r w:rsidRPr="00844F1F">
        <w:rPr>
          <w:lang w:val="en-GB"/>
        </w:rPr>
        <w:t xml:space="preserve">Let’s start by assuming we are an organization that, in anticipation of the future publication of the Sustainability Report, must prepare to begin data collection. We can imagine that the Board of Directors has resolved to publish this year's non-financial statement. </w:t>
      </w:r>
      <w:r w:rsidR="00F53570" w:rsidRPr="00844F1F">
        <w:rPr>
          <w:lang w:val="en-GB"/>
        </w:rPr>
        <w:t>First</w:t>
      </w:r>
      <w:r w:rsidRPr="00844F1F">
        <w:rPr>
          <w:lang w:val="en-GB"/>
        </w:rPr>
        <w:t xml:space="preserve">, it is essential to understand who will be responsible for managing the </w:t>
      </w:r>
      <w:r w:rsidRPr="00844F1F">
        <w:rPr>
          <w:lang w:val="en-GB"/>
        </w:rPr>
        <w:lastRenderedPageBreak/>
        <w:t>entire data collection process. By this, we mean who is tasked with completing this job? Is it a single person? Is it a team of people, part of a specific function?</w:t>
      </w:r>
    </w:p>
    <w:p w14:paraId="37CC4EF0" w14:textId="77777777" w:rsidR="003921FF" w:rsidRPr="00844F1F" w:rsidRDefault="003921FF" w:rsidP="003921FF">
      <w:pPr>
        <w:spacing w:line="360" w:lineRule="auto"/>
        <w:rPr>
          <w:lang w:val="en-GB"/>
        </w:rPr>
      </w:pPr>
      <w:r w:rsidRPr="00844F1F">
        <w:rPr>
          <w:lang w:val="en-GB"/>
        </w:rPr>
        <w:t xml:space="preserve">The introduction of this type of committee, or its equivalents, is now implemented by many companies listed on the FTSE MIB market. In fact, from the research </w:t>
      </w:r>
      <w:r w:rsidRPr="00394537">
        <w:rPr>
          <w:lang w:val="en-GB"/>
        </w:rPr>
        <w:t>"Boards of Directors and Sustainability Policy", conducted thanks to ALTIS, CSR Management Network, and Assonime, presented subsequently to CONSOB</w:t>
      </w:r>
      <w:r w:rsidRPr="00394537">
        <w:rPr>
          <w:lang w:val="en-GB"/>
        </w:rPr>
        <w:footnoteReference w:id="33"/>
      </w:r>
      <w:r w:rsidRPr="00394537">
        <w:rPr>
          <w:lang w:val="en-GB"/>
        </w:rPr>
        <w:t>,</w:t>
      </w:r>
      <w:r w:rsidRPr="00844F1F">
        <w:rPr>
          <w:lang w:val="en-GB"/>
        </w:rPr>
        <w:t xml:space="preserve"> it emerges that 73% of companies listed in this financial market have a way to manage issues related to the world. Compared to previous years, there has been a significant increase, of about 40%, which demonstrates this trend to want to bring ESG issues into the organizational decision-making environment. This process has also been accelerated by the introduction of the Self-Discipline Code in 2015, and the directive on the Non-Financial Disclosure</w:t>
      </w:r>
      <w:r w:rsidRPr="00844F1F">
        <w:rPr>
          <w:lang w:val="en-GB"/>
        </w:rPr>
        <w:footnoteReference w:id="34"/>
      </w:r>
      <w:r w:rsidRPr="00844F1F">
        <w:rPr>
          <w:lang w:val="en-GB"/>
        </w:rPr>
        <w:t>, as well as the increasing attention given to the topic. However, we can also conclude that even though almost three quarters of FTSE MIB organizations are equipped with a way to manage these issues.</w:t>
      </w:r>
    </w:p>
    <w:p w14:paraId="33FD2275" w14:textId="77777777" w:rsidR="003921FF" w:rsidRPr="00844F1F" w:rsidRDefault="003921FF" w:rsidP="003921FF">
      <w:pPr>
        <w:spacing w:line="360" w:lineRule="auto"/>
        <w:rPr>
          <w:lang w:val="en-GB"/>
        </w:rPr>
      </w:pPr>
      <w:r w:rsidRPr="00844F1F">
        <w:rPr>
          <w:lang w:val="en-GB"/>
        </w:rPr>
        <w:t>The first topic to address will be to understand what the organization wants to communicate to our internal stakeholders, but also to external ones. This means we need to proceed with identifying the themes that are relevant both for our organization and for the stakeholders outside the company boundaries.</w:t>
      </w:r>
    </w:p>
    <w:p w14:paraId="111FB11B" w14:textId="77777777" w:rsidR="003921FF" w:rsidRPr="00844F1F" w:rsidRDefault="003921FF" w:rsidP="003921FF">
      <w:pPr>
        <w:spacing w:line="360" w:lineRule="auto"/>
        <w:rPr>
          <w:lang w:val="en-GB"/>
        </w:rPr>
      </w:pPr>
      <w:r w:rsidRPr="00844F1F">
        <w:rPr>
          <w:lang w:val="en-GB"/>
        </w:rPr>
        <w:t xml:space="preserve">The tool that best suits the identification of such themes is the materiality matrix, already mentioned in the second chapter. In recent years, the figure of the consumer has taken on an active role in defining material topics, referred to as material, for the organization. The term 'material' is meant to indicate all those issues that the stakeholders of the organization consider relevant, as they can have a significant influence on their choices, expectations, and behaviors. Moreover, such themes can also have impacts on the environmental, economic, and social aspects related to the organization’s </w:t>
      </w:r>
      <w:r w:rsidRPr="00844F1F">
        <w:rPr>
          <w:lang w:val="en-GB"/>
        </w:rPr>
        <w:lastRenderedPageBreak/>
        <w:t>activities. The materiality matrix allows the company to include all stakeholders in the decision-making process, optimizing their involvement.</w:t>
      </w:r>
    </w:p>
    <w:p w14:paraId="07DA210B" w14:textId="77777777" w:rsidR="003921FF" w:rsidRPr="00844F1F" w:rsidRDefault="003921FF" w:rsidP="003921FF">
      <w:pPr>
        <w:spacing w:line="360" w:lineRule="auto"/>
        <w:rPr>
          <w:lang w:val="en-GB"/>
        </w:rPr>
      </w:pPr>
      <w:r w:rsidRPr="00844F1F">
        <w:rPr>
          <w:lang w:val="en-GB"/>
        </w:rPr>
        <w:t>This tool is based on two pillars, namely the issues important to stakeholders and those important to the organization, which are placed within a Cartesian plane on the Y-axis and the X-axis, respectively. As the importance increases, one moves further to the right on the X-axis or higher on the Y-axis. At the highest values for both variables, we identify the most important material topics. To optimally carry out a materiality analysis, one must first carefully map out the stakeholders. Since it is not possible to include them all due to their large number, a suitable filtering of the material topics must be conducted.</w:t>
      </w:r>
    </w:p>
    <w:p w14:paraId="56325A5E" w14:textId="77777777" w:rsidR="003921FF" w:rsidRPr="00844F1F" w:rsidRDefault="003921FF" w:rsidP="003921FF">
      <w:pPr>
        <w:spacing w:line="360" w:lineRule="auto"/>
        <w:rPr>
          <w:lang w:val="en-GB"/>
        </w:rPr>
      </w:pPr>
      <w:r w:rsidRPr="00844F1F">
        <w:rPr>
          <w:lang w:val="en-GB"/>
        </w:rPr>
        <w:t>Today, there is increasing discussion about double materiality, a principle according to which an organization must conduct an analysis that will be carried out, as stated in the Corporate</w:t>
      </w:r>
      <w:r w:rsidRPr="000C139A">
        <w:rPr>
          <w:rFonts w:ascii="Times New Roman" w:hAnsi="Times New Roman" w:cs="Times New Roman"/>
          <w:lang w:val="en-US"/>
        </w:rPr>
        <w:t xml:space="preserve"> </w:t>
      </w:r>
      <w:r w:rsidRPr="00844F1F">
        <w:rPr>
          <w:lang w:val="en-GB"/>
        </w:rPr>
        <w:t>Sustainability Reporting Directive, "</w:t>
      </w:r>
      <w:r w:rsidRPr="00844F1F">
        <w:rPr>
          <w:i/>
          <w:iCs/>
          <w:lang w:val="en-GB"/>
        </w:rPr>
        <w:t>eliminating any ambiguity regarding the fact that companies should communicate the information necessary to understand how sustainability issues affect their business, as well as the information necessary to understand the impact of companies on people and the environment."</w:t>
      </w:r>
      <w:r w:rsidRPr="00844F1F">
        <w:rPr>
          <w:lang w:val="en-GB"/>
        </w:rPr>
        <w:t xml:space="preserve"> Therefore, the analysis of materiality must be studied from the perspective of all those relevant issues that influence the organization's performance, but also how these impact environmental and social issues.</w:t>
      </w:r>
    </w:p>
    <w:p w14:paraId="64C1AAE7" w14:textId="77777777" w:rsidR="003921FF" w:rsidRPr="00844F1F" w:rsidRDefault="003921FF" w:rsidP="003921FF">
      <w:pPr>
        <w:spacing w:line="360" w:lineRule="auto"/>
        <w:rPr>
          <w:lang w:val="en-GB"/>
        </w:rPr>
      </w:pPr>
      <w:r w:rsidRPr="00844F1F">
        <w:rPr>
          <w:lang w:val="en-GB"/>
        </w:rPr>
        <w:t>It is important to remember that the perception of relevant socioeconomic issues can vary profoundly, for example, when we have two companies operating in completely different sectors. Pollution might be the main issue for an organization that produces electricity using fossil fuels, while for another in the financial sector, it may be a less important topic. Finally, such analysis allows for insights on how to manage and plan all those actions aimed at strengthening the relationship with stakeholders.</w:t>
      </w:r>
    </w:p>
    <w:p w14:paraId="74C64930" w14:textId="77777777" w:rsidR="003921FF" w:rsidRPr="00844F1F" w:rsidRDefault="003921FF" w:rsidP="003921FF">
      <w:pPr>
        <w:spacing w:line="360" w:lineRule="auto"/>
        <w:rPr>
          <w:lang w:val="en-GB"/>
        </w:rPr>
      </w:pPr>
      <w:r w:rsidRPr="00844F1F">
        <w:rPr>
          <w:lang w:val="en-GB"/>
        </w:rPr>
        <w:t xml:space="preserve">Once the relevant material themes of the sector have been identified, determining what is important both for us and for internal and external stakeholders, we should proceed </w:t>
      </w:r>
      <w:r w:rsidRPr="00844F1F">
        <w:rPr>
          <w:lang w:val="en-GB"/>
        </w:rPr>
        <w:lastRenderedPageBreak/>
        <w:t>by choosing the Framework to use for reporting non-financial data. First, it is necessary to comply with a Standard that is recognized worldwide, not only to gain better recognition from readers but also to provide greater comparability of the data.</w:t>
      </w:r>
    </w:p>
    <w:p w14:paraId="75F2BE81" w14:textId="77777777" w:rsidR="003921FF" w:rsidRPr="00844F1F" w:rsidRDefault="003921FF" w:rsidP="003921FF">
      <w:pPr>
        <w:spacing w:line="360" w:lineRule="auto"/>
        <w:rPr>
          <w:lang w:val="en-GB"/>
        </w:rPr>
      </w:pPr>
      <w:r w:rsidRPr="00844F1F">
        <w:rPr>
          <w:lang w:val="en-GB"/>
        </w:rPr>
        <w:t>If one were to also operate in the American financial market, let's think of the New York Stock Exchange, it would be very interesting to also introduce SASB, as they are well-regarded in the USA. The GRI, on the other hand, is divided into 4 macro categories of material topics, namely "General," "Economics," "Environmental," and "Social." Within each of these categories, there is a whole series of themes, complete with indicators and guidelines for their reporting. The themes contained in the different sections generally correspond to or can otherwise be linked back to the material topics contained in the materiality matrix. This logic, applicable to all major frameworks, helps facilitate the work of the team responsible for non-financial reporting. In fact, having identified the relevant material topics while developing materiality, they will already be able to select the material topics to report on using the corresponding sets of indicators provided.</w:t>
      </w:r>
    </w:p>
    <w:p w14:paraId="7C8355AB" w14:textId="77777777" w:rsidR="003921FF" w:rsidRPr="00844F1F" w:rsidRDefault="003921FF" w:rsidP="003921FF">
      <w:pPr>
        <w:spacing w:line="360" w:lineRule="auto"/>
        <w:rPr>
          <w:lang w:val="en-GB"/>
        </w:rPr>
      </w:pPr>
      <w:r w:rsidRPr="00844F1F">
        <w:rPr>
          <w:lang w:val="en-GB"/>
        </w:rPr>
        <w:t>By choosing one of these, the organization will already know that to prepare the Financial Statement and get it approved by the organization responsible for the assurance, we will necessarily have to report a whole series of information according to the guidelines. Obviously, there is the possibility of not responding to certain requests that, for justified reasons, we are unable to answer, but the organization already has a broad idea of what needs to be collected. In this way, the sustainability team, by deciding in advance where to focus, will have already narrowed down the scope of all the data that needs to be collected. By choosing GRI, for example, they will already know that certain data will almost certainly need to be provided, and by evaluating a whole range of other indicators to include in the Financial Statement, they will also have a clearer idea of where to search for such information.</w:t>
      </w:r>
    </w:p>
    <w:p w14:paraId="5616B20A" w14:textId="26961638" w:rsidR="003921FF" w:rsidRPr="00844F1F" w:rsidRDefault="003921FF" w:rsidP="003921FF">
      <w:pPr>
        <w:spacing w:line="360" w:lineRule="auto"/>
        <w:rPr>
          <w:lang w:val="en-GB"/>
        </w:rPr>
      </w:pPr>
      <w:r w:rsidRPr="00844F1F">
        <w:rPr>
          <w:lang w:val="en-GB"/>
        </w:rPr>
        <w:lastRenderedPageBreak/>
        <w:t>Thus, in summary, the sustainability team will have two very important inputs at this point. Firstly, it will have identified the material themes important for both the organization and the stakeholders who participated in the process of defining the materiality matrix. Furthermore, by choosing the framework for reporting the information to be included in the non-financial statement, it will have a whole series of indicators and standards available, divided by material themes as mentioned before.</w:t>
      </w:r>
    </w:p>
    <w:p w14:paraId="3FB90618" w14:textId="77777777" w:rsidR="003921FF" w:rsidRPr="00844F1F" w:rsidRDefault="003921FF" w:rsidP="003921FF">
      <w:pPr>
        <w:spacing w:line="360" w:lineRule="auto"/>
        <w:rPr>
          <w:lang w:val="en-GB"/>
        </w:rPr>
      </w:pPr>
      <w:r w:rsidRPr="00844F1F">
        <w:rPr>
          <w:lang w:val="en-GB"/>
        </w:rPr>
        <w:t>After laying the foundations to guide the collection of sustainability information, we enter the phase of the process that we could define as more operational and practical to achieve our goal. The sustainability team will now have adequately and effectively defined what they want to achieve at the end of their task related to reporting. It will be essential to ensure that those involved in sustainability have a good understanding of business processes and the various responsibilities within the organization, so they can better identify the source of the data. On the other hand, without such awareness, it will not be possible to identify who will be the bearer of a specific set of data needed.</w:t>
      </w:r>
    </w:p>
    <w:p w14:paraId="382BA61A" w14:textId="77777777" w:rsidR="003921FF" w:rsidRPr="00844F1F" w:rsidRDefault="003921FF" w:rsidP="003921FF">
      <w:pPr>
        <w:spacing w:line="360" w:lineRule="auto"/>
        <w:rPr>
          <w:lang w:val="en-GB"/>
        </w:rPr>
      </w:pPr>
      <w:r w:rsidRPr="00844F1F">
        <w:rPr>
          <w:lang w:val="en-GB"/>
        </w:rPr>
        <w:t>This would be a great solution, especially because each team will have a better understanding of the division it belongs to, being embedded in its context. There will therefore also be a greater likelihood that this group of people will know exactly where to gather the necessary information and will have a better understanding of how the various processes in that specific division are structured. On the other hand, however, having such a widespread presence of these teams can be particularly costly. In fact, the organization will need to hire new personnel, who must also have certain skills. For a large organization, this would still be the most effective approach.</w:t>
      </w:r>
    </w:p>
    <w:p w14:paraId="7D90160C" w14:textId="77777777" w:rsidR="003921FF" w:rsidRPr="00844F1F" w:rsidRDefault="003921FF" w:rsidP="003921FF">
      <w:pPr>
        <w:spacing w:line="360" w:lineRule="auto"/>
        <w:rPr>
          <w:lang w:val="en-GB"/>
        </w:rPr>
      </w:pPr>
      <w:r w:rsidRPr="00844F1F">
        <w:rPr>
          <w:lang w:val="en-GB"/>
        </w:rPr>
        <w:t xml:space="preserve">With the technological evolution at our disposal, tools like blockchain can become extremely useful for our organization. In fact, the true substance of the report will arise when we not only address our own performance, but also include that of our suppliers and distributors, to accurately reflect the results obtained from top to bottom. Analyzing the GHG protocol, related to the frequently mentioned Scopes 1, 2, and 3, we find </w:t>
      </w:r>
      <w:r w:rsidRPr="00844F1F">
        <w:rPr>
          <w:lang w:val="en-GB"/>
        </w:rPr>
        <w:lastRenderedPageBreak/>
        <w:t>a specific limitation that hinders this 'extended' reporting. Scope 1 emissions are those produced by the organization, from the sources it owns, internally, which are easy to record since they are directly generated by it. Scope 2 refers to those produced by facilities that generate energy, which is subsequently purchased and consumed within the company.</w:t>
      </w:r>
    </w:p>
    <w:p w14:paraId="0263457A" w14:textId="0F01ABD7" w:rsidR="003921FF" w:rsidRPr="00844F1F" w:rsidRDefault="003921FF" w:rsidP="003921FF">
      <w:pPr>
        <w:spacing w:line="360" w:lineRule="auto"/>
        <w:rPr>
          <w:lang w:val="en-GB"/>
        </w:rPr>
      </w:pPr>
      <w:r w:rsidRPr="00844F1F">
        <w:rPr>
          <w:lang w:val="en-GB"/>
        </w:rPr>
        <w:t>The real problem arises with the emissions falling under Scope 3. These are all the emissions resulting from upstream activities in the supply chain, and downstream, produced by end consumers and suppliers. However, these are difficult to control for the organization, as it is really challenging to understand how much each individual supplier or customer emits. To clarify, if one were to purchase a ream of printer paper for use in the office, according to Scope 3, I would have to account for the emissions produced to manufacture that ream of paper. However, to be truly transparent, the organization would also need to report all those emissions generated not only in the paper transformation process but would also need to account for all those emissions related to the tree cutting phase.</w:t>
      </w:r>
    </w:p>
    <w:p w14:paraId="356D0D9F" w14:textId="77777777" w:rsidR="003921FF" w:rsidRPr="00844F1F" w:rsidRDefault="003921FF" w:rsidP="003921FF">
      <w:pPr>
        <w:spacing w:line="360" w:lineRule="auto"/>
        <w:rPr>
          <w:lang w:val="en-GB"/>
        </w:rPr>
      </w:pPr>
      <w:r w:rsidRPr="00844F1F">
        <w:rPr>
          <w:lang w:val="en-GB"/>
        </w:rPr>
        <w:t>But how do we formalize this data collection process? What tools can help us? Generally, when we want to estimate all the costs per unit of product, we use activity-based costing, ABC. Its logic and the way it is used can be particularly useful to us. At this point, let’s imagine that the entity producing the metallic raw material accounts for, instead of a cost, a quantity of emissions for its production, a sort of green liability, no longer monetary.The company dealing with the logistics of the refined raw material, in turn, will record emissions for each transported product. By considering the emissions produced in the extraction and initial processing phase, and adding those from transportation, we will obtain the total emissions per unit of product, from the beginning of production to the end of the value chain. This way, we will have accounted for all the different emissions throughout the entire process. Certainly, this process can also be carried out in relation to all other types of consumption, such as energy consumption, for example.</w:t>
      </w:r>
    </w:p>
    <w:p w14:paraId="33B05E5D" w14:textId="77777777" w:rsidR="003921FF" w:rsidRPr="00844F1F" w:rsidRDefault="003921FF" w:rsidP="003921FF">
      <w:pPr>
        <w:spacing w:line="360" w:lineRule="auto"/>
        <w:rPr>
          <w:lang w:val="en-GB"/>
        </w:rPr>
      </w:pPr>
      <w:r w:rsidRPr="00844F1F">
        <w:rPr>
          <w:lang w:val="en-GB"/>
        </w:rPr>
        <w:lastRenderedPageBreak/>
        <w:t>From here comes the focus on the production and distribution chain: a company, no matter how much it can reduce its emissions, even to zero, if it has extremely polluting suppliers behind it who are not attentive to the issue of pollution, will never truly have reduced them to zero. This accounting system requires the ability to measure emissions along the supply chain, and obviously also those produced by itself during processing and production. But how to calculate emissions at the level of a single product? We can consider the emissions we measured during the reporting phase, related to the activities carried out by the organization, related to internal logistics, the use of different materials, other GHG gases that are not CO2 emitted, and so on.</w:t>
      </w:r>
    </w:p>
    <w:p w14:paraId="1020D8D9" w14:textId="77777777" w:rsidR="003921FF" w:rsidRPr="00844F1F" w:rsidRDefault="003921FF" w:rsidP="003921FF">
      <w:pPr>
        <w:spacing w:line="360" w:lineRule="auto"/>
        <w:rPr>
          <w:lang w:val="en-GB"/>
        </w:rPr>
      </w:pPr>
      <w:r w:rsidRPr="00844F1F">
        <w:rPr>
          <w:lang w:val="en-GB"/>
        </w:rPr>
        <w:t>And this is where basic activity costing comes into play. It is generally used in organizations to ensure that total costs are allocated to each individual product unit that the organization has produced. All the different total costs are taken and then disaggregated based on the activities carried out for its production. Finally, with each activity having its own cost, this cost is distributed across each individual product unit as it goes through the various production activities. The same concept will then be repeated, no longer using the cost of the product that has been produced, but instead allocating the emissions generated by the activity.</w:t>
      </w:r>
    </w:p>
    <w:p w14:paraId="572BC61C" w14:textId="77777777" w:rsidR="003921FF" w:rsidRDefault="003921FF" w:rsidP="003921FF">
      <w:pPr>
        <w:spacing w:line="360" w:lineRule="auto"/>
        <w:rPr>
          <w:lang w:val="en-GB"/>
        </w:rPr>
      </w:pPr>
      <w:r w:rsidRPr="00844F1F">
        <w:rPr>
          <w:lang w:val="en-GB"/>
        </w:rPr>
        <w:t>Once the emissions for each unit of product have been calculated, we then have the true value generated to produce that unit. Just as it happens in inventory cost management, when a certain product remains unsold, those emissions stay with our company, just as costs do. This will create a real flow of emissions, moving from upstream to downstream, which continuously increases.</w:t>
      </w:r>
    </w:p>
    <w:p w14:paraId="2C22DACE" w14:textId="77777777" w:rsidR="00FB44D8" w:rsidRDefault="00FB44D8" w:rsidP="003921FF">
      <w:pPr>
        <w:spacing w:line="360" w:lineRule="auto"/>
        <w:rPr>
          <w:lang w:val="en-GB"/>
        </w:rPr>
      </w:pPr>
    </w:p>
    <w:p w14:paraId="7ABCB929" w14:textId="77777777" w:rsidR="00FB44D8" w:rsidRDefault="00FB44D8" w:rsidP="003921FF">
      <w:pPr>
        <w:spacing w:line="360" w:lineRule="auto"/>
        <w:rPr>
          <w:lang w:val="en-GB"/>
        </w:rPr>
      </w:pPr>
    </w:p>
    <w:p w14:paraId="13157911" w14:textId="77777777" w:rsidR="00FB44D8" w:rsidRPr="00844F1F" w:rsidRDefault="00FB44D8" w:rsidP="003921FF">
      <w:pPr>
        <w:spacing w:line="360" w:lineRule="auto"/>
        <w:rPr>
          <w:lang w:val="en-GB"/>
        </w:rPr>
      </w:pPr>
    </w:p>
    <w:p w14:paraId="455C12BD" w14:textId="405D2B59" w:rsidR="003921FF" w:rsidRDefault="003921FF" w:rsidP="00553C0E">
      <w:pPr>
        <w:pStyle w:val="Titolo3"/>
        <w:numPr>
          <w:ilvl w:val="0"/>
          <w:numId w:val="0"/>
        </w:numPr>
        <w:ind w:left="851" w:hanging="851"/>
        <w:rPr>
          <w:lang w:val="en-US"/>
        </w:rPr>
      </w:pPr>
      <w:bookmarkStart w:id="50" w:name="_Toc207225653"/>
      <w:bookmarkStart w:id="51" w:name="_Toc207471604"/>
      <w:r w:rsidRPr="001F44C9">
        <w:rPr>
          <w:lang w:val="en-US"/>
        </w:rPr>
        <w:lastRenderedPageBreak/>
        <w:t>3.3.</w:t>
      </w:r>
      <w:r>
        <w:rPr>
          <w:lang w:val="en-US"/>
        </w:rPr>
        <w:t>2</w:t>
      </w:r>
      <w:r w:rsidRPr="001F44C9">
        <w:rPr>
          <w:lang w:val="en-US"/>
        </w:rPr>
        <w:t xml:space="preserve"> IT support: ESG platform configuration.</w:t>
      </w:r>
      <w:bookmarkEnd w:id="50"/>
      <w:bookmarkEnd w:id="51"/>
    </w:p>
    <w:p w14:paraId="69FBF219" w14:textId="77777777" w:rsidR="00EE73D4" w:rsidRPr="00EE73D4" w:rsidRDefault="00EE73D4" w:rsidP="00EE73D4">
      <w:pPr>
        <w:rPr>
          <w:lang w:val="en-US"/>
        </w:rPr>
      </w:pPr>
    </w:p>
    <w:p w14:paraId="24B6DF57" w14:textId="77777777" w:rsidR="0085227E" w:rsidRDefault="00FB44D8" w:rsidP="00FB44D8">
      <w:pPr>
        <w:rPr>
          <w:lang w:val="en-GB"/>
        </w:rPr>
      </w:pPr>
      <w:r w:rsidRPr="00FB44D8">
        <w:rPr>
          <w:lang w:val="en-GB"/>
        </w:rPr>
        <w:t xml:space="preserve">Esgeo is a software platform that can report multiple frameworks at the same time </w:t>
      </w:r>
      <w:r w:rsidR="0085227E">
        <w:rPr>
          <w:lang w:val="en-GB"/>
        </w:rPr>
        <w:t xml:space="preserve"> </w:t>
      </w:r>
    </w:p>
    <w:p w14:paraId="7DF488AF" w14:textId="4BAE1609" w:rsidR="0085227E" w:rsidRDefault="00FB44D8" w:rsidP="00FB44D8">
      <w:pPr>
        <w:rPr>
          <w:lang w:val="en-GB"/>
        </w:rPr>
      </w:pPr>
      <w:r w:rsidRPr="00FB44D8">
        <w:rPr>
          <w:lang w:val="en-GB"/>
        </w:rPr>
        <w:t>(</w:t>
      </w:r>
      <w:r w:rsidR="0085227E" w:rsidRPr="00FB44D8">
        <w:rPr>
          <w:lang w:val="en-GB"/>
        </w:rPr>
        <w:t>Example</w:t>
      </w:r>
      <w:r w:rsidRPr="00FB44D8">
        <w:rPr>
          <w:lang w:val="en-GB"/>
        </w:rPr>
        <w:t xml:space="preserve">, ESRS and GRI based on the company's needs and the stakeholders to </w:t>
      </w:r>
    </w:p>
    <w:p w14:paraId="4FD7FE8D" w14:textId="50137578" w:rsidR="0085227E" w:rsidRDefault="00FB44D8" w:rsidP="00FB44D8">
      <w:pPr>
        <w:rPr>
          <w:lang w:val="en-GB"/>
        </w:rPr>
      </w:pPr>
      <w:r w:rsidRPr="00FB44D8">
        <w:rPr>
          <w:lang w:val="en-GB"/>
        </w:rPr>
        <w:t>whom it will be presented</w:t>
      </w:r>
      <w:r w:rsidR="00E83A67">
        <w:rPr>
          <w:lang w:val="en-GB"/>
        </w:rPr>
        <w:t>)</w:t>
      </w:r>
      <w:r w:rsidRPr="00FB44D8">
        <w:rPr>
          <w:lang w:val="en-GB"/>
        </w:rPr>
        <w:t xml:space="preserve">. </w:t>
      </w:r>
    </w:p>
    <w:p w14:paraId="0A3D7799" w14:textId="77777777" w:rsidR="0032534D" w:rsidRDefault="0032534D" w:rsidP="00FB44D8">
      <w:pPr>
        <w:rPr>
          <w:lang w:val="en-US"/>
        </w:rPr>
      </w:pPr>
      <w:r w:rsidRPr="0032534D">
        <w:rPr>
          <w:lang w:val="en-US"/>
        </w:rPr>
        <w:t xml:space="preserve">Our advice, considering the overlap of many quantitative KPIs between GRI and ESRS, </w:t>
      </w:r>
    </w:p>
    <w:p w14:paraId="772EC428" w14:textId="77777777" w:rsidR="0032534D" w:rsidRDefault="0032534D" w:rsidP="00FB44D8">
      <w:pPr>
        <w:rPr>
          <w:lang w:val="en-US"/>
        </w:rPr>
      </w:pPr>
      <w:r w:rsidRPr="0032534D">
        <w:rPr>
          <w:lang w:val="en-US"/>
        </w:rPr>
        <w:t xml:space="preserve">is to avoid duplicating the data collection work for them, choosing one of the two </w:t>
      </w:r>
    </w:p>
    <w:p w14:paraId="1AAA96FA" w14:textId="77777777" w:rsidR="0032534D" w:rsidRDefault="0032534D" w:rsidP="00FB44D8">
      <w:pPr>
        <w:rPr>
          <w:lang w:val="en-US"/>
        </w:rPr>
      </w:pPr>
      <w:r w:rsidRPr="0032534D">
        <w:rPr>
          <w:lang w:val="en-US"/>
        </w:rPr>
        <w:t xml:space="preserve">frameworks and reporting the data according to that method, possibly indicating in </w:t>
      </w:r>
    </w:p>
    <w:p w14:paraId="5EB9BF98" w14:textId="58283C9F" w:rsidR="00BD07E1" w:rsidRPr="0032534D" w:rsidRDefault="0032534D" w:rsidP="00FB44D8">
      <w:pPr>
        <w:rPr>
          <w:lang w:val="en-US"/>
        </w:rPr>
      </w:pPr>
      <w:r w:rsidRPr="0032534D">
        <w:rPr>
          <w:lang w:val="en-US"/>
        </w:rPr>
        <w:t>the preparation of the Financial Statement the interoperability between some tables.</w:t>
      </w:r>
    </w:p>
    <w:p w14:paraId="053D6D2E" w14:textId="77777777" w:rsidR="0085227E" w:rsidRDefault="00FB44D8" w:rsidP="00FB44D8">
      <w:pPr>
        <w:rPr>
          <w:lang w:val="en-GB"/>
        </w:rPr>
      </w:pPr>
      <w:r w:rsidRPr="00FB44D8">
        <w:rPr>
          <w:lang w:val="en-GB"/>
        </w:rPr>
        <w:t xml:space="preserve">Right after deciding which framework to use and what to report (whether just ESG </w:t>
      </w:r>
    </w:p>
    <w:p w14:paraId="257B38D5" w14:textId="77777777" w:rsidR="0085227E" w:rsidRDefault="00FB44D8" w:rsidP="00FB44D8">
      <w:pPr>
        <w:rPr>
          <w:lang w:val="en-GB"/>
        </w:rPr>
      </w:pPr>
      <w:r w:rsidRPr="00FB44D8">
        <w:rPr>
          <w:lang w:val="en-GB"/>
        </w:rPr>
        <w:t xml:space="preserve">reports or also carbon footprint, </w:t>
      </w:r>
      <w:r w:rsidR="009C0FD1">
        <w:rPr>
          <w:lang w:val="en-GB"/>
        </w:rPr>
        <w:t>double materiality</w:t>
      </w:r>
      <w:r w:rsidRPr="00FB44D8">
        <w:rPr>
          <w:lang w:val="en-GB"/>
        </w:rPr>
        <w:t>, and other products), the platform</w:t>
      </w:r>
    </w:p>
    <w:p w14:paraId="1BC5FFF4" w14:textId="20923EAD" w:rsidR="00946E31" w:rsidRDefault="00FB44D8" w:rsidP="00FB44D8">
      <w:pPr>
        <w:rPr>
          <w:lang w:val="en-GB"/>
        </w:rPr>
      </w:pPr>
      <w:r w:rsidRPr="00FB44D8">
        <w:rPr>
          <w:lang w:val="en-GB"/>
        </w:rPr>
        <w:t xml:space="preserve"> is configured with the company name, its image, and a customized website. </w:t>
      </w:r>
    </w:p>
    <w:p w14:paraId="6759E09A" w14:textId="77777777" w:rsidR="0085227E" w:rsidRDefault="00FB44D8" w:rsidP="00FB44D8">
      <w:pPr>
        <w:rPr>
          <w:lang w:val="en-GB"/>
        </w:rPr>
      </w:pPr>
      <w:r w:rsidRPr="00FB44D8">
        <w:rPr>
          <w:lang w:val="en-GB"/>
        </w:rPr>
        <w:t xml:space="preserve">Subsequently, the IT configuration begins with the collection of names from the </w:t>
      </w:r>
    </w:p>
    <w:p w14:paraId="709578CE" w14:textId="77777777" w:rsidR="0085227E" w:rsidRDefault="00FB44D8" w:rsidP="00FB44D8">
      <w:pPr>
        <w:rPr>
          <w:lang w:val="en-GB"/>
        </w:rPr>
      </w:pPr>
      <w:r w:rsidRPr="00FB44D8">
        <w:rPr>
          <w:lang w:val="en-GB"/>
        </w:rPr>
        <w:t xml:space="preserve">company's group of users dedicated to filling out the reports, useful for anticipating </w:t>
      </w:r>
    </w:p>
    <w:p w14:paraId="407F353F" w14:textId="77777777" w:rsidR="0085227E" w:rsidRDefault="00FB44D8" w:rsidP="00FB44D8">
      <w:pPr>
        <w:rPr>
          <w:lang w:val="en-GB"/>
        </w:rPr>
      </w:pPr>
      <w:r w:rsidRPr="00FB44D8">
        <w:rPr>
          <w:lang w:val="en-GB"/>
        </w:rPr>
        <w:t xml:space="preserve">any internal reflections within the various functions. Once this list is defined and </w:t>
      </w:r>
    </w:p>
    <w:p w14:paraId="5AE8C89C" w14:textId="77777777" w:rsidR="0085227E" w:rsidRDefault="00FB44D8" w:rsidP="00FB44D8">
      <w:pPr>
        <w:rPr>
          <w:lang w:val="en-GB"/>
        </w:rPr>
      </w:pPr>
      <w:r w:rsidRPr="00FB44D8">
        <w:rPr>
          <w:lang w:val="en-GB"/>
        </w:rPr>
        <w:t xml:space="preserve">intersected with the hierarchy of organizational units and the list of indicators to be </w:t>
      </w:r>
    </w:p>
    <w:p w14:paraId="5012A211" w14:textId="77777777" w:rsidR="0085227E" w:rsidRDefault="00FB44D8" w:rsidP="00FB44D8">
      <w:pPr>
        <w:rPr>
          <w:lang w:val="en-GB"/>
        </w:rPr>
      </w:pPr>
      <w:r w:rsidRPr="00FB44D8">
        <w:rPr>
          <w:lang w:val="en-GB"/>
        </w:rPr>
        <w:t xml:space="preserve">reported, we will have a precise user mapping in which the individual permissions for </w:t>
      </w:r>
    </w:p>
    <w:p w14:paraId="3BB0C9BF" w14:textId="2F64FB8A" w:rsidR="00FB44D8" w:rsidRDefault="00FB44D8" w:rsidP="00FB44D8">
      <w:pPr>
        <w:rPr>
          <w:lang w:val="en-GB"/>
        </w:rPr>
      </w:pPr>
      <w:r w:rsidRPr="00FB44D8">
        <w:rPr>
          <w:lang w:val="en-GB"/>
        </w:rPr>
        <w:t>each user on each company and KPI will be defined.</w:t>
      </w:r>
    </w:p>
    <w:p w14:paraId="4386C38F" w14:textId="77777777" w:rsidR="003B09FB" w:rsidRPr="00946E31" w:rsidRDefault="003B09FB" w:rsidP="00FB44D8">
      <w:pPr>
        <w:rPr>
          <w:lang w:val="en-GB"/>
        </w:rPr>
      </w:pPr>
      <w:r w:rsidRPr="00946E31">
        <w:rPr>
          <w:lang w:val="en-GB"/>
        </w:rPr>
        <w:t xml:space="preserve">Users are divided into three categories: </w:t>
      </w:r>
    </w:p>
    <w:p w14:paraId="37A5A3E2" w14:textId="77777777" w:rsidR="0085227E" w:rsidRDefault="003B09FB" w:rsidP="00FB44D8">
      <w:pPr>
        <w:rPr>
          <w:lang w:val="en-US"/>
        </w:rPr>
      </w:pPr>
      <w:r w:rsidRPr="00946E31">
        <w:rPr>
          <w:b/>
          <w:bCs/>
          <w:lang w:val="en-US"/>
        </w:rPr>
        <w:t>Contributors/approvers</w:t>
      </w:r>
      <w:r w:rsidR="00946E31">
        <w:rPr>
          <w:lang w:val="en-US"/>
        </w:rPr>
        <w:t>:</w:t>
      </w:r>
      <w:r w:rsidRPr="003B09FB">
        <w:rPr>
          <w:lang w:val="en-US"/>
        </w:rPr>
        <w:t xml:space="preserve"> on specific KPIs (the precise definition will be determined in </w:t>
      </w:r>
    </w:p>
    <w:p w14:paraId="0F6A407A" w14:textId="75E04435" w:rsidR="003B09FB" w:rsidRDefault="003B09FB" w:rsidP="00FB44D8">
      <w:pPr>
        <w:rPr>
          <w:lang w:val="en-US"/>
        </w:rPr>
      </w:pPr>
      <w:r w:rsidRPr="003B09FB">
        <w:rPr>
          <w:lang w:val="en-US"/>
        </w:rPr>
        <w:t xml:space="preserve">later stages); </w:t>
      </w:r>
    </w:p>
    <w:p w14:paraId="0194E6C7" w14:textId="77777777" w:rsidR="0085227E" w:rsidRDefault="003B09FB" w:rsidP="00FB44D8">
      <w:pPr>
        <w:rPr>
          <w:lang w:val="en-US"/>
        </w:rPr>
      </w:pPr>
      <w:r w:rsidRPr="00946E31">
        <w:rPr>
          <w:b/>
          <w:bCs/>
          <w:lang w:val="en-US"/>
        </w:rPr>
        <w:t>Admin users</w:t>
      </w:r>
      <w:r w:rsidRPr="003B09FB">
        <w:rPr>
          <w:lang w:val="en-US"/>
        </w:rPr>
        <w:t xml:space="preserve">: with reading, writing, and approving abilities on all KPIs in the </w:t>
      </w:r>
    </w:p>
    <w:p w14:paraId="10A96BE1" w14:textId="77777777" w:rsidR="0085227E" w:rsidRDefault="003B09FB" w:rsidP="00FB44D8">
      <w:pPr>
        <w:rPr>
          <w:lang w:val="en-US"/>
        </w:rPr>
      </w:pPr>
      <w:r w:rsidRPr="003B09FB">
        <w:rPr>
          <w:lang w:val="en-US"/>
        </w:rPr>
        <w:t>platform, they also have an overview of the entire data collection through additional</w:t>
      </w:r>
    </w:p>
    <w:p w14:paraId="5BC7E25B" w14:textId="4E9C4B7D" w:rsidR="003B09FB" w:rsidRDefault="003B09FB" w:rsidP="00FB44D8">
      <w:pPr>
        <w:rPr>
          <w:lang w:val="en-US"/>
        </w:rPr>
      </w:pPr>
      <w:r w:rsidRPr="003B09FB">
        <w:rPr>
          <w:lang w:val="en-US"/>
        </w:rPr>
        <w:t xml:space="preserve">functions (e.g., dashboard); </w:t>
      </w:r>
    </w:p>
    <w:p w14:paraId="360B7533" w14:textId="77777777" w:rsidR="0085227E" w:rsidRDefault="003B09FB" w:rsidP="00FB44D8">
      <w:pPr>
        <w:rPr>
          <w:lang w:val="en-US"/>
        </w:rPr>
      </w:pPr>
      <w:r w:rsidRPr="00946E31">
        <w:rPr>
          <w:b/>
          <w:bCs/>
          <w:lang w:val="en-US"/>
        </w:rPr>
        <w:t>Reader users</w:t>
      </w:r>
      <w:r w:rsidRPr="003B09FB">
        <w:rPr>
          <w:lang w:val="en-US"/>
        </w:rPr>
        <w:t xml:space="preserve">, with reading-only abilities on the entire collection, but without the </w:t>
      </w:r>
    </w:p>
    <w:p w14:paraId="24007035" w14:textId="5D08CF74" w:rsidR="003B09FB" w:rsidRDefault="003B09FB" w:rsidP="00FB44D8">
      <w:pPr>
        <w:rPr>
          <w:lang w:val="en-US"/>
        </w:rPr>
      </w:pPr>
      <w:r w:rsidRPr="003B09FB">
        <w:rPr>
          <w:lang w:val="en-US"/>
        </w:rPr>
        <w:t>possibility to modify any data or act on the workflow.</w:t>
      </w:r>
    </w:p>
    <w:p w14:paraId="2AD753E0" w14:textId="21B97F56" w:rsidR="0085227E" w:rsidRDefault="003B09FB" w:rsidP="00FB44D8">
      <w:pPr>
        <w:rPr>
          <w:lang w:val="en-US"/>
        </w:rPr>
      </w:pPr>
      <w:r w:rsidRPr="003B09FB">
        <w:rPr>
          <w:lang w:val="en-US"/>
        </w:rPr>
        <w:t xml:space="preserve">Once the list of users is obtained, it will be necessary for the client company to </w:t>
      </w:r>
    </w:p>
    <w:p w14:paraId="6E33B89C" w14:textId="77777777" w:rsidR="0085227E" w:rsidRDefault="003B09FB" w:rsidP="00FB44D8">
      <w:pPr>
        <w:rPr>
          <w:lang w:val="en-US"/>
        </w:rPr>
      </w:pPr>
      <w:r w:rsidRPr="003B09FB">
        <w:rPr>
          <w:lang w:val="en-US"/>
        </w:rPr>
        <w:t xml:space="preserve">complete its IRO (impacts, risks, and opportunities) </w:t>
      </w:r>
      <w:r w:rsidR="00897CBC" w:rsidRPr="003B09FB">
        <w:rPr>
          <w:lang w:val="en-US"/>
        </w:rPr>
        <w:t>to</w:t>
      </w:r>
      <w:r w:rsidRPr="003B09FB">
        <w:rPr>
          <w:lang w:val="en-US"/>
        </w:rPr>
        <w:t xml:space="preserve"> identify the list of ESRS or other </w:t>
      </w:r>
    </w:p>
    <w:p w14:paraId="32A3951C" w14:textId="6456BA3E" w:rsidR="003B09FB" w:rsidRDefault="003B09FB" w:rsidP="00FB44D8">
      <w:pPr>
        <w:rPr>
          <w:lang w:val="en-US"/>
        </w:rPr>
      </w:pPr>
      <w:r w:rsidRPr="003B09FB">
        <w:rPr>
          <w:lang w:val="en-US"/>
        </w:rPr>
        <w:t>frameworks that it will report on and intersect it with this list of users.</w:t>
      </w:r>
    </w:p>
    <w:p w14:paraId="70A19025" w14:textId="31FEBF88" w:rsidR="003921FF" w:rsidRPr="0085227E" w:rsidRDefault="00EE73D4" w:rsidP="003921FF">
      <w:pPr>
        <w:spacing w:line="360" w:lineRule="auto"/>
        <w:rPr>
          <w:lang w:val="en-GB"/>
        </w:rPr>
      </w:pPr>
      <w:r w:rsidRPr="00EE73D4">
        <w:rPr>
          <w:lang w:val="en-US"/>
        </w:rPr>
        <w:lastRenderedPageBreak/>
        <w:t xml:space="preserve">Having identified the KPIs, we generally proceed to analyze the KPI that poses the most difficulty for companies in ESG reporting, which we have already extensively discussed: scope 3. Scope 3 emissions are divided into 15 categories that cover indirect emissions throughout an entire company's value chain. The company is thus asked to specify the categories of emissions it wishes to report for the year in question, so that </w:t>
      </w:r>
      <w:r w:rsidRPr="0085227E">
        <w:rPr>
          <w:lang w:val="en-GB"/>
        </w:rPr>
        <w:t>the standard ESGeo templates can be provided, and to begin considering the necessary customizations. For each category, the specific method of calculating emissions used in the past and that the company would like to use in the future (both for scope 3 as well as scopes 1 and 2) is also requested, and subsequently the labels for each table are defined (e.g., the specific means of transport used by the company's employees, the specific types of waste reported by the company...)</w:t>
      </w:r>
      <w:r w:rsidR="0085227E" w:rsidRPr="0085227E">
        <w:rPr>
          <w:lang w:val="en-GB"/>
        </w:rPr>
        <w:t>. It is essential that the company excludes from the list all expenses already covered by other categories of Scope 1, 2, 3 to avoid double counting of emissions.</w:t>
      </w:r>
    </w:p>
    <w:p w14:paraId="039D6E32" w14:textId="0F5632B5" w:rsidR="0085227E" w:rsidRDefault="0085227E" w:rsidP="0085227E">
      <w:pPr>
        <w:rPr>
          <w:lang w:val="en-GB"/>
        </w:rPr>
      </w:pPr>
      <w:r w:rsidRPr="0085227E">
        <w:rPr>
          <w:lang w:val="en-GB"/>
        </w:rPr>
        <w:t>Having obtained the list of topics related to IRO analysis, ESGeo shares in E</w:t>
      </w:r>
      <w:r>
        <w:rPr>
          <w:lang w:val="en-GB"/>
        </w:rPr>
        <w:t>xcel</w:t>
      </w:r>
      <w:r w:rsidRPr="0085227E">
        <w:rPr>
          <w:lang w:val="en-GB"/>
        </w:rPr>
        <w:t xml:space="preserve"> the </w:t>
      </w:r>
    </w:p>
    <w:p w14:paraId="136D31EF" w14:textId="77777777" w:rsidR="0085227E" w:rsidRDefault="0085227E" w:rsidP="0085227E">
      <w:pPr>
        <w:rPr>
          <w:lang w:val="en-GB"/>
        </w:rPr>
      </w:pPr>
      <w:r w:rsidRPr="0085227E">
        <w:rPr>
          <w:lang w:val="en-GB"/>
        </w:rPr>
        <w:t>tabular structures ESRS associated with each theme, which will then be reviewed</w:t>
      </w:r>
    </w:p>
    <w:p w14:paraId="1E6F0F2B" w14:textId="034DD90A" w:rsidR="0085227E" w:rsidRDefault="0085227E" w:rsidP="0085227E">
      <w:pPr>
        <w:rPr>
          <w:lang w:val="en-GB"/>
        </w:rPr>
      </w:pPr>
      <w:r w:rsidRPr="0085227E">
        <w:rPr>
          <w:lang w:val="en-GB"/>
        </w:rPr>
        <w:t xml:space="preserve">together with the client to identify the specific tables and data points that the client </w:t>
      </w:r>
    </w:p>
    <w:p w14:paraId="6188B20C" w14:textId="77777777" w:rsidR="0085227E" w:rsidRDefault="0085227E" w:rsidP="0085227E">
      <w:pPr>
        <w:rPr>
          <w:lang w:val="en-GB"/>
        </w:rPr>
      </w:pPr>
      <w:r w:rsidRPr="0085227E">
        <w:rPr>
          <w:lang w:val="en-GB"/>
        </w:rPr>
        <w:t>will report (also following the changes related to the EU Omnibus directive) and to</w:t>
      </w:r>
    </w:p>
    <w:p w14:paraId="6CF041DB" w14:textId="5C8BFCB8" w:rsidR="0085227E" w:rsidRDefault="0085227E" w:rsidP="0085227E">
      <w:pPr>
        <w:rPr>
          <w:lang w:val="en-GB"/>
        </w:rPr>
      </w:pPr>
      <w:r w:rsidRPr="0085227E">
        <w:rPr>
          <w:lang w:val="en-GB"/>
        </w:rPr>
        <w:t xml:space="preserve">define any necessary customizations in some tables. Once the structures to be built are </w:t>
      </w:r>
    </w:p>
    <w:p w14:paraId="7CF8C7B3" w14:textId="77777777" w:rsidR="0085227E" w:rsidRDefault="0085227E" w:rsidP="0085227E">
      <w:pPr>
        <w:rPr>
          <w:lang w:val="en-GB"/>
        </w:rPr>
      </w:pPr>
      <w:r w:rsidRPr="0085227E">
        <w:rPr>
          <w:lang w:val="en-GB"/>
        </w:rPr>
        <w:t>detailed and agreed upon, we will proceed to import and customize them in the</w:t>
      </w:r>
      <w:r>
        <w:rPr>
          <w:lang w:val="en-GB"/>
        </w:rPr>
        <w:t xml:space="preserve"> </w:t>
      </w:r>
    </w:p>
    <w:p w14:paraId="7B68ECB5" w14:textId="6105C91C" w:rsidR="0085227E" w:rsidRDefault="0085227E" w:rsidP="0085227E">
      <w:pPr>
        <w:rPr>
          <w:lang w:val="en-GB"/>
        </w:rPr>
      </w:pPr>
      <w:r w:rsidRPr="0085227E">
        <w:rPr>
          <w:lang w:val="en-GB"/>
        </w:rPr>
        <w:t>ESGeo-Customer company environment, where the data will be collected by</w:t>
      </w:r>
    </w:p>
    <w:p w14:paraId="27B4FC2E" w14:textId="34DF73C4" w:rsidR="0085227E" w:rsidRDefault="0085227E" w:rsidP="0085227E">
      <w:pPr>
        <w:rPr>
          <w:lang w:val="en-GB"/>
        </w:rPr>
      </w:pPr>
      <w:r w:rsidRPr="0085227E">
        <w:rPr>
          <w:lang w:val="en-GB"/>
        </w:rPr>
        <w:t xml:space="preserve"> users.</w:t>
      </w:r>
    </w:p>
    <w:p w14:paraId="31F5C938" w14:textId="77777777" w:rsidR="000D6CA1" w:rsidRDefault="000D6CA1" w:rsidP="0085227E">
      <w:pPr>
        <w:rPr>
          <w:lang w:val="en-GB"/>
        </w:rPr>
      </w:pPr>
      <w:r w:rsidRPr="000D6CA1">
        <w:rPr>
          <w:lang w:val="en-GB"/>
        </w:rPr>
        <w:t xml:space="preserve">Once the desired framework for reporting has been obtained, the KPI list has been </w:t>
      </w:r>
    </w:p>
    <w:p w14:paraId="3EC3FABB" w14:textId="77777777" w:rsidR="000D6CA1" w:rsidRDefault="000D6CA1" w:rsidP="0085227E">
      <w:pPr>
        <w:rPr>
          <w:lang w:val="en-GB"/>
        </w:rPr>
      </w:pPr>
      <w:r w:rsidRPr="000D6CA1">
        <w:rPr>
          <w:lang w:val="en-GB"/>
        </w:rPr>
        <w:t xml:space="preserve">established, and updates on any customizations to tables for each KPI have been made, </w:t>
      </w:r>
    </w:p>
    <w:p w14:paraId="06585893" w14:textId="77777777" w:rsidR="000D6CA1" w:rsidRDefault="000D6CA1" w:rsidP="0085227E">
      <w:pPr>
        <w:rPr>
          <w:lang w:val="en-GB"/>
        </w:rPr>
      </w:pPr>
      <w:r w:rsidRPr="000D6CA1">
        <w:rPr>
          <w:lang w:val="en-GB"/>
        </w:rPr>
        <w:t xml:space="preserve">everything is implemented on the platform. Users are then created with their first </w:t>
      </w:r>
    </w:p>
    <w:p w14:paraId="78674E4F" w14:textId="77777777" w:rsidR="000D6CA1" w:rsidRDefault="000D6CA1" w:rsidP="0085227E">
      <w:pPr>
        <w:rPr>
          <w:lang w:val="en-GB"/>
        </w:rPr>
      </w:pPr>
      <w:r w:rsidRPr="000D6CA1">
        <w:rPr>
          <w:lang w:val="en-GB"/>
        </w:rPr>
        <w:t xml:space="preserve">name, last name, and email address required to access the platform. Responsibilities </w:t>
      </w:r>
    </w:p>
    <w:p w14:paraId="1ED457E6" w14:textId="77777777" w:rsidR="000D6CA1" w:rsidRDefault="000D6CA1" w:rsidP="0085227E">
      <w:pPr>
        <w:rPr>
          <w:lang w:val="en-GB"/>
        </w:rPr>
      </w:pPr>
      <w:r w:rsidRPr="000D6CA1">
        <w:rPr>
          <w:lang w:val="en-GB"/>
        </w:rPr>
        <w:t xml:space="preserve">are assigned to each user as defined by the list received from the company (therefore, </w:t>
      </w:r>
    </w:p>
    <w:p w14:paraId="5CFED8A8" w14:textId="77777777" w:rsidR="000D6CA1" w:rsidRDefault="000D6CA1" w:rsidP="0085227E">
      <w:pPr>
        <w:rPr>
          <w:lang w:val="en-GB"/>
        </w:rPr>
      </w:pPr>
      <w:r w:rsidRPr="000D6CA1">
        <w:rPr>
          <w:lang w:val="en-GB"/>
        </w:rPr>
        <w:t xml:space="preserve">whether a user is an auditor, contributor/approver, or admin) and each KPI is </w:t>
      </w:r>
    </w:p>
    <w:p w14:paraId="6EA8A039" w14:textId="77777777" w:rsidR="000D6CA1" w:rsidRDefault="000D6CA1" w:rsidP="0085227E">
      <w:pPr>
        <w:rPr>
          <w:lang w:val="en-GB"/>
        </w:rPr>
      </w:pPr>
      <w:r w:rsidRPr="000D6CA1">
        <w:rPr>
          <w:lang w:val="en-GB"/>
        </w:rPr>
        <w:t>associated with the relevant Organizational Unit. Customized tables created in Excel</w:t>
      </w:r>
    </w:p>
    <w:p w14:paraId="5607EF4D" w14:textId="77777777" w:rsidR="001B5CFA" w:rsidRDefault="000D6CA1" w:rsidP="0085227E">
      <w:pPr>
        <w:rPr>
          <w:lang w:val="en-GB"/>
        </w:rPr>
      </w:pPr>
      <w:r w:rsidRPr="000D6CA1">
        <w:rPr>
          <w:lang w:val="en-GB"/>
        </w:rPr>
        <w:t xml:space="preserve"> will then be uploaded, where contributors will enter data related to each KPI, both</w:t>
      </w:r>
    </w:p>
    <w:p w14:paraId="4A64BB5D" w14:textId="77777777" w:rsidR="001B5CFA" w:rsidRDefault="000D6CA1" w:rsidP="0085227E">
      <w:pPr>
        <w:rPr>
          <w:lang w:val="en-GB"/>
        </w:rPr>
      </w:pPr>
      <w:r w:rsidRPr="000D6CA1">
        <w:rPr>
          <w:lang w:val="en-GB"/>
        </w:rPr>
        <w:lastRenderedPageBreak/>
        <w:t xml:space="preserve"> qualitative and quantitative. A function on the platform will then allow downloading </w:t>
      </w:r>
    </w:p>
    <w:p w14:paraId="3A687D76" w14:textId="77777777" w:rsidR="001B5CFA" w:rsidRDefault="000D6CA1" w:rsidP="0085227E">
      <w:pPr>
        <w:rPr>
          <w:lang w:val="en-GB"/>
        </w:rPr>
      </w:pPr>
      <w:r w:rsidRPr="000D6CA1">
        <w:rPr>
          <w:lang w:val="en-GB"/>
        </w:rPr>
        <w:t xml:space="preserve">the Budget based on the data entered for each KPI, to review it, make changes, or </w:t>
      </w:r>
    </w:p>
    <w:p w14:paraId="03ADBF65" w14:textId="1574BC4C" w:rsidR="000D6CA1" w:rsidRPr="0085227E" w:rsidRDefault="000D6CA1" w:rsidP="0085227E">
      <w:pPr>
        <w:rPr>
          <w:lang w:val="en-GB"/>
        </w:rPr>
      </w:pPr>
      <w:r w:rsidRPr="000D6CA1">
        <w:rPr>
          <w:lang w:val="en-GB"/>
        </w:rPr>
        <w:t>approve it for exposure to stakeholders.</w:t>
      </w:r>
    </w:p>
    <w:p w14:paraId="46BEFB21" w14:textId="77777777" w:rsidR="0085227E" w:rsidRPr="0085227E" w:rsidRDefault="0085227E" w:rsidP="003921FF">
      <w:pPr>
        <w:spacing w:line="360" w:lineRule="auto"/>
        <w:rPr>
          <w:lang w:val="en-US"/>
        </w:rPr>
      </w:pPr>
    </w:p>
    <w:p w14:paraId="0123D8A7" w14:textId="77777777" w:rsidR="003921FF" w:rsidRPr="00930256" w:rsidRDefault="003921FF" w:rsidP="009E508E">
      <w:pPr>
        <w:pStyle w:val="Titolo3"/>
        <w:numPr>
          <w:ilvl w:val="0"/>
          <w:numId w:val="0"/>
        </w:numPr>
        <w:ind w:left="851" w:hanging="851"/>
        <w:rPr>
          <w:rFonts w:cstheme="minorBidi"/>
          <w:lang w:val="en-US"/>
        </w:rPr>
      </w:pPr>
      <w:bookmarkStart w:id="52" w:name="_Toc207225654"/>
      <w:bookmarkStart w:id="53" w:name="_Toc207471605"/>
      <w:r w:rsidRPr="001F44C9">
        <w:rPr>
          <w:lang w:val="en-US"/>
        </w:rPr>
        <w:t>3.3</w:t>
      </w:r>
      <w:r>
        <w:rPr>
          <w:lang w:val="en-US"/>
        </w:rPr>
        <w:t>.3</w:t>
      </w:r>
      <w:r w:rsidRPr="001F44C9">
        <w:rPr>
          <w:lang w:val="en-US"/>
        </w:rPr>
        <w:t xml:space="preserve"> Advisory and </w:t>
      </w:r>
      <w:r>
        <w:rPr>
          <w:lang w:val="en-US"/>
        </w:rPr>
        <w:t>a real case in luxury fashion industry</w:t>
      </w:r>
      <w:bookmarkEnd w:id="52"/>
      <w:bookmarkEnd w:id="53"/>
    </w:p>
    <w:p w14:paraId="573B1FDC" w14:textId="77777777" w:rsidR="003921FF" w:rsidRPr="00844F1F" w:rsidRDefault="003921FF" w:rsidP="003921FF">
      <w:pPr>
        <w:spacing w:line="360" w:lineRule="auto"/>
        <w:rPr>
          <w:lang w:val="en-GB"/>
        </w:rPr>
      </w:pPr>
      <w:r w:rsidRPr="00844F1F">
        <w:rPr>
          <w:lang w:val="en-GB"/>
        </w:rPr>
        <w:t xml:space="preserve">In the last 3 months of my internship experience at the company, I had the pleasure and fortune of also collaborating with the </w:t>
      </w:r>
      <w:r w:rsidRPr="00FB44D8">
        <w:rPr>
          <w:lang w:val="en-GB"/>
        </w:rPr>
        <w:t>advisory departm</w:t>
      </w:r>
      <w:r w:rsidRPr="00844F1F">
        <w:rPr>
          <w:lang w:val="en-GB"/>
        </w:rPr>
        <w:t>ent and giving my personal contribution to the head of the Sales area and account manager. Together with the advisory department, I learned to provide strategic and operational support services to companies that want to integrate sustainability into their business model. This included the development of models for analyzing risks and opportunities for companies based on the sector in which they operate and assisting clients on the winding path of regulatory compliance and adapting to new requirements, aware of the numerous changes and updates from the institutions responsible for defining standard regulations.</w:t>
      </w:r>
    </w:p>
    <w:p w14:paraId="124226AC" w14:textId="77777777" w:rsidR="003921FF" w:rsidRPr="00844F1F" w:rsidRDefault="003921FF" w:rsidP="003921FF">
      <w:pPr>
        <w:spacing w:line="360" w:lineRule="auto"/>
        <w:rPr>
          <w:lang w:val="en-GB"/>
        </w:rPr>
      </w:pPr>
      <w:r w:rsidRPr="00844F1F">
        <w:rPr>
          <w:lang w:val="en-GB"/>
        </w:rPr>
        <w:t>The advisory department, however, not only helps companies stay updated and comply with regulations, but its goal is also to transform sustainability into a competitive advantage, as we have seen in previous chapters. Indeed, ESGeo, through reporting and its professionalism, not only allows for the analysis and mitigation of risks at the social or environmental level, but also enables companies to improve their reputation, advises and updates on investment opportunities at favorable rates, supporting the company in the process of accessing capital, thus providing value to its clients not only in the short term but especially in the long term.</w:t>
      </w:r>
    </w:p>
    <w:p w14:paraId="0ED25B12" w14:textId="77777777" w:rsidR="003921FF" w:rsidRPr="00844F1F" w:rsidRDefault="003921FF" w:rsidP="003921FF">
      <w:pPr>
        <w:spacing w:line="360" w:lineRule="auto"/>
        <w:rPr>
          <w:lang w:val="en-GB"/>
        </w:rPr>
      </w:pPr>
      <w:r w:rsidRPr="00844F1F">
        <w:rPr>
          <w:lang w:val="en-GB"/>
        </w:rPr>
        <w:t xml:space="preserve">This experience allowed me to learn more deeply about the various regulations and their characteristics, and to engage with the client more profoundly regarding the platform configuration. This is because the advisory team is perhaps the main interface through which the client interacts with the company. In ESGeo, stakeholder </w:t>
      </w:r>
      <w:r w:rsidRPr="00844F1F">
        <w:rPr>
          <w:lang w:val="en-GB"/>
        </w:rPr>
        <w:lastRenderedPageBreak/>
        <w:t>engagement and communication are fundamental, both towards investors and communities and towards clients. Moreover, as an advisory team, one of our tasks was managing dialogue with ESG rating agencies and institutional investors to obtain both certifications that would enhance the company's image and the, aforementioned, access to financing.</w:t>
      </w:r>
    </w:p>
    <w:p w14:paraId="36FC7910" w14:textId="6F5AD821" w:rsidR="003921FF" w:rsidRPr="00844F1F" w:rsidRDefault="003921FF" w:rsidP="003921FF">
      <w:pPr>
        <w:spacing w:line="360" w:lineRule="auto"/>
        <w:rPr>
          <w:lang w:val="en-GB"/>
        </w:rPr>
      </w:pPr>
      <w:r w:rsidRPr="00844F1F">
        <w:rPr>
          <w:lang w:val="en-GB"/>
        </w:rPr>
        <w:t xml:space="preserve">In this department, I felt very stimulated because I was able to apply much of the knowledge I acquired during these years at university. From understanding the supply chain for assessing sustainability along the supply chain and implementing a circular economy and energy efficiency, to knowledge of data analysis and management useful for analyzing the carbon footprint and calculating Scope 1, 2, and 3 emissions. It also allowed me to develop and engage in initial experiences of relationships with corporate clients, who are much more professional and experienced than I am. Until now, I </w:t>
      </w:r>
      <w:r w:rsidR="00A1205B" w:rsidRPr="00844F1F">
        <w:rPr>
          <w:lang w:val="en-GB"/>
        </w:rPr>
        <w:t>have</w:t>
      </w:r>
      <w:r w:rsidRPr="00844F1F">
        <w:rPr>
          <w:lang w:val="en-GB"/>
        </w:rPr>
        <w:t xml:space="preserve"> limited myself to presenting university projects to representatives of companies but presenting my own project with corporate and economic responsibilities carries a completely different weight and offers different sensations.</w:t>
      </w:r>
    </w:p>
    <w:p w14:paraId="0EBD2525" w14:textId="37B62DF8" w:rsidR="003921FF" w:rsidRPr="00844F1F" w:rsidRDefault="003921FF" w:rsidP="003921FF">
      <w:pPr>
        <w:spacing w:line="360" w:lineRule="auto"/>
        <w:rPr>
          <w:lang w:val="en-GB"/>
        </w:rPr>
      </w:pPr>
      <w:r w:rsidRPr="00844F1F">
        <w:rPr>
          <w:lang w:val="en-GB"/>
        </w:rPr>
        <w:t xml:space="preserve">Supply chain analysis </w:t>
      </w:r>
      <w:r w:rsidR="00A1205B" w:rsidRPr="00844F1F">
        <w:rPr>
          <w:lang w:val="en-GB"/>
        </w:rPr>
        <w:t>is</w:t>
      </w:r>
      <w:r w:rsidRPr="00844F1F">
        <w:rPr>
          <w:lang w:val="en-GB"/>
        </w:rPr>
        <w:t xml:space="preserve"> very important nowadays to avoid scandals, especially in those sectors where it is easy for underage or underpaid workers to be found.</w:t>
      </w:r>
      <w:r w:rsidR="00A1205B">
        <w:rPr>
          <w:lang w:val="en-GB"/>
        </w:rPr>
        <w:t xml:space="preserve"> </w:t>
      </w:r>
      <w:r w:rsidRPr="00844F1F">
        <w:rPr>
          <w:lang w:val="en-GB"/>
        </w:rPr>
        <w:t>It is an explicit case that recently happened to Loro Piana, a historic brand controlle</w:t>
      </w:r>
      <w:r w:rsidR="00844F1F">
        <w:rPr>
          <w:lang w:val="en-GB"/>
        </w:rPr>
        <w:t xml:space="preserve">d </w:t>
      </w:r>
      <w:r w:rsidRPr="00844F1F">
        <w:rPr>
          <w:lang w:val="en-GB"/>
        </w:rPr>
        <w:t>by</w:t>
      </w:r>
      <w:r w:rsidR="00A1205B">
        <w:rPr>
          <w:lang w:val="en-GB"/>
        </w:rPr>
        <w:t xml:space="preserve"> </w:t>
      </w:r>
      <w:r w:rsidRPr="00844F1F">
        <w:rPr>
          <w:lang w:val="en-GB"/>
        </w:rPr>
        <w:t>LVMH.</w:t>
      </w:r>
      <w:r w:rsidRPr="00844F1F">
        <w:rPr>
          <w:lang w:val="en-GB"/>
        </w:rPr>
        <w:br/>
      </w:r>
      <w:r w:rsidRPr="00844F1F">
        <w:rPr>
          <w:lang w:val="en-GB"/>
        </w:rPr>
        <w:br/>
        <w:t xml:space="preserve">On July 14, 2025, the Court of Milan ordered the judicial administration of the company. Investigation by the DDA and Labour Inspectorate revealed several opaque subcontractors, many run by Chinese contractors. </w:t>
      </w:r>
      <w:r w:rsidRPr="00844F1F">
        <w:rPr>
          <w:lang w:val="en-GB"/>
        </w:rPr>
        <w:footnoteReference w:id="35"/>
      </w:r>
      <w:r w:rsidRPr="00844F1F">
        <w:rPr>
          <w:lang w:val="en-GB"/>
        </w:rPr>
        <w:t>They turned out to be workers in very bad conditions: workers forced to sleep in the workshops, exhausting shifts and wages between € 80-118 for garments sold for over € 3000.</w:t>
      </w:r>
      <w:r w:rsidRPr="00844F1F">
        <w:rPr>
          <w:lang w:val="en-GB"/>
        </w:rPr>
        <w:br/>
      </w:r>
      <w:r w:rsidRPr="00844F1F">
        <w:rPr>
          <w:lang w:val="en-GB"/>
        </w:rPr>
        <w:lastRenderedPageBreak/>
        <w:t>Loro Piana is not accused directly, but of "culpable negligence": it would therefore not have adequately supervised its supply chain.</w:t>
      </w:r>
    </w:p>
    <w:p w14:paraId="0946B71D" w14:textId="77777777" w:rsidR="003921FF" w:rsidRPr="00A1205B" w:rsidRDefault="003921FF" w:rsidP="003921FF">
      <w:pPr>
        <w:spacing w:line="360" w:lineRule="auto"/>
        <w:rPr>
          <w:lang w:val="en-GB"/>
        </w:rPr>
      </w:pPr>
      <w:r w:rsidRPr="00844F1F">
        <w:rPr>
          <w:lang w:val="en-GB"/>
        </w:rPr>
        <w:t xml:space="preserve">The architecture of contracts and the chain of subcontracting raises doubts about potential tax evasive conduct. The Revenue Agency can initiate checks on unpaid VAT, undue deduction of costs, and missed social security contributions. Furthermore, the Public Prosecutor's Office could complement the investigation into labor exploitation with a tax investigation, especially if simulated agreements emerge. However, beyond financial risks, the greatest damage suffered by the company, and indirectly by the sector, is to the brand's image. With an increasing tendency among consumers to prefer more sustainable companies or products, this case risks </w:t>
      </w:r>
      <w:r w:rsidRPr="00A1205B">
        <w:rPr>
          <w:lang w:val="en-GB"/>
        </w:rPr>
        <w:t>bringing damage and losses to the company far more severe than those inflicted by the Revenue Agency and the Public Prosecutor's Office.</w:t>
      </w:r>
    </w:p>
    <w:p w14:paraId="78EB8FA0" w14:textId="2D771E89" w:rsidR="003921FF" w:rsidRPr="00A1205B" w:rsidRDefault="003921FF" w:rsidP="003921FF">
      <w:pPr>
        <w:spacing w:line="360" w:lineRule="auto"/>
        <w:rPr>
          <w:lang w:val="en-GB"/>
        </w:rPr>
      </w:pPr>
      <w:r w:rsidRPr="00A1205B">
        <w:rPr>
          <w:lang w:val="en-GB"/>
        </w:rPr>
        <w:t>The Loro Piana case reminds us that behind the elegance and prestige of luxury and Italian fashion, questionable practices may be hiding, both from an ethical and fiscal perspective. Sustainability is no longer an option, but an essential necessity, driven by the growing awareness of consumers, stricter regulations, and renewed interest from investors in environmental, social, and governance (ESG) issues. “</w:t>
      </w:r>
      <w:r w:rsidRPr="00A1205B">
        <w:rPr>
          <w:i/>
          <w:iCs/>
          <w:lang w:val="en-GB"/>
        </w:rPr>
        <w:t>According to our research, today in Italy 99% of fashion companies invest in sustainability or intend to do so, confirming that a green shift is increasingly demanded and appreciated: already last year, the companies investing in sustainability were 89%, a significant increase of 45% compared to 2020</w:t>
      </w:r>
      <w:r w:rsidRPr="00A1205B">
        <w:rPr>
          <w:lang w:val="en-GB"/>
        </w:rPr>
        <w:t>” explains Serena Moro, Founder of CIkis.</w:t>
      </w:r>
    </w:p>
    <w:p w14:paraId="7FF1E0E3" w14:textId="77777777" w:rsidR="003921FF" w:rsidRPr="00A1205B" w:rsidRDefault="003921FF" w:rsidP="003921FF">
      <w:pPr>
        <w:spacing w:line="360" w:lineRule="auto"/>
        <w:rPr>
          <w:lang w:val="en-GB"/>
        </w:rPr>
      </w:pPr>
      <w:r w:rsidRPr="00A1205B">
        <w:rPr>
          <w:lang w:val="en-GB"/>
        </w:rPr>
        <w:t xml:space="preserve">Innovation in materials and the adoption of circular economy models are fundamental for the future of sustainable luxury fashion. Eco-design, promoted by European regulations (ESPR), and new rules on packaging drive the development of more eco-friendly products and packaging. Luxury brands are actively exploring sustainable alternatives, such as recycled fabrics, bio-based fibers, and innovative materials. Blockchain technology, for instance, offers solutions to trace the entire journey of a garment, </w:t>
      </w:r>
      <w:r w:rsidRPr="00A1205B">
        <w:rPr>
          <w:lang w:val="en-GB"/>
        </w:rPr>
        <w:lastRenderedPageBreak/>
        <w:t>from raw material to finished product, ensuring authenticity and sustainability. Gucci, for example, aims to achieve 100% transparency and traceability in its supply chain by 2025, as reported by Sustainable Fashion by Raya.</w:t>
      </w:r>
      <w:r w:rsidRPr="00A1205B">
        <w:rPr>
          <w:lang w:val="en-GB"/>
        </w:rPr>
        <w:footnoteReference w:id="36"/>
      </w:r>
    </w:p>
    <w:p w14:paraId="7D4D56BA" w14:textId="77777777" w:rsidR="003921FF" w:rsidRPr="00A1205B" w:rsidRDefault="003921FF" w:rsidP="003921FF">
      <w:pPr>
        <w:spacing w:line="360" w:lineRule="auto"/>
        <w:rPr>
          <w:lang w:val="en-GB"/>
        </w:rPr>
      </w:pPr>
      <w:r w:rsidRPr="00A1205B">
        <w:rPr>
          <w:lang w:val="en-GB"/>
        </w:rPr>
        <w:t>The circular economy is gaining ground even in the luxury sector. Business models based on rental, resale, and repair of garments are becoming increasingly widespread. Partnerships between luxury brands and reliable resale platforms, such as those mentioned by Brownejacobson</w:t>
      </w:r>
      <w:r w:rsidRPr="00A1205B">
        <w:rPr>
          <w:lang w:val="en-GB"/>
        </w:rPr>
        <w:footnoteReference w:id="37"/>
      </w:r>
      <w:r w:rsidRPr="00A1205B">
        <w:rPr>
          <w:lang w:val="en-GB"/>
        </w:rPr>
        <w:t>, are multiplying, allowing brands to actively participate in the circular economy. This approach not only extends the life of products but also offers new opportunities for interaction with customers and combats the unauthorized market and counterfeiting. For example, many online platforms are starting to offer a selection of luxury brands, guiding consumers towards more conscious choices, as reported by Vogue Italia.</w:t>
      </w:r>
      <w:r w:rsidRPr="00A1205B">
        <w:rPr>
          <w:lang w:val="en-GB"/>
        </w:rPr>
        <w:footnoteReference w:id="38"/>
      </w:r>
    </w:p>
    <w:p w14:paraId="1B051DED" w14:textId="77777777" w:rsidR="003921FF" w:rsidRPr="00A1205B" w:rsidRDefault="003921FF" w:rsidP="003921FF">
      <w:pPr>
        <w:spacing w:line="360" w:lineRule="auto"/>
        <w:rPr>
          <w:lang w:val="en-GB"/>
        </w:rPr>
      </w:pPr>
      <w:r w:rsidRPr="00A1205B">
        <w:rPr>
          <w:lang w:val="en-GB"/>
        </w:rPr>
        <w:t>According to the report "Fashion and Sustainability 2024" by Cikis</w:t>
      </w:r>
      <w:r w:rsidRPr="00A1205B">
        <w:rPr>
          <w:lang w:val="en-GB"/>
        </w:rPr>
        <w:footnoteReference w:id="39"/>
      </w:r>
      <w:r w:rsidRPr="00A1205B">
        <w:rPr>
          <w:lang w:val="en-GB"/>
        </w:rPr>
        <w:t xml:space="preserve">, industry players in the country have shown greater commitment to sustainability compared to 2023, with 76% of the sample analyzed considering the issue a priority to remain competitive in the market and 93% stating they have achieved a positive return on eco-investments. However, despite these advances, critical areas still emerge that require urgent interventions in the current context where European regulations will soon require mandatory alignment with high green standards. Among the primary challenges for the interviewed companies is the low adherence to circular business models. Indeed, while practices aimed at supporting this model increased by 39% compared to the previous year, only 7.4% of the sample engaged on this front are investing in fully structured, much more complex business models with respect to the sole management of waste. There are also few initiatives to increase the traceability of products, which has decreased by 30%, resulting in only 13.3% of respondents adopting it compared to 19% </w:t>
      </w:r>
      <w:r w:rsidRPr="00A1205B">
        <w:rPr>
          <w:lang w:val="en-GB"/>
        </w:rPr>
        <w:lastRenderedPageBreak/>
        <w:t xml:space="preserve">reached in 2023. In particular, brands have a much lower degree of collaboration with direct suppliers for tracking than companies in the supply chain. Other points are the adoption of sustainable materials and renewable energies. On the first front, there is still a long way to go to reach European standards, while on the second, the lack of collaboration along the supply chain weighs heavily. </w:t>
      </w:r>
    </w:p>
    <w:p w14:paraId="2E59C66B" w14:textId="77777777" w:rsidR="003921FF" w:rsidRDefault="003921FF" w:rsidP="00A1205B">
      <w:pPr>
        <w:pStyle w:val="Titolo3"/>
        <w:numPr>
          <w:ilvl w:val="0"/>
          <w:numId w:val="0"/>
        </w:numPr>
        <w:ind w:left="851" w:hanging="851"/>
        <w:rPr>
          <w:lang w:val="en-US"/>
        </w:rPr>
      </w:pPr>
      <w:bookmarkStart w:id="54" w:name="_Toc207225655"/>
      <w:bookmarkStart w:id="55" w:name="_Toc207471606"/>
      <w:r>
        <w:rPr>
          <w:lang w:val="en-US"/>
        </w:rPr>
        <w:t>3.3.4 Sales Executive</w:t>
      </w:r>
      <w:bookmarkEnd w:id="54"/>
      <w:bookmarkEnd w:id="55"/>
    </w:p>
    <w:p w14:paraId="451DCEFD" w14:textId="77777777" w:rsidR="003921FF" w:rsidRPr="00A1205B" w:rsidRDefault="003921FF" w:rsidP="003921FF">
      <w:pPr>
        <w:spacing w:line="360" w:lineRule="auto"/>
        <w:rPr>
          <w:lang w:val="en-GB"/>
        </w:rPr>
      </w:pPr>
      <w:r w:rsidRPr="00A1205B">
        <w:rPr>
          <w:lang w:val="en-GB"/>
        </w:rPr>
        <w:t xml:space="preserve">In recent months, in addition to being able to collaborate with the advisory team, I have had the pleasure of assisting Alessandro, the account executive of ESGeo. A sales account is a key figure in companies, especially small and rapidly growing ones like ESGeo. Their main task is to manage and develop relationships with customers, generate and monitor sales, business growth, and customer satisfaction, all while trying to ensure customer loyalty. They also ensure that contracts are respected, that the service is delivered correctly, but beyond the 'monitoring' aspect of the customer portfolio, they aim to expand it by seeking new clients and/or proposing collaborations with agencies operating in the same or linked sectors. </w:t>
      </w:r>
    </w:p>
    <w:p w14:paraId="239A8AC4" w14:textId="77777777" w:rsidR="003921FF" w:rsidRPr="00A1205B" w:rsidRDefault="003921FF" w:rsidP="003921FF">
      <w:pPr>
        <w:spacing w:line="360" w:lineRule="auto"/>
        <w:rPr>
          <w:lang w:val="en-GB"/>
        </w:rPr>
      </w:pPr>
      <w:r w:rsidRPr="00A1205B">
        <w:rPr>
          <w:lang w:val="en-GB"/>
        </w:rPr>
        <w:t>Alessandro has a lot of experience and has taught me many things. Initially, I supported him by developing files and Excel models that would help him monitor KPIs such as semiannual and annual revenue, comparing it with results from previous years or with the target set by CEO Fabrizio.</w:t>
      </w:r>
    </w:p>
    <w:p w14:paraId="7ACA4649" w14:textId="77777777" w:rsidR="003921FF" w:rsidRPr="00A1205B" w:rsidRDefault="003921FF" w:rsidP="003921FF">
      <w:pPr>
        <w:spacing w:line="360" w:lineRule="auto"/>
        <w:rPr>
          <w:lang w:val="en-GB"/>
        </w:rPr>
      </w:pPr>
      <w:r w:rsidRPr="00A1205B">
        <w:rPr>
          <w:lang w:val="en-GB"/>
        </w:rPr>
        <w:t xml:space="preserve">It was therefore necessary to develop various charts and models that would help provide a comprehensive overview of all the economic areas of the company: Through the cataloging of each company, we analyzed which sectors Esgeo operates in the most, both in terms of the number of clients and turnover; we analyzed how much the PMs worked per number of clients and turnover in the different annual quarters, thus giving an idea of the company's operations in the various months, in order to better concentrate resources in the different business areas; what were the most sold products and services and which needed more attention and push from the employees. In short, </w:t>
      </w:r>
      <w:r w:rsidRPr="00A1205B">
        <w:rPr>
          <w:lang w:val="en-GB"/>
        </w:rPr>
        <w:lastRenderedPageBreak/>
        <w:t>the account executive's job is not only to create and maintain relationships with clients, but also to thoroughly understand their own company, where it performs better or worse, what the risks are, and what the opportunities are for it to grow economically and with its clients.</w:t>
      </w:r>
    </w:p>
    <w:p w14:paraId="3CF74A7E" w14:textId="77777777" w:rsidR="003921FF" w:rsidRPr="00A1205B" w:rsidRDefault="003921FF" w:rsidP="003921FF">
      <w:pPr>
        <w:spacing w:line="360" w:lineRule="auto"/>
        <w:rPr>
          <w:lang w:val="en-GB"/>
        </w:rPr>
      </w:pPr>
      <w:r w:rsidRPr="00A1205B">
        <w:rPr>
          <w:lang w:val="en-GB"/>
        </w:rPr>
        <w:t xml:space="preserve">Alessandro and the company are supported by the CRM HUBSPOT in managing customer relations. </w:t>
      </w:r>
    </w:p>
    <w:p w14:paraId="4FC2B285" w14:textId="336E6F48" w:rsidR="003921FF" w:rsidRPr="00A1205B" w:rsidRDefault="003921FF" w:rsidP="003921FF">
      <w:pPr>
        <w:spacing w:line="360" w:lineRule="auto"/>
        <w:rPr>
          <w:lang w:val="en-GB"/>
        </w:rPr>
      </w:pPr>
      <w:r w:rsidRPr="00A1205B">
        <w:rPr>
          <w:lang w:val="en-GB"/>
        </w:rPr>
        <w:t>HubSpot is a cloud-based Customer Relationship Management (CRM) platform that helps businesses attract, engage, and retain customers. It combines tools for marketing, sales, customer service, content management, and operations in a single ecosystem. With its user-friendly interface and scalable features, HubSpot enables companies of all sizes to manage contacts, automate workflows, analyze performance, and deliver personalized customer experiences. Until then, I did not know the software and how to use it, so it was a pleasant discovery for me, and I thank Alessandro for his patience and the time he dedicated to teaching me how to use it, I think it will be an important skill for my future.</w:t>
      </w:r>
    </w:p>
    <w:p w14:paraId="7B47705B" w14:textId="77777777" w:rsidR="003921FF" w:rsidRPr="00A1205B" w:rsidRDefault="003921FF" w:rsidP="003921FF">
      <w:pPr>
        <w:spacing w:line="360" w:lineRule="auto"/>
        <w:rPr>
          <w:lang w:val="en-GB"/>
        </w:rPr>
      </w:pPr>
      <w:r w:rsidRPr="00A1205B">
        <w:rPr>
          <w:lang w:val="en-GB"/>
        </w:rPr>
        <w:t>In addition to the "managerial" part, consisting of monitoring the company's and the PM's performance, the sales account's role also requires an operational aspect. In the last months of my internship, I learned how to contact and present products and services to new potential clients; to develop terms, conditions, and prices based on the products offered and requested, but also based on the size and needs of the company and the advantage it would gain. This latter task required a significant analysis effort of the company, the sector, and its main competitors to study how impactful sustainability was in the sector and how the companies operating in it were approaching the subject of sustainability.</w:t>
      </w:r>
    </w:p>
    <w:p w14:paraId="7EAE3D4E" w14:textId="77777777" w:rsidR="003921FF" w:rsidRPr="00A1205B" w:rsidRDefault="003921FF" w:rsidP="003921FF">
      <w:pPr>
        <w:spacing w:line="360" w:lineRule="auto"/>
        <w:rPr>
          <w:lang w:val="en-GB"/>
        </w:rPr>
      </w:pPr>
      <w:r w:rsidRPr="00A1205B">
        <w:rPr>
          <w:lang w:val="en-GB"/>
        </w:rPr>
        <w:t xml:space="preserve">It is a very stimulating role from my personal point of view, because it allows for a blend of human relationships with qualitative and quantitative analysis of many aspects. Indeed, the human relationship with the client is fundamental, to connect with </w:t>
      </w:r>
      <w:r w:rsidRPr="00A1205B">
        <w:rPr>
          <w:lang w:val="en-GB"/>
        </w:rPr>
        <w:lastRenderedPageBreak/>
        <w:t>them on a personal and professional level, and to support them from the first call to the signing of the contract. Additionally, it is necessary to work with the marketing team to generate qualified leads and coordinate with the technical/operational team to adapt solutions to the client’s needs and requests, as well as to stay updated daily on regulatory changes and new certifications to propose and notify the client. In this regard, I had the pleasure of participating with the company in events and conferences on the topic of sustainability.</w:t>
      </w:r>
    </w:p>
    <w:p w14:paraId="7D72C90D" w14:textId="77777777" w:rsidR="003921FF" w:rsidRPr="00A1205B" w:rsidRDefault="003921FF" w:rsidP="003921FF">
      <w:pPr>
        <w:spacing w:line="360" w:lineRule="auto"/>
        <w:rPr>
          <w:lang w:val="en-GB"/>
        </w:rPr>
      </w:pPr>
      <w:r w:rsidRPr="00A1205B">
        <w:rPr>
          <w:lang w:val="en-GB"/>
        </w:rPr>
        <w:t>Although I gained important insights during the implementation activities of the platform, it was important to interface with the PMs to understand what the most important and suitable KPIs were for each company.</w:t>
      </w:r>
    </w:p>
    <w:p w14:paraId="3797F155" w14:textId="77777777" w:rsidR="003921FF" w:rsidRPr="00A1205B" w:rsidRDefault="003921FF" w:rsidP="003921FF">
      <w:pPr>
        <w:spacing w:line="360" w:lineRule="auto"/>
        <w:rPr>
          <w:lang w:val="en-GB"/>
        </w:rPr>
      </w:pPr>
      <w:r w:rsidRPr="00A1205B">
        <w:rPr>
          <w:lang w:val="en-GB"/>
        </w:rPr>
        <w:t>It is very important to know if clients have embarked on sustainability journeys, and if so, to evaluate cross-selling opportunities (having previously explained the difficulty for companies to measure Scope 3 emissions, a tool that helps measure such emissions, which can be useful for a client who is already doing ESG Reporting). Therefore, in the ESG world, a Sales account does not just sell but listens to the ESG needs of the client and connects them to the services offered by the company, collaborating with ESG consultants to build customized proposals.</w:t>
      </w:r>
    </w:p>
    <w:p w14:paraId="5B121C39" w14:textId="77777777" w:rsidR="003921FF" w:rsidRPr="00A1205B" w:rsidRDefault="003921FF" w:rsidP="003921FF">
      <w:pPr>
        <w:spacing w:line="360" w:lineRule="auto"/>
        <w:rPr>
          <w:lang w:val="en-GB"/>
        </w:rPr>
      </w:pPr>
      <w:r w:rsidRPr="00A1205B">
        <w:rPr>
          <w:lang w:val="en-GB"/>
        </w:rPr>
        <w:t>It is therefore a role that requires a lot: from knowledge of ESG regulations (GRI, ESRS, EU Taxonomy), to the ability to translate these technical sustainability concepts into monetary value, to classic commercial skills such as negotiation, relationship management, and results-oriented deal-making. Without forgetting empathy and the ability to work with diverse teams within the company.</w:t>
      </w:r>
    </w:p>
    <w:p w14:paraId="60D1A872" w14:textId="77777777" w:rsidR="003921FF" w:rsidRPr="00A1205B" w:rsidRDefault="003921FF" w:rsidP="003921FF">
      <w:pPr>
        <w:spacing w:line="360" w:lineRule="auto"/>
        <w:rPr>
          <w:lang w:val="en-GB"/>
        </w:rPr>
      </w:pPr>
    </w:p>
    <w:p w14:paraId="66381346" w14:textId="77777777" w:rsidR="003921FF" w:rsidRPr="00A1205B" w:rsidRDefault="003921FF" w:rsidP="003921FF">
      <w:pPr>
        <w:spacing w:line="360" w:lineRule="auto"/>
        <w:rPr>
          <w:lang w:val="en-GB"/>
        </w:rPr>
      </w:pPr>
    </w:p>
    <w:p w14:paraId="104859EC" w14:textId="77777777" w:rsidR="003921FF" w:rsidRPr="00330714" w:rsidRDefault="003921FF" w:rsidP="00A1205B">
      <w:pPr>
        <w:pStyle w:val="Titolo2"/>
        <w:numPr>
          <w:ilvl w:val="0"/>
          <w:numId w:val="0"/>
        </w:numPr>
        <w:ind w:left="851" w:hanging="851"/>
        <w:rPr>
          <w:lang w:val="en-US"/>
        </w:rPr>
      </w:pPr>
      <w:bookmarkStart w:id="56" w:name="_Toc207225656"/>
      <w:bookmarkStart w:id="57" w:name="_Toc207471607"/>
      <w:r w:rsidRPr="0066395E">
        <w:rPr>
          <w:lang w:val="en-US"/>
        </w:rPr>
        <w:lastRenderedPageBreak/>
        <w:t>3.4 Client types and ESG maturity levels (classification matrix)</w:t>
      </w:r>
      <w:bookmarkEnd w:id="56"/>
      <w:bookmarkEnd w:id="57"/>
    </w:p>
    <w:p w14:paraId="42AE5F04" w14:textId="77777777" w:rsidR="003921FF" w:rsidRPr="00A1205B" w:rsidRDefault="003921FF" w:rsidP="003921FF">
      <w:pPr>
        <w:spacing w:line="360" w:lineRule="auto"/>
        <w:rPr>
          <w:lang w:val="en-GB"/>
        </w:rPr>
      </w:pPr>
      <w:r w:rsidRPr="00A1205B">
        <w:rPr>
          <w:lang w:val="en-GB"/>
        </w:rPr>
        <w:t>As explained in the previous chapter, it is essential for a sales account to identify and understand the client's knowledge level regarding sustainability and ESG reporting to propose an offer suitable for their needs and requests.</w:t>
      </w:r>
    </w:p>
    <w:p w14:paraId="368003B5" w14:textId="77777777" w:rsidR="003921FF" w:rsidRPr="00A1205B" w:rsidRDefault="003921FF" w:rsidP="003921FF">
      <w:pPr>
        <w:spacing w:line="360" w:lineRule="auto"/>
        <w:rPr>
          <w:lang w:val="en-GB"/>
        </w:rPr>
      </w:pPr>
      <w:r w:rsidRPr="00A1205B">
        <w:rPr>
          <w:lang w:val="en-GB"/>
        </w:rPr>
        <w:t>This matrix classifies clients based on their type and their ESG maturity level. It helps to identify the right commercial approach and ESG services to offer.</w:t>
      </w:r>
    </w:p>
    <w:p w14:paraId="681AF5C4" w14:textId="77777777" w:rsidR="003921FF" w:rsidRPr="00A1205B" w:rsidRDefault="003921FF" w:rsidP="003921FF">
      <w:pPr>
        <w:spacing w:line="360" w:lineRule="auto"/>
        <w:rPr>
          <w:lang w:val="en-GB"/>
        </w:rPr>
      </w:pPr>
      <w:r w:rsidRPr="00A1205B">
        <w:rPr>
          <w:lang w:val="en-GB"/>
        </w:rPr>
        <w:t>Thanks to the matrix, we can identify gaps and opportunities in ESG approach. It's possible also Turn theorical evaluation into a specific progress with tailored actions, align with ISO standards and global ESG expectations. Finally, it's possible to create a long-term value building a cycle of continuous improvement. All of these are essential to demonstrate ESG integrity to investors, regulators, and communities.</w:t>
      </w:r>
    </w:p>
    <w:p w14:paraId="6D535730" w14:textId="77777777" w:rsidR="003921FF" w:rsidRPr="00A1205B" w:rsidRDefault="003921FF" w:rsidP="003921FF">
      <w:pPr>
        <w:spacing w:line="360" w:lineRule="auto"/>
        <w:rPr>
          <w:lang w:val="en-GB"/>
        </w:rPr>
      </w:pPr>
      <w:r w:rsidRPr="00A1205B">
        <w:rPr>
          <w:lang w:val="en-GB"/>
        </w:rPr>
        <w:t>The ESG Maturity Matrix offers a comprehensive view of your organization’s ESG performance by evaluating progress across seven essential areas:</w:t>
      </w:r>
    </w:p>
    <w:p w14:paraId="3144B75D" w14:textId="77777777" w:rsidR="003921FF" w:rsidRPr="00A1205B" w:rsidRDefault="003921FF" w:rsidP="003921FF">
      <w:pPr>
        <w:spacing w:line="360" w:lineRule="auto"/>
        <w:rPr>
          <w:lang w:val="en-GB"/>
        </w:rPr>
      </w:pPr>
      <w:r w:rsidRPr="00A1205B">
        <w:rPr>
          <w:b/>
          <w:bCs/>
          <w:lang w:val="en-GB"/>
        </w:rPr>
        <w:t>Culture &amp; Ethics</w:t>
      </w:r>
      <w:r w:rsidRPr="00A1205B">
        <w:rPr>
          <w:lang w:val="en-GB"/>
        </w:rPr>
        <w:t> – Gauges how deeply ESG values are embedded, from basic compliance to ethical leadership. Are ESG efforts basic and mostly aimed at avoiding penalties or fulfilling licensing requirements? Or are some standards being adopted, but remain inconsistent and largely self</w:t>
      </w:r>
      <w:r w:rsidRPr="00A1205B">
        <w:rPr>
          <w:lang w:val="en-GB"/>
        </w:rPr>
        <w:noBreakHyphen/>
        <w:t>serving? Or are there more meaningful, values</w:t>
      </w:r>
      <w:r w:rsidRPr="00A1205B">
        <w:rPr>
          <w:lang w:val="en-GB"/>
        </w:rPr>
        <w:noBreakHyphen/>
        <w:t>led commitments that go beyond compliance and are well</w:t>
      </w:r>
      <w:r w:rsidRPr="00A1205B">
        <w:rPr>
          <w:lang w:val="en-GB"/>
        </w:rPr>
        <w:noBreakHyphen/>
        <w:t>rooted in location and community</w:t>
      </w:r>
    </w:p>
    <w:p w14:paraId="343B260E" w14:textId="77777777" w:rsidR="003921FF" w:rsidRPr="00A1205B" w:rsidRDefault="003921FF" w:rsidP="003921FF">
      <w:pPr>
        <w:spacing w:line="360" w:lineRule="auto"/>
        <w:rPr>
          <w:lang w:val="en-GB"/>
        </w:rPr>
      </w:pPr>
      <w:r w:rsidRPr="00A1205B">
        <w:rPr>
          <w:b/>
          <w:bCs/>
          <w:lang w:val="en-GB"/>
        </w:rPr>
        <w:t>Decision-Making</w:t>
      </w:r>
      <w:r w:rsidRPr="00A1205B">
        <w:rPr>
          <w:lang w:val="en-GB"/>
        </w:rPr>
        <w:t> – Assesses integration of ESG into risk management, KPIs, and strategic planning. Is there little recognition of material risks and opportunities? Are KPIs disjointed and inconsistent? Is the business case for ESG still emerging? Is ESG risk management informal, or becoming embedded through structured approaches?</w:t>
      </w:r>
    </w:p>
    <w:p w14:paraId="5C2FB48F" w14:textId="77777777" w:rsidR="003921FF" w:rsidRPr="00A1205B" w:rsidRDefault="003921FF" w:rsidP="003921FF">
      <w:pPr>
        <w:spacing w:line="360" w:lineRule="auto"/>
        <w:rPr>
          <w:lang w:val="en-GB"/>
        </w:rPr>
      </w:pPr>
      <w:r w:rsidRPr="00A1205B">
        <w:rPr>
          <w:b/>
          <w:bCs/>
          <w:lang w:val="en-GB"/>
        </w:rPr>
        <w:t>Environmental</w:t>
      </w:r>
      <w:r w:rsidRPr="00A1205B">
        <w:rPr>
          <w:lang w:val="en-GB"/>
        </w:rPr>
        <w:t xml:space="preserve"> – Measures the scope and impact of environmental efforts, from regulatory basics to community-wide considerations. Is environmental risk assessment </w:t>
      </w:r>
      <w:r w:rsidRPr="00A1205B">
        <w:rPr>
          <w:lang w:val="en-GB"/>
        </w:rPr>
        <w:lastRenderedPageBreak/>
        <w:t>limited to initial scoping? Or have baseline targets for carbon, water, and waste been set? Is there understanding of broader community impacts?</w:t>
      </w:r>
    </w:p>
    <w:p w14:paraId="2D2ECB1C" w14:textId="77777777" w:rsidR="003921FF" w:rsidRPr="00A1205B" w:rsidRDefault="003921FF" w:rsidP="003921FF">
      <w:pPr>
        <w:spacing w:line="360" w:lineRule="auto"/>
        <w:rPr>
          <w:lang w:val="en-GB"/>
        </w:rPr>
      </w:pPr>
      <w:r w:rsidRPr="00A1205B">
        <w:rPr>
          <w:b/>
          <w:bCs/>
          <w:lang w:val="en-GB"/>
        </w:rPr>
        <w:t>Social </w:t>
      </w:r>
      <w:r w:rsidRPr="00A1205B">
        <w:rPr>
          <w:lang w:val="en-GB"/>
        </w:rPr>
        <w:t>– Evaluates how people-related policies and practices drive meaningful, inclusive outcomes. Are people practices limited to legal compliance, with low awareness of social outcomes? Are ESG</w:t>
      </w:r>
      <w:r w:rsidRPr="00A1205B">
        <w:rPr>
          <w:lang w:val="en-GB"/>
        </w:rPr>
        <w:noBreakHyphen/>
        <w:t>related products and services being introduced? Is there monitoring of issues like modern slavery? Are policies aligning with sector best practice and inclusive service design? Are efforts focused on local employment, equity, and collaboration?</w:t>
      </w:r>
    </w:p>
    <w:p w14:paraId="7732BFFE" w14:textId="77777777" w:rsidR="003921FF" w:rsidRPr="00A1205B" w:rsidRDefault="003921FF" w:rsidP="003921FF">
      <w:pPr>
        <w:spacing w:line="360" w:lineRule="auto"/>
        <w:rPr>
          <w:lang w:val="en-GB"/>
        </w:rPr>
      </w:pPr>
      <w:r w:rsidRPr="00A1205B">
        <w:rPr>
          <w:b/>
          <w:bCs/>
          <w:lang w:val="en-GB"/>
        </w:rPr>
        <w:t>Governance</w:t>
      </w:r>
      <w:r w:rsidRPr="00A1205B">
        <w:rPr>
          <w:lang w:val="en-GB"/>
        </w:rPr>
        <w:t> – Looks at leadership, transparency, and how governance supports long-term value. Is governance purely driven by self</w:t>
      </w:r>
      <w:r w:rsidRPr="00A1205B">
        <w:rPr>
          <w:lang w:val="en-GB"/>
        </w:rPr>
        <w:noBreakHyphen/>
        <w:t>interest? Are social outcomes overlooked? Is data collection selective or becoming more integrated and meaningful? Is governance focused mainly on risk avoidance, or seen as a source of value and resilience?</w:t>
      </w:r>
    </w:p>
    <w:p w14:paraId="70FC76C5" w14:textId="77777777" w:rsidR="003921FF" w:rsidRPr="00A1205B" w:rsidRDefault="003921FF" w:rsidP="003921FF">
      <w:pPr>
        <w:spacing w:line="360" w:lineRule="auto"/>
        <w:rPr>
          <w:lang w:val="en-GB"/>
        </w:rPr>
      </w:pPr>
      <w:r w:rsidRPr="00A1205B">
        <w:rPr>
          <w:b/>
          <w:bCs/>
          <w:lang w:val="en-GB"/>
        </w:rPr>
        <w:t>Conformity &amp; Reporting</w:t>
      </w:r>
      <w:r w:rsidRPr="00A1205B">
        <w:rPr>
          <w:lang w:val="en-GB"/>
        </w:rPr>
        <w:t> – Reviews reporting practices and the maturity of compliance, from checkbox exercises to strategic disclosures. Is compliance limited to meeting legal requirements? Is reporting shaped by basic regulatory obligations and tick</w:t>
      </w:r>
      <w:r w:rsidRPr="00A1205B">
        <w:rPr>
          <w:lang w:val="en-GB"/>
        </w:rPr>
        <w:noBreakHyphen/>
        <w:t>box checks? Is third</w:t>
      </w:r>
      <w:r w:rsidRPr="00A1205B">
        <w:rPr>
          <w:lang w:val="en-GB"/>
        </w:rPr>
        <w:noBreakHyphen/>
        <w:t>party assurance rare, or beginning to include voluntary audits and engagement with accredited schemes? Is compliance moving toward consistent and maturing disclosure practices? Is reporting still mechanical, or guided by integrity, with a focus on long</w:t>
      </w:r>
      <w:r w:rsidRPr="00A1205B">
        <w:rPr>
          <w:lang w:val="en-GB"/>
        </w:rPr>
        <w:noBreakHyphen/>
        <w:t>term strategy?</w:t>
      </w:r>
    </w:p>
    <w:p w14:paraId="20655B61" w14:textId="77777777" w:rsidR="003921FF" w:rsidRPr="00A1205B" w:rsidRDefault="003921FF" w:rsidP="003921FF">
      <w:pPr>
        <w:spacing w:line="360" w:lineRule="auto"/>
        <w:rPr>
          <w:lang w:val="en-GB"/>
        </w:rPr>
      </w:pPr>
      <w:r w:rsidRPr="00A1205B">
        <w:rPr>
          <w:b/>
          <w:bCs/>
          <w:lang w:val="en-GB"/>
        </w:rPr>
        <w:t>Engagement &amp; Leadership</w:t>
      </w:r>
      <w:r w:rsidRPr="00A1205B">
        <w:rPr>
          <w:lang w:val="en-GB"/>
        </w:rPr>
        <w:t> – Considers how actively the organization leads, learns, and engages across stakeholders. Is leadership shareholder</w:t>
      </w:r>
      <w:r w:rsidRPr="00A1205B">
        <w:rPr>
          <w:lang w:val="en-GB"/>
        </w:rPr>
        <w:noBreakHyphen/>
        <w:t>dominated and siloed, or beginning to engage with affected community groups? Is the focus on self</w:t>
      </w:r>
      <w:r w:rsidRPr="00A1205B">
        <w:rPr>
          <w:lang w:val="en-GB"/>
        </w:rPr>
        <w:noBreakHyphen/>
        <w:t xml:space="preserve">interest and financial returns, or expanding to report on a wide range of data and impacts? Is ESG </w:t>
      </w:r>
      <w:r w:rsidRPr="00A1205B">
        <w:rPr>
          <w:lang w:val="en-GB"/>
        </w:rPr>
        <w:lastRenderedPageBreak/>
        <w:t>absent from key decisions, or increasingly an explicit component of strategic thinking? Is a continual improvement and learning culture being embedded?</w:t>
      </w:r>
      <w:r w:rsidRPr="00A1205B">
        <w:rPr>
          <w:lang w:val="en-GB"/>
        </w:rPr>
        <w:footnoteReference w:id="40"/>
      </w:r>
    </w:p>
    <w:p w14:paraId="6B6F5CCC" w14:textId="77777777" w:rsidR="003921FF" w:rsidRPr="00A1205B" w:rsidRDefault="003921FF" w:rsidP="003921FF">
      <w:pPr>
        <w:spacing w:line="360" w:lineRule="auto"/>
        <w:rPr>
          <w:lang w:val="en-GB"/>
        </w:rPr>
      </w:pPr>
    </w:p>
    <w:p w14:paraId="48F44445" w14:textId="77777777" w:rsidR="00163F71" w:rsidRDefault="003921FF" w:rsidP="00163F71">
      <w:pPr>
        <w:keepNext/>
        <w:spacing w:line="360" w:lineRule="auto"/>
      </w:pPr>
      <w:r w:rsidRPr="00910D80">
        <w:rPr>
          <w:rFonts w:ascii="Times New Roman" w:hAnsi="Times New Roman" w:cs="Times New Roman"/>
          <w:noProof/>
          <w:lang w:val="en-US"/>
        </w:rPr>
        <w:drawing>
          <wp:inline distT="0" distB="0" distL="0" distR="0" wp14:anchorId="41DB29F9" wp14:editId="10A3E13E">
            <wp:extent cx="6311963" cy="5505450"/>
            <wp:effectExtent l="0" t="0" r="0" b="0"/>
            <wp:docPr id="111531026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310266" name=""/>
                    <pic:cNvPicPr/>
                  </pic:nvPicPr>
                  <pic:blipFill>
                    <a:blip r:embed="rId44"/>
                    <a:stretch>
                      <a:fillRect/>
                    </a:stretch>
                  </pic:blipFill>
                  <pic:spPr>
                    <a:xfrm>
                      <a:off x="0" y="0"/>
                      <a:ext cx="6339312" cy="5529305"/>
                    </a:xfrm>
                    <a:prstGeom prst="rect">
                      <a:avLst/>
                    </a:prstGeom>
                  </pic:spPr>
                </pic:pic>
              </a:graphicData>
            </a:graphic>
          </wp:inline>
        </w:drawing>
      </w:r>
    </w:p>
    <w:p w14:paraId="2A47DFAB" w14:textId="088885A4" w:rsidR="003921FF" w:rsidRPr="00240BA8" w:rsidRDefault="00163F71" w:rsidP="00240BA8">
      <w:pPr>
        <w:pStyle w:val="Didascalia"/>
        <w:jc w:val="both"/>
        <w:rPr>
          <w:i/>
          <w:iCs w:val="0"/>
        </w:rPr>
      </w:pPr>
      <w:r>
        <w:t xml:space="preserve">Figure </w:t>
      </w:r>
      <w:r>
        <w:fldChar w:fldCharType="begin"/>
      </w:r>
      <w:r>
        <w:instrText xml:space="preserve"> SEQ Figure \* ARABIC </w:instrText>
      </w:r>
      <w:r>
        <w:fldChar w:fldCharType="separate"/>
      </w:r>
      <w:r w:rsidR="008F724A">
        <w:rPr>
          <w:noProof/>
        </w:rPr>
        <w:t>7</w:t>
      </w:r>
      <w:r>
        <w:fldChar w:fldCharType="end"/>
      </w:r>
      <w:r>
        <w:t xml:space="preserve"> </w:t>
      </w:r>
      <w:r w:rsidRPr="00240BA8">
        <w:rPr>
          <w:i/>
          <w:iCs w:val="0"/>
        </w:rPr>
        <w:t>ESG Maturity Matrix</w:t>
      </w:r>
      <w:r w:rsidR="00240BA8" w:rsidRPr="00240BA8">
        <w:rPr>
          <w:i/>
          <w:iCs w:val="0"/>
        </w:rPr>
        <w:t>, Your ESG progress, BSI 2025</w:t>
      </w:r>
      <w:r w:rsidR="00240BA8">
        <w:rPr>
          <w:i/>
          <w:iCs w:val="0"/>
        </w:rPr>
        <w:t xml:space="preserve"> </w:t>
      </w:r>
      <w:r w:rsidR="003921FF">
        <w:rPr>
          <w:rStyle w:val="Rimandonotaapidipagina"/>
          <w:rFonts w:ascii="Times New Roman" w:hAnsi="Times New Roman" w:cs="Times New Roman"/>
        </w:rPr>
        <w:footnoteReference w:id="41"/>
      </w:r>
    </w:p>
    <w:p w14:paraId="385D3B51" w14:textId="77777777" w:rsidR="00AE68FD" w:rsidRDefault="00AE68FD" w:rsidP="003921FF">
      <w:pPr>
        <w:spacing w:line="360" w:lineRule="auto"/>
        <w:rPr>
          <w:rFonts w:ascii="Times New Roman" w:hAnsi="Times New Roman" w:cs="Times New Roman"/>
          <w:lang w:val="en-US"/>
        </w:rPr>
      </w:pPr>
    </w:p>
    <w:p w14:paraId="420B4EEE" w14:textId="77777777" w:rsidR="00AE68FD" w:rsidRDefault="00AE68FD" w:rsidP="003921FF">
      <w:pPr>
        <w:spacing w:line="360" w:lineRule="auto"/>
        <w:rPr>
          <w:rFonts w:ascii="Times New Roman" w:hAnsi="Times New Roman" w:cs="Times New Roman"/>
          <w:lang w:val="en-US"/>
        </w:rPr>
      </w:pPr>
    </w:p>
    <w:p w14:paraId="157A0E59" w14:textId="77777777" w:rsidR="00AE68FD" w:rsidRDefault="00AE68FD" w:rsidP="003921FF">
      <w:pPr>
        <w:spacing w:line="360" w:lineRule="auto"/>
        <w:rPr>
          <w:rFonts w:ascii="Times New Roman" w:hAnsi="Times New Roman" w:cs="Times New Roman"/>
          <w:lang w:val="en-US"/>
        </w:rPr>
      </w:pPr>
    </w:p>
    <w:p w14:paraId="225C69C8" w14:textId="061726A7" w:rsidR="003921FF" w:rsidRPr="0066395E" w:rsidRDefault="003921FF" w:rsidP="00AE68FD">
      <w:pPr>
        <w:pStyle w:val="Titolo2"/>
        <w:numPr>
          <w:ilvl w:val="0"/>
          <w:numId w:val="0"/>
        </w:numPr>
        <w:ind w:left="851" w:hanging="851"/>
        <w:rPr>
          <w:lang w:val="en-US"/>
        </w:rPr>
      </w:pPr>
      <w:bookmarkStart w:id="58" w:name="_Toc207225657"/>
      <w:bookmarkStart w:id="59" w:name="_Toc207471608"/>
      <w:r w:rsidRPr="0066395E">
        <w:rPr>
          <w:lang w:val="en-US"/>
        </w:rPr>
        <w:lastRenderedPageBreak/>
        <w:t>3.5 Reflections on the experience: Developing soft and hard skills</w:t>
      </w:r>
      <w:bookmarkEnd w:id="58"/>
      <w:bookmarkEnd w:id="59"/>
      <w:r w:rsidRPr="0066395E">
        <w:rPr>
          <w:lang w:val="en-US"/>
        </w:rPr>
        <w:t xml:space="preserve"> </w:t>
      </w:r>
    </w:p>
    <w:p w14:paraId="4E52DC25" w14:textId="77777777" w:rsidR="003921FF" w:rsidRPr="00AE68FD" w:rsidRDefault="003921FF" w:rsidP="003921FF">
      <w:pPr>
        <w:spacing w:line="360" w:lineRule="auto"/>
        <w:rPr>
          <w:lang w:val="en-GB"/>
        </w:rPr>
      </w:pPr>
      <w:r w:rsidRPr="00AE68FD">
        <w:rPr>
          <w:lang w:val="en-GB"/>
        </w:rPr>
        <w:t>The internship period spent at ESGeo, a company specializing in ESG consulting services, was a significant moment of personal growth and the beginning of my professional career. The experience, lasting six months, allowed me to enter the real job market and, in particular, to be in direct contact with the reality of sustainable consulting, a sector that has increasingly taken on a central role in corporate strategies and regulatory obligations arising from European policies in recent years.</w:t>
      </w:r>
    </w:p>
    <w:p w14:paraId="5BD46403" w14:textId="77777777" w:rsidR="003921FF" w:rsidRPr="00AE68FD" w:rsidRDefault="003921FF" w:rsidP="003921FF">
      <w:pPr>
        <w:spacing w:line="360" w:lineRule="auto"/>
        <w:rPr>
          <w:lang w:val="en-GB"/>
        </w:rPr>
      </w:pPr>
      <w:r w:rsidRPr="00AE68FD">
        <w:rPr>
          <w:lang w:val="en-GB"/>
        </w:rPr>
        <w:t xml:space="preserve">The activities assigned to me, as described in the previous chapters, primarily involved supporting the drafting of sustainability reports in accordance with major international standards and European taxonomy. </w:t>
      </w:r>
    </w:p>
    <w:p w14:paraId="7E0DA87E" w14:textId="77777777" w:rsidR="003921FF" w:rsidRPr="00AE68FD" w:rsidRDefault="003921FF" w:rsidP="003921FF">
      <w:pPr>
        <w:spacing w:line="360" w:lineRule="auto"/>
        <w:rPr>
          <w:lang w:val="en-GB"/>
        </w:rPr>
      </w:pPr>
      <w:r w:rsidRPr="00AE68FD">
        <w:rPr>
          <w:lang w:val="en-GB"/>
        </w:rPr>
        <w:t>Additionally, I worked on the elaboration and analysis of ESG data provided by clients, with the aim of translating heterogeneous information into measurable and comparable indicators. At the same time, I had the opportunity to delve into benchmarking methodologies, comparing sustainability practices adopted by companies operating in different sectors, including manufacturing, luxury, and finance. These analyses helped to develop a critical perspective on the ESG maturity level of companies and the variety of strategies undertaken in response to regulatory constraints, reputational pressures, and stakeholder expectations.</w:t>
      </w:r>
    </w:p>
    <w:p w14:paraId="6D05EF12" w14:textId="77777777" w:rsidR="003921FF" w:rsidRPr="00AE68FD" w:rsidRDefault="003921FF" w:rsidP="003921FF">
      <w:pPr>
        <w:spacing w:line="360" w:lineRule="auto"/>
        <w:rPr>
          <w:lang w:val="en-GB"/>
        </w:rPr>
      </w:pPr>
      <w:r w:rsidRPr="00AE68FD">
        <w:rPr>
          <w:lang w:val="en-GB"/>
        </w:rPr>
        <w:t>Another relevant aspect was the involvement in the preparation of communication materials, such as presentations and summary documents, intended for both internal stakeholders and external clients. Finally, participation in meetings with clients allowed for the observation and sometimes experimentation with stakeholder engagement dynamics, a crucial element in ESG consultancy, where the ability to clearly and convincingly convey the relevance of sustainability is decisive for the success of projects.</w:t>
      </w:r>
    </w:p>
    <w:p w14:paraId="17B164C7" w14:textId="77777777" w:rsidR="003921FF" w:rsidRPr="00AE68FD" w:rsidRDefault="003921FF" w:rsidP="003921FF">
      <w:pPr>
        <w:spacing w:line="360" w:lineRule="auto"/>
        <w:rPr>
          <w:lang w:val="en-GB"/>
        </w:rPr>
      </w:pPr>
      <w:r w:rsidRPr="00AE68FD">
        <w:rPr>
          <w:lang w:val="en-GB"/>
        </w:rPr>
        <w:lastRenderedPageBreak/>
        <w:t xml:space="preserve">From a technical skills perspective, this internship allowed me to become familiar with the main international standards and frameworks for non-financial reporting, such as GRI, SASB, and ESRS. In addition to this, using data analysis and management tools, I learned to develop skills in synthesis, accuracy, and methodological precision, which are fundamental in a context where the transparency and verifiability of information are essential requirements. </w:t>
      </w:r>
    </w:p>
    <w:p w14:paraId="0B73D4AD" w14:textId="77777777" w:rsidR="003921FF" w:rsidRPr="00AE68FD" w:rsidRDefault="003921FF" w:rsidP="003921FF">
      <w:pPr>
        <w:spacing w:line="360" w:lineRule="auto"/>
        <w:rPr>
          <w:lang w:val="en-GB"/>
        </w:rPr>
      </w:pPr>
      <w:r w:rsidRPr="00AE68FD">
        <w:rPr>
          <w:lang w:val="en-GB"/>
        </w:rPr>
        <w:t>Finally, I was fortunate to delve into the topic of sustainability and how it relates to the seemingly distant world of finance, discovering the underlying logic of ESG rating systems and the indicators used by institutional investors to evaluate companies' commitments in the environmental, social, and governance areas, as well as how funding is granted, a topic that is particularly dear to me given my academic path in recent years.</w:t>
      </w:r>
    </w:p>
    <w:p w14:paraId="75B2B508" w14:textId="77777777" w:rsidR="003921FF" w:rsidRPr="00AE68FD" w:rsidRDefault="003921FF" w:rsidP="003921FF">
      <w:pPr>
        <w:spacing w:line="360" w:lineRule="auto"/>
        <w:rPr>
          <w:lang w:val="en-GB"/>
        </w:rPr>
      </w:pPr>
      <w:r w:rsidRPr="00AE68FD">
        <w:rPr>
          <w:lang w:val="en-GB"/>
        </w:rPr>
        <w:t>Alongside the more strictly technical aspects, the internship allowed me to strengthen a set of skills that until now I had only been able to develop in projects and during my university life, but I realized how important they were in a work context. The biggest challenge I faced in these months was perhaps the need to present concepts, often technical, to interlocutors with varying levels of preparation and professionalism. This required refining my communication skills, but above all, a deeper understanding of the subject matter, because while the Politecnico di Milano prepared me excellently to refer and present concepts to top experts in the field, I had never felt the responsibility toward third parties. Here, I was not just focused on my project; I was the face of the company, and a mistake or carelessness on my part would have repercussions not just on myself, but also on my colleagues and the organization.</w:t>
      </w:r>
    </w:p>
    <w:p w14:paraId="63D7D8FC" w14:textId="77777777" w:rsidR="003921FF" w:rsidRPr="00AE68FD" w:rsidRDefault="003921FF" w:rsidP="003921FF">
      <w:pPr>
        <w:spacing w:line="360" w:lineRule="auto"/>
        <w:rPr>
          <w:lang w:val="en-GB"/>
        </w:rPr>
      </w:pPr>
      <w:r w:rsidRPr="00AE68FD">
        <w:rPr>
          <w:lang w:val="en-GB"/>
        </w:rPr>
        <w:t xml:space="preserve">Similarly, effective communication and a deep knowledge of the subject required the use of critical thinking. Especially in the advisory and sales account part, I realized how important it was to try to empathize with the client on a professional level. Trying to understand what the client truly needs and hopes for is crucial for the success of </w:t>
      </w:r>
      <w:r w:rsidRPr="00AE68FD">
        <w:rPr>
          <w:lang w:val="en-GB"/>
        </w:rPr>
        <w:lastRenderedPageBreak/>
        <w:t>both a collaboration and a work agreement. Therefore, one must analyze the company, its strengths, weaknesses, possible risks that the client company may face, and where it is possible to improve or seize opportunities at a strategic and economic level. Without critical thinking, there is a risk of so-called 'gold plating', which involves adding unnecessary and unrequested functionalities or activities that do not bring added value. It was therefore necessary to understand what the clients’ requests were to meet their needs, and to have critical thinking to develop alternatives or proposals that would complement or improve our proposal or add something the client was not aware of.</w:t>
      </w:r>
    </w:p>
    <w:p w14:paraId="6AAC16BB" w14:textId="77777777" w:rsidR="003921FF" w:rsidRPr="00AE68FD" w:rsidRDefault="003921FF" w:rsidP="003921FF">
      <w:pPr>
        <w:spacing w:line="360" w:lineRule="auto"/>
        <w:rPr>
          <w:lang w:val="en-GB"/>
        </w:rPr>
      </w:pPr>
      <w:r w:rsidRPr="00AE68FD">
        <w:rPr>
          <w:lang w:val="en-GB"/>
        </w:rPr>
        <w:t xml:space="preserve">One skill that I have noticed has improved over the past few months is the management of parallel tasks and strict deadlines. Initially, I was not used to receiving new assignments every week, in addition to those that had already been given to me. This has pushed me to acquire time management skills and prioritize tasks, while the variety of projects I have tackled, from platform configuration to advisory tasks, has required a high degree of flexibility and problem-solving. Without forgetting anything, I had to always be prepared and remember the different requests of each client. </w:t>
      </w:r>
    </w:p>
    <w:p w14:paraId="66F1064F" w14:textId="77777777" w:rsidR="003921FF" w:rsidRPr="00AE68FD" w:rsidRDefault="003921FF" w:rsidP="003921FF">
      <w:pPr>
        <w:spacing w:line="360" w:lineRule="auto"/>
        <w:rPr>
          <w:lang w:val="en-GB"/>
        </w:rPr>
      </w:pPr>
      <w:r w:rsidRPr="00AE68FD">
        <w:rPr>
          <w:lang w:val="en-GB"/>
        </w:rPr>
        <w:t>Therefore, the experience has allowed me to understand how transversal skills, when integrated with technical ones, represent a decisive factor for building a complete and competitive professional profile.</w:t>
      </w:r>
    </w:p>
    <w:p w14:paraId="478BE0A3" w14:textId="77777777" w:rsidR="003921FF" w:rsidRPr="00AE68FD" w:rsidRDefault="003921FF" w:rsidP="003921FF">
      <w:pPr>
        <w:spacing w:line="360" w:lineRule="auto"/>
        <w:rPr>
          <w:lang w:val="en-GB"/>
        </w:rPr>
      </w:pPr>
      <w:r w:rsidRPr="00AE68FD">
        <w:rPr>
          <w:lang w:val="en-GB"/>
        </w:rPr>
        <w:t>In conclusion, the internship experience at ESGeo allowed me to combine the theoretical knowledge acquired during my university studies with the daily practice of ESG consulting, characterized by continuous interaction between regulatory constraints, business needs, and social expectations. The balance between technical skills and cross-cutting skills enabled me to achieve a comprehensive learning experience, laying the foundation for a future professional integration in the field of sustainability and business consulting.</w:t>
      </w:r>
    </w:p>
    <w:p w14:paraId="4AA44D4C" w14:textId="451F3BAC" w:rsidR="007A776A" w:rsidRPr="001F44C9" w:rsidRDefault="006B61CF" w:rsidP="006B61CF">
      <w:pPr>
        <w:pStyle w:val="Titolo1"/>
        <w:numPr>
          <w:ilvl w:val="0"/>
          <w:numId w:val="0"/>
        </w:numPr>
        <w:ind w:left="851" w:hanging="851"/>
        <w:rPr>
          <w:lang w:val="en-US"/>
        </w:rPr>
      </w:pPr>
      <w:bookmarkStart w:id="60" w:name="_Toc207225658"/>
      <w:bookmarkStart w:id="61" w:name="_Toc207471609"/>
      <w:r>
        <w:rPr>
          <w:lang w:val="en-US"/>
        </w:rPr>
        <w:lastRenderedPageBreak/>
        <w:t>4</w:t>
      </w:r>
      <w:r w:rsidR="007A776A" w:rsidRPr="001F44C9">
        <w:rPr>
          <w:lang w:val="en-US"/>
        </w:rPr>
        <w:t xml:space="preserve"> - Critical analysis, results and </w:t>
      </w:r>
      <w:bookmarkEnd w:id="60"/>
      <w:r w:rsidRPr="001F44C9">
        <w:rPr>
          <w:lang w:val="en-US"/>
        </w:rPr>
        <w:t>prospects</w:t>
      </w:r>
      <w:bookmarkEnd w:id="61"/>
    </w:p>
    <w:p w14:paraId="1C364450" w14:textId="77777777" w:rsidR="007A776A" w:rsidRDefault="007A776A" w:rsidP="006B61CF">
      <w:pPr>
        <w:pStyle w:val="Titolo2"/>
        <w:numPr>
          <w:ilvl w:val="0"/>
          <w:numId w:val="0"/>
        </w:numPr>
        <w:ind w:left="851" w:hanging="851"/>
        <w:rPr>
          <w:lang w:val="en-US"/>
        </w:rPr>
      </w:pPr>
      <w:bookmarkStart w:id="62" w:name="_Toc207225659"/>
      <w:bookmarkStart w:id="63" w:name="_Toc207471610"/>
      <w:r w:rsidRPr="001F44C9">
        <w:rPr>
          <w:lang w:val="en-US"/>
        </w:rPr>
        <w:t>4.1 Summary of the main findings that emerged</w:t>
      </w:r>
      <w:bookmarkEnd w:id="62"/>
      <w:bookmarkEnd w:id="63"/>
    </w:p>
    <w:p w14:paraId="68E77386" w14:textId="77777777" w:rsidR="007A776A" w:rsidRPr="006B61CF" w:rsidRDefault="007A776A" w:rsidP="007A776A">
      <w:pPr>
        <w:spacing w:line="360" w:lineRule="auto"/>
        <w:rPr>
          <w:lang w:val="en-GB"/>
        </w:rPr>
      </w:pPr>
      <w:r w:rsidRPr="006B61CF">
        <w:rPr>
          <w:lang w:val="en-GB"/>
        </w:rPr>
        <w:t>The comprehensive analysis presented across the thesis chapters reveals a cohesive narrative of theoretical grounding, methodological rigor, experiential learning, and reflective synthesis.</w:t>
      </w:r>
    </w:p>
    <w:p w14:paraId="1247B9F1" w14:textId="77777777" w:rsidR="007A776A" w:rsidRPr="006B61CF" w:rsidRDefault="007A776A" w:rsidP="007A776A">
      <w:pPr>
        <w:spacing w:line="360" w:lineRule="auto"/>
        <w:rPr>
          <w:lang w:val="en-GB"/>
        </w:rPr>
      </w:pPr>
      <w:r w:rsidRPr="006B61CF">
        <w:rPr>
          <w:lang w:val="en-GB"/>
        </w:rPr>
        <w:t xml:space="preserve">Chapter 1, the theoretical framework, underlined how sustainability has evolved from a peripheral domain of Corporate Social Responsibility into a central strategic dimension for firms, propelled by normative imperatives such as the EU’s Corporate Sustainability Reporting Directive (CSRD) and associated European Sustainability Reporting Standards (ESRS). </w:t>
      </w:r>
    </w:p>
    <w:p w14:paraId="64B5195B" w14:textId="297CB5F4" w:rsidR="007A776A" w:rsidRPr="006B61CF" w:rsidRDefault="007A776A" w:rsidP="007A776A">
      <w:pPr>
        <w:spacing w:line="360" w:lineRule="auto"/>
        <w:rPr>
          <w:lang w:val="en-GB"/>
        </w:rPr>
      </w:pPr>
      <w:r w:rsidRPr="006B61CF">
        <w:rPr>
          <w:lang w:val="en-GB"/>
        </w:rPr>
        <w:t xml:space="preserve">The data emerging from KPMG's Sustainability Reporting 2024 </w:t>
      </w:r>
      <w:r w:rsidRPr="006B61CF">
        <w:rPr>
          <w:lang w:val="en-GB"/>
        </w:rPr>
        <w:footnoteReference w:id="42"/>
      </w:r>
      <w:r w:rsidR="00286BC1">
        <w:rPr>
          <w:lang w:val="en-GB"/>
        </w:rPr>
        <w:t xml:space="preserve"> </w:t>
      </w:r>
      <w:r w:rsidRPr="006B61CF">
        <w:rPr>
          <w:lang w:val="en-GB"/>
        </w:rPr>
        <w:t>survey shows that 95% of the 250 largest companies in the world by revenue have set and published their carbon emissions reduction targets, while 56% have a sustainability officer. Furthermore, nearly a third of the top 100 companies worldwide consider sustainability in their management remuneration systems, a figure that rises to 41% when considering the group of 250.</w:t>
      </w:r>
    </w:p>
    <w:p w14:paraId="7AFECD90" w14:textId="1FEECB09" w:rsidR="006E3DAD" w:rsidRDefault="007A776A" w:rsidP="006E3DAD">
      <w:pPr>
        <w:keepNext/>
      </w:pPr>
      <w:r w:rsidRPr="004B6889">
        <w:rPr>
          <w:noProof/>
          <w:lang w:val="en-US"/>
        </w:rPr>
        <w:drawing>
          <wp:inline distT="0" distB="0" distL="0" distR="0" wp14:anchorId="092250CF" wp14:editId="18ED6FB0">
            <wp:extent cx="5097403" cy="1993900"/>
            <wp:effectExtent l="0" t="0" r="8255" b="6350"/>
            <wp:docPr id="1277170733" name="Immagine 1" descr="Immagine che contiene testo, schermat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7170733" name="Immagine 1" descr="Immagine che contiene testo, schermata, Carattere&#10;&#10;Il contenuto generato dall'IA potrebbe non essere corretto."/>
                    <pic:cNvPicPr/>
                  </pic:nvPicPr>
                  <pic:blipFill>
                    <a:blip r:embed="rId45"/>
                    <a:stretch>
                      <a:fillRect/>
                    </a:stretch>
                  </pic:blipFill>
                  <pic:spPr>
                    <a:xfrm>
                      <a:off x="0" y="0"/>
                      <a:ext cx="5112469" cy="1999793"/>
                    </a:xfrm>
                    <a:prstGeom prst="rect">
                      <a:avLst/>
                    </a:prstGeom>
                  </pic:spPr>
                </pic:pic>
              </a:graphicData>
            </a:graphic>
          </wp:inline>
        </w:drawing>
      </w:r>
      <w:r w:rsidR="00116925">
        <w:rPr>
          <w:rStyle w:val="Rimandonotaapidipagina"/>
        </w:rPr>
        <w:footnoteReference w:id="43"/>
      </w:r>
    </w:p>
    <w:p w14:paraId="129AAADA" w14:textId="57FABDCA" w:rsidR="007A776A" w:rsidRPr="00116925" w:rsidRDefault="006E3DAD" w:rsidP="006E3DAD">
      <w:pPr>
        <w:pStyle w:val="Didascalia"/>
        <w:jc w:val="both"/>
      </w:pPr>
      <w:r>
        <w:t xml:space="preserve">Figure </w:t>
      </w:r>
      <w:r>
        <w:fldChar w:fldCharType="begin"/>
      </w:r>
      <w:r>
        <w:instrText xml:space="preserve"> SEQ Figure \* ARABIC </w:instrText>
      </w:r>
      <w:r>
        <w:fldChar w:fldCharType="separate"/>
      </w:r>
      <w:r w:rsidR="008F724A">
        <w:rPr>
          <w:noProof/>
        </w:rPr>
        <w:t>8</w:t>
      </w:r>
      <w:r>
        <w:fldChar w:fldCharType="end"/>
      </w:r>
      <w:r>
        <w:t xml:space="preserve"> </w:t>
      </w:r>
      <w:r w:rsidR="0051292A" w:rsidRPr="00116925">
        <w:rPr>
          <w:i/>
          <w:iCs w:val="0"/>
        </w:rPr>
        <w:t>main results G250 companies,</w:t>
      </w:r>
      <w:r w:rsidR="00116925" w:rsidRPr="00116925">
        <w:rPr>
          <w:rFonts w:ascii="OpenSans--SemiBold" w:hAnsi="OpenSans--SemiBold"/>
          <w:i/>
          <w:iCs w:val="0"/>
          <w:color w:val="0C233C"/>
          <w:sz w:val="48"/>
          <w:szCs w:val="48"/>
          <w:shd w:val="clear" w:color="auto" w:fill="F5F6FA"/>
        </w:rPr>
        <w:t xml:space="preserve"> </w:t>
      </w:r>
      <w:r w:rsidR="00116925" w:rsidRPr="00116925">
        <w:rPr>
          <w:i/>
          <w:iCs w:val="0"/>
        </w:rPr>
        <w:t>Survey of Sustainability Reporting 2024, KPMG</w:t>
      </w:r>
    </w:p>
    <w:p w14:paraId="52992B29" w14:textId="77777777" w:rsidR="007A776A" w:rsidRPr="006B61CF" w:rsidRDefault="007A776A" w:rsidP="007A776A">
      <w:pPr>
        <w:spacing w:line="360" w:lineRule="auto"/>
        <w:rPr>
          <w:lang w:val="en-GB"/>
        </w:rPr>
      </w:pPr>
      <w:r w:rsidRPr="006B61CF">
        <w:rPr>
          <w:lang w:val="en-GB"/>
        </w:rPr>
        <w:lastRenderedPageBreak/>
        <w:t>Regarding the analysis of double materiality, 78% of the largest G250 companies have already integrated it, evaluating both the impacts of corporate activities on society and the environment and how associated risks and opportunities influence the company's financial performance.</w:t>
      </w:r>
    </w:p>
    <w:p w14:paraId="5919A60D" w14:textId="77777777" w:rsidR="007A776A" w:rsidRPr="006B61CF" w:rsidRDefault="007A776A" w:rsidP="007A776A">
      <w:pPr>
        <w:spacing w:line="360" w:lineRule="auto"/>
        <w:rPr>
          <w:lang w:val="en-GB"/>
        </w:rPr>
      </w:pPr>
      <w:r w:rsidRPr="006B61CF">
        <w:rPr>
          <w:lang w:val="en-GB"/>
        </w:rPr>
        <w:t>Currently, 45% of European companies conduct the assessment according to double materiality criteria, a percentage that is likely to increase with the mandatory introduction expected from the CSRD in the coming years. Considering different regions of the world, North America has the lowest adoption rate, with only 25% of companies on average integrating this type of analysis.</w:t>
      </w:r>
      <w:r w:rsidRPr="006B61CF">
        <w:rPr>
          <w:lang w:val="en-GB"/>
        </w:rPr>
        <w:footnoteReference w:id="44"/>
      </w:r>
    </w:p>
    <w:p w14:paraId="4804189D" w14:textId="77777777" w:rsidR="007A776A" w:rsidRPr="006B61CF" w:rsidRDefault="007A776A" w:rsidP="007A776A">
      <w:pPr>
        <w:spacing w:line="360" w:lineRule="auto"/>
        <w:rPr>
          <w:lang w:val="en-GB"/>
        </w:rPr>
      </w:pPr>
      <w:r w:rsidRPr="006B61CF">
        <w:rPr>
          <w:lang w:val="en-GB"/>
        </w:rPr>
        <w:t>The GRI remains the most widespread standard, with three-quarters of G250 companies using it and an almost equally high proportion of N100 groups. There have been greater increases in the use of both SASB and stock exchange guidelines in the last two years, although from lower bases. Their adoption varies by country and region, with all companies interviewed in Saudi Arabia using the guidelines of their local stock exchange and two-thirds of those in the Americas using SASB. SASB standards are used by 67% of companies in the Americas, nearly double the proportion in any other region, including over 70% of N100 companies in Brazil, Canada, Chile, and the United States. Outside of the Americas, companies in Taiwan (96%), South Korea (86%), and Ireland (65%) are more likely than others to make use of SASB standards, demonstrating how sustainability and its reporting now have a significant impact on companies, even the largest ones.</w:t>
      </w:r>
    </w:p>
    <w:p w14:paraId="60311B58" w14:textId="77777777" w:rsidR="007A776A" w:rsidRPr="006B61CF" w:rsidRDefault="007A776A" w:rsidP="007A776A">
      <w:pPr>
        <w:spacing w:line="360" w:lineRule="auto"/>
        <w:rPr>
          <w:lang w:val="en-GB"/>
        </w:rPr>
      </w:pPr>
      <w:r w:rsidRPr="006B61CF">
        <w:rPr>
          <w:lang w:val="en-GB"/>
        </w:rPr>
        <w:t xml:space="preserve">In the second chapter of the paper, we discussed the definition of sustainable finance and what it entails. We then analyzed the main financial instruments used to encourage sustainable financing and projects aimed at improving society and/or the environment. Subsequently, we presented how a company is evaluated in terms of </w:t>
      </w:r>
      <w:r w:rsidRPr="006B61CF">
        <w:rPr>
          <w:lang w:val="en-GB"/>
        </w:rPr>
        <w:lastRenderedPageBreak/>
        <w:t>sustainability by banks and financial institutions, and what the main entities are that judge and apply the so-called 'rating', which is the evaluation that will determine the willingness of the credit institution to grant access to contributions from an applicant. An analysis was then developed on the main advantages and disadvantages of ESG reporting for accessing financing, concluding with an analysis of the ESG paradox, thus exploring the relationship between economic results and sustainability.</w:t>
      </w:r>
    </w:p>
    <w:p w14:paraId="56F2F6C7" w14:textId="77777777" w:rsidR="007A776A" w:rsidRPr="006B61CF" w:rsidRDefault="007A776A" w:rsidP="007A776A">
      <w:pPr>
        <w:spacing w:line="360" w:lineRule="auto"/>
        <w:rPr>
          <w:lang w:val="en-GB"/>
        </w:rPr>
      </w:pPr>
      <w:r w:rsidRPr="006B61CF">
        <w:rPr>
          <w:lang w:val="en-GB"/>
        </w:rPr>
        <w:t>The sustainable loan market demonstrated robust growth in 2024, reaching EUR 907Bn globally – an increase of 17% compared to the same period in 2023.</w:t>
      </w:r>
    </w:p>
    <w:p w14:paraId="41F21B24" w14:textId="77777777" w:rsidR="007A776A" w:rsidRPr="006B61CF" w:rsidRDefault="007A776A" w:rsidP="007A776A">
      <w:pPr>
        <w:spacing w:line="360" w:lineRule="auto"/>
        <w:rPr>
          <w:lang w:val="en-GB"/>
        </w:rPr>
      </w:pPr>
      <w:r w:rsidRPr="006B61CF">
        <w:rPr>
          <w:lang w:val="en-GB"/>
        </w:rPr>
        <w:t>Sustainability-linked loans once again dominated the market, accounting for EUR 650Bn or 72% of the total sustainable loan volume. Sustainability-linked loans saw a significant year-over-year increase of 22%. In contrast, green loans experienced a more modest expansion, with volumes rising by 6% compared to 2023.</w:t>
      </w:r>
    </w:p>
    <w:p w14:paraId="00080EAC" w14:textId="77777777" w:rsidR="007A776A" w:rsidRPr="006B61CF" w:rsidRDefault="007A776A" w:rsidP="007A776A">
      <w:pPr>
        <w:spacing w:line="360" w:lineRule="auto"/>
        <w:rPr>
          <w:lang w:val="en-GB"/>
        </w:rPr>
      </w:pPr>
      <w:r w:rsidRPr="006B61CF">
        <w:rPr>
          <w:lang w:val="en-GB"/>
        </w:rPr>
        <w:t>EMEA remained the leading region for sustainable loans, recording EUR 448Bn in total volume-49% of the global sustainable loan market and a 19% increase from 2023. The Americas followed, representing 34% of the market with EUR 310Bn. The region also posted the highest growth rate globally, with a 27% increase year-over-year. Together, EMEA and the Americas accounted for 84% of total sustainable loan issuance in 2024. APAC concluded the year with EUR 133Bn, reflecting an 8% increase, a more moderate pace compared to EMEA and the Americas. Japan was the only major market to decline, with sustainable loan volumes falling by 44% to EUR 16Bn in 2024.</w:t>
      </w:r>
    </w:p>
    <w:p w14:paraId="502780C0" w14:textId="77777777" w:rsidR="007A776A" w:rsidRPr="006B61CF" w:rsidRDefault="007A776A" w:rsidP="007A776A">
      <w:pPr>
        <w:spacing w:line="360" w:lineRule="auto"/>
        <w:rPr>
          <w:lang w:val="en-GB"/>
        </w:rPr>
      </w:pPr>
      <w:r w:rsidRPr="006B61CF">
        <w:rPr>
          <w:lang w:val="en-GB"/>
        </w:rPr>
        <w:t>The sustainable loan market demonstrated robust growth in 2024, reaching EUR 907Bn globally – an increase of 17% compared to the same period in 2023.</w:t>
      </w:r>
      <w:r w:rsidRPr="006B61CF">
        <w:rPr>
          <w:lang w:val="en-GB"/>
        </w:rPr>
        <w:footnoteReference w:id="45"/>
      </w:r>
    </w:p>
    <w:p w14:paraId="16831C4C" w14:textId="77777777" w:rsidR="007A776A" w:rsidRPr="006B61CF" w:rsidRDefault="007A776A" w:rsidP="007A776A">
      <w:pPr>
        <w:spacing w:line="360" w:lineRule="auto"/>
        <w:rPr>
          <w:lang w:val="en-GB"/>
        </w:rPr>
      </w:pPr>
      <w:r w:rsidRPr="006B61CF">
        <w:rPr>
          <w:lang w:val="en-GB"/>
        </w:rPr>
        <w:t xml:space="preserve">The pipeline of global sustainable finance loans has come off highs observed during the Covid pandemic and in the two years immediately thereafter to top US$712bn by </w:t>
      </w:r>
      <w:r w:rsidRPr="006B61CF">
        <w:rPr>
          <w:lang w:val="en-GB"/>
        </w:rPr>
        <w:lastRenderedPageBreak/>
        <w:t>2022. What we have seen in the first nine months of 2024 is that ESG declined, as a proportion of global issuance, from 21% and 19% of 2022 and 2023 respectively, to 16%.</w:t>
      </w:r>
    </w:p>
    <w:p w14:paraId="3EE148DB" w14:textId="77777777" w:rsidR="007A776A" w:rsidRPr="006B61CF" w:rsidRDefault="007A776A" w:rsidP="007A776A">
      <w:pPr>
        <w:spacing w:line="360" w:lineRule="auto"/>
        <w:rPr>
          <w:lang w:val="en-GB"/>
        </w:rPr>
      </w:pPr>
    </w:p>
    <w:p w14:paraId="4389745D" w14:textId="77777777" w:rsidR="00CB3FEA" w:rsidRDefault="007A776A" w:rsidP="00CB3FEA">
      <w:pPr>
        <w:keepNext/>
        <w:jc w:val="center"/>
      </w:pPr>
      <w:r w:rsidRPr="006B61CF">
        <w:rPr>
          <w:noProof/>
          <w:lang w:val="en-GB"/>
        </w:rPr>
        <w:drawing>
          <wp:inline distT="0" distB="0" distL="0" distR="0" wp14:anchorId="27EF0B4E" wp14:editId="2D2F01EA">
            <wp:extent cx="5100387" cy="2110740"/>
            <wp:effectExtent l="0" t="0" r="5080" b="3810"/>
            <wp:docPr id="6728155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81550" name="Immagine 1"/>
                    <pic:cNvPicPr/>
                  </pic:nvPicPr>
                  <pic:blipFill>
                    <a:blip r:embed="rId46">
                      <a:extLst>
                        <a:ext uri="{28A0092B-C50C-407E-A947-70E740481C1C}">
                          <a14:useLocalDpi xmlns:a14="http://schemas.microsoft.com/office/drawing/2010/main" val="0"/>
                        </a:ext>
                      </a:extLst>
                    </a:blip>
                    <a:stretch>
                      <a:fillRect/>
                    </a:stretch>
                  </pic:blipFill>
                  <pic:spPr>
                    <a:xfrm>
                      <a:off x="0" y="0"/>
                      <a:ext cx="5105530" cy="2112868"/>
                    </a:xfrm>
                    <a:prstGeom prst="rect">
                      <a:avLst/>
                    </a:prstGeom>
                  </pic:spPr>
                </pic:pic>
              </a:graphicData>
            </a:graphic>
          </wp:inline>
        </w:drawing>
      </w:r>
    </w:p>
    <w:p w14:paraId="63B4CAB4" w14:textId="5FC25544" w:rsidR="007A776A" w:rsidRPr="00D77F7B" w:rsidRDefault="00CB3FEA" w:rsidP="00D77F7B">
      <w:pPr>
        <w:pStyle w:val="Didascalia"/>
      </w:pPr>
      <w:r>
        <w:t xml:space="preserve">Figure </w:t>
      </w:r>
      <w:r>
        <w:fldChar w:fldCharType="begin"/>
      </w:r>
      <w:r>
        <w:instrText xml:space="preserve"> SEQ Figure \* ARABIC </w:instrText>
      </w:r>
      <w:r>
        <w:fldChar w:fldCharType="separate"/>
      </w:r>
      <w:r w:rsidR="008F724A">
        <w:rPr>
          <w:noProof/>
        </w:rPr>
        <w:t>9</w:t>
      </w:r>
      <w:r>
        <w:fldChar w:fldCharType="end"/>
      </w:r>
      <w:r w:rsidR="00D77F7B">
        <w:t xml:space="preserve"> </w:t>
      </w:r>
      <w:r w:rsidR="00D77F7B" w:rsidRPr="00D77F7B">
        <w:rPr>
          <w:i/>
          <w:iCs w:val="0"/>
        </w:rPr>
        <w:t>Global Sustainable Finance Volume, Loan Market Association</w:t>
      </w:r>
      <w:r w:rsidR="00D77F7B">
        <w:rPr>
          <w:i/>
          <w:iCs w:val="0"/>
        </w:rPr>
        <w:t xml:space="preserve"> </w:t>
      </w:r>
      <w:r w:rsidR="007A776A" w:rsidRPr="006B61CF">
        <w:rPr>
          <w:lang w:val="en-GB"/>
        </w:rPr>
        <w:footnoteReference w:id="46"/>
      </w:r>
    </w:p>
    <w:p w14:paraId="29D150BB" w14:textId="77777777" w:rsidR="007A776A" w:rsidRPr="006B61CF" w:rsidRDefault="007A776A" w:rsidP="007A776A">
      <w:pPr>
        <w:rPr>
          <w:lang w:val="en-GB"/>
        </w:rPr>
      </w:pPr>
    </w:p>
    <w:p w14:paraId="5E12DAA4" w14:textId="77777777" w:rsidR="007A776A" w:rsidRPr="006B61CF" w:rsidRDefault="007A776A" w:rsidP="007A776A">
      <w:pPr>
        <w:spacing w:line="360" w:lineRule="auto"/>
        <w:rPr>
          <w:lang w:val="en-GB"/>
        </w:rPr>
      </w:pPr>
      <w:r w:rsidRPr="006B61CF">
        <w:rPr>
          <w:lang w:val="en-GB"/>
        </w:rPr>
        <w:t xml:space="preserve">Nevertheless, in 2024, the market remains steady. When looking at volume on a global level, sustainable syndicated loans increased by approximately 26% in the first nine months of 2024, reaching $580 billion compared to $459 billion during the same period last year. </w:t>
      </w:r>
      <w:r w:rsidRPr="006B61CF">
        <w:rPr>
          <w:lang w:val="en-GB"/>
        </w:rPr>
        <w:footnoteReference w:id="47"/>
      </w:r>
    </w:p>
    <w:p w14:paraId="145AB513" w14:textId="77777777" w:rsidR="007A776A" w:rsidRPr="006B61CF" w:rsidRDefault="007A776A" w:rsidP="007A776A">
      <w:pPr>
        <w:spacing w:line="360" w:lineRule="auto"/>
        <w:rPr>
          <w:lang w:val="en-GB"/>
        </w:rPr>
      </w:pPr>
      <w:r w:rsidRPr="006B61CF">
        <w:rPr>
          <w:lang w:val="en-GB"/>
        </w:rPr>
        <w:t xml:space="preserve">Against this backdrop there has nevertheless been heightened focus on enhanced verification processes for sustainability-linked loans (SLLs), which aim to boost the credibility and effectiveness of the performance targets set by borrowers.  Regulatory bodies and key market players are expected to provide new guidelines to support the growth and integrity of these financial products. </w:t>
      </w:r>
    </w:p>
    <w:p w14:paraId="6F046D87" w14:textId="77777777" w:rsidR="0062497E" w:rsidRDefault="007A776A" w:rsidP="007A776A">
      <w:pPr>
        <w:rPr>
          <w:lang w:val="en-GB"/>
        </w:rPr>
      </w:pPr>
      <w:r w:rsidRPr="006B61CF">
        <w:rPr>
          <w:lang w:val="en-GB"/>
        </w:rPr>
        <w:t>Despite the challenges, SLLs account for 70% of the total global sustainable finance</w:t>
      </w:r>
    </w:p>
    <w:p w14:paraId="2450C3EB" w14:textId="77777777" w:rsidR="0062497E" w:rsidRDefault="007A776A" w:rsidP="007A776A">
      <w:pPr>
        <w:rPr>
          <w:lang w:val="en-GB"/>
        </w:rPr>
      </w:pPr>
      <w:r w:rsidRPr="006B61CF">
        <w:rPr>
          <w:lang w:val="en-GB"/>
        </w:rPr>
        <w:t xml:space="preserve"> loan volume, with an issuance of $407 billion, an increase of 21% compared to the first </w:t>
      </w:r>
    </w:p>
    <w:p w14:paraId="3AD67ACE" w14:textId="77777777" w:rsidR="0062497E" w:rsidRDefault="007A776A" w:rsidP="007A776A">
      <w:pPr>
        <w:rPr>
          <w:lang w:val="en-GB"/>
        </w:rPr>
      </w:pPr>
      <w:r w:rsidRPr="006B61CF">
        <w:rPr>
          <w:lang w:val="en-GB"/>
        </w:rPr>
        <w:t xml:space="preserve">nine months of 2023, but a 13% and 3% decrease compared to the first nine months of </w:t>
      </w:r>
    </w:p>
    <w:p w14:paraId="76E1582A" w14:textId="4978D028" w:rsidR="007A776A" w:rsidRPr="006B61CF" w:rsidRDefault="007A776A" w:rsidP="007A776A">
      <w:pPr>
        <w:rPr>
          <w:lang w:val="en-GB"/>
        </w:rPr>
      </w:pPr>
      <w:r w:rsidRPr="006B61CF">
        <w:rPr>
          <w:lang w:val="en-GB"/>
        </w:rPr>
        <w:t>2022 and 2021 respectively.</w:t>
      </w:r>
    </w:p>
    <w:p w14:paraId="05E2C1EE" w14:textId="40E59667" w:rsidR="00D23154" w:rsidRDefault="00D23154" w:rsidP="00D23154">
      <w:pPr>
        <w:pStyle w:val="Titolo2"/>
        <w:numPr>
          <w:ilvl w:val="0"/>
          <w:numId w:val="0"/>
        </w:numPr>
        <w:rPr>
          <w:lang w:val="en-US"/>
        </w:rPr>
      </w:pPr>
      <w:bookmarkStart w:id="64" w:name="_Toc207225660"/>
      <w:bookmarkStart w:id="65" w:name="_Toc207471611"/>
      <w:r>
        <w:rPr>
          <w:noProof/>
        </w:rPr>
        <w:lastRenderedPageBreak/>
        <mc:AlternateContent>
          <mc:Choice Requires="wps">
            <w:drawing>
              <wp:anchor distT="0" distB="0" distL="114300" distR="114300" simplePos="0" relativeHeight="251664384" behindDoc="0" locked="0" layoutInCell="1" allowOverlap="1" wp14:anchorId="701EB87F" wp14:editId="6C32F61E">
                <wp:simplePos x="0" y="0"/>
                <wp:positionH relativeFrom="column">
                  <wp:posOffset>280670</wp:posOffset>
                </wp:positionH>
                <wp:positionV relativeFrom="paragraph">
                  <wp:posOffset>3218815</wp:posOffset>
                </wp:positionV>
                <wp:extent cx="5175250" cy="635"/>
                <wp:effectExtent l="0" t="0" r="6350" b="7620"/>
                <wp:wrapThrough wrapText="bothSides">
                  <wp:wrapPolygon edited="0">
                    <wp:start x="0" y="0"/>
                    <wp:lineTo x="0" y="21316"/>
                    <wp:lineTo x="21547" y="21316"/>
                    <wp:lineTo x="21547" y="0"/>
                    <wp:lineTo x="0" y="0"/>
                  </wp:wrapPolygon>
                </wp:wrapThrough>
                <wp:docPr id="1084089358" name="Casella di testo 1"/>
                <wp:cNvGraphicFramePr/>
                <a:graphic xmlns:a="http://schemas.openxmlformats.org/drawingml/2006/main">
                  <a:graphicData uri="http://schemas.microsoft.com/office/word/2010/wordprocessingShape">
                    <wps:wsp>
                      <wps:cNvSpPr txBox="1"/>
                      <wps:spPr>
                        <a:xfrm>
                          <a:off x="0" y="0"/>
                          <a:ext cx="5175250" cy="635"/>
                        </a:xfrm>
                        <a:prstGeom prst="rect">
                          <a:avLst/>
                        </a:prstGeom>
                        <a:solidFill>
                          <a:prstClr val="white"/>
                        </a:solidFill>
                        <a:ln>
                          <a:noFill/>
                        </a:ln>
                      </wps:spPr>
                      <wps:txbx>
                        <w:txbxContent>
                          <w:p w14:paraId="40EB22AA" w14:textId="5E0449C7" w:rsidR="00D23154" w:rsidRPr="00D23154" w:rsidRDefault="00B52F18" w:rsidP="00D23154">
                            <w:pPr>
                              <w:pStyle w:val="Didascalia"/>
                              <w:jc w:val="both"/>
                            </w:pPr>
                            <w:r>
                              <w:t xml:space="preserve">Figure </w:t>
                            </w:r>
                            <w:r>
                              <w:fldChar w:fldCharType="begin"/>
                            </w:r>
                            <w:r>
                              <w:instrText xml:space="preserve"> SEQ Figure \* ARABIC </w:instrText>
                            </w:r>
                            <w:r>
                              <w:fldChar w:fldCharType="separate"/>
                            </w:r>
                            <w:r w:rsidR="008F724A">
                              <w:rPr>
                                <w:noProof/>
                              </w:rPr>
                              <w:t>10</w:t>
                            </w:r>
                            <w:r>
                              <w:fldChar w:fldCharType="end"/>
                            </w:r>
                            <w:r>
                              <w:t xml:space="preserve"> </w:t>
                            </w:r>
                            <w:r w:rsidRPr="00D23154">
                              <w:rPr>
                                <w:i/>
                                <w:iCs w:val="0"/>
                              </w:rPr>
                              <w:t>Global Sustainable</w:t>
                            </w:r>
                            <w:r w:rsidR="008C73CF" w:rsidRPr="00D23154">
                              <w:rPr>
                                <w:i/>
                                <w:iCs w:val="0"/>
                              </w:rPr>
                              <w:t xml:space="preserve"> Finance Volume, </w:t>
                            </w:r>
                            <w:r w:rsidR="00D23154" w:rsidRPr="00D23154">
                              <w:rPr>
                                <w:i/>
                                <w:iCs w:val="0"/>
                              </w:rPr>
                              <w:t>Insights from LSEG Data on Sustainability Strategies</w:t>
                            </w:r>
                          </w:p>
                          <w:p w14:paraId="4CB4DEFE" w14:textId="179D9C84" w:rsidR="00B52F18" w:rsidRPr="00EF71F1" w:rsidRDefault="00B52F18" w:rsidP="00B52F18">
                            <w:pPr>
                              <w:pStyle w:val="Didascalia"/>
                              <w:rPr>
                                <w:rFonts w:ascii="Times New Roman" w:hAnsi="Times New Roman" w:cs="Times New Roman"/>
                                <w:noProof/>
                                <w:color w:val="728FA5"/>
                                <w:sz w:val="36"/>
                                <w:szCs w:val="2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01EB87F" id="_x0000_s1027" type="#_x0000_t202" style="position:absolute;left:0;text-align:left;margin-left:22.1pt;margin-top:253.45pt;width:407.5pt;height:.0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" stroked="f">
                <v:textbox style="mso-fit-shape-to-text:t" inset="0,0,0,0">
                  <w:txbxContent>
                    <w:p w14:paraId="40EB22AA" w14:textId="5E0449C7" w:rsidR="00D23154" w:rsidRPr="00D23154" w:rsidRDefault="00B52F18" w:rsidP="00D23154">
                      <w:pPr>
                        <w:pStyle w:val="Didascalia"/>
                        <w:jc w:val="both"/>
                      </w:pPr>
                      <w:r>
                        <w:t xml:space="preserve">Figure </w:t>
                      </w:r>
                      <w:r>
                        <w:fldChar w:fldCharType="begin"/>
                      </w:r>
                      <w:r>
                        <w:instrText xml:space="preserve"> SEQ Figure \* ARABIC </w:instrText>
                      </w:r>
                      <w:r>
                        <w:fldChar w:fldCharType="separate"/>
                      </w:r>
                      <w:r w:rsidR="008F724A">
                        <w:rPr>
                          <w:noProof/>
                        </w:rPr>
                        <w:t>10</w:t>
                      </w:r>
                      <w:r>
                        <w:fldChar w:fldCharType="end"/>
                      </w:r>
                      <w:r>
                        <w:t xml:space="preserve"> </w:t>
                      </w:r>
                      <w:r w:rsidRPr="00D23154">
                        <w:rPr>
                          <w:i/>
                          <w:iCs w:val="0"/>
                        </w:rPr>
                        <w:t>Global Sustainable</w:t>
                      </w:r>
                      <w:r w:rsidR="008C73CF" w:rsidRPr="00D23154">
                        <w:rPr>
                          <w:i/>
                          <w:iCs w:val="0"/>
                        </w:rPr>
                        <w:t xml:space="preserve"> Finance Volume, </w:t>
                      </w:r>
                      <w:r w:rsidR="00D23154" w:rsidRPr="00D23154">
                        <w:rPr>
                          <w:i/>
                          <w:iCs w:val="0"/>
                        </w:rPr>
                        <w:t>Insights from LSEG Data on Sustainability Strategies</w:t>
                      </w:r>
                    </w:p>
                    <w:p w14:paraId="4CB4DEFE" w14:textId="179D9C84" w:rsidR="00B52F18" w:rsidRPr="00EF71F1" w:rsidRDefault="00B52F18" w:rsidP="00B52F18">
                      <w:pPr>
                        <w:pStyle w:val="Didascalia"/>
                        <w:rPr>
                          <w:rFonts w:ascii="Times New Roman" w:hAnsi="Times New Roman" w:cs="Times New Roman"/>
                          <w:noProof/>
                          <w:color w:val="728FA5"/>
                          <w:sz w:val="36"/>
                          <w:szCs w:val="26"/>
                        </w:rPr>
                      </w:pPr>
                    </w:p>
                  </w:txbxContent>
                </v:textbox>
                <w10:wrap type="through"/>
              </v:shape>
            </w:pict>
          </mc:Fallback>
        </mc:AlternateContent>
      </w:r>
      <w:r w:rsidRPr="00C80C3B">
        <w:rPr>
          <w:rFonts w:ascii="Times New Roman" w:hAnsi="Times New Roman" w:cs="Times New Roman"/>
          <w:noProof/>
          <w:lang w:val="en-US"/>
        </w:rPr>
        <w:drawing>
          <wp:anchor distT="0" distB="0" distL="114300" distR="114300" simplePos="0" relativeHeight="251660288" behindDoc="0" locked="0" layoutInCell="1" allowOverlap="1" wp14:anchorId="2211B77B" wp14:editId="0871C851">
            <wp:simplePos x="0" y="0"/>
            <wp:positionH relativeFrom="margin">
              <wp:align>center</wp:align>
            </wp:positionH>
            <wp:positionV relativeFrom="paragraph">
              <wp:posOffset>501650</wp:posOffset>
            </wp:positionV>
            <wp:extent cx="5226050" cy="2609215"/>
            <wp:effectExtent l="0" t="0" r="0" b="635"/>
            <wp:wrapThrough wrapText="bothSides">
              <wp:wrapPolygon edited="0">
                <wp:start x="0" y="0"/>
                <wp:lineTo x="0" y="21448"/>
                <wp:lineTo x="21495" y="21448"/>
                <wp:lineTo x="21495" y="0"/>
                <wp:lineTo x="0" y="0"/>
              </wp:wrapPolygon>
            </wp:wrapThrough>
            <wp:docPr id="31217858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78584" name="Immagine 1"/>
                    <pic:cNvPicPr/>
                  </pic:nvPicPr>
                  <pic:blipFill>
                    <a:blip r:embed="rId47">
                      <a:extLst>
                        <a:ext uri="{28A0092B-C50C-407E-A947-70E740481C1C}">
                          <a14:useLocalDpi xmlns:a14="http://schemas.microsoft.com/office/drawing/2010/main" val="0"/>
                        </a:ext>
                      </a:extLst>
                    </a:blip>
                    <a:stretch>
                      <a:fillRect/>
                    </a:stretch>
                  </pic:blipFill>
                  <pic:spPr>
                    <a:xfrm>
                      <a:off x="0" y="0"/>
                      <a:ext cx="5226050" cy="2609215"/>
                    </a:xfrm>
                    <a:prstGeom prst="rect">
                      <a:avLst/>
                    </a:prstGeom>
                  </pic:spPr>
                </pic:pic>
              </a:graphicData>
            </a:graphic>
            <wp14:sizeRelH relativeFrom="margin">
              <wp14:pctWidth>0</wp14:pctWidth>
            </wp14:sizeRelH>
          </wp:anchor>
        </w:drawing>
      </w:r>
    </w:p>
    <w:p w14:paraId="3E00414A" w14:textId="5C336A13" w:rsidR="007A776A" w:rsidRDefault="00D23154" w:rsidP="00D23154">
      <w:pPr>
        <w:pStyle w:val="Titolo2"/>
        <w:numPr>
          <w:ilvl w:val="0"/>
          <w:numId w:val="0"/>
        </w:numPr>
        <w:ind w:left="851" w:hanging="851"/>
        <w:rPr>
          <w:lang w:val="en-US"/>
        </w:rPr>
      </w:pPr>
      <w:r w:rsidRPr="001F44C9">
        <w:rPr>
          <w:lang w:val="en-US"/>
        </w:rPr>
        <w:t xml:space="preserve">4.2 </w:t>
      </w:r>
      <w:r>
        <w:rPr>
          <w:lang w:val="en-US"/>
        </w:rPr>
        <w:t>Synergies</w:t>
      </w:r>
      <w:r w:rsidR="007A776A" w:rsidRPr="001F44C9">
        <w:rPr>
          <w:lang w:val="en-US"/>
        </w:rPr>
        <w:t xml:space="preserve"> between technology, finance and sustainability</w:t>
      </w:r>
      <w:bookmarkEnd w:id="64"/>
      <w:bookmarkEnd w:id="65"/>
    </w:p>
    <w:p w14:paraId="2AD57B71" w14:textId="35CE7B6B" w:rsidR="007A776A" w:rsidRPr="006B61CF" w:rsidRDefault="007A776A" w:rsidP="007A776A">
      <w:pPr>
        <w:spacing w:line="360" w:lineRule="auto"/>
        <w:rPr>
          <w:lang w:val="en-GB"/>
        </w:rPr>
      </w:pPr>
      <w:r w:rsidRPr="006B61CF">
        <w:rPr>
          <w:lang w:val="en-GB"/>
        </w:rPr>
        <w:t>The financial services landscape is undergoing profound change, accelerated by the rapid emergence and adoption of technologies such as artificial intelligence (ai), machine learning (Ml), blockchain, and generative ai. These technologies have catalyzed a revolution in the way financial services are designed, delivered and regulated. They are not just incremental improvements, but fundamental disruptors that are redefining traditional frameworks for banking, investing, risk management, and consumer engagement (World Bank, 2023). These innovations are eliminating barriers to financial access, optimizing operational efficiency, and introducing new risks and regulatory challenges.</w:t>
      </w:r>
    </w:p>
    <w:p w14:paraId="5AED636F" w14:textId="77777777" w:rsidR="007A776A" w:rsidRPr="006B61CF" w:rsidRDefault="007A776A" w:rsidP="007A776A">
      <w:pPr>
        <w:spacing w:line="360" w:lineRule="auto"/>
        <w:rPr>
          <w:lang w:val="en-GB"/>
        </w:rPr>
      </w:pPr>
      <w:r w:rsidRPr="006B61CF">
        <w:rPr>
          <w:lang w:val="en-GB"/>
        </w:rPr>
        <w:lastRenderedPageBreak/>
        <w:t>AI and Machine Learning driven risk assessment models have also improved credit evaluation, bank performance, and risk management. These technologies help detect fraud and combat financial crimes such as money laundering and cybercrime, enhancing financial institutions’ security and risk management capabilities. In the context of this technological disruption, the concept of sustainable finance has emerged as a key enabler for reconciling economic growth with planetary and social well-being.</w:t>
      </w:r>
    </w:p>
    <w:p w14:paraId="600C7ACE" w14:textId="77777777" w:rsidR="007A776A" w:rsidRPr="006B61CF" w:rsidRDefault="007A776A" w:rsidP="007A776A">
      <w:pPr>
        <w:spacing w:line="360" w:lineRule="auto"/>
        <w:rPr>
          <w:lang w:val="en-GB"/>
        </w:rPr>
      </w:pPr>
      <w:r w:rsidRPr="006B61CF">
        <w:rPr>
          <w:lang w:val="en-GB"/>
        </w:rPr>
        <w:t>The financial sector’s drive towards sustainability is significantly increased by its integration of emerging technologies. Research consistently emphasizes the critical role of digital innovations, particularly AI and machine learning, in both post-pandemic recovery and long-term prosperity.</w:t>
      </w:r>
    </w:p>
    <w:p w14:paraId="59D016BD" w14:textId="77777777" w:rsidR="007A776A" w:rsidRPr="006B61CF" w:rsidRDefault="007A776A" w:rsidP="007A776A">
      <w:pPr>
        <w:spacing w:line="360" w:lineRule="auto"/>
        <w:rPr>
          <w:lang w:val="en-GB"/>
        </w:rPr>
      </w:pPr>
      <w:r w:rsidRPr="006B61CF">
        <w:rPr>
          <w:lang w:val="en-GB"/>
        </w:rPr>
        <w:t xml:space="preserve">These technologies are increasingly used to quantify ESG risks, optimize green investments, and model the financial impacts of climate change, demonstrating a strong link between techno-logical progress and a more sustainable financial system. Moreover, these tools are fostering inclusive digital financial solutions that complement traditional systems by improving accessibility, efficiency, and reducing both information asymmetry and transaction costs. </w:t>
      </w:r>
    </w:p>
    <w:p w14:paraId="1F052BB3" w14:textId="77777777" w:rsidR="007A776A" w:rsidRPr="006B61CF" w:rsidRDefault="007A776A" w:rsidP="007A776A">
      <w:pPr>
        <w:spacing w:line="360" w:lineRule="auto"/>
        <w:rPr>
          <w:lang w:val="en-GB"/>
        </w:rPr>
      </w:pPr>
      <w:r w:rsidRPr="006B61CF">
        <w:rPr>
          <w:lang w:val="en-GB"/>
        </w:rPr>
        <w:t>“FinTech is the abbreviation for Financial Technology, namely the application of technology to the delivery of financing, payment, investment and consulting services, which has become a powerful driver of innovation in the financial services market”.   Financial Stability Board</w:t>
      </w:r>
    </w:p>
    <w:p w14:paraId="246A401B" w14:textId="77777777" w:rsidR="007A776A" w:rsidRPr="006B61CF" w:rsidRDefault="007A776A" w:rsidP="007A776A">
      <w:pPr>
        <w:spacing w:line="360" w:lineRule="auto"/>
        <w:rPr>
          <w:lang w:val="en-GB"/>
        </w:rPr>
      </w:pPr>
      <w:r w:rsidRPr="006B61CF">
        <w:rPr>
          <w:lang w:val="en-GB"/>
        </w:rPr>
        <w:t>International institutions converge in grouping under the label: Green FinTech (or Climate Fintech), the innovative digital applications in finance aimed at supporting the decarbonization process and sustainable transition. The applications include operational innovations, products, and platforms.</w:t>
      </w:r>
    </w:p>
    <w:p w14:paraId="1B2A09A1" w14:textId="77777777" w:rsidR="007A776A" w:rsidRPr="006B61CF" w:rsidRDefault="007A776A" w:rsidP="007A776A">
      <w:pPr>
        <w:spacing w:line="360" w:lineRule="auto"/>
        <w:rPr>
          <w:lang w:val="en-GB"/>
        </w:rPr>
      </w:pPr>
      <w:r w:rsidRPr="006B61CF">
        <w:rPr>
          <w:lang w:val="en-GB"/>
        </w:rPr>
        <w:t>CommerzVentures has published its 2025 Climate Fintech Report, highlighting a strong year for investment in Climate Fintech despite wider economic challenges.</w:t>
      </w:r>
    </w:p>
    <w:p w14:paraId="36C01358" w14:textId="77777777" w:rsidR="007A776A" w:rsidRPr="006B61CF" w:rsidRDefault="007A776A" w:rsidP="007A776A">
      <w:pPr>
        <w:spacing w:line="360" w:lineRule="auto"/>
        <w:rPr>
          <w:lang w:val="en-GB"/>
        </w:rPr>
      </w:pPr>
      <w:r w:rsidRPr="006B61CF">
        <w:rPr>
          <w:lang w:val="en-GB"/>
        </w:rPr>
        <w:lastRenderedPageBreak/>
        <w:t>In 2024, the sector secured a total of US$2.7 billion in funding, representing a 17% increase from the previous year.</w:t>
      </w:r>
      <w:r w:rsidRPr="006B61CF">
        <w:rPr>
          <w:lang w:val="en-GB"/>
        </w:rPr>
        <w:footnoteReference w:id="48"/>
      </w:r>
      <w:r w:rsidRPr="006B61CF">
        <w:rPr>
          <w:lang w:val="en-GB"/>
        </w:rPr>
        <w:t xml:space="preserve"> </w:t>
      </w:r>
    </w:p>
    <w:p w14:paraId="01B2F71B" w14:textId="77777777" w:rsidR="007A776A" w:rsidRPr="006B61CF" w:rsidRDefault="007A776A" w:rsidP="007A776A">
      <w:pPr>
        <w:spacing w:line="360" w:lineRule="auto"/>
        <w:rPr>
          <w:lang w:val="en-GB"/>
        </w:rPr>
      </w:pPr>
      <w:r w:rsidRPr="006B61CF">
        <w:rPr>
          <w:lang w:val="en-GB"/>
        </w:rPr>
        <w:t>This growth significantly outpaced the overall venture capital market, which expanded by only 3% during the same period.</w:t>
      </w:r>
    </w:p>
    <w:p w14:paraId="49BE7C02" w14:textId="77777777" w:rsidR="007A776A" w:rsidRPr="006B61CF" w:rsidRDefault="007A776A" w:rsidP="007A776A">
      <w:pPr>
        <w:spacing w:line="360" w:lineRule="auto"/>
        <w:rPr>
          <w:lang w:val="en-GB"/>
        </w:rPr>
      </w:pPr>
      <w:r w:rsidRPr="006B61CF">
        <w:rPr>
          <w:lang w:val="en-GB"/>
        </w:rPr>
        <w:t>European Climate Fintech startups attracted the most investment, securing 2.5 times more venture capital funding than their North American counterparts.</w:t>
      </w:r>
    </w:p>
    <w:p w14:paraId="2BA83139" w14:textId="77777777" w:rsidR="007A776A" w:rsidRPr="006B61CF" w:rsidRDefault="007A776A" w:rsidP="007A776A">
      <w:pPr>
        <w:spacing w:line="360" w:lineRule="auto"/>
        <w:rPr>
          <w:lang w:val="en-GB"/>
        </w:rPr>
      </w:pPr>
      <w:r w:rsidRPr="006B61CF">
        <w:rPr>
          <w:lang w:val="en-GB"/>
        </w:rPr>
        <w:t>European companies collectively raised US$1.95 billion across 111 financing rounds, whereas North American startups secured US$765 million across 27 rounds.</w:t>
      </w:r>
    </w:p>
    <w:p w14:paraId="6E750FAD" w14:textId="77777777" w:rsidR="007A776A" w:rsidRPr="006B61CF" w:rsidRDefault="007A776A" w:rsidP="007A776A">
      <w:pPr>
        <w:spacing w:line="360" w:lineRule="auto"/>
        <w:rPr>
          <w:lang w:val="en-GB"/>
        </w:rPr>
      </w:pPr>
      <w:r w:rsidRPr="006B61CF">
        <w:rPr>
          <w:lang w:val="en-GB"/>
        </w:rPr>
        <w:t>The report also highlights a geographical shift in European Climate Fintech investment, with Germany surpassing the United Kingdom for the first time as the leading destination for capital, raising US$832 million in funding.</w:t>
      </w:r>
    </w:p>
    <w:p w14:paraId="7D019AF7" w14:textId="77777777" w:rsidR="008F724A" w:rsidRDefault="007A776A" w:rsidP="008F724A">
      <w:pPr>
        <w:keepNext/>
      </w:pPr>
      <w:r w:rsidRPr="00986FE6">
        <w:rPr>
          <w:noProof/>
          <w:lang w:val="en-US"/>
        </w:rPr>
        <w:drawing>
          <wp:inline distT="0" distB="0" distL="0" distR="0" wp14:anchorId="719D1DA0" wp14:editId="08FE761E">
            <wp:extent cx="5848350" cy="2210961"/>
            <wp:effectExtent l="0" t="0" r="0" b="0"/>
            <wp:docPr id="66535020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350205" name="Immagine 1"/>
                    <pic:cNvPicPr/>
                  </pic:nvPicPr>
                  <pic:blipFill>
                    <a:blip r:embed="rId48">
                      <a:extLst>
                        <a:ext uri="{28A0092B-C50C-407E-A947-70E740481C1C}">
                          <a14:useLocalDpi xmlns:a14="http://schemas.microsoft.com/office/drawing/2010/main" val="0"/>
                        </a:ext>
                      </a:extLst>
                    </a:blip>
                    <a:stretch>
                      <a:fillRect/>
                    </a:stretch>
                  </pic:blipFill>
                  <pic:spPr>
                    <a:xfrm>
                      <a:off x="0" y="0"/>
                      <a:ext cx="5848350" cy="2210961"/>
                    </a:xfrm>
                    <a:prstGeom prst="rect">
                      <a:avLst/>
                    </a:prstGeom>
                  </pic:spPr>
                </pic:pic>
              </a:graphicData>
            </a:graphic>
          </wp:inline>
        </w:drawing>
      </w:r>
    </w:p>
    <w:p w14:paraId="1BE753FD" w14:textId="4F59B3E3" w:rsidR="007A776A" w:rsidRDefault="008F724A" w:rsidP="008F724A">
      <w:pPr>
        <w:pStyle w:val="Didascalia"/>
        <w:jc w:val="both"/>
        <w:rPr>
          <w:i/>
          <w:iCs w:val="0"/>
          <w:lang w:val="en-GB"/>
        </w:rPr>
      </w:pPr>
      <w:r>
        <w:t xml:space="preserve">Figure </w:t>
      </w:r>
      <w:r>
        <w:fldChar w:fldCharType="begin"/>
      </w:r>
      <w:r>
        <w:instrText xml:space="preserve"> SEQ Figure \* ARABIC </w:instrText>
      </w:r>
      <w:r>
        <w:fldChar w:fldCharType="separate"/>
      </w:r>
      <w:r>
        <w:rPr>
          <w:noProof/>
        </w:rPr>
        <w:t>11</w:t>
      </w:r>
      <w:r>
        <w:fldChar w:fldCharType="end"/>
      </w:r>
      <w:r>
        <w:t xml:space="preserve"> </w:t>
      </w:r>
      <w:r w:rsidRPr="00CD7875">
        <w:rPr>
          <w:i/>
          <w:iCs w:val="0"/>
        </w:rPr>
        <w:t>Funding top1</w:t>
      </w:r>
      <w:r w:rsidR="00E80646" w:rsidRPr="00CD7875">
        <w:rPr>
          <w:i/>
          <w:iCs w:val="0"/>
        </w:rPr>
        <w:t xml:space="preserve">3 </w:t>
      </w:r>
      <w:r w:rsidRPr="00CD7875">
        <w:rPr>
          <w:i/>
          <w:iCs w:val="0"/>
        </w:rPr>
        <w:t>EU</w:t>
      </w:r>
      <w:r w:rsidR="00E80646" w:rsidRPr="00CD7875">
        <w:rPr>
          <w:i/>
          <w:iCs w:val="0"/>
        </w:rPr>
        <w:t>,</w:t>
      </w:r>
      <w:r w:rsidR="00E80646" w:rsidRPr="00CD7875">
        <w:rPr>
          <w:i/>
          <w:iCs w:val="0"/>
          <w:lang w:val="en-GB"/>
        </w:rPr>
        <w:t xml:space="preserve"> European Climate Fintech, Commerzventures</w:t>
      </w:r>
    </w:p>
    <w:p w14:paraId="65AA4266" w14:textId="77777777" w:rsidR="00CD7875" w:rsidRPr="00CD7875" w:rsidRDefault="00CD7875" w:rsidP="00CD7875">
      <w:pPr>
        <w:rPr>
          <w:lang w:val="en-GB"/>
        </w:rPr>
      </w:pPr>
    </w:p>
    <w:p w14:paraId="148DD95E" w14:textId="77777777" w:rsidR="007A776A" w:rsidRPr="006B61CF" w:rsidRDefault="007A776A" w:rsidP="007A776A">
      <w:pPr>
        <w:spacing w:line="360" w:lineRule="auto"/>
        <w:rPr>
          <w:lang w:val="en-GB"/>
        </w:rPr>
      </w:pPr>
      <w:r w:rsidRPr="006B61CF">
        <w:rPr>
          <w:lang w:val="en-GB"/>
        </w:rPr>
        <w:t>Despite economic headwinds, early-stage Climate Fintech companies continued to attract strong investor interest. More than 50% of all financing rounds in 2024 were at the Pre-Seed and Seed stages, indicating sustained confidence in the sector’s long-term potential.</w:t>
      </w:r>
    </w:p>
    <w:p w14:paraId="20D8B76D" w14:textId="77777777" w:rsidR="007A776A" w:rsidRPr="006B61CF" w:rsidRDefault="007A776A" w:rsidP="007A776A">
      <w:pPr>
        <w:spacing w:line="360" w:lineRule="auto"/>
        <w:rPr>
          <w:lang w:val="en-GB"/>
        </w:rPr>
      </w:pPr>
      <w:r w:rsidRPr="006B61CF">
        <w:rPr>
          <w:lang w:val="en-GB"/>
        </w:rPr>
        <w:lastRenderedPageBreak/>
        <w:t>Investment activity was particularly concentrated in three key areas: Energy x Fintech, which raised the highest amount of funding at US$870 million, followed by Carbon Markets (US$460 million) and Climate Risk (US$404 million).</w:t>
      </w:r>
    </w:p>
    <w:p w14:paraId="3501A6FE" w14:textId="77777777" w:rsidR="007A776A" w:rsidRPr="006B61CF" w:rsidRDefault="007A776A" w:rsidP="007A776A">
      <w:pPr>
        <w:spacing w:line="360" w:lineRule="auto"/>
        <w:rPr>
          <w:lang w:val="en-GB"/>
        </w:rPr>
      </w:pPr>
      <w:r w:rsidRPr="006B61CF">
        <w:rPr>
          <w:lang w:val="en-GB"/>
        </w:rPr>
        <w:t>The report also highlights emerging trends in the sector, including increasing regulatory and corporate demand for carbon accounting, ESG compliance, and risk management solutions. As companies and financial institutions seek to align their operations with climate goals, Climate Fintech firms are playing an increasingly critical role in facilitating sustainable financial services and investment strategies. The sector’s resilience in 2024 suggests that Climate Fintech will remain a key area of growth within venture capital, particularly as regulatory frameworks evolve and investor awareness of climate-related financial risks continues to rise.</w:t>
      </w:r>
    </w:p>
    <w:p w14:paraId="1B702250" w14:textId="77777777" w:rsidR="007A776A" w:rsidRPr="006B61CF" w:rsidRDefault="007A776A" w:rsidP="007A776A">
      <w:pPr>
        <w:spacing w:line="360" w:lineRule="auto"/>
        <w:rPr>
          <w:lang w:val="en-GB"/>
        </w:rPr>
      </w:pPr>
      <w:r w:rsidRPr="006B61CF">
        <w:rPr>
          <w:lang w:val="en-GB"/>
        </w:rPr>
        <w:t>Climate Fintech represents a bridge between technology, finance, and sustainability. In the coming years, growth will be driven by: greater regulatory pressure on climate disclosure, demand for transparency and traceability of ESG performance, digitization of financial markets, the need to mobilize private capital to achieve net-zero targets.</w:t>
      </w:r>
    </w:p>
    <w:p w14:paraId="37E107D7" w14:textId="77777777" w:rsidR="007A776A" w:rsidRPr="00B25271" w:rsidRDefault="007A776A" w:rsidP="007A776A">
      <w:pPr>
        <w:spacing w:line="360" w:lineRule="auto"/>
        <w:rPr>
          <w:rFonts w:ascii="Times New Roman" w:hAnsi="Times New Roman" w:cs="Times New Roman"/>
          <w:lang w:val="en-US"/>
        </w:rPr>
      </w:pPr>
    </w:p>
    <w:p w14:paraId="4EF6A676" w14:textId="77777777" w:rsidR="007A776A" w:rsidRDefault="007A776A" w:rsidP="006B61CF">
      <w:pPr>
        <w:pStyle w:val="Titolo2"/>
        <w:numPr>
          <w:ilvl w:val="0"/>
          <w:numId w:val="0"/>
        </w:numPr>
        <w:ind w:left="851" w:hanging="851"/>
        <w:rPr>
          <w:lang w:val="en-US"/>
        </w:rPr>
      </w:pPr>
      <w:bookmarkStart w:id="66" w:name="_Toc207225661"/>
      <w:bookmarkStart w:id="67" w:name="_Toc207471612"/>
      <w:r w:rsidRPr="001F44C9">
        <w:rPr>
          <w:lang w:val="en-US"/>
        </w:rPr>
        <w:t>4.</w:t>
      </w:r>
      <w:r>
        <w:rPr>
          <w:lang w:val="en-US"/>
        </w:rPr>
        <w:t xml:space="preserve">3 </w:t>
      </w:r>
      <w:r w:rsidRPr="001F44C9">
        <w:rPr>
          <w:lang w:val="en-US"/>
        </w:rPr>
        <w:t>The potential of artificial intelligence in ESG reporting</w:t>
      </w:r>
      <w:bookmarkEnd w:id="66"/>
      <w:bookmarkEnd w:id="67"/>
    </w:p>
    <w:p w14:paraId="675CD129" w14:textId="77777777" w:rsidR="007A776A" w:rsidRPr="006B61CF" w:rsidRDefault="007A776A" w:rsidP="007A776A">
      <w:pPr>
        <w:spacing w:line="360" w:lineRule="auto"/>
        <w:rPr>
          <w:lang w:val="en-GB"/>
        </w:rPr>
      </w:pPr>
      <w:r w:rsidRPr="006B61CF">
        <w:rPr>
          <w:lang w:val="en-GB"/>
        </w:rPr>
        <w:t xml:space="preserve">Despite theoretical advancements in the field, organizations face considerable practical challenges in aligning their operations with sustainability frameworks. The credibility of environmental, social and governance (ESG) reporting constitutes a significant obstacle to the efficacy of corporate social responsibility (CSR) disclosures. Furthermore, high-profile cases of greenwashing—where businesses purposefully misrepresent their ecological performance—have eroded public trust in their sustainability reporting </w:t>
      </w:r>
      <w:r w:rsidRPr="006B61CF">
        <w:rPr>
          <w:lang w:val="en-GB"/>
        </w:rPr>
        <w:footnoteReference w:id="49"/>
      </w:r>
    </w:p>
    <w:p w14:paraId="6ED0F8FE" w14:textId="76C58147" w:rsidR="007A776A" w:rsidRPr="006B61CF" w:rsidRDefault="007A776A" w:rsidP="007A776A">
      <w:pPr>
        <w:spacing w:line="360" w:lineRule="auto"/>
        <w:rPr>
          <w:lang w:val="en-GB"/>
        </w:rPr>
      </w:pPr>
      <w:r w:rsidRPr="006B61CF">
        <w:rPr>
          <w:lang w:val="en-GB"/>
        </w:rPr>
        <w:lastRenderedPageBreak/>
        <w:t xml:space="preserve">Sustainability reporting offers stakeholders insight into a company's commitment to economic, environmental and social performance. Frameworks such as the Global Reporting </w:t>
      </w:r>
      <w:r w:rsidR="00DA4BA7" w:rsidRPr="006B61CF">
        <w:rPr>
          <w:lang w:val="en-GB"/>
        </w:rPr>
        <w:t>Initiative (</w:t>
      </w:r>
      <w:r w:rsidRPr="006B61CF">
        <w:rPr>
          <w:lang w:val="en-GB"/>
        </w:rPr>
        <w:t>GRI) and the recently established International Sustainability Standards Board (ISSB) under the IFRS Foundation have been instrumental in harmonizing these reporting practices as we have seen in the first chapter. However, many businesses continue to struggle with fragmented and inconsistent reporting approaches, often failing to capture the full spectrum of their sustainability impacts.</w:t>
      </w:r>
      <w:r w:rsidR="007927C2">
        <w:rPr>
          <w:lang w:val="en-GB"/>
        </w:rPr>
        <w:t xml:space="preserve"> </w:t>
      </w:r>
      <w:r w:rsidR="007927C2" w:rsidRPr="007927C2">
        <w:rPr>
          <w:lang w:val="en-GB"/>
        </w:rPr>
        <w:t>(</w:t>
      </w:r>
      <w:r w:rsidR="007927C2" w:rsidRPr="007927C2">
        <w:rPr>
          <w:i/>
          <w:iCs/>
          <w:lang w:val="en-GB"/>
        </w:rPr>
        <w:t>Cheng, X., K. Chen, and Y. Su. 2023. “Green Innovation in Oil andGas Exploration and Production for Meeting the Sustainability Goals.</w:t>
      </w:r>
      <w:r w:rsidR="007927C2">
        <w:rPr>
          <w:i/>
          <w:iCs/>
          <w:lang w:val="en-GB"/>
        </w:rPr>
        <w:t>)</w:t>
      </w:r>
    </w:p>
    <w:p w14:paraId="61ED2614" w14:textId="77777777" w:rsidR="007A776A" w:rsidRPr="006B61CF" w:rsidRDefault="007A776A" w:rsidP="007A776A">
      <w:pPr>
        <w:spacing w:line="360" w:lineRule="auto"/>
        <w:rPr>
          <w:lang w:val="en-GB"/>
        </w:rPr>
      </w:pPr>
      <w:r w:rsidRPr="006B61CF">
        <w:rPr>
          <w:lang w:val="en-GB"/>
        </w:rPr>
        <w:t>Amidst these pressures, AI has emerged as a transformative solution, offering the potential to significantly enhance decision-making and operational efficiency across different industries. AI, defined as a collection of technologies designed to simulate human intelligence and autonomously perform com-plex tasks, has already begun reshaping the business landscape.</w:t>
      </w:r>
    </w:p>
    <w:p w14:paraId="4B4682C3" w14:textId="0717C384" w:rsidR="007927C2" w:rsidRPr="007927C2" w:rsidRDefault="007A776A" w:rsidP="007927C2">
      <w:pPr>
        <w:spacing w:line="360" w:lineRule="auto"/>
        <w:rPr>
          <w:lang w:val="en-GB"/>
        </w:rPr>
      </w:pPr>
      <w:r w:rsidRPr="006B61CF">
        <w:rPr>
          <w:lang w:val="en-GB"/>
        </w:rPr>
        <w:t>In a sustainability context, AI-driven predictive analytics have significantly enhanced supply chain management by minimizing inefficiencies and forecasting disruptions, resulting in annual savings of billions for companies</w:t>
      </w:r>
      <w:r w:rsidR="007927C2">
        <w:rPr>
          <w:lang w:val="en-GB"/>
        </w:rPr>
        <w:t xml:space="preserve"> (</w:t>
      </w:r>
      <w:r w:rsidR="007927C2" w:rsidRPr="007927C2">
        <w:rPr>
          <w:i/>
          <w:iCs/>
          <w:lang w:val="en-GB"/>
        </w:rPr>
        <w:t>Helo, P., and Y. Hao. 2022. “Artificial Intelligence in OperationsManagement and Supply Chain Management: An Exploratory CaseStudy.</w:t>
      </w:r>
      <w:r w:rsidR="007927C2">
        <w:rPr>
          <w:lang w:val="en-GB"/>
        </w:rPr>
        <w:t>)</w:t>
      </w:r>
    </w:p>
    <w:p w14:paraId="61DAA634" w14:textId="010A4E81" w:rsidR="007A776A" w:rsidRPr="006B61CF" w:rsidRDefault="007A776A" w:rsidP="007A776A">
      <w:pPr>
        <w:spacing w:line="360" w:lineRule="auto"/>
        <w:rPr>
          <w:lang w:val="en-GB"/>
        </w:rPr>
      </w:pPr>
      <w:r w:rsidRPr="006B61CF">
        <w:rPr>
          <w:lang w:val="en-GB"/>
        </w:rPr>
        <w:t>AI also is involved in environmental sustainability contexts, including climate change mitigation, smart cities and resource optimization (</w:t>
      </w:r>
      <w:r w:rsidR="007927C2" w:rsidRPr="007927C2">
        <w:rPr>
          <w:i/>
          <w:iCs/>
          <w:lang w:val="en-US"/>
        </w:rPr>
        <w:t>Di Vaio, A., R. Palladino, R. Hassan, and O. Escobar. 2020. “ArtificialIntelligence and Business Models in the Sustainable Development Goals Perspective: A Systematic Literature Review.” Journal of BusinessResearch 121: 283–314</w:t>
      </w:r>
      <w:r w:rsidR="007927C2">
        <w:rPr>
          <w:lang w:val="en-GB"/>
        </w:rPr>
        <w:t>)</w:t>
      </w:r>
      <w:r w:rsidRPr="006B61CF">
        <w:rPr>
          <w:lang w:val="en-GB"/>
        </w:rPr>
        <w:t>. AI-driven solutions, such as autonomous drones for real-time environmental monitoring, AI-assisted renewable energy forecasting and precision agriculture, have significantly improved sustainability goals.</w:t>
      </w:r>
    </w:p>
    <w:p w14:paraId="1C270A09" w14:textId="77777777" w:rsidR="007A776A" w:rsidRPr="006B61CF" w:rsidRDefault="007A776A" w:rsidP="007A776A">
      <w:pPr>
        <w:spacing w:line="360" w:lineRule="auto"/>
        <w:rPr>
          <w:lang w:val="en-GB"/>
        </w:rPr>
      </w:pPr>
      <w:r w:rsidRPr="006B61CF">
        <w:rPr>
          <w:lang w:val="en-GB"/>
        </w:rPr>
        <w:lastRenderedPageBreak/>
        <w:t xml:space="preserve">Although AI has been acknowledged for its ability to enhance sustainability, especially in the precise processing of large and complex datasets, its integration into sustainability reporting remains fragmented and insufficiently underexplored. Di Vaio et al. (2020) offer a quantitative analysis of AI's role in sustainable business models, emphasizing its effects on production and sustainable consumption as well as the enhancement of knowledge management systems. </w:t>
      </w:r>
    </w:p>
    <w:p w14:paraId="20B8B963" w14:textId="77777777" w:rsidR="007A776A" w:rsidRPr="006B61CF" w:rsidRDefault="007A776A" w:rsidP="007A776A">
      <w:pPr>
        <w:spacing w:line="360" w:lineRule="auto"/>
        <w:rPr>
          <w:lang w:val="en-GB"/>
        </w:rPr>
      </w:pPr>
      <w:r w:rsidRPr="006B61CF">
        <w:rPr>
          <w:lang w:val="en-GB"/>
        </w:rPr>
        <w:t>Thus, here lies the greatest advantage that artificial intelligence can bring to the world of sustainability and its reporting: AI makes ESG measurable. Natural language processing tools can link ESG promises to actual performance. For emissions targets, AI scans the language of your supply chain. And for diversity goals, AI counts not only board seats but also leadership roles and pipeline gaps. Suddenly, ESG becomes auditable. Most importantly, AI can rebuild trust. After years of controversies and scandals, stakeholders desire rigor. AI can provide this - if we instruct it on what to look for. AI can simplify the inherent complexity of a corporation and provide an investor with perspective across a portfolio. By bringing together data from different sources – public disclosures, third-party and on-the-ground information – these new tools can contextualise data through connecting numbers to place. For example, rather than look at a global figure, analysts will be able to explore the gender pay gap or water usage for all the different locations of a multinational with much greater ease.</w:t>
      </w:r>
    </w:p>
    <w:p w14:paraId="69ACD4B1" w14:textId="77777777" w:rsidR="007A776A" w:rsidRPr="006B61CF" w:rsidRDefault="007A776A" w:rsidP="007A776A">
      <w:pPr>
        <w:spacing w:line="360" w:lineRule="auto"/>
        <w:rPr>
          <w:lang w:val="en-GB"/>
        </w:rPr>
      </w:pPr>
      <w:r w:rsidRPr="006B61CF">
        <w:rPr>
          <w:lang w:val="en-GB"/>
        </w:rPr>
        <w:t>In the field of finance, AI can be used both for portfolio management and client enablement, as well as for improving front-, middle-, and back-office efficiency. For example, AI applications can help evaluate management sentiment by reading earnings transcripts and generating automated insights. AI can also help identify non-intuitive relationships between assets, market indicators, and alternative datasets, such as social media, weather forecasts, and container ship movements. Furthermore, AI can automate functions in financial operations intelligence, monitor suspicious transactions, generate reports, and respond to employee or investor queries using machine learning and chatbots.</w:t>
      </w:r>
    </w:p>
    <w:p w14:paraId="26688051" w14:textId="77777777" w:rsidR="007A776A" w:rsidRPr="006B61CF" w:rsidRDefault="007A776A" w:rsidP="007A776A">
      <w:pPr>
        <w:spacing w:line="360" w:lineRule="auto"/>
        <w:rPr>
          <w:lang w:val="en-GB"/>
        </w:rPr>
      </w:pPr>
      <w:r w:rsidRPr="006B61CF">
        <w:rPr>
          <w:lang w:val="en-GB"/>
        </w:rPr>
        <w:lastRenderedPageBreak/>
        <w:t>However, AI can’t solve a very basic challenge. Responsible and sustainable business is abstract. Human rights, inclusion, climate resilience or natural capital are not a singular thing. Responsible products, an ethical culture or regenerative supply chain are abstract concepts, an assembly of many parts. Sustainable business is made up of complex phenomena: contextual, diverse, dynamic, dispersed, unpredictable, often subjective and sometimes contradictory. This is why rating agencies don’t always agree on scores, and why top-performing companies sometimes come crashing down in a scandal. The numbers can only ever reveal a partial truth. Standards, frameworks, science and social norms can guide us. But there is no escaping the limits to measuring sustainable business. This calls for some humility – and caution when new technologies promise to ride to the rescue.</w:t>
      </w:r>
    </w:p>
    <w:p w14:paraId="72014807" w14:textId="3A2230F5" w:rsidR="007A776A" w:rsidRPr="006B61CF" w:rsidRDefault="007A776A" w:rsidP="007A776A">
      <w:pPr>
        <w:spacing w:line="360" w:lineRule="auto"/>
        <w:rPr>
          <w:lang w:val="en-GB"/>
        </w:rPr>
      </w:pPr>
      <w:r w:rsidRPr="006B61CF">
        <w:rPr>
          <w:lang w:val="en-GB"/>
        </w:rPr>
        <w:t>“We must seek better data points from third parties, and bottom-up approaches that generate insights from affected stakeholders. But there is no perfect data source waiting for a large-scale computer model to reveal its truth. Massive, self-learning algorithms cannot solve the knotty challenges of measuring complex phenomena. Risk and impact will always be abstract, ambiguous and subjective. The big danger is that there will be trillions more numbers to distract and delude us – hidden behind proprietary systems, a black box that’s closed to scrutiny.”</w:t>
      </w:r>
      <w:r w:rsidR="002B4C72" w:rsidRPr="002B4C72">
        <w:rPr>
          <w:rStyle w:val="IntestazioneCarattere"/>
          <w:lang w:val="en-US"/>
        </w:rPr>
        <w:t xml:space="preserve"> </w:t>
      </w:r>
      <w:hyperlink r:id="rId49" w:tgtFrame="_blank" w:history="1">
        <w:r w:rsidR="002B4C72" w:rsidRPr="002B4C72">
          <w:rPr>
            <w:i/>
            <w:iCs/>
            <w:lang w:val="en-GB"/>
          </w:rPr>
          <w:t>Measuring Good Business: Making Sense of Environmental, Social and Governance (ESG) Data, opens new tab</w:t>
        </w:r>
      </w:hyperlink>
      <w:r w:rsidR="002B4C72" w:rsidRPr="002B4C72">
        <w:rPr>
          <w:i/>
          <w:iCs/>
          <w:lang w:val="en-GB"/>
        </w:rPr>
        <w:t>, by Richard Hardyment (Routledge, April 2024).</w:t>
      </w:r>
    </w:p>
    <w:p w14:paraId="36351C8B" w14:textId="77777777" w:rsidR="007A776A" w:rsidRPr="006B61CF" w:rsidRDefault="007A776A" w:rsidP="007A776A">
      <w:pPr>
        <w:spacing w:line="360" w:lineRule="auto"/>
        <w:rPr>
          <w:lang w:val="en-GB"/>
        </w:rPr>
      </w:pPr>
      <w:r w:rsidRPr="006B61CF">
        <w:rPr>
          <w:lang w:val="en-GB"/>
        </w:rPr>
        <w:t>All data is backwards looking. It’s an imprint of something that happened in the past. But sustainability is fundamentally about the future. Risk and opportunity lie ahead: they are something yet to materialise. AI cannot promise to reveal the future. No matter how instantaneous the numbers become, the data will always be rooted in past occurrences, whether last year or a moment ago. Because sustainability is social and dynamic, tomorrow’s issues cannot confidently be predicted from past patterns. There will be clues, for sure, but much more humility is needed about the predictive power of these machines.</w:t>
      </w:r>
    </w:p>
    <w:p w14:paraId="2E94DED5" w14:textId="77777777" w:rsidR="007A776A" w:rsidRPr="006B61CF" w:rsidRDefault="007A776A" w:rsidP="007A776A">
      <w:pPr>
        <w:spacing w:line="360" w:lineRule="auto"/>
        <w:rPr>
          <w:lang w:val="en-GB"/>
        </w:rPr>
      </w:pPr>
      <w:r w:rsidRPr="006B61CF">
        <w:rPr>
          <w:lang w:val="en-GB"/>
        </w:rPr>
        <w:lastRenderedPageBreak/>
        <w:t>We must hold space for humans too. People are the ones that create meaning. Who decides which issues matter? How do we judge good performance? Which new issues loom on the horizon? AI can pretend to answer these questions. But a person lies behind each program, a choice is behind each data point. Measuring good cannot be delegated to algorithms.</w:t>
      </w:r>
    </w:p>
    <w:p w14:paraId="20355F28" w14:textId="77777777" w:rsidR="007A776A" w:rsidRPr="006B61CF" w:rsidRDefault="007A776A" w:rsidP="007A776A">
      <w:pPr>
        <w:spacing w:line="360" w:lineRule="auto"/>
        <w:rPr>
          <w:lang w:val="en-GB"/>
        </w:rPr>
      </w:pPr>
      <w:r w:rsidRPr="006B61CF">
        <w:rPr>
          <w:lang w:val="en-GB"/>
        </w:rPr>
        <w:t>AI can simplify complexity, analyze contextual connections and highlight anomalies. Above all, it can help us to become more curious and ask better questions. The risk is that AI fuels an even more fantastic gap between trillions of datapoints and real life in the real world.</w:t>
      </w:r>
    </w:p>
    <w:p w14:paraId="6CF6D821" w14:textId="64B7705B" w:rsidR="002B4C72" w:rsidRPr="002B4C72" w:rsidRDefault="007A776A" w:rsidP="007A776A">
      <w:pPr>
        <w:spacing w:line="360" w:lineRule="auto"/>
        <w:rPr>
          <w:rFonts w:ascii="Times New Roman" w:hAnsi="Times New Roman" w:cs="Times New Roman"/>
          <w:i/>
          <w:iCs/>
          <w:lang w:val="en-US"/>
        </w:rPr>
      </w:pPr>
      <w:r w:rsidRPr="006B61CF">
        <w:rPr>
          <w:lang w:val="en-GB"/>
        </w:rPr>
        <w:t>Recent research highlights the potential of artificial intelligence (AI) to enhance corporate sustainability practices. Zhang et al. (2024) show that AI adoption significantly improves firms’ environmental and social performance, while its impact on governance remains more limited. Their study also finds that the effectiveness of AI depends on companies’ absorptive capacity, that is, their ability to integrate and apply new knowledge. Moreover, mature firms and those operating in less polluting sectors tend to benefit the most. These findings suggest that AI can act as a catalyst for ESG progress, if organizations invest not only in technology but also in the capabilities needed to leverage it strategically</w:t>
      </w:r>
      <w:r w:rsidRPr="002B4C72">
        <w:rPr>
          <w:rFonts w:ascii="Times New Roman" w:hAnsi="Times New Roman" w:cs="Times New Roman"/>
          <w:i/>
          <w:iCs/>
          <w:lang w:val="en-US"/>
        </w:rPr>
        <w:t>.</w:t>
      </w:r>
      <w:r w:rsidR="002B4C72">
        <w:rPr>
          <w:rFonts w:ascii="Times New Roman" w:hAnsi="Times New Roman" w:cs="Times New Roman"/>
          <w:i/>
          <w:iCs/>
          <w:lang w:val="en-US"/>
        </w:rPr>
        <w:t xml:space="preserve"> </w:t>
      </w:r>
      <w:r w:rsidR="002B4C72" w:rsidRPr="002B4C72">
        <w:rPr>
          <w:rFonts w:ascii="Times New Roman" w:hAnsi="Times New Roman" w:cs="Times New Roman"/>
          <w:i/>
          <w:iCs/>
          <w:lang w:val="en-US"/>
        </w:rPr>
        <w:t>(</w:t>
      </w:r>
      <w:r w:rsidR="002B4C72" w:rsidRPr="002B4C72">
        <w:rPr>
          <w:i/>
          <w:iCs/>
          <w:lang w:val="en-US"/>
        </w:rPr>
        <w:t xml:space="preserve"> C. Zhang et al. (2024) “Artificial intelligence and corporate ESG performance</w:t>
      </w:r>
      <w:r w:rsidR="002B4C72" w:rsidRPr="002B4C72">
        <w:rPr>
          <w:b/>
          <w:bCs/>
          <w:i/>
          <w:iCs/>
          <w:lang w:val="en-US"/>
        </w:rPr>
        <w:t>")</w:t>
      </w:r>
      <w:r w:rsidR="002B4C72" w:rsidRPr="002B4C72">
        <w:rPr>
          <w:i/>
          <w:iCs/>
          <w:lang w:val="en-US"/>
        </w:rPr>
        <w:t xml:space="preserve"> </w:t>
      </w:r>
    </w:p>
    <w:p w14:paraId="01ECED03" w14:textId="77777777" w:rsidR="007A776A" w:rsidRDefault="007A776A" w:rsidP="006B61CF">
      <w:pPr>
        <w:pStyle w:val="Titolo2"/>
        <w:numPr>
          <w:ilvl w:val="0"/>
          <w:numId w:val="0"/>
        </w:numPr>
        <w:ind w:left="851" w:hanging="851"/>
        <w:rPr>
          <w:lang w:val="en-US"/>
        </w:rPr>
      </w:pPr>
      <w:bookmarkStart w:id="68" w:name="_Toc207225662"/>
      <w:bookmarkStart w:id="69" w:name="_Toc207471613"/>
      <w:r w:rsidRPr="001F44C9">
        <w:rPr>
          <w:lang w:val="en-US"/>
        </w:rPr>
        <w:t>4.</w:t>
      </w:r>
      <w:r>
        <w:rPr>
          <w:lang w:val="en-US"/>
        </w:rPr>
        <w:t>4</w:t>
      </w:r>
      <w:r w:rsidRPr="001F44C9">
        <w:rPr>
          <w:lang w:val="en-US"/>
        </w:rPr>
        <w:t xml:space="preserve"> Limitations and critical issues of the current ESG reporting system</w:t>
      </w:r>
      <w:bookmarkEnd w:id="68"/>
      <w:bookmarkEnd w:id="69"/>
    </w:p>
    <w:p w14:paraId="794D43E9" w14:textId="77777777" w:rsidR="007A776A" w:rsidRPr="006B61CF" w:rsidRDefault="007A776A" w:rsidP="007A776A">
      <w:pPr>
        <w:spacing w:line="360" w:lineRule="auto"/>
        <w:rPr>
          <w:lang w:val="en-GB"/>
        </w:rPr>
      </w:pPr>
      <w:r w:rsidRPr="006B61CF">
        <w:rPr>
          <w:lang w:val="en-GB"/>
        </w:rPr>
        <w:t xml:space="preserve">In these chapters we have seen the importance of sustainability reporting, its process, and its applications outside of the usual context where it is involved in marketing and brand advertising through campaigns that often limit themselves to 'packaging made with recycled materials, use of renewable energies, respect for the environment...'. We have also seen financial instruments that incentive, through financing, businesses and others, to develop projects that improve the social and environmental aspects of the </w:t>
      </w:r>
      <w:r w:rsidRPr="006B61CF">
        <w:rPr>
          <w:lang w:val="en-GB"/>
        </w:rPr>
        <w:lastRenderedPageBreak/>
        <w:t>world we live in, and the potential associated with these instruments. But what are the limitations of all this? Where could improvements be made?</w:t>
      </w:r>
    </w:p>
    <w:p w14:paraId="243327DA" w14:textId="77777777" w:rsidR="007A776A" w:rsidRPr="006B61CF" w:rsidRDefault="007A776A" w:rsidP="007A776A">
      <w:pPr>
        <w:spacing w:line="360" w:lineRule="auto"/>
        <w:rPr>
          <w:lang w:val="en-GB"/>
        </w:rPr>
      </w:pPr>
      <w:r w:rsidRPr="006B61CF">
        <w:rPr>
          <w:lang w:val="en-GB"/>
        </w:rPr>
        <w:t>Starting from the previous chapter, technology is undoubtedly a very powerful tool, capable of revolutionizing the current way of ESG reporting and its uses as we know them today. We have seen the main market trends regarding fintech and fintechs specific for sustainability, but they also present possible gaps.</w:t>
      </w:r>
    </w:p>
    <w:p w14:paraId="598C9775" w14:textId="77777777" w:rsidR="007A776A" w:rsidRPr="006B61CF" w:rsidRDefault="007A776A" w:rsidP="007A776A">
      <w:pPr>
        <w:spacing w:line="360" w:lineRule="auto"/>
        <w:rPr>
          <w:lang w:val="en-GB"/>
        </w:rPr>
      </w:pPr>
      <w:r w:rsidRPr="006B61CF">
        <w:rPr>
          <w:lang w:val="en-GB"/>
        </w:rPr>
        <w:t>Firstly, while AI and blockchain offer the potential to enhance financial efficiency, transparency, and inclusivity, they concurrently introduce systemic risks, including cybersecurity threats and the potential for algorithmic bias. Secondly, fintech innovations demonstrate the capacity to bridge critical gaps in green finance mobilization, climate risk modelling, and ESG integration. However, a crucial research gap pertains to the long-term environmental and social impacts of these technologies, necessitating further investigation. Thirdly, the rapid pace of technological adoption significantly outpaces existing regulatory frameworks, highlighting an urgent need for adaptive policies that balance innovation with consumer protection and overall financial stability.</w:t>
      </w:r>
    </w:p>
    <w:p w14:paraId="019B455D" w14:textId="77777777" w:rsidR="007A776A" w:rsidRPr="006B61CF" w:rsidRDefault="007A776A" w:rsidP="007A776A">
      <w:pPr>
        <w:spacing w:line="360" w:lineRule="auto"/>
        <w:rPr>
          <w:lang w:val="en-GB"/>
        </w:rPr>
      </w:pPr>
      <w:r w:rsidRPr="006B61CF">
        <w:rPr>
          <w:lang w:val="en-GB"/>
        </w:rPr>
        <w:t>Considering the limits of technology, let us now analyze the limitations of sustainability reporting that it presents today, both from the companies that often encounter problems in developing this reporting, and on the real impact it has, considering the objective for which it was conceived and used by companies worldwide.</w:t>
      </w:r>
    </w:p>
    <w:p w14:paraId="3CC0BCCE" w14:textId="77777777" w:rsidR="007A776A" w:rsidRPr="006B61CF" w:rsidRDefault="007A776A" w:rsidP="007A776A">
      <w:pPr>
        <w:spacing w:line="360" w:lineRule="auto"/>
        <w:rPr>
          <w:lang w:val="en-GB"/>
        </w:rPr>
      </w:pPr>
      <w:r w:rsidRPr="006B61CF">
        <w:rPr>
          <w:lang w:val="en-GB"/>
        </w:rPr>
        <w:t xml:space="preserve">Many large energy companies (e.g. BP, Shell, ExxonMobil) have set targets for reducing Scope 1 and 2 emissions (those that are easier to measure and report, such as energy consumption in their facilities). We have thoroughly analyzed in the previous chapters, particularly where the methodology for KPI reporting is explained, the issues that companies face in measuring Scope 3. Scope 3 emissions encompass indirect emissions across a company’s value chain, including suppliers and customers. These emissions often constitute the largest portion of a company’s carbon footprint, </w:t>
      </w:r>
      <w:r w:rsidRPr="006B61CF">
        <w:rPr>
          <w:lang w:val="en-GB"/>
        </w:rPr>
        <w:lastRenderedPageBreak/>
        <w:t>particularly for consumer-facing businesses. The difficulty in measuring and reporting scope 3 emissions creates a significant gap in ESG assessments, potentially underestimating the true environmental impact of companies.</w:t>
      </w:r>
    </w:p>
    <w:p w14:paraId="4917F145" w14:textId="77777777" w:rsidR="007A776A" w:rsidRPr="006B61CF" w:rsidRDefault="007A776A" w:rsidP="007A776A">
      <w:pPr>
        <w:spacing w:line="360" w:lineRule="auto"/>
        <w:rPr>
          <w:lang w:val="en-GB"/>
        </w:rPr>
      </w:pPr>
      <w:r w:rsidRPr="006B61CF">
        <w:rPr>
          <w:lang w:val="en-GB"/>
        </w:rPr>
        <w:t>A critical tension within ESG is the potential conflict between short-term financial performance and long-term sustainability goals. ESG integration is often framed to enhance long-term value creation by considering environmental and social risks and opportunities. However, market pressures and investor expectations can prioritize short-term returns, potentially leading companies to focus on ESG initiatives that yield quick wins rather than addressing fundamental sustainability challenges that require longer time horizons and significant investments. This short-term focus can manifest in various ways, such as prioritizing easily measurable ESG metrics over more complex and impactful ones or delaying investments in long term sustainability projects that may not deliver immediate financial benefits. Balancing short-term financial considerations with long-term sustainability objectives is a crucial challenge for companies seeking to genuinely integrate ESG into their business strategies.</w:t>
      </w:r>
    </w:p>
    <w:p w14:paraId="368FBF7B" w14:textId="77777777" w:rsidR="007A776A" w:rsidRPr="006B61CF" w:rsidRDefault="007A776A" w:rsidP="007A776A">
      <w:pPr>
        <w:spacing w:line="360" w:lineRule="auto"/>
        <w:rPr>
          <w:lang w:val="en-GB"/>
        </w:rPr>
      </w:pPr>
      <w:r w:rsidRPr="006B61CF">
        <w:rPr>
          <w:lang w:val="en-GB"/>
        </w:rPr>
        <w:t>Annual reports can show measurable improvements (reduction of own emissions, increased transparency, more diversity in boards, etc.), but the systemic and long-term impact – such as the decarbonization of the entire value chain (Scope 3, i.e., emissions related to the use of their products) – remains overlooked.</w:t>
      </w:r>
    </w:p>
    <w:p w14:paraId="43B19C3D" w14:textId="77777777" w:rsidR="007A776A" w:rsidRPr="006B61CF" w:rsidRDefault="007A776A" w:rsidP="007A776A">
      <w:pPr>
        <w:spacing w:line="360" w:lineRule="auto"/>
        <w:rPr>
          <w:lang w:val="en-GB"/>
        </w:rPr>
      </w:pPr>
      <w:r w:rsidRPr="006B61CF">
        <w:rPr>
          <w:lang w:val="en-GB"/>
        </w:rPr>
        <w:t>Limitations are not merely technical or methodological but reflect deeper conceptual and structural challenges that question the efficacy and transformative potential of ESG as it is currently implemented.</w:t>
      </w:r>
    </w:p>
    <w:p w14:paraId="0FC39FBD" w14:textId="77777777" w:rsidR="007A776A" w:rsidRPr="006B61CF" w:rsidRDefault="007A776A" w:rsidP="007A776A">
      <w:pPr>
        <w:spacing w:line="360" w:lineRule="auto"/>
        <w:rPr>
          <w:lang w:val="en-GB"/>
        </w:rPr>
      </w:pPr>
      <w:r w:rsidRPr="006B61CF">
        <w:rPr>
          <w:lang w:val="en-GB"/>
        </w:rPr>
        <w:t xml:space="preserve">One of the most profound limitations of ESG is its relative inability to address systemic issues and the influence of the geopolitical context. Many environmental and social challenges are deeply rooted in systemic structures, power dynamics, and global inequalities that individual companies, even with strong ESG performance, cannot solve in isolation. For example, climate change, biodiversity loss, and social inequality are </w:t>
      </w:r>
      <w:r w:rsidRPr="006B61CF">
        <w:rPr>
          <w:lang w:val="en-GB"/>
        </w:rPr>
        <w:lastRenderedPageBreak/>
        <w:t>global problems requiring collective action and systemic transformation, beyond the scope of company-level ESG initiatives. Furthermore, geopolitical instability and differing regulatory landscapes across countries create significant challenges for ESG implementation. ESG standards and priorities may vary widely across jurisdictions, creating complexities for multinational corporations and investors operating globally. Geopolitical tensions and conflicts can also undermine ESG efforts, as environmental and social considerations may be sidelined in favor of national interests or security concerns. ESG frameworks need to become more adaptable and responsive to the complexities of the global political and economic order.</w:t>
      </w:r>
    </w:p>
    <w:p w14:paraId="5ED3C563" w14:textId="77777777" w:rsidR="007A776A" w:rsidRPr="006B61CF" w:rsidRDefault="007A776A" w:rsidP="007A776A">
      <w:pPr>
        <w:spacing w:line="360" w:lineRule="auto"/>
        <w:rPr>
          <w:lang w:val="en-GB"/>
        </w:rPr>
      </w:pPr>
      <w:r w:rsidRPr="006B61CF">
        <w:rPr>
          <w:lang w:val="en-GB"/>
        </w:rPr>
        <w:t>As a final point to discuss, I would like to focus on the most important concept of this thesis: the ESG rating and how it relates to the world of finance. We have seen in the previous chapters what the ESG rating is, who is responsible for it, and what its function is, along with its advantages and disadvantages. We have seen that the ESG rating is fundamental for access to contributions from banking institutions, but in my opinion, there is a paradox between the ESG rating and access to financing.</w:t>
      </w:r>
    </w:p>
    <w:p w14:paraId="7D485BD9" w14:textId="77777777" w:rsidR="007A776A" w:rsidRPr="006B61CF" w:rsidRDefault="007A776A" w:rsidP="007A776A">
      <w:pPr>
        <w:spacing w:line="360" w:lineRule="auto"/>
        <w:rPr>
          <w:lang w:val="en-GB"/>
        </w:rPr>
      </w:pPr>
      <w:r w:rsidRPr="006B61CF">
        <w:rPr>
          <w:lang w:val="en-GB"/>
        </w:rPr>
        <w:t>While ESG ratings aim to provide objective assessments of sustainability performance, they are inherently subjective and influenced by the methodologies and biases of rating agencies. The reliance on third-party ratings can also create a disconnect between companies’ actual sustainability efforts and their perceived ESG performance, potentially incentivizing companies to focus on improving their ratings rather than driving genuine impact.</w:t>
      </w:r>
    </w:p>
    <w:p w14:paraId="5BF8A1D2" w14:textId="77777777" w:rsidR="007A776A" w:rsidRPr="006B61CF" w:rsidRDefault="007A776A" w:rsidP="007A776A">
      <w:pPr>
        <w:spacing w:line="360" w:lineRule="auto"/>
        <w:rPr>
          <w:lang w:val="en-GB"/>
        </w:rPr>
      </w:pPr>
      <w:r w:rsidRPr="006B61CF">
        <w:rPr>
          <w:lang w:val="en-GB"/>
        </w:rPr>
        <w:t xml:space="preserve">Moreover, the financialization of ESG, with ESG factors increasingly integrated into investment strategies and financial products, can inadvertently commodify sustainability and prioritize financial returns over ethical and environmental considerations. This can lead to a situation where ESG becomes more about managing financial risks and capturing market opportunities than about fundamentally transforming business practices towards sustainability. We question ourself whether current ESG </w:t>
      </w:r>
      <w:r w:rsidRPr="006B61CF">
        <w:rPr>
          <w:lang w:val="en-GB"/>
        </w:rPr>
        <w:lastRenderedPageBreak/>
        <w:t>frameworks are truly driving a shift towards a more sustainable economy or merely reconfiguring existing financial systems to incorporate ESG as a new asset class.</w:t>
      </w:r>
    </w:p>
    <w:p w14:paraId="6C64D738" w14:textId="77777777" w:rsidR="007A776A" w:rsidRPr="006B61CF" w:rsidRDefault="007A776A" w:rsidP="007A776A">
      <w:pPr>
        <w:spacing w:line="360" w:lineRule="auto"/>
        <w:rPr>
          <w:lang w:val="en-GB"/>
        </w:rPr>
      </w:pPr>
      <w:r w:rsidRPr="006B61CF">
        <w:rPr>
          <w:lang w:val="en-GB"/>
        </w:rPr>
        <w:t>ESG faces inherent ethical dilemmas and trade-offs. The three pillars of ESG (Environmental, Social, and Governance) are not always aligned, and improvements in one area may come at the expense of another. For example, a company may reduce its carbon emissions (environmental) by relocating production to a country with weaker labor standards (social). Navigating these trade-offs and making ethical choices within the ESG framework is a complex challenge that requires careful consideration of values and priorities. Truly comprehensive and ethical approach to sustainability needs to acknowledge and address these cultural and value-based dimensions, moving beyond a purely economic or financial framing of ESG. Academic inquiry challenges the underlying assumptions of current ESG frameworks and explores alternative approaches that are more inclusive, equitable, and aligned with diverse global perspectives on sustainability.</w:t>
      </w:r>
    </w:p>
    <w:p w14:paraId="123A3721" w14:textId="77777777" w:rsidR="007A776A" w:rsidRDefault="007A776A" w:rsidP="007A776A">
      <w:pPr>
        <w:spacing w:line="360" w:lineRule="auto"/>
        <w:rPr>
          <w:rFonts w:ascii="Times New Roman" w:hAnsi="Times New Roman" w:cs="Times New Roman"/>
          <w:lang w:val="en-US"/>
        </w:rPr>
      </w:pPr>
    </w:p>
    <w:p w14:paraId="5E61A4F5" w14:textId="77777777" w:rsidR="007A776A" w:rsidRDefault="007A776A" w:rsidP="006B61CF">
      <w:pPr>
        <w:pStyle w:val="Titolo2"/>
        <w:numPr>
          <w:ilvl w:val="0"/>
          <w:numId w:val="0"/>
        </w:numPr>
        <w:ind w:left="851" w:hanging="851"/>
        <w:rPr>
          <w:lang w:val="en-US"/>
        </w:rPr>
      </w:pPr>
      <w:bookmarkStart w:id="70" w:name="_Toc207225663"/>
      <w:bookmarkStart w:id="71" w:name="_Toc207471614"/>
      <w:r w:rsidRPr="001F44C9">
        <w:rPr>
          <w:lang w:val="en-US"/>
        </w:rPr>
        <w:t>4.</w:t>
      </w:r>
      <w:r>
        <w:rPr>
          <w:lang w:val="en-US"/>
        </w:rPr>
        <w:t>5</w:t>
      </w:r>
      <w:r w:rsidRPr="001F44C9">
        <w:rPr>
          <w:lang w:val="en-US"/>
        </w:rPr>
        <w:t xml:space="preserve"> Future evolution of sustainable financial reporting and market</w:t>
      </w:r>
      <w:bookmarkEnd w:id="70"/>
      <w:bookmarkEnd w:id="71"/>
    </w:p>
    <w:p w14:paraId="63023F24" w14:textId="77777777" w:rsidR="007A776A" w:rsidRPr="006B61CF" w:rsidRDefault="007A776A" w:rsidP="007A776A">
      <w:pPr>
        <w:spacing w:line="360" w:lineRule="auto"/>
        <w:rPr>
          <w:lang w:val="en-GB"/>
        </w:rPr>
      </w:pPr>
      <w:r>
        <w:rPr>
          <w:rFonts w:ascii="Times New Roman" w:hAnsi="Times New Roman" w:cs="Times New Roman"/>
          <w:i/>
          <w:iCs/>
          <w:lang w:val="en-US"/>
        </w:rPr>
        <w:t>“</w:t>
      </w:r>
      <w:r w:rsidRPr="006B61CF">
        <w:rPr>
          <w:i/>
          <w:iCs/>
          <w:lang w:val="en-GB"/>
        </w:rPr>
        <w:t>As sustainable-finance regulations evolve, 2025 will mark a pivotal year for transparency and compliance, with the EU's CSRD and global disclosure standards leading the charge. Financial institutions will need to prepare for increasingly complex frameworks, balancing sector-specific obligations with global interoperability. Significant challenges remain, including the risk of inconsistent global standards and diverging sustainable-fund labels across key markets. Adapting to these shifts while integrating robust sustainability strategies will be critical for mitigating compliance risks and seizing emerging opportunities</w:t>
      </w:r>
      <w:r w:rsidRPr="006B61CF">
        <w:rPr>
          <w:lang w:val="en-GB"/>
        </w:rPr>
        <w:t>”.  Simone Ruiz Vergote, Executive Director MSCI research.</w:t>
      </w:r>
    </w:p>
    <w:p w14:paraId="683D36BF" w14:textId="77777777" w:rsidR="007A776A" w:rsidRPr="006B61CF" w:rsidRDefault="007A776A" w:rsidP="007A776A">
      <w:pPr>
        <w:rPr>
          <w:lang w:val="en-GB"/>
        </w:rPr>
      </w:pPr>
    </w:p>
    <w:p w14:paraId="0F6A2218" w14:textId="77777777" w:rsidR="007A776A" w:rsidRPr="006B61CF" w:rsidRDefault="007A776A" w:rsidP="007A776A">
      <w:pPr>
        <w:spacing w:line="360" w:lineRule="auto"/>
        <w:rPr>
          <w:lang w:val="en-GB"/>
        </w:rPr>
      </w:pPr>
      <w:r w:rsidRPr="006B61CF">
        <w:rPr>
          <w:lang w:val="en-GB"/>
        </w:rPr>
        <w:lastRenderedPageBreak/>
        <w:t xml:space="preserve">Since the beginning of the current mandate, the European Commission has been moving ahead with multiple initiatives to improve and simplify the EU sustainable finance framework. These efforts aim to make the framework clearer, more effective and more usable. </w:t>
      </w:r>
    </w:p>
    <w:p w14:paraId="75AAAAFD" w14:textId="77777777" w:rsidR="007A776A" w:rsidRPr="006B61CF" w:rsidRDefault="007A776A" w:rsidP="007A776A">
      <w:pPr>
        <w:spacing w:line="360" w:lineRule="auto"/>
        <w:rPr>
          <w:lang w:val="en-GB"/>
        </w:rPr>
      </w:pPr>
      <w:r w:rsidRPr="006B61CF">
        <w:rPr>
          <w:lang w:val="en-GB"/>
        </w:rPr>
        <w:t xml:space="preserve">As part of its February 2025 omnibus package, the Commission proposed a series of changes to the EU’s CRSD. </w:t>
      </w:r>
    </w:p>
    <w:p w14:paraId="2F6E958F" w14:textId="77777777" w:rsidR="007A776A" w:rsidRPr="006B61CF" w:rsidRDefault="007A776A" w:rsidP="007A776A">
      <w:pPr>
        <w:spacing w:line="360" w:lineRule="auto"/>
        <w:rPr>
          <w:lang w:val="en-GB"/>
        </w:rPr>
      </w:pPr>
      <w:r w:rsidRPr="006B61CF">
        <w:rPr>
          <w:lang w:val="en-GB"/>
        </w:rPr>
        <w:t>These include</w:t>
      </w:r>
      <w:r w:rsidRPr="006B61CF">
        <w:rPr>
          <w:lang w:val="en-GB"/>
        </w:rPr>
        <w:footnoteReference w:id="50"/>
      </w:r>
    </w:p>
    <w:p w14:paraId="406C6D49" w14:textId="77777777" w:rsidR="007A776A" w:rsidRPr="006B61CF" w:rsidRDefault="007A776A">
      <w:pPr>
        <w:numPr>
          <w:ilvl w:val="0"/>
          <w:numId w:val="13"/>
        </w:numPr>
        <w:tabs>
          <w:tab w:val="num" w:pos="720"/>
        </w:tabs>
        <w:spacing w:before="0" w:after="160" w:line="360" w:lineRule="auto"/>
        <w:rPr>
          <w:lang w:val="en-GB"/>
        </w:rPr>
      </w:pPr>
      <w:r w:rsidRPr="006B61CF">
        <w:rPr>
          <w:lang w:val="en-GB"/>
        </w:rPr>
        <w:t xml:space="preserve">“Stop the clock” proposal: This measure delays by two years (until 2028) the reporting requirements for companies currently in the scope of CSRD and which would have been required to report as of 2026 or 2027. </w:t>
      </w:r>
    </w:p>
    <w:p w14:paraId="1AA9574C" w14:textId="77777777" w:rsidR="007A776A" w:rsidRPr="006B61CF" w:rsidRDefault="007A776A">
      <w:pPr>
        <w:numPr>
          <w:ilvl w:val="0"/>
          <w:numId w:val="13"/>
        </w:numPr>
        <w:tabs>
          <w:tab w:val="num" w:pos="720"/>
        </w:tabs>
        <w:spacing w:before="0" w:after="160" w:line="360" w:lineRule="auto"/>
        <w:rPr>
          <w:lang w:val="en-GB"/>
        </w:rPr>
      </w:pPr>
      <w:r w:rsidRPr="006B61CF">
        <w:rPr>
          <w:lang w:val="en-GB"/>
        </w:rPr>
        <w:t xml:space="preserve">“Content” proposal: The Commission proposed to remove 80% of companies from the scope of the CSRD, narrowing the focus to large companies with over 1000 employees. Additionally, it proposed to make taxonomy reporting voluntary for companies with an annual turnover below EUR 450 million. Finally, it proposed to remove both sector-specific reporting standards and the possibility of moving to a requirement for reasonable assurance. </w:t>
      </w:r>
    </w:p>
    <w:p w14:paraId="6D86C6EA" w14:textId="77777777" w:rsidR="007A776A" w:rsidRPr="006B61CF" w:rsidRDefault="007A776A">
      <w:pPr>
        <w:numPr>
          <w:ilvl w:val="0"/>
          <w:numId w:val="13"/>
        </w:numPr>
        <w:tabs>
          <w:tab w:val="num" w:pos="720"/>
        </w:tabs>
        <w:spacing w:before="0" w:after="160" w:line="360" w:lineRule="auto"/>
        <w:rPr>
          <w:lang w:val="en-GB"/>
        </w:rPr>
      </w:pPr>
      <w:r w:rsidRPr="006B61CF">
        <w:rPr>
          <w:lang w:val="en-GB"/>
        </w:rPr>
        <w:t xml:space="preserve">SMEs and voluntary reporting: According to the “content” proposal, the Commission would adopt a voluntary reporting standard for companies out of scope of the CSRD (those with up to 1000 employees). This standard would be based on the voluntary standard (“VSME”) developed by EFRAG. It would act as a shield, limiting the information that companies or banks falling into the scope of the CSRD can request from smaller companies in their value chains that are out of scope. </w:t>
      </w:r>
    </w:p>
    <w:p w14:paraId="6689E3B6" w14:textId="77777777" w:rsidR="007A776A" w:rsidRPr="006B61CF" w:rsidRDefault="007A776A">
      <w:pPr>
        <w:numPr>
          <w:ilvl w:val="0"/>
          <w:numId w:val="13"/>
        </w:numPr>
        <w:tabs>
          <w:tab w:val="num" w:pos="720"/>
        </w:tabs>
        <w:spacing w:before="0" w:after="160" w:line="360" w:lineRule="auto"/>
        <w:rPr>
          <w:lang w:val="en-GB"/>
        </w:rPr>
      </w:pPr>
      <w:r w:rsidRPr="006B61CF">
        <w:rPr>
          <w:lang w:val="en-GB"/>
        </w:rPr>
        <w:t>Revision of reporting standards: The aim is to substantially reduce the number of data points, clarify provisions deemed unclear and improve consistency with other pieces of legislation. In the meantime, the Commission intends to adopt a “quick-</w:t>
      </w:r>
      <w:r w:rsidRPr="006B61CF">
        <w:rPr>
          <w:lang w:val="en-GB"/>
        </w:rPr>
        <w:lastRenderedPageBreak/>
        <w:t>fix” delegated act that would revise the existing ESRS to at least ensure that companies that had to begin reporting for financial year 2024 do not have to report additional information when reporting for financial years 2025 and 2026.</w:t>
      </w:r>
    </w:p>
    <w:p w14:paraId="52F19BC0" w14:textId="77777777" w:rsidR="007A776A" w:rsidRPr="006B61CF" w:rsidRDefault="007A776A" w:rsidP="007A776A">
      <w:pPr>
        <w:spacing w:line="360" w:lineRule="auto"/>
        <w:rPr>
          <w:lang w:val="en-GB"/>
        </w:rPr>
      </w:pPr>
    </w:p>
    <w:p w14:paraId="19F0FE67" w14:textId="77777777" w:rsidR="007A776A" w:rsidRPr="006B61CF" w:rsidRDefault="007A776A" w:rsidP="007A776A">
      <w:pPr>
        <w:spacing w:line="360" w:lineRule="auto"/>
        <w:rPr>
          <w:lang w:val="en-GB"/>
        </w:rPr>
      </w:pPr>
    </w:p>
    <w:p w14:paraId="4D5C6D3D" w14:textId="77777777" w:rsidR="007A776A" w:rsidRPr="006B61CF" w:rsidRDefault="007A776A" w:rsidP="007A776A">
      <w:pPr>
        <w:spacing w:line="360" w:lineRule="auto"/>
        <w:rPr>
          <w:lang w:val="en-GB"/>
        </w:rPr>
      </w:pPr>
      <w:r w:rsidRPr="006B61CF">
        <w:rPr>
          <w:lang w:val="en-GB"/>
        </w:rPr>
        <w:t>EFRAG has just released the revised ESRS Exposure Drafts too. "In total, mandatory datapoints (to be reported if material) have been cut by 57%, and the full set of disclosures—mandatory and voluntary—reduced by 68%. The overall length of the standards has been shortened by over 55%, making ESRS more accessible and implementable."</w:t>
      </w:r>
    </w:p>
    <w:p w14:paraId="6DD7A35C" w14:textId="77777777" w:rsidR="007A776A" w:rsidRPr="006B61CF" w:rsidRDefault="007A776A" w:rsidP="007A776A">
      <w:pPr>
        <w:spacing w:line="360" w:lineRule="auto"/>
        <w:rPr>
          <w:lang w:val="en-GB"/>
        </w:rPr>
      </w:pPr>
      <w:r w:rsidRPr="006B61CF">
        <w:rPr>
          <w:lang w:val="en-GB"/>
        </w:rPr>
        <w:t xml:space="preserve">While an overall simplification is welcome, more detailed analysis will now need to show at what cost the 68% reduction in disclosures comes (e.g. granularity) and what potential consequences may be. The focus was on cutting complexity and improving usability, drawing on survey responses and also stakeholder engagements. One focus was also to streamline the double materiality assessment, reduce overlaps, and to clarify language. Overall, very good ambitions! </w:t>
      </w:r>
      <w:r w:rsidRPr="006B61CF">
        <w:rPr>
          <w:lang w:val="en-GB"/>
        </w:rPr>
        <w:br/>
        <w:t>With the release, the public consultation period started which runs from 31 July to 29 September 2025. Stakeholders are encouraged to provide feedback via a consultation survey </w:t>
      </w:r>
    </w:p>
    <w:p w14:paraId="04A2F756" w14:textId="77777777" w:rsidR="007A776A" w:rsidRPr="006B61CF" w:rsidRDefault="007A776A" w:rsidP="007A776A">
      <w:pPr>
        <w:spacing w:line="360" w:lineRule="auto"/>
        <w:rPr>
          <w:lang w:val="en-GB"/>
        </w:rPr>
      </w:pPr>
      <w:r w:rsidRPr="006B61CF">
        <w:rPr>
          <w:lang w:val="en-GB"/>
        </w:rPr>
        <w:t>A trend of strong global convergence toward ISSB sustainability reporting standards is seen. Many jurisdictions are aligning or transitioning their national ESG reporting frameworks such as ASRS in Australia, CSDS in Canada, and SLFRS in Sri Lanka with newly developed ISSB’s IFRS S1 and S2 standards. In several countries, the government (Asia-Pacific, North America, Latin America, and the EU) has made ESG reporting following sustainability reporting standards mandatory for businesses in response to the increased pressure from investors and regulators for consistency and transparency.</w:t>
      </w:r>
      <w:r w:rsidRPr="006B61CF">
        <w:rPr>
          <w:lang w:val="en-GB"/>
        </w:rPr>
        <w:br/>
      </w:r>
      <w:r w:rsidRPr="006B61CF">
        <w:rPr>
          <w:lang w:val="en-GB"/>
        </w:rPr>
        <w:lastRenderedPageBreak/>
        <w:t>Countries like Canada, Brazil, Indonesia, and South Korea are currently in transition, while others like Sri Lanka and Pakistan have announced new mandatory sustainability reporting frameworks that is set to roll out in 2025 and beyond.</w:t>
      </w:r>
    </w:p>
    <w:p w14:paraId="7AF75BE8" w14:textId="77777777" w:rsidR="007A776A" w:rsidRPr="006B61CF" w:rsidRDefault="007A776A" w:rsidP="007A776A">
      <w:pPr>
        <w:spacing w:line="360" w:lineRule="auto"/>
        <w:rPr>
          <w:lang w:val="en-GB"/>
        </w:rPr>
      </w:pPr>
      <w:r w:rsidRPr="006B61CF">
        <w:rPr>
          <w:lang w:val="en-GB"/>
        </w:rPr>
        <w:t>Based on MSCI report of 2025, globally climate-related disclosures developed by the International Sustainability Standards Board (ISSB) have seen strong uptake. Over 25 jurisdictions, accounting for over 40% of global market capitalization, are in the process of making them a legal requirement.</w:t>
      </w:r>
      <w:r w:rsidRPr="006B61CF">
        <w:rPr>
          <w:lang w:val="en-GB"/>
        </w:rPr>
        <w:footnoteReference w:id="51"/>
      </w:r>
      <w:r w:rsidRPr="006B61CF">
        <w:rPr>
          <w:lang w:val="en-GB"/>
        </w:rPr>
        <w:t xml:space="preserve"> The standards help establish a global baseline in sustainability reporting that connects financial accounting with sustainability matters. The ISSB's upcoming areas of focus include biodiversity and human capital. This year, interoperability guidelines between these standards and the EU's CSRD were released. While these guidelines are helpful, companies with global operations may find it increasingly challenging to navigate as standards diverge and become more prescriptive. There is also a divergence in views on defining what is sustainable, for example there are over 50 classifications or taxonomies on sustainable activities globally. The EU was the first mover in 2020 defining what can be called "deep green" activities across six environmental objectives. </w:t>
      </w:r>
    </w:p>
    <w:p w14:paraId="7E8DBFEC" w14:textId="77777777" w:rsidR="007A776A" w:rsidRPr="006B61CF" w:rsidRDefault="007A776A" w:rsidP="007A776A">
      <w:pPr>
        <w:spacing w:line="360" w:lineRule="auto"/>
        <w:rPr>
          <w:lang w:val="en-GB"/>
        </w:rPr>
      </w:pPr>
      <w:r w:rsidRPr="006B61CF">
        <w:rPr>
          <w:lang w:val="en-GB"/>
        </w:rPr>
        <w:t>One example of unexpected player of this field, which is making great improvement in sustainability in the last years, is the fourth largest economy in the World. The trajectory of India’s green bond market has been upward since 2017, following SEBI’s introduction of formal green bond guidelines. India's ESG bond market may still be in its formative years, but the foundation is strong</w:t>
      </w:r>
      <w:r w:rsidRPr="006B61CF">
        <w:rPr>
          <w:lang w:val="en-GB"/>
        </w:rPr>
        <w:footnoteReference w:id="52"/>
      </w:r>
      <w:r w:rsidRPr="006B61CF">
        <w:rPr>
          <w:lang w:val="en-GB"/>
        </w:rPr>
        <w:t xml:space="preserve">. Regulatory frameworks are maturing, investor interest—especially from abroad—is rising, and corporate issuers are beginning to see ESG bonds as a viable and strategic funding tool. With climate commitments becoming non-negotiable and global capital increasingly prioritizing </w:t>
      </w:r>
      <w:r w:rsidRPr="006B61CF">
        <w:rPr>
          <w:lang w:val="en-GB"/>
        </w:rPr>
        <w:lastRenderedPageBreak/>
        <w:t>sustainability, India’s ESG bond market is poised not just to grow—but to transform the broader landscape of fixed income investing.</w:t>
      </w:r>
    </w:p>
    <w:p w14:paraId="1F08CFA0" w14:textId="77777777" w:rsidR="007A776A" w:rsidRPr="006B61CF" w:rsidRDefault="007A776A" w:rsidP="007A776A">
      <w:pPr>
        <w:spacing w:line="360" w:lineRule="auto"/>
        <w:rPr>
          <w:lang w:val="en-GB"/>
        </w:rPr>
      </w:pPr>
      <w:r w:rsidRPr="006B61CF">
        <w:rPr>
          <w:lang w:val="en-GB"/>
        </w:rPr>
        <w:t>Policy and regulatory developments are shaping India’s sustainable finance landscape. The Securities and Exchange Board of India (SEBI) enhanced disclosure requirements, ESG Debt Framework, third-party assurance and certifications, Reserve Bank of India’s (RBI) Green Deposit Framework, and International Financial Services Centers Authority (IFSCA) sustainable finance guidelines are driving market integrity and international participation. The Ministry of Finance’s upcoming Climate Finance Taxonomy and the Ministry of Steel’s newly introduced Green Steel Taxonomy will facilitate standardized sustainable investments.</w:t>
      </w:r>
      <w:r w:rsidRPr="006B61CF">
        <w:rPr>
          <w:lang w:val="en-GB"/>
        </w:rPr>
        <w:footnoteReference w:id="53"/>
      </w:r>
    </w:p>
    <w:p w14:paraId="270A5863" w14:textId="7BFEF5F8" w:rsidR="0093624F" w:rsidRPr="00BC3385" w:rsidRDefault="007A776A" w:rsidP="00BC3385">
      <w:pPr>
        <w:spacing w:line="360" w:lineRule="auto"/>
        <w:rPr>
          <w:lang w:val="en-GB"/>
        </w:rPr>
      </w:pPr>
      <w:r w:rsidRPr="006B61CF">
        <w:rPr>
          <w:lang w:val="en-GB"/>
        </w:rPr>
        <w:t>State Bank of India’s USD1bn syndicated social loan facility raised the largest ESG loan by a commercial bank in Asia-Pacific in 2023, which was targeted at affordable housing and supporting socially responsible enterprises, including through microfinance institutions and self-help groups.</w:t>
      </w:r>
      <w:r w:rsidRPr="006B61CF">
        <w:rPr>
          <w:lang w:val="en-GB"/>
        </w:rPr>
        <w:footnoteReference w:id="54"/>
      </w:r>
      <w:r w:rsidRPr="006B61CF">
        <w:rPr>
          <w:lang w:val="en-GB"/>
        </w:rPr>
        <w:t xml:space="preserve"> The social bonds are aligned to Climate Bonds Social and Sustainability Dataset Methodology and international Social Bond Principles, through its Social Financing Framework, which also aligns with relevant Sustainable Development Goals (SDGs).</w:t>
      </w:r>
    </w:p>
    <w:p w14:paraId="44E242F1" w14:textId="77777777" w:rsidR="007A4268" w:rsidRDefault="007A4268" w:rsidP="0093624F">
      <w:pPr>
        <w:pStyle w:val="Titolo1"/>
        <w:numPr>
          <w:ilvl w:val="0"/>
          <w:numId w:val="0"/>
        </w:numPr>
        <w:rPr>
          <w:lang w:val="en-US"/>
        </w:rPr>
      </w:pPr>
      <w:bookmarkStart w:id="72" w:name="_Toc207225664"/>
      <w:bookmarkStart w:id="73" w:name="_Toc207471615"/>
    </w:p>
    <w:p w14:paraId="62A83274" w14:textId="1827AB45" w:rsidR="0093624F" w:rsidRDefault="0093624F" w:rsidP="0093624F">
      <w:pPr>
        <w:pStyle w:val="Titolo1"/>
        <w:numPr>
          <w:ilvl w:val="0"/>
          <w:numId w:val="0"/>
        </w:numPr>
        <w:rPr>
          <w:lang w:val="en-US"/>
        </w:rPr>
      </w:pPr>
      <w:r w:rsidRPr="007E095D">
        <w:rPr>
          <w:lang w:val="en-US"/>
        </w:rPr>
        <w:t>Conclusions</w:t>
      </w:r>
      <w:bookmarkEnd w:id="72"/>
      <w:bookmarkEnd w:id="73"/>
    </w:p>
    <w:p w14:paraId="23C9791A" w14:textId="77777777" w:rsidR="00280BB8" w:rsidRDefault="007A776A" w:rsidP="0093624F">
      <w:pPr>
        <w:rPr>
          <w:lang w:val="en-GB"/>
        </w:rPr>
      </w:pPr>
      <w:r w:rsidRPr="0093624F">
        <w:rPr>
          <w:lang w:val="en-GB"/>
        </w:rPr>
        <w:t>At the conclusion of my paper, I would like to bring up this very recent news event</w:t>
      </w:r>
    </w:p>
    <w:p w14:paraId="07F889A1" w14:textId="64C4A926" w:rsidR="00280BB8" w:rsidRDefault="007A776A" w:rsidP="0093624F">
      <w:pPr>
        <w:rPr>
          <w:lang w:val="en-GB"/>
        </w:rPr>
      </w:pPr>
      <w:r w:rsidRPr="0093624F">
        <w:rPr>
          <w:lang w:val="en-GB"/>
        </w:rPr>
        <w:t xml:space="preserve">involving one of the largest producers of bottled water and beverages that we have in </w:t>
      </w:r>
    </w:p>
    <w:p w14:paraId="029851ED" w14:textId="03379FC2" w:rsidR="007A776A" w:rsidRPr="00E91D42" w:rsidRDefault="007A776A" w:rsidP="0093624F">
      <w:pPr>
        <w:rPr>
          <w:lang w:val="en-GB"/>
        </w:rPr>
      </w:pPr>
      <w:r w:rsidRPr="0093624F">
        <w:rPr>
          <w:lang w:val="en-GB"/>
        </w:rPr>
        <w:t>our country.</w:t>
      </w:r>
    </w:p>
    <w:p w14:paraId="288B972A" w14:textId="77777777" w:rsidR="007A776A" w:rsidRPr="0073241B" w:rsidRDefault="007A776A" w:rsidP="007A776A">
      <w:pPr>
        <w:spacing w:line="360" w:lineRule="auto"/>
        <w:rPr>
          <w:lang w:val="en-GB"/>
        </w:rPr>
      </w:pPr>
      <w:r w:rsidRPr="0073241B">
        <w:rPr>
          <w:lang w:val="en-GB"/>
        </w:rPr>
        <w:t>Three hundred days after the request from Fatto Alimentare to the Antitrust to censor the advertisements for San Benedetto mineral water, which featured the wording 'Ecogreen CO2 impact ZERO', as well as the marketing of bottles with the same wording on the label, the company has 'modified its commercial communication' related to 'labels/packaging/website/ad spots, among other things, completely removing the phrase 'CO2 IMPACT ZERO'. San Benedetto has also modified 'the claims associated with it' and the YouTube site...</w:t>
      </w:r>
    </w:p>
    <w:p w14:paraId="0E32E43B" w14:textId="77777777" w:rsidR="007A776A" w:rsidRPr="0073241B" w:rsidRDefault="007A776A" w:rsidP="007A776A">
      <w:pPr>
        <w:spacing w:line="360" w:lineRule="auto"/>
        <w:rPr>
          <w:lang w:val="en-GB"/>
        </w:rPr>
      </w:pPr>
      <w:r w:rsidRPr="0073241B">
        <w:rPr>
          <w:lang w:val="en-GB"/>
        </w:rPr>
        <w:t>The company – specifies the Antitrust Authority – has removed the profiles of possible misconduct regarding environmental claims – the so-called green claims – used to promote and market the products of the Ecogreen line. In particular, on the labels of the bottles from the Ecogreen line, on the website www.sanbenedetto.it and in some promotional spots/videos present both on the site and on the YouTube channel, environmental claims were spread stating that the production of mineral water bottles did not involve greenhouse gas emissions or even had a positive impact on the environment.</w:t>
      </w:r>
    </w:p>
    <w:p w14:paraId="77B9AE78" w14:textId="537D723A" w:rsidR="007A776A" w:rsidRPr="0073241B" w:rsidRDefault="004F5F24" w:rsidP="007A776A">
      <w:pPr>
        <w:spacing w:line="360" w:lineRule="auto"/>
        <w:rPr>
          <w:lang w:val="en-GB"/>
        </w:rPr>
      </w:pPr>
      <w:r w:rsidRPr="004F5F24">
        <w:rPr>
          <w:lang w:val="en-GB"/>
        </w:rPr>
        <w:t xml:space="preserve">This thesis aims to demonstrate how sustainability reporting, initially perceived as a voluntary, reputational tool, and little considered by clients, has evolved over time to become a structural component of corporate strategy and financial decision-making. The numerous cases presented in this thesis confirm that ESG reporting is no longer a secondary practice, but a key competitive factor, influencing companies' access to </w:t>
      </w:r>
      <w:r w:rsidRPr="004F5F24">
        <w:rPr>
          <w:lang w:val="en-GB"/>
        </w:rPr>
        <w:lastRenderedPageBreak/>
        <w:t>capital, their economic and image risk profile, and the creation of long-term value.</w:t>
      </w:r>
      <w:r>
        <w:rPr>
          <w:lang w:val="en-GB"/>
        </w:rPr>
        <w:t xml:space="preserve"> </w:t>
      </w:r>
      <w:r w:rsidR="007A776A" w:rsidRPr="0073241B">
        <w:rPr>
          <w:lang w:val="en-GB"/>
        </w:rPr>
        <w:t>From a regulatory standpoint, the European framework – particularly the Corporate Sustainability Reporting Directive (CSRD), the Sustainable Finance Disclosure Regulation (SFDR), and the EU Taxonomy – has profoundly reshaped the reporting landscape. By expanding disclosure obligations to more than 50,000 European companies (compared to the fewer than 12,000 covered under the former NFRD), the CSRD introduces the principle of double materiality and requires comprehensive reporting not only on financial materiality but also on environmental and social impacts. Together with the European Sustainability Reporting Standards (ESRS), adopted in July 2023, this framework aims to enhance transparency and comparability, thereby strengthening investor confidence and counteracting the risks of greenwashing.</w:t>
      </w:r>
    </w:p>
    <w:p w14:paraId="29673518" w14:textId="79ED4AA2" w:rsidR="007A776A" w:rsidRPr="0073241B" w:rsidRDefault="007A776A" w:rsidP="007A776A">
      <w:pPr>
        <w:spacing w:line="360" w:lineRule="auto"/>
        <w:rPr>
          <w:lang w:val="en-GB"/>
        </w:rPr>
      </w:pPr>
      <w:r w:rsidRPr="0073241B">
        <w:rPr>
          <w:lang w:val="en-GB"/>
        </w:rPr>
        <w:t xml:space="preserve">Financial markets have also shown a remarkable evolution. The sustainable debt market has grown exponentially in recent years, with global issuance of green, social, and sustainability bonds exceeding $1.5 trillion in 2023. Instruments such as sustainability-linked loans (SLLs) and green loans are becoming mainstream, enabling firms to access </w:t>
      </w:r>
      <w:r w:rsidR="00885D23" w:rsidRPr="0073241B">
        <w:rPr>
          <w:lang w:val="en-GB"/>
        </w:rPr>
        <w:t>favourable</w:t>
      </w:r>
      <w:r w:rsidRPr="0073241B">
        <w:rPr>
          <w:lang w:val="en-GB"/>
        </w:rPr>
        <w:t xml:space="preserve"> financing conditions upon achieving specific ESG targets. In Italy, initiatives such as Intesa Sanpaolo’s €10 billion S-Loan program confirm the increasing role of banks in incentivizing corporate sustainability through credit mechanisms. Moreover, academic studies and market surveys highlight a positive correlation between ESG performance and financial performance: according to research cited in this thesis, 80% of empirical studies demonstrate that companies with higher ESG scores benefit from lower capital costs, higher operational efficiency, and improved risk management.</w:t>
      </w:r>
    </w:p>
    <w:p w14:paraId="776CAB2A" w14:textId="77777777" w:rsidR="007A776A" w:rsidRPr="0073241B" w:rsidRDefault="007A776A" w:rsidP="007A776A">
      <w:pPr>
        <w:spacing w:line="360" w:lineRule="auto"/>
        <w:rPr>
          <w:lang w:val="en-GB"/>
        </w:rPr>
      </w:pPr>
      <w:r w:rsidRPr="0073241B">
        <w:rPr>
          <w:lang w:val="en-GB"/>
        </w:rPr>
        <w:t xml:space="preserve">At the same time, significant challenges remain. The lack of harmonized ESG metrics, the proliferation of rating methodologies, and the persistence of greenwashing practices undermine the credibility and effectiveness of ESG reporting. Cases such as ENI’s ENIdiesel+ misrepresentation or Coca-Cola’s “World Without Waste” campaign demonstrate the reputational and financial risks associated with misleading </w:t>
      </w:r>
      <w:r w:rsidRPr="0073241B">
        <w:rPr>
          <w:lang w:val="en-GB"/>
        </w:rPr>
        <w:lastRenderedPageBreak/>
        <w:t>disclosure. Furthermore, the costs of compliance and data collection are particularly burdensome for SMEs, which represent the backbone of the Italian and European economy and will increasingly be involved in mandatory reporting under the CSRD.</w:t>
      </w:r>
    </w:p>
    <w:p w14:paraId="1EEF551C" w14:textId="77777777" w:rsidR="007A776A" w:rsidRPr="0073241B" w:rsidRDefault="007A776A" w:rsidP="007A776A">
      <w:pPr>
        <w:spacing w:line="360" w:lineRule="auto"/>
        <w:rPr>
          <w:lang w:val="en-GB"/>
        </w:rPr>
      </w:pPr>
      <w:r w:rsidRPr="0073241B">
        <w:rPr>
          <w:lang w:val="en-GB"/>
        </w:rPr>
        <w:t>The internship experience described in Chapter 3 has provided an applied perspective on these challenges. Working on ESG data collection, digital platform configuration, and consulting support for more than 100 client companies, it became evident how technology plays a critical role in facilitating the ESG reporting process. Digital platforms not only streamline the management of key performance indicators (KPIs) but also ensure consistency with international standards and improve traceability across complex supply chains. Nevertheless, the heterogeneity of ESG maturity among firms highlights the importance of targeted advisory services to accompany organizations in their transition towards structured sustainability reporting.</w:t>
      </w:r>
    </w:p>
    <w:p w14:paraId="5EA0C78C" w14:textId="77777777" w:rsidR="007A776A" w:rsidRPr="0073241B" w:rsidRDefault="007A776A" w:rsidP="007A776A">
      <w:pPr>
        <w:spacing w:line="360" w:lineRule="auto"/>
        <w:rPr>
          <w:lang w:val="en-GB"/>
        </w:rPr>
      </w:pPr>
      <w:r w:rsidRPr="0073241B">
        <w:rPr>
          <w:lang w:val="en-GB"/>
        </w:rPr>
        <w:t>Looking forward, future trends point to a deeper integration between technology, finance, and sustainability. The potential of artificial intelligence in ESG reporting is particularly promising, with applications ranging from automated data validation to predictive models for climate risk assessment. As highlighted in this research, the adoption of AI could significantly reduce reporting costs, enhance data reliability, and increase the decision-making relevance of ESG information for both companies and investors.</w:t>
      </w:r>
    </w:p>
    <w:p w14:paraId="7955DFB5" w14:textId="45FBE7B8" w:rsidR="0073241B" w:rsidRPr="0073241B" w:rsidRDefault="007A776A" w:rsidP="007A776A">
      <w:pPr>
        <w:spacing w:line="360" w:lineRule="auto"/>
        <w:rPr>
          <w:lang w:val="en-GB"/>
        </w:rPr>
      </w:pPr>
      <w:r w:rsidRPr="0073241B">
        <w:rPr>
          <w:lang w:val="en-GB"/>
        </w:rPr>
        <w:t xml:space="preserve">In conclusion, sustainability reporting has become an indispensable component of modern corporate governance and financial markets. Its evolution reflects a broader paradigm shift in which environmental, social, and governance considerations are no longer peripheral but central to value creation. Companies that authentically integrate ESG principles into their strategies and disclose them with transparency and rigor will not only comply with regulatory requirements but also secure a competitive advantage in increasingly sustainability-oriented capital markets. Conversely, those that </w:t>
      </w:r>
      <w:r w:rsidRPr="0073241B">
        <w:rPr>
          <w:lang w:val="en-GB"/>
        </w:rPr>
        <w:lastRenderedPageBreak/>
        <w:t>fail to adapt risk losing access to financing, investor trust, and ultimately long-term viability.</w:t>
      </w:r>
    </w:p>
    <w:p w14:paraId="73E009E5" w14:textId="71555F44" w:rsidR="007A776A" w:rsidRPr="007E095D" w:rsidRDefault="007A776A" w:rsidP="0073241B">
      <w:pPr>
        <w:pStyle w:val="Titolo1"/>
        <w:numPr>
          <w:ilvl w:val="0"/>
          <w:numId w:val="0"/>
        </w:numPr>
        <w:rPr>
          <w:lang w:val="en-US"/>
        </w:rPr>
      </w:pPr>
      <w:bookmarkStart w:id="74" w:name="_Toc207225665"/>
      <w:bookmarkStart w:id="75" w:name="_Toc207471616"/>
      <w:r w:rsidRPr="001F44C9">
        <w:rPr>
          <w:lang w:val="en-US"/>
        </w:rPr>
        <w:t>Summary of contents and final reflections</w:t>
      </w:r>
      <w:bookmarkEnd w:id="74"/>
      <w:bookmarkEnd w:id="75"/>
    </w:p>
    <w:p w14:paraId="74E88F46" w14:textId="77777777" w:rsidR="007A776A" w:rsidRPr="0073241B" w:rsidRDefault="007A776A" w:rsidP="007A776A">
      <w:pPr>
        <w:spacing w:line="360" w:lineRule="auto"/>
        <w:rPr>
          <w:lang w:val="en-GB"/>
        </w:rPr>
      </w:pPr>
      <w:r w:rsidRPr="0073241B">
        <w:rPr>
          <w:lang w:val="en-GB"/>
        </w:rPr>
        <w:t>This thesis has explored the evolution, current state, and prospects of sustainability reporting and its integration into the financial system. The first part of the work provided an overview of the concept of sustainability and its progressive institutionalization, highlighting the regulatory developments at European level – notably the CSRD, SFDR, and EU Taxonomy – and the emergence of international standards such as GRI, SASB, TCFD, and ISSB. These frameworks have contributed to shaping ESG reporting as a structured and comparable practice, while also underlining the challenges of standardization and the risks of greenwashing.</w:t>
      </w:r>
    </w:p>
    <w:p w14:paraId="18CD5EA7" w14:textId="47A12A76" w:rsidR="007A776A" w:rsidRPr="0073241B" w:rsidRDefault="001E0877" w:rsidP="007A776A">
      <w:pPr>
        <w:spacing w:line="360" w:lineRule="auto"/>
        <w:rPr>
          <w:lang w:val="en-GB"/>
        </w:rPr>
      </w:pPr>
      <w:r w:rsidRPr="001E0877">
        <w:rPr>
          <w:lang w:val="en-GB"/>
        </w:rPr>
        <w:t>The second chapter explored the relationship between sustainability and finance in greater depth, highlighting and focusing on the role of key sustainable financial instruments such as social bonds, green bonds, and sustainability-linked loans, including the integration of ESG factors into credit risk models and the investment processes of companies and banks. The findings demonstrate that ESG issues and assessments are increasingly integrated into capital allocation decisions, with measurable impacts on access to credit, reputation, and the long-term competitiveness of companies.</w:t>
      </w:r>
      <w:r w:rsidR="007A776A" w:rsidRPr="0073241B">
        <w:rPr>
          <w:lang w:val="en-GB"/>
        </w:rPr>
        <w:t>.</w:t>
      </w:r>
    </w:p>
    <w:p w14:paraId="4AE00BC0" w14:textId="77777777" w:rsidR="005B0938" w:rsidRDefault="005B0938" w:rsidP="007A776A">
      <w:pPr>
        <w:spacing w:line="360" w:lineRule="auto"/>
        <w:rPr>
          <w:lang w:val="en-GB"/>
        </w:rPr>
      </w:pPr>
      <w:r w:rsidRPr="005B0938">
        <w:rPr>
          <w:lang w:val="en-GB"/>
        </w:rPr>
        <w:t xml:space="preserve">The third chapter describes my internship experience at an ESG consulting and technology firm. I was able to actively contribute to ESG data collection for companies, the configuration of their digital platform, and consulting activities for some of their over one hundred client companies. This also allowed me to observe firsthand the difficulties that companies, particularly less structured SMEs, face in producing reliable ESG disclosures and the crucial role of digital tools and consulting in supporting them. This </w:t>
      </w:r>
      <w:r w:rsidRPr="005B0938">
        <w:rPr>
          <w:lang w:val="en-GB"/>
        </w:rPr>
        <w:lastRenderedPageBreak/>
        <w:t>practical experience reinforced my belief that technology and consulting services are highly useful tools for guiding all companies, even the least inclined or least structured, toward increasingly sustainable practices and operations.</w:t>
      </w:r>
    </w:p>
    <w:p w14:paraId="7F36AD59" w14:textId="77777777" w:rsidR="006A45C5" w:rsidRDefault="006A45C5" w:rsidP="007A776A">
      <w:pPr>
        <w:spacing w:line="360" w:lineRule="auto"/>
        <w:rPr>
          <w:lang w:val="en-GB"/>
        </w:rPr>
      </w:pPr>
      <w:r w:rsidRPr="006A45C5">
        <w:rPr>
          <w:lang w:val="en-GB"/>
        </w:rPr>
        <w:t>The final section of the thesis offers a critical assessment of the current ESG reporting system and its limitations, such as disparate metrics that are difficult to integrate, high implementation costs, and exposure to greenwashing risks. At the same time, it addresses not only risks and limitations, but also suggests and analyzes future opportunities, including the potential of artificial intelligence to simplify reporting, improve data quality, and enhance the integration of financial and non-financial information.</w:t>
      </w:r>
    </w:p>
    <w:p w14:paraId="167037FE" w14:textId="4CE819E8" w:rsidR="007A776A" w:rsidRPr="0073241B" w:rsidRDefault="007A776A" w:rsidP="007A776A">
      <w:pPr>
        <w:spacing w:line="360" w:lineRule="auto"/>
        <w:rPr>
          <w:lang w:val="en-GB"/>
        </w:rPr>
      </w:pPr>
      <w:r w:rsidRPr="0073241B">
        <w:rPr>
          <w:lang w:val="en-GB"/>
        </w:rPr>
        <w:t>In conclusion, this research confirms that sustainability reporting is no longer a voluntary exercise of corporate communication, but a decisive factor in shaping firms’ strategies and financial performance. Companies that authentically embed ESG principles into their governance and operations, and disclose them with rigor and transparency, will be better positioned to meet regulatory requirements, attract capital, and generate long-term value for all stakeholders. Those that fail to do so risk reputational setbacks, reduced access to finance, and ultimately a weakening of their competitive position.</w:t>
      </w:r>
    </w:p>
    <w:p w14:paraId="6A20D899" w14:textId="77777777" w:rsidR="007A776A" w:rsidRPr="0073241B" w:rsidRDefault="007A776A" w:rsidP="007A776A">
      <w:pPr>
        <w:spacing w:line="360" w:lineRule="auto"/>
        <w:rPr>
          <w:lang w:val="en-GB"/>
        </w:rPr>
      </w:pPr>
    </w:p>
    <w:p w14:paraId="5C35A22F" w14:textId="77777777" w:rsidR="003921FF" w:rsidRPr="0073241B" w:rsidRDefault="003921FF" w:rsidP="003921FF">
      <w:pPr>
        <w:rPr>
          <w:lang w:val="en-GB"/>
        </w:rPr>
      </w:pPr>
    </w:p>
    <w:p w14:paraId="109BBE2B" w14:textId="77777777" w:rsidR="003921FF" w:rsidRPr="00AE68FD" w:rsidRDefault="003921FF" w:rsidP="003921FF">
      <w:pPr>
        <w:rPr>
          <w:lang w:val="en-GB"/>
        </w:rPr>
      </w:pPr>
    </w:p>
    <w:p w14:paraId="74E34AFB" w14:textId="77777777" w:rsidR="003921FF" w:rsidRPr="00AE68FD" w:rsidRDefault="003921FF" w:rsidP="003921FF">
      <w:pPr>
        <w:rPr>
          <w:lang w:val="en-GB"/>
        </w:rPr>
      </w:pPr>
    </w:p>
    <w:p w14:paraId="0BEFA9AF" w14:textId="77777777" w:rsidR="00C5682F" w:rsidRDefault="00C5682F" w:rsidP="00E24B2E">
      <w:pPr>
        <w:rPr>
          <w:lang w:val="en-GB"/>
        </w:rPr>
      </w:pPr>
    </w:p>
    <w:p w14:paraId="237D037A" w14:textId="77777777" w:rsidR="00B560D5" w:rsidRDefault="00B560D5" w:rsidP="00E24B2E">
      <w:pPr>
        <w:rPr>
          <w:lang w:val="en-GB"/>
        </w:rPr>
      </w:pPr>
    </w:p>
    <w:p w14:paraId="76E9ECCD" w14:textId="77777777" w:rsidR="00B560D5" w:rsidRDefault="00B560D5" w:rsidP="00E24B2E">
      <w:pPr>
        <w:rPr>
          <w:lang w:val="en-GB"/>
        </w:rPr>
      </w:pPr>
    </w:p>
    <w:p w14:paraId="50F2EB88" w14:textId="77777777" w:rsidR="00B560D5" w:rsidRDefault="00B560D5" w:rsidP="00E24B2E">
      <w:pPr>
        <w:rPr>
          <w:lang w:val="en-GB"/>
        </w:rPr>
      </w:pPr>
    </w:p>
    <w:p w14:paraId="04A1AC1E" w14:textId="77777777" w:rsidR="00F07596" w:rsidRDefault="00F07596" w:rsidP="00E24B2E">
      <w:pPr>
        <w:rPr>
          <w:lang w:val="en-GB"/>
        </w:rPr>
      </w:pPr>
    </w:p>
    <w:p w14:paraId="52D771D8" w14:textId="77777777" w:rsidR="00F07596" w:rsidRDefault="00F07596" w:rsidP="00E24B2E">
      <w:pPr>
        <w:rPr>
          <w:lang w:val="en-GB"/>
        </w:rPr>
      </w:pPr>
    </w:p>
    <w:p w14:paraId="2E6A588F" w14:textId="77777777" w:rsidR="00F07596" w:rsidRDefault="00F07596" w:rsidP="00E24B2E">
      <w:pPr>
        <w:rPr>
          <w:lang w:val="en-GB"/>
        </w:rPr>
      </w:pPr>
    </w:p>
    <w:p w14:paraId="25A308B7" w14:textId="77777777" w:rsidR="00F07596" w:rsidRDefault="00F07596" w:rsidP="00E24B2E">
      <w:pPr>
        <w:rPr>
          <w:lang w:val="en-GB"/>
        </w:rPr>
      </w:pPr>
    </w:p>
    <w:p w14:paraId="12429D3F" w14:textId="77777777" w:rsidR="00B560D5" w:rsidRPr="006A45C5" w:rsidRDefault="00B560D5" w:rsidP="00B560D5">
      <w:pPr>
        <w:pStyle w:val="Titolo2"/>
        <w:numPr>
          <w:ilvl w:val="0"/>
          <w:numId w:val="0"/>
        </w:numPr>
        <w:rPr>
          <w:lang w:val="en-US"/>
        </w:rPr>
      </w:pPr>
      <w:bookmarkStart w:id="76" w:name="_Toc207471617"/>
      <w:r w:rsidRPr="006A45C5">
        <w:rPr>
          <w:lang w:val="en-US"/>
        </w:rPr>
        <w:lastRenderedPageBreak/>
        <w:t>Bibliography</w:t>
      </w:r>
      <w:bookmarkEnd w:id="76"/>
    </w:p>
    <w:p w14:paraId="3685ABA9" w14:textId="77777777" w:rsidR="00646946" w:rsidRPr="008239CB" w:rsidRDefault="00646946" w:rsidP="00A351A6">
      <w:pPr>
        <w:pStyle w:val="Testonotaapidipagina"/>
        <w:rPr>
          <w:lang w:val="en-US"/>
        </w:rPr>
      </w:pPr>
    </w:p>
    <w:p w14:paraId="41174F3B" w14:textId="33BB475B" w:rsidR="00646946" w:rsidRDefault="00646946" w:rsidP="00A351A6">
      <w:pPr>
        <w:pStyle w:val="Testonotaapidipagina"/>
        <w:rPr>
          <w:lang w:val="en-US"/>
        </w:rPr>
      </w:pPr>
      <w:r w:rsidRPr="006C048E">
        <w:rPr>
          <w:lang w:val="en-US"/>
        </w:rPr>
        <w:t>Apergis</w:t>
      </w:r>
      <w:r w:rsidR="00F33DBD">
        <w:rPr>
          <w:lang w:val="en-US"/>
        </w:rPr>
        <w:t>,</w:t>
      </w:r>
      <w:r w:rsidRPr="006C048E">
        <w:rPr>
          <w:lang w:val="en-US"/>
        </w:rPr>
        <w:t xml:space="preserve"> N., &amp; Payn</w:t>
      </w:r>
      <w:r>
        <w:rPr>
          <w:lang w:val="en-US"/>
        </w:rPr>
        <w:t>e</w:t>
      </w:r>
      <w:r w:rsidR="00F33DBD">
        <w:rPr>
          <w:lang w:val="en-US"/>
        </w:rPr>
        <w:t>,</w:t>
      </w:r>
      <w:r w:rsidRPr="006C048E">
        <w:rPr>
          <w:lang w:val="en-US"/>
        </w:rPr>
        <w:t xml:space="preserve"> J. E. (2010). Renewable energy consumption and growth in Eurasia. </w:t>
      </w:r>
      <w:r w:rsidRPr="004F46E7">
        <w:rPr>
          <w:i/>
          <w:iCs/>
          <w:lang w:val="en-US"/>
        </w:rPr>
        <w:t>Energy Economics</w:t>
      </w:r>
      <w:r w:rsidRPr="004F46E7">
        <w:rPr>
          <w:lang w:val="en-US"/>
        </w:rPr>
        <w:t>, 32(6), 1392–11.</w:t>
      </w:r>
    </w:p>
    <w:p w14:paraId="10FF7CC6" w14:textId="7EA18C35" w:rsidR="00FA2137" w:rsidRPr="009E5BD5" w:rsidRDefault="00FA2137" w:rsidP="00A351A6">
      <w:pPr>
        <w:pStyle w:val="Testonotaapidipagina"/>
        <w:rPr>
          <w:lang w:val="en-US"/>
        </w:rPr>
      </w:pPr>
      <w:r>
        <w:rPr>
          <w:lang w:val="en-US"/>
        </w:rPr>
        <w:t>Barraza</w:t>
      </w:r>
      <w:r w:rsidR="00F33DBD">
        <w:rPr>
          <w:lang w:val="en-US"/>
        </w:rPr>
        <w:t>,</w:t>
      </w:r>
      <w:r>
        <w:rPr>
          <w:lang w:val="en-US"/>
        </w:rPr>
        <w:t xml:space="preserve"> C.  (2025), </w:t>
      </w:r>
      <w:r w:rsidRPr="002F57DE">
        <w:rPr>
          <w:lang w:val="en-US"/>
        </w:rPr>
        <w:t>14 Advantages and Disadvantages of Environmental, Social, and</w:t>
      </w:r>
      <w:r>
        <w:rPr>
          <w:lang w:val="en-US"/>
        </w:rPr>
        <w:t xml:space="preserve"> </w:t>
      </w:r>
      <w:r w:rsidRPr="002F57DE">
        <w:rPr>
          <w:lang w:val="en-US"/>
        </w:rPr>
        <w:t>Governance</w:t>
      </w:r>
    </w:p>
    <w:p w14:paraId="3647664C" w14:textId="77777777" w:rsidR="00646946" w:rsidRDefault="00646946" w:rsidP="00A351A6">
      <w:pPr>
        <w:pStyle w:val="Testonotaapidipagina"/>
        <w:rPr>
          <w:lang w:val="en-US"/>
        </w:rPr>
      </w:pPr>
      <w:r>
        <w:rPr>
          <w:lang w:val="en-US"/>
        </w:rPr>
        <w:t xml:space="preserve">BBVA investment banking (2025), </w:t>
      </w:r>
      <w:r w:rsidRPr="00071590">
        <w:rPr>
          <w:lang w:val="en-US"/>
        </w:rPr>
        <w:t>Green and Sustainability-Linked Loan,</w:t>
      </w:r>
      <w:r>
        <w:rPr>
          <w:lang w:val="en-US"/>
        </w:rPr>
        <w:t xml:space="preserve"> </w:t>
      </w:r>
    </w:p>
    <w:p w14:paraId="6C2C3F9B" w14:textId="36EBF48C" w:rsidR="00646946" w:rsidRPr="00A10758" w:rsidRDefault="00646946" w:rsidP="00A351A6">
      <w:pPr>
        <w:pStyle w:val="Testonotaapidipagina"/>
      </w:pPr>
      <w:r w:rsidRPr="00A10758">
        <w:t>Bellini</w:t>
      </w:r>
      <w:r w:rsidR="00F33DBD">
        <w:t>,</w:t>
      </w:r>
      <w:r>
        <w:t xml:space="preserve"> </w:t>
      </w:r>
      <w:r w:rsidRPr="00A10758">
        <w:t>E</w:t>
      </w:r>
      <w:r>
        <w:t xml:space="preserve">., (2023), </w:t>
      </w:r>
      <w:r w:rsidRPr="00A10758">
        <w:t>La moda sostenibile del 2023 che ricorderemo</w:t>
      </w:r>
    </w:p>
    <w:p w14:paraId="72A75670" w14:textId="1FD48480" w:rsidR="00646946" w:rsidRDefault="00646946" w:rsidP="00A351A6">
      <w:pPr>
        <w:pStyle w:val="Testonotaapidipagina"/>
        <w:rPr>
          <w:lang w:val="en-US"/>
        </w:rPr>
      </w:pPr>
      <w:r w:rsidRPr="0031124B">
        <w:rPr>
          <w:lang w:val="en-US"/>
        </w:rPr>
        <w:t>Berger</w:t>
      </w:r>
      <w:r w:rsidR="00F33DBD">
        <w:rPr>
          <w:lang w:val="en-US"/>
        </w:rPr>
        <w:t>,</w:t>
      </w:r>
      <w:r>
        <w:rPr>
          <w:lang w:val="en-US"/>
        </w:rPr>
        <w:t xml:space="preserve"> R. (2022), </w:t>
      </w:r>
      <w:r w:rsidRPr="0031124B">
        <w:rPr>
          <w:lang w:val="en-US"/>
        </w:rPr>
        <w:t>ESG in finance: Combining sustainability with profitability</w:t>
      </w:r>
    </w:p>
    <w:p w14:paraId="18AC0CE3" w14:textId="77777777" w:rsidR="00646946" w:rsidRDefault="00646946" w:rsidP="00A351A6">
      <w:pPr>
        <w:pStyle w:val="Testonotaapidipagina"/>
        <w:rPr>
          <w:lang w:val="en-US"/>
        </w:rPr>
      </w:pPr>
      <w:r w:rsidRPr="00D1711D">
        <w:rPr>
          <w:lang w:val="en-US"/>
        </w:rPr>
        <w:t>Cheng, X., Chen</w:t>
      </w:r>
      <w:r>
        <w:rPr>
          <w:lang w:val="en-US"/>
        </w:rPr>
        <w:t xml:space="preserve"> </w:t>
      </w:r>
      <w:r w:rsidRPr="00D1711D">
        <w:rPr>
          <w:lang w:val="en-US"/>
        </w:rPr>
        <w:t>K., and Su</w:t>
      </w:r>
      <w:r>
        <w:rPr>
          <w:lang w:val="en-US"/>
        </w:rPr>
        <w:t xml:space="preserve"> </w:t>
      </w:r>
      <w:r w:rsidRPr="00D1711D">
        <w:rPr>
          <w:lang w:val="en-US"/>
        </w:rPr>
        <w:t>Y.  2023. “Green Innovation in Oil andGas Exploration and Production for Meeting the Sustainability Goals.</w:t>
      </w:r>
      <w:r>
        <w:rPr>
          <w:lang w:val="en-US"/>
        </w:rPr>
        <w:t xml:space="preserve"> </w:t>
      </w:r>
    </w:p>
    <w:p w14:paraId="1B77203B" w14:textId="77777777" w:rsidR="00646946" w:rsidRDefault="00646946" w:rsidP="00A351A6">
      <w:pPr>
        <w:pStyle w:val="Testonotaapidipagina"/>
        <w:rPr>
          <w:lang w:val="en-US"/>
        </w:rPr>
      </w:pPr>
      <w:r w:rsidRPr="001A3BB0">
        <w:rPr>
          <w:lang w:val="en-US"/>
        </w:rPr>
        <w:t>Chiriluș</w:t>
      </w:r>
      <w:r>
        <w:rPr>
          <w:lang w:val="en-US"/>
        </w:rPr>
        <w:t xml:space="preserve"> </w:t>
      </w:r>
      <w:r w:rsidRPr="001A3BB0">
        <w:rPr>
          <w:lang w:val="en-US"/>
        </w:rPr>
        <w:t>A</w:t>
      </w:r>
      <w:r>
        <w:rPr>
          <w:lang w:val="en-US"/>
        </w:rPr>
        <w:t>.</w:t>
      </w:r>
      <w:r w:rsidRPr="001A3BB0">
        <w:rPr>
          <w:lang w:val="en-US"/>
        </w:rPr>
        <w:t>,</w:t>
      </w:r>
      <w:r>
        <w:rPr>
          <w:lang w:val="en-US"/>
        </w:rPr>
        <w:t xml:space="preserve"> </w:t>
      </w:r>
      <w:r w:rsidRPr="001A3BB0">
        <w:rPr>
          <w:lang w:val="en-US"/>
        </w:rPr>
        <w:t>Effect of FDI on Environmental Degradation in Romania,</w:t>
      </w:r>
      <w:r>
        <w:rPr>
          <w:lang w:val="en-US"/>
        </w:rPr>
        <w:t xml:space="preserve"> </w:t>
      </w:r>
    </w:p>
    <w:p w14:paraId="441C4103" w14:textId="77777777" w:rsidR="00646946" w:rsidRDefault="00646946" w:rsidP="00A351A6">
      <w:pPr>
        <w:pStyle w:val="Testonotaapidipagina"/>
        <w:rPr>
          <w:lang w:val="en-US"/>
        </w:rPr>
      </w:pPr>
      <w:r>
        <w:rPr>
          <w:lang w:val="en-US"/>
        </w:rPr>
        <w:t xml:space="preserve">Commerzventures. 2025. </w:t>
      </w:r>
      <w:r w:rsidRPr="008C5C9F">
        <w:rPr>
          <w:lang w:val="en-US"/>
        </w:rPr>
        <w:t>Climate Fintech Report</w:t>
      </w:r>
    </w:p>
    <w:p w14:paraId="0AF6F82B" w14:textId="77777777" w:rsidR="00646946" w:rsidRPr="001D3F2B" w:rsidRDefault="00646946" w:rsidP="00A351A6">
      <w:pPr>
        <w:pStyle w:val="Testonotaapidipagina"/>
        <w:rPr>
          <w:lang w:val="en-US"/>
        </w:rPr>
      </w:pPr>
      <w:r w:rsidRPr="006445A6">
        <w:rPr>
          <w:lang w:val="en-US"/>
        </w:rPr>
        <w:t>D</w:t>
      </w:r>
      <w:r>
        <w:rPr>
          <w:lang w:val="en-US"/>
        </w:rPr>
        <w:t xml:space="preserve">avis </w:t>
      </w:r>
      <w:r w:rsidRPr="006445A6">
        <w:rPr>
          <w:lang w:val="en-US"/>
        </w:rPr>
        <w:t xml:space="preserve">K., “Can business afford to ignore social responsibilities?” </w:t>
      </w:r>
      <w:r w:rsidRPr="001D3F2B">
        <w:rPr>
          <w:lang w:val="en-US"/>
        </w:rPr>
        <w:t>California Management Review, 1960, pp. 70–76.</w:t>
      </w:r>
    </w:p>
    <w:p w14:paraId="3F9B4890" w14:textId="5458B92E" w:rsidR="00646946" w:rsidRPr="00834A78" w:rsidRDefault="00646946" w:rsidP="00A351A6">
      <w:pPr>
        <w:pStyle w:val="Testonotaapidipagina"/>
        <w:rPr>
          <w:lang w:val="en-US"/>
        </w:rPr>
      </w:pPr>
      <w:r>
        <w:rPr>
          <w:lang w:val="en-US"/>
        </w:rPr>
        <w:t>D</w:t>
      </w:r>
      <w:r w:rsidRPr="00C33C6E">
        <w:rPr>
          <w:lang w:val="en-US"/>
        </w:rPr>
        <w:t>e Wergifosse</w:t>
      </w:r>
      <w:r w:rsidR="00F33DBD">
        <w:rPr>
          <w:lang w:val="en-US"/>
        </w:rPr>
        <w:t>,</w:t>
      </w:r>
      <w:r>
        <w:rPr>
          <w:lang w:val="en-US"/>
        </w:rPr>
        <w:t xml:space="preserve"> </w:t>
      </w:r>
      <w:r w:rsidRPr="00C33C6E">
        <w:rPr>
          <w:lang w:val="en-US"/>
        </w:rPr>
        <w:t>L</w:t>
      </w:r>
      <w:r>
        <w:rPr>
          <w:lang w:val="en-US"/>
        </w:rPr>
        <w:t>.</w:t>
      </w:r>
      <w:r w:rsidRPr="00C33C6E">
        <w:rPr>
          <w:lang w:val="en-US"/>
        </w:rPr>
        <w:t>, Greenomy, The Essentials of SFDR: a Guide to Accelerate Your Green Transition</w:t>
      </w:r>
    </w:p>
    <w:p w14:paraId="433B85F8" w14:textId="6AC4ED67" w:rsidR="00646946" w:rsidRDefault="00646946" w:rsidP="00A351A6">
      <w:pPr>
        <w:pStyle w:val="Testonotaapidipagina"/>
      </w:pPr>
      <w:r w:rsidRPr="00E34B44">
        <w:t>D</w:t>
      </w:r>
      <w:r>
        <w:t>el Giudice</w:t>
      </w:r>
      <w:r w:rsidR="00F33DBD">
        <w:t>,</w:t>
      </w:r>
      <w:r>
        <w:t xml:space="preserve"> A. (2019) </w:t>
      </w:r>
      <w:r w:rsidRPr="00E34B44">
        <w:t>“La finanza sostenibile”, Giappichelli Editore, p.1.</w:t>
      </w:r>
    </w:p>
    <w:p w14:paraId="5D8F43C6" w14:textId="77777777" w:rsidR="00646946" w:rsidRPr="00D232DA" w:rsidRDefault="00646946" w:rsidP="00A351A6">
      <w:pPr>
        <w:pStyle w:val="Testonotaapidipagina"/>
        <w:rPr>
          <w:lang w:val="en-US"/>
        </w:rPr>
      </w:pPr>
      <w:r>
        <w:rPr>
          <w:rFonts w:ascii="Times New Roman" w:hAnsi="Times New Roman" w:cs="Times New Roman"/>
          <w:lang w:val="en-US"/>
        </w:rPr>
        <w:t>Deloitte</w:t>
      </w:r>
      <w:r w:rsidRPr="006E740E">
        <w:rPr>
          <w:rFonts w:ascii="Times New Roman" w:hAnsi="Times New Roman" w:cs="Times New Roman"/>
          <w:lang w:val="en-US"/>
        </w:rPr>
        <w:t>,</w:t>
      </w:r>
      <w:r>
        <w:rPr>
          <w:rFonts w:ascii="Times New Roman" w:hAnsi="Times New Roman" w:cs="Times New Roman"/>
          <w:lang w:val="en-US"/>
        </w:rPr>
        <w:t xml:space="preserve"> </w:t>
      </w:r>
      <w:r w:rsidRPr="006E740E">
        <w:rPr>
          <w:rFonts w:ascii="Times New Roman" w:hAnsi="Times New Roman" w:cs="Times New Roman"/>
          <w:lang w:val="en-US"/>
        </w:rPr>
        <w:t>The Conscious Citizen: the value of trust in sustainable consumption choices</w:t>
      </w:r>
    </w:p>
    <w:p w14:paraId="5C27E41C" w14:textId="0B4E4278" w:rsidR="00646946" w:rsidRPr="00444545" w:rsidRDefault="00646946" w:rsidP="00A351A6">
      <w:pPr>
        <w:pStyle w:val="Testonotaapidipagina"/>
        <w:rPr>
          <w:lang w:val="en-US"/>
        </w:rPr>
      </w:pPr>
      <w:r w:rsidRPr="007919EF">
        <w:t>Di Vaio</w:t>
      </w:r>
      <w:r w:rsidR="00F33DBD">
        <w:t>,</w:t>
      </w:r>
      <w:r w:rsidRPr="007919EF">
        <w:t xml:space="preserve"> A.,</w:t>
      </w:r>
      <w:r>
        <w:t xml:space="preserve"> </w:t>
      </w:r>
      <w:r w:rsidRPr="007919EF">
        <w:t>Palladino</w:t>
      </w:r>
      <w:r w:rsidR="00F33DBD">
        <w:t>,</w:t>
      </w:r>
      <w:r>
        <w:t xml:space="preserve"> </w:t>
      </w:r>
      <w:r w:rsidRPr="007919EF">
        <w:t>R., Hassan</w:t>
      </w:r>
      <w:r w:rsidR="00F33DBD">
        <w:t>,</w:t>
      </w:r>
      <w:r>
        <w:t xml:space="preserve"> </w:t>
      </w:r>
      <w:r w:rsidRPr="007919EF">
        <w:t>R., and Escobar</w:t>
      </w:r>
      <w:r w:rsidR="00F33DBD">
        <w:t>,</w:t>
      </w:r>
      <w:r w:rsidRPr="002A0706">
        <w:t xml:space="preserve"> </w:t>
      </w:r>
      <w:r w:rsidRPr="007919EF">
        <w:t>O.</w:t>
      </w:r>
      <w:r>
        <w:t xml:space="preserve">, </w:t>
      </w:r>
      <w:r w:rsidRPr="007919EF">
        <w:t>2020</w:t>
      </w:r>
      <w:r w:rsidRPr="002A0706">
        <w:t xml:space="preserve">. </w:t>
      </w:r>
      <w:r w:rsidRPr="005F338F">
        <w:rPr>
          <w:lang w:val="en-US"/>
        </w:rPr>
        <w:t>“ArtificialIntelligence and Business Models in the Sustainable Development</w:t>
      </w:r>
      <w:r>
        <w:rPr>
          <w:lang w:val="en-US"/>
        </w:rPr>
        <w:t xml:space="preserve"> </w:t>
      </w:r>
      <w:r w:rsidRPr="00C52142">
        <w:rPr>
          <w:lang w:val="en-US"/>
        </w:rPr>
        <w:t xml:space="preserve">Goals Perspective: A Systematic Literature Review.” </w:t>
      </w:r>
      <w:r w:rsidRPr="00444545">
        <w:rPr>
          <w:lang w:val="en-US"/>
        </w:rPr>
        <w:t>Journal of BusinessResearch 121: 283–314.</w:t>
      </w:r>
    </w:p>
    <w:p w14:paraId="0166F692" w14:textId="380F43F2" w:rsidR="00646946" w:rsidRPr="00114E90" w:rsidRDefault="00646946" w:rsidP="00A351A6">
      <w:pPr>
        <w:pStyle w:val="Testonotaapidipagina"/>
        <w:rPr>
          <w:lang w:val="en-US"/>
        </w:rPr>
      </w:pPr>
      <w:r w:rsidRPr="00114E90">
        <w:rPr>
          <w:lang w:val="en-US"/>
        </w:rPr>
        <w:t>Dudwani</w:t>
      </w:r>
      <w:r w:rsidR="00F33DBD">
        <w:rPr>
          <w:lang w:val="en-US"/>
        </w:rPr>
        <w:t>,</w:t>
      </w:r>
      <w:r>
        <w:rPr>
          <w:lang w:val="en-US"/>
        </w:rPr>
        <w:t xml:space="preserve"> </w:t>
      </w:r>
      <w:r w:rsidRPr="00114E90">
        <w:rPr>
          <w:lang w:val="en-US"/>
        </w:rPr>
        <w:t xml:space="preserve">A., (2025), </w:t>
      </w:r>
      <w:r w:rsidRPr="00714568">
        <w:rPr>
          <w:lang w:val="en-US"/>
        </w:rPr>
        <w:t xml:space="preserve">What are Sustainability-Linked Loans? </w:t>
      </w:r>
    </w:p>
    <w:p w14:paraId="660DDDD5" w14:textId="77777777" w:rsidR="00646946" w:rsidRDefault="00646946" w:rsidP="00A351A6">
      <w:pPr>
        <w:pStyle w:val="Testonotaapidipagina"/>
      </w:pPr>
      <w:r w:rsidRPr="00D80C22">
        <w:t>ESG News</w:t>
      </w:r>
      <w:r>
        <w:t xml:space="preserve"> (2024) </w:t>
      </w:r>
      <w:r w:rsidRPr="00D80C22">
        <w:t>Le aziende si preparano alle richieste normative sulla rendicontazione ESG: ecco a che punto siamo</w:t>
      </w:r>
      <w:r>
        <w:t xml:space="preserve">        </w:t>
      </w:r>
    </w:p>
    <w:p w14:paraId="3D042752" w14:textId="77777777" w:rsidR="00646946" w:rsidRPr="00BC6BB6" w:rsidRDefault="00646946" w:rsidP="00A351A6">
      <w:pPr>
        <w:pStyle w:val="Testonotaapidipagina"/>
        <w:rPr>
          <w:lang w:val="en-US"/>
        </w:rPr>
      </w:pPr>
      <w:r>
        <w:rPr>
          <w:lang w:val="en-US"/>
        </w:rPr>
        <w:t xml:space="preserve">ESG news (2025), </w:t>
      </w:r>
      <w:r w:rsidRPr="00BC6BB6">
        <w:rPr>
          <w:lang w:val="en-US"/>
        </w:rPr>
        <w:t>What is Greenwashing? Definition, examples, and how to recognize it</w:t>
      </w:r>
    </w:p>
    <w:p w14:paraId="63654C27" w14:textId="77777777" w:rsidR="00646946" w:rsidRDefault="00646946" w:rsidP="00A351A6">
      <w:pPr>
        <w:pStyle w:val="Testonotaapidipagina"/>
        <w:rPr>
          <w:lang w:val="en-US"/>
        </w:rPr>
      </w:pPr>
      <w:r w:rsidRPr="009E5EDA">
        <w:rPr>
          <w:lang w:val="en-US"/>
        </w:rPr>
        <w:t>ESG Ratings Methodology MSCI ESG Research LLC April 2024</w:t>
      </w:r>
    </w:p>
    <w:p w14:paraId="40276C6E" w14:textId="77777777" w:rsidR="00646946" w:rsidRDefault="00646946" w:rsidP="00A351A6">
      <w:pPr>
        <w:pStyle w:val="Testonotaapidipagina"/>
        <w:rPr>
          <w:lang w:val="en-US"/>
        </w:rPr>
      </w:pPr>
      <w:r w:rsidRPr="004813AE">
        <w:rPr>
          <w:lang w:val="en-US"/>
        </w:rPr>
        <w:t>ESG Ratings Methodology MSCI ESG Research LLC April 2024</w:t>
      </w:r>
      <w:r>
        <w:rPr>
          <w:lang w:val="en-US"/>
        </w:rPr>
        <w:t>, pag 2</w:t>
      </w:r>
    </w:p>
    <w:p w14:paraId="43777FE4" w14:textId="77777777" w:rsidR="00646946" w:rsidRDefault="00646946" w:rsidP="00A351A6">
      <w:pPr>
        <w:pStyle w:val="Testonotaapidipagina"/>
        <w:rPr>
          <w:lang w:val="en-US"/>
        </w:rPr>
      </w:pPr>
      <w:r w:rsidRPr="004813AE">
        <w:rPr>
          <w:lang w:val="en-US"/>
        </w:rPr>
        <w:t>ESG Ratings Methodology MSCI ESG Research LLC April 2024</w:t>
      </w:r>
      <w:r>
        <w:rPr>
          <w:lang w:val="en-US"/>
        </w:rPr>
        <w:t>, pag 4</w:t>
      </w:r>
    </w:p>
    <w:p w14:paraId="5A72360D" w14:textId="77777777" w:rsidR="00646946" w:rsidRPr="002A6B7D" w:rsidRDefault="00646946" w:rsidP="00A351A6">
      <w:pPr>
        <w:pStyle w:val="Testonotaapidipagina"/>
        <w:rPr>
          <w:lang w:val="en-US"/>
        </w:rPr>
      </w:pPr>
      <w:r w:rsidRPr="002A6B7D">
        <w:rPr>
          <w:lang w:val="en-US"/>
        </w:rPr>
        <w:t>European Central Bank,</w:t>
      </w:r>
      <w:r>
        <w:rPr>
          <w:lang w:val="en-US"/>
        </w:rPr>
        <w:t xml:space="preserve"> </w:t>
      </w:r>
      <w:r w:rsidRPr="002A6B7D">
        <w:rPr>
          <w:lang w:val="en-US"/>
        </w:rPr>
        <w:t>Indicators on sustainable finance</w:t>
      </w:r>
    </w:p>
    <w:p w14:paraId="6A9083F6" w14:textId="77777777" w:rsidR="00646946" w:rsidRDefault="00646946" w:rsidP="00A351A6">
      <w:pPr>
        <w:pStyle w:val="Testonotaapidipagina"/>
        <w:rPr>
          <w:lang w:val="en-US"/>
        </w:rPr>
      </w:pPr>
      <w:r w:rsidRPr="00706D92">
        <w:rPr>
          <w:lang w:val="en-US"/>
        </w:rPr>
        <w:t>Green Bond Principles 2018</w:t>
      </w:r>
    </w:p>
    <w:p w14:paraId="45235C25" w14:textId="77777777" w:rsidR="00646946" w:rsidRDefault="00646946" w:rsidP="00A351A6">
      <w:pPr>
        <w:pStyle w:val="Testonotaapidipagina"/>
        <w:rPr>
          <w:lang w:val="en-US"/>
        </w:rPr>
      </w:pPr>
      <w:r w:rsidRPr="00CE391C">
        <w:rPr>
          <w:lang w:val="en-US"/>
        </w:rPr>
        <w:t>Grunert, Norden, and Weber (2005)</w:t>
      </w:r>
      <w:r>
        <w:rPr>
          <w:lang w:val="en-US"/>
        </w:rPr>
        <w:t xml:space="preserve">. </w:t>
      </w:r>
      <w:r w:rsidRPr="00CE391C">
        <w:rPr>
          <w:lang w:val="en-US"/>
        </w:rPr>
        <w:t>The role of non-financial factors in internal credit ratings - ScienceDirect</w:t>
      </w:r>
    </w:p>
    <w:p w14:paraId="7892C0DE" w14:textId="233B6144" w:rsidR="00646946" w:rsidRPr="0081097F" w:rsidRDefault="00646946" w:rsidP="00A351A6">
      <w:pPr>
        <w:pStyle w:val="Testonotaapidipagina"/>
        <w:rPr>
          <w:lang w:val="en-US"/>
        </w:rPr>
      </w:pPr>
      <w:r w:rsidRPr="0081097F">
        <w:rPr>
          <w:lang w:val="en-US"/>
        </w:rPr>
        <w:t>Halkos</w:t>
      </w:r>
      <w:r w:rsidR="00F33DBD">
        <w:rPr>
          <w:lang w:val="en-US"/>
        </w:rPr>
        <w:t>,</w:t>
      </w:r>
      <w:r>
        <w:rPr>
          <w:lang w:val="en-US"/>
        </w:rPr>
        <w:t xml:space="preserve"> </w:t>
      </w:r>
      <w:r w:rsidRPr="0081097F">
        <w:rPr>
          <w:lang w:val="en-US"/>
        </w:rPr>
        <w:t>G., &amp; Gkampour</w:t>
      </w:r>
      <w:r w:rsidR="00F33DBD">
        <w:rPr>
          <w:lang w:val="en-US"/>
        </w:rPr>
        <w:t>,</w:t>
      </w:r>
      <w:r>
        <w:rPr>
          <w:lang w:val="en-US"/>
        </w:rPr>
        <w:t xml:space="preserve"> </w:t>
      </w:r>
      <w:r w:rsidRPr="0081097F">
        <w:rPr>
          <w:lang w:val="en-US"/>
        </w:rPr>
        <w:t>E.</w:t>
      </w:r>
      <w:r>
        <w:rPr>
          <w:lang w:val="en-US"/>
        </w:rPr>
        <w:t xml:space="preserve">, </w:t>
      </w:r>
      <w:r w:rsidRPr="0004596B">
        <w:rPr>
          <w:lang w:val="en-US"/>
        </w:rPr>
        <w:t>Examining the linkages among carbon dioxide emissions, electricity production and economic growth in different income levels.</w:t>
      </w:r>
      <w:r>
        <w:rPr>
          <w:lang w:val="en-US"/>
        </w:rPr>
        <w:t xml:space="preserve"> </w:t>
      </w:r>
    </w:p>
    <w:p w14:paraId="30FE0527" w14:textId="306398C3" w:rsidR="00646946" w:rsidRDefault="00646946" w:rsidP="00A351A6">
      <w:pPr>
        <w:pStyle w:val="Testonotaapidipagina"/>
        <w:rPr>
          <w:lang w:val="en-US"/>
        </w:rPr>
      </w:pPr>
      <w:r w:rsidRPr="007919EF">
        <w:rPr>
          <w:lang w:val="en-US"/>
        </w:rPr>
        <w:t>Hardyment</w:t>
      </w:r>
      <w:r w:rsidR="00F33DBD">
        <w:rPr>
          <w:lang w:val="en-US"/>
        </w:rPr>
        <w:t>,</w:t>
      </w:r>
      <w:r>
        <w:rPr>
          <w:lang w:val="en-US"/>
        </w:rPr>
        <w:t xml:space="preserve"> R.</w:t>
      </w:r>
      <w:r w:rsidRPr="007919EF">
        <w:rPr>
          <w:lang w:val="en-US"/>
        </w:rPr>
        <w:t xml:space="preserve"> (2024</w:t>
      </w:r>
      <w:r>
        <w:rPr>
          <w:lang w:val="en-US"/>
        </w:rPr>
        <w:t xml:space="preserve">), </w:t>
      </w:r>
      <w:r w:rsidRPr="007919EF">
        <w:rPr>
          <w:lang w:val="en-US"/>
        </w:rPr>
        <w:t xml:space="preserve">Measuring Good Business: Making Sense of Environmental, Social and Governance (ESG) Data, opens new tab, </w:t>
      </w:r>
    </w:p>
    <w:p w14:paraId="1C18706D" w14:textId="4B114156" w:rsidR="00646946" w:rsidRDefault="00646946" w:rsidP="00A351A6">
      <w:pPr>
        <w:pStyle w:val="Testonotaapidipagina"/>
        <w:rPr>
          <w:lang w:val="en-US"/>
        </w:rPr>
      </w:pPr>
      <w:r w:rsidRPr="00206FBE">
        <w:rPr>
          <w:lang w:val="en-US"/>
        </w:rPr>
        <w:t>Harrison</w:t>
      </w:r>
      <w:r w:rsidR="00F33DBD">
        <w:rPr>
          <w:lang w:val="en-US"/>
        </w:rPr>
        <w:t>,</w:t>
      </w:r>
      <w:r w:rsidRPr="00206FBE">
        <w:rPr>
          <w:lang w:val="en-US"/>
        </w:rPr>
        <w:t xml:space="preserve"> C</w:t>
      </w:r>
      <w:r>
        <w:rPr>
          <w:lang w:val="en-US"/>
        </w:rPr>
        <w:t xml:space="preserve">., </w:t>
      </w:r>
      <w:r w:rsidRPr="00206FBE">
        <w:rPr>
          <w:lang w:val="en-US"/>
        </w:rPr>
        <w:t>MacGeoch</w:t>
      </w:r>
      <w:r w:rsidR="00F33DBD">
        <w:rPr>
          <w:lang w:val="en-US"/>
        </w:rPr>
        <w:t>,</w:t>
      </w:r>
      <w:r>
        <w:rPr>
          <w:lang w:val="en-US"/>
        </w:rPr>
        <w:t xml:space="preserve"> </w:t>
      </w:r>
      <w:r w:rsidRPr="00206FBE">
        <w:rPr>
          <w:lang w:val="en-US"/>
        </w:rPr>
        <w:t>M</w:t>
      </w:r>
      <w:r>
        <w:rPr>
          <w:lang w:val="en-US"/>
        </w:rPr>
        <w:t>., Michetti</w:t>
      </w:r>
      <w:r w:rsidR="00F33DBD">
        <w:rPr>
          <w:lang w:val="en-US"/>
        </w:rPr>
        <w:t>,</w:t>
      </w:r>
      <w:r>
        <w:rPr>
          <w:lang w:val="en-US"/>
        </w:rPr>
        <w:t xml:space="preserve"> </w:t>
      </w:r>
      <w:r w:rsidRPr="00206FBE">
        <w:rPr>
          <w:lang w:val="en-US"/>
        </w:rPr>
        <w:t>C</w:t>
      </w:r>
      <w:r>
        <w:rPr>
          <w:lang w:val="en-US"/>
        </w:rPr>
        <w:t>.</w:t>
      </w:r>
      <w:r w:rsidRPr="00206FBE">
        <w:rPr>
          <w:lang w:val="en-US"/>
        </w:rPr>
        <w:t xml:space="preserve"> (2022). Sustainable Debt Global State of the Market 2021</w:t>
      </w:r>
    </w:p>
    <w:p w14:paraId="709DD578" w14:textId="70881A3D" w:rsidR="00646946" w:rsidRDefault="00646946" w:rsidP="00A351A6">
      <w:pPr>
        <w:pStyle w:val="Testonotaapidipagina"/>
        <w:rPr>
          <w:lang w:val="en-US"/>
        </w:rPr>
      </w:pPr>
      <w:r w:rsidRPr="002F220B">
        <w:rPr>
          <w:lang w:val="en-US"/>
        </w:rPr>
        <w:t>Helo</w:t>
      </w:r>
      <w:r w:rsidR="00F33DBD">
        <w:rPr>
          <w:lang w:val="en-US"/>
        </w:rPr>
        <w:t>,</w:t>
      </w:r>
      <w:r>
        <w:rPr>
          <w:lang w:val="en-US"/>
        </w:rPr>
        <w:t xml:space="preserve"> </w:t>
      </w:r>
      <w:r w:rsidRPr="002F220B">
        <w:rPr>
          <w:lang w:val="en-US"/>
        </w:rPr>
        <w:t>P., and Hao</w:t>
      </w:r>
      <w:r w:rsidR="00F33DBD">
        <w:rPr>
          <w:lang w:val="en-US"/>
        </w:rPr>
        <w:t>,</w:t>
      </w:r>
      <w:r>
        <w:rPr>
          <w:lang w:val="en-US"/>
        </w:rPr>
        <w:t xml:space="preserve"> Y.</w:t>
      </w:r>
      <w:r w:rsidRPr="002F220B">
        <w:rPr>
          <w:lang w:val="en-US"/>
        </w:rPr>
        <w:t xml:space="preserve"> 2022. “Artificial Intelligence in OperationsManagement and Supply Chain Management: An Exploratory CaseStudy.” </w:t>
      </w:r>
      <w:r w:rsidRPr="00565BA0">
        <w:rPr>
          <w:lang w:val="en-US"/>
        </w:rPr>
        <w:t>Production Planning &amp; Control 33, no. 16: 1573–1590</w:t>
      </w:r>
    </w:p>
    <w:p w14:paraId="72134E8F" w14:textId="77777777" w:rsidR="00646946" w:rsidRDefault="00646946" w:rsidP="00A351A6">
      <w:pPr>
        <w:pStyle w:val="Testonotaapidipagina"/>
        <w:rPr>
          <w:lang w:val="en-US"/>
        </w:rPr>
      </w:pPr>
      <w:r w:rsidRPr="00BB2347">
        <w:rPr>
          <w:lang w:val="en-US"/>
        </w:rPr>
        <w:t xml:space="preserve">Heshan Sameera Kankanam Pathiranage </w:t>
      </w:r>
      <w:r>
        <w:rPr>
          <w:lang w:val="en-US"/>
        </w:rPr>
        <w:t xml:space="preserve">(2024), </w:t>
      </w:r>
      <w:r w:rsidRPr="00BB2347">
        <w:rPr>
          <w:lang w:val="en-US"/>
        </w:rPr>
        <w:t>Navigating the trade-offs between economic growth and environmental sustainability: A global analysis of long-term trends and strategic policies</w:t>
      </w:r>
      <w:r>
        <w:rPr>
          <w:lang w:val="en-US"/>
        </w:rPr>
        <w:t>.</w:t>
      </w:r>
    </w:p>
    <w:p w14:paraId="69B9A86D" w14:textId="77777777" w:rsidR="00646946" w:rsidRDefault="00646946" w:rsidP="00A351A6">
      <w:pPr>
        <w:pStyle w:val="Testonotaapidipagina"/>
        <w:rPr>
          <w:lang w:val="en-US"/>
        </w:rPr>
      </w:pPr>
      <w:r w:rsidRPr="003A0A45">
        <w:rPr>
          <w:lang w:val="en-US"/>
        </w:rPr>
        <w:t>High Fashion: The Sustainability Initiatives of Gucci, Louis Vuitton, and Prada</w:t>
      </w:r>
    </w:p>
    <w:p w14:paraId="127F4DC5" w14:textId="77777777" w:rsidR="00646946" w:rsidRPr="00624325" w:rsidRDefault="00646946" w:rsidP="00A351A6">
      <w:pPr>
        <w:pStyle w:val="Testonotaapidipagina"/>
        <w:rPr>
          <w:lang w:val="en-US"/>
        </w:rPr>
      </w:pPr>
      <w:hyperlink r:id="rId50" w:history="1">
        <w:r w:rsidRPr="006D400C">
          <w:rPr>
            <w:rStyle w:val="Collegamentoipertestuale"/>
            <w:lang w:val="en-US"/>
          </w:rPr>
          <w:t>https://esgnews.it/focus/interviste/barteselli-banco-bpm-nonostante-omnibus-i-dati-esg-restano-essenziali-per-lerogazione-del-credito/</w:t>
        </w:r>
      </w:hyperlink>
    </w:p>
    <w:p w14:paraId="38D72ED2" w14:textId="77777777" w:rsidR="00646946" w:rsidRDefault="00646946" w:rsidP="00A351A6">
      <w:pPr>
        <w:pStyle w:val="Testonotaapidipagina"/>
        <w:rPr>
          <w:lang w:val="en-US"/>
        </w:rPr>
      </w:pPr>
      <w:hyperlink r:id="rId51" w:history="1">
        <w:r w:rsidRPr="009C5127">
          <w:rPr>
            <w:rStyle w:val="Collegamentoipertestuale"/>
            <w:lang w:val="en-US"/>
          </w:rPr>
          <w:t>https://eur-lex.europa.eu/TodayOJ/</w:t>
        </w:r>
      </w:hyperlink>
    </w:p>
    <w:p w14:paraId="322C073B" w14:textId="77777777" w:rsidR="00646946" w:rsidRDefault="00646946" w:rsidP="00A351A6">
      <w:pPr>
        <w:pStyle w:val="Testonotaapidipagina"/>
        <w:rPr>
          <w:lang w:val="en-US"/>
        </w:rPr>
      </w:pPr>
      <w:r w:rsidRPr="007E095D">
        <w:rPr>
          <w:lang w:val="en-US"/>
        </w:rPr>
        <w:t>https://finance.ec.europa.eu/news/sustainable-finance-2025-05-21</w:t>
      </w:r>
    </w:p>
    <w:p w14:paraId="5E1E2D36" w14:textId="77777777" w:rsidR="00646946" w:rsidRDefault="00646946" w:rsidP="00A351A6">
      <w:pPr>
        <w:pStyle w:val="Testonotaapidipagina"/>
        <w:rPr>
          <w:lang w:val="en-US"/>
        </w:rPr>
      </w:pPr>
      <w:hyperlink r:id="rId52" w:history="1">
        <w:r w:rsidRPr="009C5127">
          <w:rPr>
            <w:rStyle w:val="Collegamentoipertestuale"/>
            <w:lang w:val="en-US"/>
          </w:rPr>
          <w:t>https://finanza.repubblica.it/News/2025/07/07/intesa_sanpaolo_lancia%c2%a0s_loan_soluzione_lavoro_dieci_miliardi_di_euro_per_favorire_loccupazione_-73/</w:t>
        </w:r>
      </w:hyperlink>
    </w:p>
    <w:p w14:paraId="46B95519" w14:textId="77777777" w:rsidR="00646946" w:rsidRPr="00902807" w:rsidRDefault="00646946" w:rsidP="00A351A6">
      <w:pPr>
        <w:pStyle w:val="Testonotaapidipagina"/>
        <w:rPr>
          <w:lang w:val="en-US"/>
        </w:rPr>
      </w:pPr>
      <w:r w:rsidRPr="00902807">
        <w:rPr>
          <w:lang w:val="en-US"/>
        </w:rPr>
        <w:t>https://iridaesg.it/guida-rendicontazione-sostenibilita-standard-esrs/</w:t>
      </w:r>
    </w:p>
    <w:p w14:paraId="4F0269D0" w14:textId="77777777" w:rsidR="00646946" w:rsidRPr="00194BC6" w:rsidRDefault="00646946" w:rsidP="00A351A6">
      <w:pPr>
        <w:pStyle w:val="Testonotaapidipagina"/>
        <w:rPr>
          <w:lang w:val="en-US"/>
        </w:rPr>
      </w:pPr>
      <w:r w:rsidRPr="00194BC6">
        <w:rPr>
          <w:lang w:val="en-US"/>
        </w:rPr>
        <w:t>https://media.mercedes-benz.it/download/926040/20200914-daimler-ag-pressinformation-usadieselsettlement.docx</w:t>
      </w:r>
    </w:p>
    <w:p w14:paraId="2AA22037" w14:textId="77777777" w:rsidR="00646946" w:rsidRDefault="00646946" w:rsidP="00A351A6">
      <w:pPr>
        <w:pStyle w:val="Testonotaapidipagina"/>
        <w:rPr>
          <w:lang w:val="en-US"/>
        </w:rPr>
      </w:pPr>
      <w:hyperlink r:id="rId53" w:history="1">
        <w:r w:rsidRPr="006D400C">
          <w:rPr>
            <w:rStyle w:val="Collegamentoipertestuale"/>
            <w:lang w:val="en-US"/>
          </w:rPr>
          <w:t>https://planet-tracker.org/greenwashing-growing-increasingly-sophisticated-says-planet-tracker/</w:t>
        </w:r>
      </w:hyperlink>
    </w:p>
    <w:p w14:paraId="28BA94AE" w14:textId="77777777" w:rsidR="00646946" w:rsidRPr="00F42884" w:rsidRDefault="00646946" w:rsidP="00A351A6">
      <w:pPr>
        <w:pStyle w:val="Testonotaapidipagina"/>
        <w:rPr>
          <w:lang w:val="en-US"/>
        </w:rPr>
      </w:pPr>
      <w:r w:rsidRPr="00F42884">
        <w:rPr>
          <w:lang w:val="en-US"/>
        </w:rPr>
        <w:t>https://sustainabilitymag.com/news/which-top-brands-are-linked-with-global-plastic-pollution</w:t>
      </w:r>
    </w:p>
    <w:p w14:paraId="18E6A19E" w14:textId="77777777" w:rsidR="00646946" w:rsidRDefault="00646946" w:rsidP="00A351A6">
      <w:pPr>
        <w:pStyle w:val="Testonotaapidipagina"/>
        <w:rPr>
          <w:lang w:val="en-US"/>
        </w:rPr>
      </w:pPr>
      <w:hyperlink r:id="rId54" w:history="1">
        <w:r w:rsidRPr="006D400C">
          <w:rPr>
            <w:rStyle w:val="Collegamentoipertestuale"/>
            <w:lang w:val="en-US"/>
          </w:rPr>
          <w:t>https://www.agcm.it/media/comunicati-stampa/2020/1/PS11400</w:t>
        </w:r>
      </w:hyperlink>
    </w:p>
    <w:p w14:paraId="62D2EC09" w14:textId="77777777" w:rsidR="00646946" w:rsidRDefault="00646946" w:rsidP="00A351A6">
      <w:pPr>
        <w:pStyle w:val="Testonotaapidipagina"/>
        <w:rPr>
          <w:lang w:val="en-US"/>
        </w:rPr>
      </w:pPr>
      <w:hyperlink r:id="rId55" w:anchor="doppia-materialit%C3%A0" w:history="1">
        <w:r w:rsidRPr="00FF7DBD">
          <w:rPr>
            <w:rStyle w:val="Collegamentoipertestuale"/>
            <w:lang w:val="en-US"/>
          </w:rPr>
          <w:t>https://www.ayming.it/insights/news-ayming-institute/doppia-materialita-csrd-rendicontazione-sostenibilita/#doppia-materialit%C3%A0</w:t>
        </w:r>
      </w:hyperlink>
    </w:p>
    <w:p w14:paraId="50B5F39B" w14:textId="77777777" w:rsidR="00646946" w:rsidRDefault="00646946" w:rsidP="00A351A6">
      <w:pPr>
        <w:pStyle w:val="Testonotaapidipagina"/>
        <w:rPr>
          <w:lang w:val="en-US"/>
        </w:rPr>
      </w:pPr>
      <w:hyperlink r:id="rId56" w:history="1">
        <w:r w:rsidRPr="009C5127">
          <w:rPr>
            <w:rStyle w:val="Collegamentoipertestuale"/>
            <w:lang w:val="en-US"/>
          </w:rPr>
          <w:t>https://www.borsaitaliana.it/finanza-sostenibile/news/forum/governance-sostenibilita.htm</w:t>
        </w:r>
      </w:hyperlink>
    </w:p>
    <w:p w14:paraId="6F4F4F15" w14:textId="77777777" w:rsidR="00646946" w:rsidRDefault="00646946" w:rsidP="00A351A6">
      <w:pPr>
        <w:pStyle w:val="Testonotaapidipagina"/>
        <w:rPr>
          <w:lang w:val="en-US"/>
        </w:rPr>
      </w:pPr>
      <w:hyperlink r:id="rId57" w:history="1">
        <w:r w:rsidRPr="006D400C">
          <w:rPr>
            <w:rStyle w:val="Collegamentoipertestuale"/>
            <w:lang w:val="en-US"/>
          </w:rPr>
          <w:t>https://www.coca-colacompany.com/about-us/sustainability</w:t>
        </w:r>
      </w:hyperlink>
    </w:p>
    <w:p w14:paraId="5099C74C" w14:textId="77777777" w:rsidR="00646946" w:rsidRPr="00F42884" w:rsidRDefault="00646946" w:rsidP="00A351A6">
      <w:pPr>
        <w:pStyle w:val="Testonotaapidipagina"/>
        <w:rPr>
          <w:lang w:val="en-US"/>
        </w:rPr>
      </w:pPr>
      <w:r w:rsidRPr="00F42884">
        <w:rPr>
          <w:lang w:val="en-US"/>
        </w:rPr>
        <w:t>https://www.euronews.com/business/2025/08/04/italy-hands-fast-fashion-retailer-shein-1mn-greenwashing-fine</w:t>
      </w:r>
    </w:p>
    <w:p w14:paraId="367F9364" w14:textId="77777777" w:rsidR="00646946" w:rsidRPr="0066395E" w:rsidRDefault="00646946" w:rsidP="00A351A6">
      <w:pPr>
        <w:pStyle w:val="Testonotaapidipagina"/>
        <w:rPr>
          <w:lang w:val="en-US"/>
        </w:rPr>
      </w:pPr>
      <w:r w:rsidRPr="0066395E">
        <w:rPr>
          <w:lang w:val="en-US"/>
        </w:rPr>
        <w:t>https://www.greenreport.it/news/green-economy/1612-sostenibilita-gli-italiani-vogliono-piu-trasparenza-e-il-59-non-tollera-il-greenwashing</w:t>
      </w:r>
    </w:p>
    <w:p w14:paraId="57462291" w14:textId="77777777" w:rsidR="00646946" w:rsidRDefault="00646946" w:rsidP="00A351A6">
      <w:pPr>
        <w:pStyle w:val="Testonotaapidipagina"/>
        <w:rPr>
          <w:lang w:val="en-US"/>
        </w:rPr>
      </w:pPr>
      <w:r w:rsidRPr="00CC2FAC">
        <w:rPr>
          <w:lang w:val="en-US"/>
        </w:rPr>
        <w:t>https://www.tdk.com/en/sustainability/environmental_responsibility/tcfd_tnfd</w:t>
      </w:r>
      <w:r>
        <w:rPr>
          <w:lang w:val="en-US"/>
        </w:rPr>
        <w:t>, chapter 2.4</w:t>
      </w:r>
    </w:p>
    <w:p w14:paraId="38A8FA34" w14:textId="77777777" w:rsidR="00646946" w:rsidRDefault="00646946" w:rsidP="00A351A6">
      <w:pPr>
        <w:pStyle w:val="Testonotaapidipagina"/>
        <w:rPr>
          <w:lang w:val="en-US"/>
        </w:rPr>
      </w:pPr>
      <w:hyperlink r:id="rId58" w:history="1">
        <w:r w:rsidRPr="009C5127">
          <w:rPr>
            <w:rStyle w:val="Collegamentoipertestuale"/>
            <w:lang w:val="en-US"/>
          </w:rPr>
          <w:t>https://www.unicreditgroup.eu/en/one-unicredit/articles/2024/october/what-is-esg-in-banking.html</w:t>
        </w:r>
      </w:hyperlink>
    </w:p>
    <w:p w14:paraId="45937B73" w14:textId="77777777" w:rsidR="00646946" w:rsidRDefault="00646946" w:rsidP="00A351A6">
      <w:pPr>
        <w:pStyle w:val="Testonotaapidipagina"/>
        <w:rPr>
          <w:lang w:val="en-US"/>
        </w:rPr>
      </w:pPr>
      <w:hyperlink r:id="rId59" w:history="1">
        <w:r w:rsidRPr="006D400C">
          <w:rPr>
            <w:rStyle w:val="Collegamentoipertestuale"/>
            <w:lang w:val="en-US"/>
          </w:rPr>
          <w:t>https://www.unicreditgroup.eu/it/press-media/press-releases/2025/da-unicredit-un-green-loan-project-financing-da-50-5-milioni-di-.html</w:t>
        </w:r>
      </w:hyperlink>
    </w:p>
    <w:p w14:paraId="45F3CD75" w14:textId="27615ECD" w:rsidR="00646946" w:rsidRPr="004F46E7" w:rsidRDefault="00646946" w:rsidP="00A351A6">
      <w:pPr>
        <w:pStyle w:val="Testonotaapidipagina"/>
        <w:rPr>
          <w:lang w:val="en-US"/>
        </w:rPr>
      </w:pPr>
      <w:r w:rsidRPr="004F46E7">
        <w:rPr>
          <w:lang w:val="en-US"/>
        </w:rPr>
        <w:t>Iannone</w:t>
      </w:r>
      <w:r w:rsidR="00444545">
        <w:rPr>
          <w:lang w:val="en-US"/>
        </w:rPr>
        <w:t>,</w:t>
      </w:r>
      <w:r>
        <w:rPr>
          <w:lang w:val="en-US"/>
        </w:rPr>
        <w:t xml:space="preserve"> </w:t>
      </w:r>
      <w:r w:rsidRPr="004F46E7">
        <w:rPr>
          <w:lang w:val="en-US"/>
        </w:rPr>
        <w:t>B</w:t>
      </w:r>
      <w:r>
        <w:rPr>
          <w:lang w:val="en-US"/>
        </w:rPr>
        <w:t>.</w:t>
      </w:r>
      <w:r w:rsidRPr="004F46E7">
        <w:rPr>
          <w:lang w:val="en-US"/>
        </w:rPr>
        <w:t>, Duttilo</w:t>
      </w:r>
      <w:r w:rsidR="00444545">
        <w:rPr>
          <w:lang w:val="en-US"/>
        </w:rPr>
        <w:t>,</w:t>
      </w:r>
      <w:r w:rsidRPr="004F46E7">
        <w:rPr>
          <w:lang w:val="en-US"/>
        </w:rPr>
        <w:t xml:space="preserve"> P</w:t>
      </w:r>
      <w:r>
        <w:rPr>
          <w:lang w:val="en-US"/>
        </w:rPr>
        <w:t>.</w:t>
      </w:r>
      <w:r w:rsidRPr="004F46E7">
        <w:rPr>
          <w:lang w:val="en-US"/>
        </w:rPr>
        <w:t>, Gattone</w:t>
      </w:r>
      <w:r w:rsidR="00444545">
        <w:rPr>
          <w:lang w:val="en-US"/>
        </w:rPr>
        <w:t>,</w:t>
      </w:r>
      <w:r>
        <w:rPr>
          <w:lang w:val="en-US"/>
        </w:rPr>
        <w:t xml:space="preserve"> S.</w:t>
      </w:r>
      <w:r w:rsidRPr="004F46E7">
        <w:rPr>
          <w:lang w:val="en-US"/>
        </w:rPr>
        <w:t xml:space="preserve">, </w:t>
      </w:r>
      <w:r>
        <w:rPr>
          <w:lang w:val="en-US"/>
        </w:rPr>
        <w:t>(</w:t>
      </w:r>
      <w:r w:rsidRPr="004F46E7">
        <w:rPr>
          <w:lang w:val="en-US"/>
        </w:rPr>
        <w:t>20</w:t>
      </w:r>
      <w:r>
        <w:rPr>
          <w:lang w:val="en-US"/>
        </w:rPr>
        <w:t xml:space="preserve">24) </w:t>
      </w:r>
      <w:r w:rsidRPr="00E80370">
        <w:rPr>
          <w:lang w:val="en-US"/>
        </w:rPr>
        <w:t xml:space="preserve">Evaluating the resilience of ESG investments in European Markets during turmoil periods </w:t>
      </w:r>
    </w:p>
    <w:p w14:paraId="351DE3D0" w14:textId="77777777" w:rsidR="00646946" w:rsidRPr="00D74832" w:rsidRDefault="00646946" w:rsidP="00A351A6">
      <w:pPr>
        <w:pStyle w:val="Testonotaapidipagina"/>
        <w:rPr>
          <w:lang w:val="en-US"/>
        </w:rPr>
      </w:pPr>
      <w:r w:rsidRPr="00D74832">
        <w:rPr>
          <w:lang w:val="en-US"/>
        </w:rPr>
        <w:t>In the report published after the conference, the need for a balance between economic development and the environment was proclaimed, and 28 principles aimed at preserving the environment and reducing poverty were established. The action plan also included 109 recommendations (socio-economic, political, and educational) for quality environmental management, clearly proposing three points of view: 1) the environmental, energy, and development crises cannot be separated; 2) the earth's resources and energy are insufficient for human development needs; and 3) current development models must be modified in the interests of present and future generations. After the conference, a resolution on institutional and financial agreements between states was signed (UN, 1972).</w:t>
      </w:r>
    </w:p>
    <w:p w14:paraId="56B96207" w14:textId="77777777" w:rsidR="00646946" w:rsidRDefault="00646946" w:rsidP="00A351A6">
      <w:pPr>
        <w:pStyle w:val="Testonotaapidipagina"/>
        <w:rPr>
          <w:lang w:val="en-US"/>
        </w:rPr>
      </w:pPr>
      <w:r w:rsidRPr="00C73FB9">
        <w:rPr>
          <w:lang w:val="en-US"/>
        </w:rPr>
        <w:t>India Sustainable Debt State of the Market 2024</w:t>
      </w:r>
    </w:p>
    <w:p w14:paraId="20F27A9D" w14:textId="77777777" w:rsidR="00646946" w:rsidRDefault="00646946" w:rsidP="00A351A6">
      <w:pPr>
        <w:pStyle w:val="Testonotaapidipagina"/>
        <w:rPr>
          <w:lang w:val="en-US"/>
        </w:rPr>
      </w:pPr>
      <w:r w:rsidRPr="00EA561F">
        <w:rPr>
          <w:lang w:val="en-US"/>
        </w:rPr>
        <w:t>Insights from LSEG Data on Sustainability Strategies</w:t>
      </w:r>
      <w:r>
        <w:rPr>
          <w:lang w:val="en-US"/>
        </w:rPr>
        <w:t xml:space="preserve">, Iolanda Barbati, &amp; </w:t>
      </w:r>
      <w:r w:rsidRPr="005A2852">
        <w:rPr>
          <w:lang w:val="en-US"/>
        </w:rPr>
        <w:t>Maria Christina Dikeos</w:t>
      </w:r>
      <w:r>
        <w:rPr>
          <w:lang w:val="en-US"/>
        </w:rPr>
        <w:t>, LSEG LPC</w:t>
      </w:r>
    </w:p>
    <w:p w14:paraId="1156AB3C" w14:textId="44CB67FC" w:rsidR="00646946" w:rsidRDefault="00646946" w:rsidP="00A351A6">
      <w:pPr>
        <w:pStyle w:val="Testonotaapidipagina"/>
        <w:rPr>
          <w:lang w:val="en-US"/>
        </w:rPr>
      </w:pPr>
      <w:r w:rsidRPr="0097688B">
        <w:rPr>
          <w:lang w:val="en-US"/>
        </w:rPr>
        <w:t>Jalil</w:t>
      </w:r>
      <w:r w:rsidR="00444545">
        <w:rPr>
          <w:lang w:val="en-US"/>
        </w:rPr>
        <w:t>,</w:t>
      </w:r>
      <w:r w:rsidRPr="0097688B">
        <w:rPr>
          <w:lang w:val="en-US"/>
        </w:rPr>
        <w:t xml:space="preserve"> A., &amp; Mahmud</w:t>
      </w:r>
      <w:r w:rsidR="00444545">
        <w:rPr>
          <w:lang w:val="en-US"/>
        </w:rPr>
        <w:t>,</w:t>
      </w:r>
      <w:r w:rsidR="00FC1C8B">
        <w:rPr>
          <w:lang w:val="en-US"/>
        </w:rPr>
        <w:t xml:space="preserve"> </w:t>
      </w:r>
      <w:r w:rsidRPr="0097688B">
        <w:rPr>
          <w:lang w:val="en-US"/>
        </w:rPr>
        <w:t>S. F. (2009). Environment Kuznets curve for CO2 emissions: A cointegration analysis for China. </w:t>
      </w:r>
      <w:r w:rsidRPr="00E6029B">
        <w:rPr>
          <w:i/>
          <w:iCs/>
          <w:lang w:val="en-US"/>
        </w:rPr>
        <w:t>Energy Policy</w:t>
      </w:r>
      <w:r w:rsidRPr="00E6029B">
        <w:rPr>
          <w:lang w:val="en-US"/>
        </w:rPr>
        <w:t>, 37(12), 5167–5172.</w:t>
      </w:r>
    </w:p>
    <w:p w14:paraId="44F3DA3D" w14:textId="77777777" w:rsidR="00646946" w:rsidRDefault="00646946" w:rsidP="00A351A6">
      <w:pPr>
        <w:pStyle w:val="Testonotaapidipagina"/>
        <w:rPr>
          <w:lang w:val="en-US"/>
        </w:rPr>
      </w:pPr>
      <w:r>
        <w:rPr>
          <w:lang w:val="en-US"/>
        </w:rPr>
        <w:t>KPMG international</w:t>
      </w:r>
      <w:r w:rsidRPr="00E431E2">
        <w:rPr>
          <w:lang w:val="en-US"/>
        </w:rPr>
        <w:t xml:space="preserve"> </w:t>
      </w:r>
      <w:r>
        <w:rPr>
          <w:lang w:val="en-US"/>
        </w:rPr>
        <w:t xml:space="preserve">(2025), </w:t>
      </w:r>
      <w:r w:rsidRPr="00E431E2">
        <w:rPr>
          <w:lang w:val="en-US"/>
        </w:rPr>
        <w:t>ESG risks in banks</w:t>
      </w:r>
      <w:r>
        <w:rPr>
          <w:lang w:val="en-US"/>
        </w:rPr>
        <w:t xml:space="preserve">, </w:t>
      </w:r>
      <w:r w:rsidRPr="00E431E2">
        <w:rPr>
          <w:lang w:val="en-US"/>
        </w:rPr>
        <w:t xml:space="preserve">Effective strategies to use opportunities and </w:t>
      </w:r>
      <w:r w:rsidRPr="00787297">
        <w:rPr>
          <w:lang w:val="en-US"/>
        </w:rPr>
        <w:t>mitigate risks</w:t>
      </w:r>
      <w:r>
        <w:rPr>
          <w:lang w:val="en-US"/>
        </w:rPr>
        <w:t xml:space="preserve">, </w:t>
      </w:r>
    </w:p>
    <w:p w14:paraId="5A082DE6" w14:textId="77777777" w:rsidR="00646946" w:rsidRPr="002C3B7C" w:rsidRDefault="00646946" w:rsidP="00A351A6">
      <w:pPr>
        <w:pStyle w:val="Testonotaapidipagina"/>
        <w:rPr>
          <w:lang w:val="en-US"/>
        </w:rPr>
      </w:pPr>
      <w:r>
        <w:rPr>
          <w:lang w:val="en-US"/>
        </w:rPr>
        <w:t xml:space="preserve">KPMG, </w:t>
      </w:r>
      <w:r w:rsidRPr="002C3B7C">
        <w:rPr>
          <w:lang w:val="en-US"/>
        </w:rPr>
        <w:t>Survey of Sustainability Reporting 2024</w:t>
      </w:r>
    </w:p>
    <w:p w14:paraId="06D5C54C" w14:textId="0A219142" w:rsidR="00646946" w:rsidRDefault="00646946" w:rsidP="00A351A6">
      <w:pPr>
        <w:pStyle w:val="Testonotaapidipagina"/>
        <w:rPr>
          <w:lang w:val="en-US"/>
        </w:rPr>
      </w:pPr>
      <w:r w:rsidRPr="008239CB">
        <w:rPr>
          <w:lang w:val="en-US"/>
        </w:rPr>
        <w:t>Kshitij Anand</w:t>
      </w:r>
      <w:r w:rsidR="00FC1C8B">
        <w:rPr>
          <w:lang w:val="en-US"/>
        </w:rPr>
        <w:t>.</w:t>
      </w:r>
      <w:r>
        <w:rPr>
          <w:lang w:val="en-US"/>
        </w:rPr>
        <w:t xml:space="preserve"> (2024). </w:t>
      </w:r>
      <w:r w:rsidRPr="008239CB">
        <w:rPr>
          <w:lang w:val="en-US"/>
        </w:rPr>
        <w:t>Sustainable capital rising: How ESG bonds are shaping India’s debt market, ETMarkets.com</w:t>
      </w:r>
    </w:p>
    <w:p w14:paraId="51FEA7EF" w14:textId="77777777" w:rsidR="00646946" w:rsidRDefault="00646946" w:rsidP="00A351A6">
      <w:pPr>
        <w:pStyle w:val="Testonotaapidipagina"/>
        <w:rPr>
          <w:lang w:val="en-US"/>
        </w:rPr>
      </w:pPr>
      <w:r w:rsidRPr="00773E61">
        <w:rPr>
          <w:lang w:val="en-US"/>
        </w:rPr>
        <w:t>Lewis</w:t>
      </w:r>
      <w:r>
        <w:rPr>
          <w:lang w:val="en-US"/>
        </w:rPr>
        <w:t xml:space="preserve"> R.</w:t>
      </w:r>
      <w:r w:rsidRPr="00773E61">
        <w:rPr>
          <w:lang w:val="en-US"/>
        </w:rPr>
        <w:t>,</w:t>
      </w:r>
      <w:r>
        <w:rPr>
          <w:lang w:val="en-US"/>
        </w:rPr>
        <w:t xml:space="preserve"> </w:t>
      </w:r>
      <w:r w:rsidRPr="00773E61">
        <w:rPr>
          <w:lang w:val="en-US"/>
        </w:rPr>
        <w:t>5 ways ESG creates value for companies, beyond virtue signalling</w:t>
      </w:r>
      <w:r>
        <w:rPr>
          <w:lang w:val="en-US"/>
        </w:rPr>
        <w:t xml:space="preserve"> </w:t>
      </w:r>
    </w:p>
    <w:p w14:paraId="317D65ED" w14:textId="2C7C8987" w:rsidR="00646946" w:rsidRDefault="00646946" w:rsidP="00A351A6">
      <w:pPr>
        <w:pStyle w:val="Testonotaapidipagina"/>
        <w:rPr>
          <w:lang w:val="en-US"/>
        </w:rPr>
      </w:pPr>
      <w:r w:rsidRPr="007F60D4">
        <w:rPr>
          <w:lang w:val="en-US"/>
        </w:rPr>
        <w:t>Li D., Zhang</w:t>
      </w:r>
      <w:r w:rsidRPr="00646946">
        <w:rPr>
          <w:lang w:val="en-US"/>
        </w:rPr>
        <w:t xml:space="preserve"> </w:t>
      </w:r>
      <w:r w:rsidRPr="007F60D4">
        <w:rPr>
          <w:lang w:val="en-US"/>
        </w:rPr>
        <w:t>Z.  and Gao</w:t>
      </w:r>
      <w:r>
        <w:rPr>
          <w:lang w:val="en-US"/>
        </w:rPr>
        <w:t xml:space="preserve"> </w:t>
      </w:r>
      <w:r w:rsidRPr="007F60D4">
        <w:rPr>
          <w:lang w:val="en-US"/>
        </w:rPr>
        <w:t>X.  2024. “Does Artificial Intelligence DeterGreenwashing?” Finance Research</w:t>
      </w:r>
      <w:r>
        <w:rPr>
          <w:lang w:val="en-US"/>
        </w:rPr>
        <w:t xml:space="preserve"> </w:t>
      </w:r>
      <w:r w:rsidRPr="007F60D4">
        <w:rPr>
          <w:lang w:val="en-US"/>
        </w:rPr>
        <w:t xml:space="preserve">Letters </w:t>
      </w:r>
    </w:p>
    <w:p w14:paraId="32BBF05E" w14:textId="77777777" w:rsidR="00646946" w:rsidRDefault="00646946" w:rsidP="00A351A6">
      <w:pPr>
        <w:pStyle w:val="Testonotaapidipagina"/>
      </w:pPr>
      <w:r>
        <w:t>Liguori R.</w:t>
      </w:r>
      <w:r w:rsidRPr="00B33999">
        <w:t>,</w:t>
      </w:r>
      <w:r>
        <w:t xml:space="preserve"> greenMe, </w:t>
      </w:r>
      <w:r w:rsidRPr="00B33999">
        <w:t xml:space="preserve">"Caporalato fra i fornitori": la maison di lusso Loro Piana finisce sotto amministrazione giudiziaria per presunto sfruttamento </w:t>
      </w:r>
      <w:r>
        <w:t>–</w:t>
      </w:r>
      <w:r w:rsidRPr="00B33999">
        <w:t xml:space="preserve"> </w:t>
      </w:r>
    </w:p>
    <w:p w14:paraId="6F01139F" w14:textId="77777777" w:rsidR="00646946" w:rsidRDefault="00646946" w:rsidP="00A351A6">
      <w:pPr>
        <w:pStyle w:val="Testonotaapidipagina"/>
        <w:rPr>
          <w:lang w:val="en-US"/>
        </w:rPr>
      </w:pPr>
      <w:r>
        <w:rPr>
          <w:lang w:val="en-US"/>
        </w:rPr>
        <w:t xml:space="preserve">Luxury Capital (2022), </w:t>
      </w:r>
      <w:r w:rsidRPr="00F53FBB">
        <w:rPr>
          <w:lang w:val="en-US"/>
        </w:rPr>
        <w:t>Luxury brands and sustainability: The challenges and solutions</w:t>
      </w:r>
      <w:r>
        <w:rPr>
          <w:lang w:val="en-US"/>
        </w:rPr>
        <w:t xml:space="preserve">, </w:t>
      </w:r>
    </w:p>
    <w:p w14:paraId="175AB3EC" w14:textId="76586090" w:rsidR="00646946" w:rsidRDefault="00646946" w:rsidP="00A351A6">
      <w:pPr>
        <w:pStyle w:val="Testonotaapidipagina"/>
        <w:rPr>
          <w:lang w:val="en-US"/>
        </w:rPr>
      </w:pPr>
      <w:r w:rsidRPr="009F3873">
        <w:rPr>
          <w:lang w:val="en-US"/>
        </w:rPr>
        <w:t>Malich</w:t>
      </w:r>
      <w:r w:rsidR="00444545">
        <w:rPr>
          <w:lang w:val="en-US"/>
        </w:rPr>
        <w:t>,</w:t>
      </w:r>
      <w:r>
        <w:rPr>
          <w:lang w:val="en-US"/>
        </w:rPr>
        <w:t xml:space="preserve"> J.</w:t>
      </w:r>
      <w:r w:rsidRPr="009F3873">
        <w:rPr>
          <w:lang w:val="en-US"/>
        </w:rPr>
        <w:t>, Anett Husi</w:t>
      </w:r>
      <w:r>
        <w:rPr>
          <w:lang w:val="en-US"/>
        </w:rPr>
        <w:t xml:space="preserve"> (2025) </w:t>
      </w:r>
      <w:r w:rsidRPr="009F3873">
        <w:rPr>
          <w:lang w:val="en-US"/>
        </w:rPr>
        <w:t>MSCI ESG Ratings and Cost of Capital</w:t>
      </w:r>
    </w:p>
    <w:p w14:paraId="0DB533A3" w14:textId="77777777" w:rsidR="00646946" w:rsidRPr="007B29DF" w:rsidRDefault="00646946" w:rsidP="00A351A6">
      <w:pPr>
        <w:pStyle w:val="Testonotaapidipagina"/>
        <w:rPr>
          <w:lang w:val="en-US"/>
        </w:rPr>
      </w:pPr>
      <w:r w:rsidRPr="00A24AF1">
        <w:rPr>
          <w:lang w:val="en-US"/>
        </w:rPr>
        <w:t>MSCI</w:t>
      </w:r>
      <w:r>
        <w:rPr>
          <w:lang w:val="en-US"/>
        </w:rPr>
        <w:t xml:space="preserve"> (2025), </w:t>
      </w:r>
      <w:r w:rsidRPr="007B29DF">
        <w:rPr>
          <w:lang w:val="en-US"/>
        </w:rPr>
        <w:t>Sustainable-Finance Regulation — a Look Ahead for 2025</w:t>
      </w:r>
    </w:p>
    <w:p w14:paraId="7B8AB1F4" w14:textId="5DDCAFFD" w:rsidR="00646946" w:rsidRPr="00802A0D" w:rsidRDefault="00646946" w:rsidP="00A351A6">
      <w:pPr>
        <w:pStyle w:val="Testonotaapidipagina"/>
        <w:rPr>
          <w:lang w:val="en-US"/>
        </w:rPr>
      </w:pPr>
      <w:r w:rsidRPr="00114E90">
        <w:rPr>
          <w:lang w:val="en-US"/>
        </w:rPr>
        <w:t>Nobili</w:t>
      </w:r>
      <w:r w:rsidR="00444545">
        <w:rPr>
          <w:lang w:val="en-US"/>
        </w:rPr>
        <w:t>,</w:t>
      </w:r>
      <w:r>
        <w:rPr>
          <w:lang w:val="en-US"/>
        </w:rPr>
        <w:t xml:space="preserve"> </w:t>
      </w:r>
      <w:r w:rsidRPr="00114E90">
        <w:rPr>
          <w:lang w:val="en-US"/>
        </w:rPr>
        <w:t>S</w:t>
      </w:r>
      <w:r>
        <w:rPr>
          <w:lang w:val="en-US"/>
        </w:rPr>
        <w:t>.</w:t>
      </w:r>
      <w:r w:rsidRPr="00114E90">
        <w:rPr>
          <w:lang w:val="en-US"/>
        </w:rPr>
        <w:t xml:space="preserve"> and R</w:t>
      </w:r>
      <w:r>
        <w:rPr>
          <w:lang w:val="en-US"/>
        </w:rPr>
        <w:t>omeo</w:t>
      </w:r>
      <w:r w:rsidR="00444545">
        <w:rPr>
          <w:lang w:val="en-US"/>
        </w:rPr>
        <w:t>,</w:t>
      </w:r>
      <w:r>
        <w:rPr>
          <w:lang w:val="en-US"/>
        </w:rPr>
        <w:t xml:space="preserve"> </w:t>
      </w:r>
      <w:r w:rsidRPr="00114E90">
        <w:rPr>
          <w:lang w:val="en-US"/>
        </w:rPr>
        <w:t xml:space="preserve">R. (2024) </w:t>
      </w:r>
      <w:r w:rsidRPr="00802A0D">
        <w:rPr>
          <w:lang w:val="en-US"/>
        </w:rPr>
        <w:t>ESG ratings are important for the financing costs of banks?</w:t>
      </w:r>
    </w:p>
    <w:p w14:paraId="12D9D142" w14:textId="77777777" w:rsidR="00646946" w:rsidRPr="0093789C" w:rsidRDefault="00646946" w:rsidP="00A351A6">
      <w:pPr>
        <w:pStyle w:val="Testonotaapidipagina"/>
        <w:rPr>
          <w:lang w:val="en-US"/>
        </w:rPr>
      </w:pPr>
      <w:r>
        <w:rPr>
          <w:lang w:val="en-US"/>
        </w:rPr>
        <w:t xml:space="preserve">Onetrust, </w:t>
      </w:r>
      <w:r w:rsidRPr="0093789C">
        <w:rPr>
          <w:lang w:val="en-US"/>
        </w:rPr>
        <w:t>Ultimate guide to the EU CSRD ESG regulation for businesses</w:t>
      </w:r>
    </w:p>
    <w:p w14:paraId="493D8EF1" w14:textId="60849960" w:rsidR="00646946" w:rsidRPr="00444545" w:rsidRDefault="00646946" w:rsidP="00A351A6">
      <w:pPr>
        <w:pStyle w:val="Testonotaapidipagina"/>
      </w:pPr>
      <w:r w:rsidRPr="00CE0A14">
        <w:rPr>
          <w:lang w:val="en-US"/>
        </w:rPr>
        <w:t>Pao</w:t>
      </w:r>
      <w:r w:rsidR="00444545">
        <w:rPr>
          <w:lang w:val="en-US"/>
        </w:rPr>
        <w:t>,</w:t>
      </w:r>
      <w:r w:rsidRPr="00CE0A14">
        <w:rPr>
          <w:lang w:val="en-US"/>
        </w:rPr>
        <w:t xml:space="preserve"> H., &amp; Chen</w:t>
      </w:r>
      <w:r w:rsidR="00444545">
        <w:rPr>
          <w:lang w:val="en-US"/>
        </w:rPr>
        <w:t>,</w:t>
      </w:r>
      <w:r w:rsidRPr="00CE0A14">
        <w:rPr>
          <w:lang w:val="en-US"/>
        </w:rPr>
        <w:t xml:space="preserve"> C. (2019). Decoupling strategies: CO2 emissions, energy resources, and economic growth in the group of twenty. </w:t>
      </w:r>
      <w:r w:rsidRPr="00444545">
        <w:rPr>
          <w:i/>
          <w:iCs/>
        </w:rPr>
        <w:t>Journal of Cleaner Production</w:t>
      </w:r>
      <w:r w:rsidRPr="00444545">
        <w:t>, 206, 907–919.</w:t>
      </w:r>
    </w:p>
    <w:p w14:paraId="59A195B5" w14:textId="59FCD7C8" w:rsidR="00646946" w:rsidRPr="00817E81" w:rsidRDefault="00646946" w:rsidP="00A351A6">
      <w:pPr>
        <w:pStyle w:val="Testonotaapidipagina"/>
        <w:rPr>
          <w:lang w:val="en-US"/>
        </w:rPr>
      </w:pPr>
      <w:r>
        <w:t>Prosperi</w:t>
      </w:r>
      <w:r w:rsidR="00444545">
        <w:t>,</w:t>
      </w:r>
      <w:r>
        <w:t xml:space="preserve"> A. </w:t>
      </w:r>
      <w:r w:rsidRPr="004C1C58">
        <w:rPr>
          <w:rFonts w:hint="cs"/>
        </w:rPr>
        <w:t xml:space="preserve"> </w:t>
      </w:r>
      <w:r>
        <w:t xml:space="preserve">(2025), </w:t>
      </w:r>
      <w:r w:rsidRPr="004C1C58">
        <w:rPr>
          <w:rFonts w:hint="cs"/>
        </w:rPr>
        <w:t xml:space="preserve">Moda italiana, il green è una priorità per il 76% delle aziende. </w:t>
      </w:r>
      <w:r w:rsidRPr="00817E81">
        <w:rPr>
          <w:rFonts w:hint="cs"/>
          <w:lang w:val="en-US"/>
        </w:rPr>
        <w:t>Ma restano le sfide</w:t>
      </w:r>
      <w:r w:rsidRPr="00817E81">
        <w:rPr>
          <w:lang w:val="en-US"/>
        </w:rPr>
        <w:t>.</w:t>
      </w:r>
    </w:p>
    <w:p w14:paraId="26F918A6" w14:textId="77777777" w:rsidR="00646946" w:rsidRDefault="00646946" w:rsidP="00A351A6">
      <w:pPr>
        <w:pStyle w:val="Testonotaapidipagina"/>
        <w:rPr>
          <w:lang w:val="en-US"/>
        </w:rPr>
      </w:pPr>
      <w:r w:rsidRPr="00E06D2C">
        <w:rPr>
          <w:lang w:val="en-US"/>
        </w:rPr>
        <w:t>Published online by Cambridge University Press</w:t>
      </w:r>
      <w:r>
        <w:rPr>
          <w:lang w:val="en-US"/>
        </w:rPr>
        <w:t xml:space="preserve"> (</w:t>
      </w:r>
      <w:r w:rsidRPr="00E06D2C">
        <w:rPr>
          <w:lang w:val="en-US"/>
        </w:rPr>
        <w:t>2016</w:t>
      </w:r>
      <w:r>
        <w:rPr>
          <w:lang w:val="en-US"/>
        </w:rPr>
        <w:t>), I</w:t>
      </w:r>
      <w:r w:rsidRPr="00E06D2C">
        <w:rPr>
          <w:lang w:val="en-US"/>
        </w:rPr>
        <w:t>ntroduction to Credit Risk</w:t>
      </w:r>
      <w:r>
        <w:rPr>
          <w:lang w:val="en-US"/>
        </w:rPr>
        <w:t xml:space="preserve">, </w:t>
      </w:r>
    </w:p>
    <w:p w14:paraId="3D334E41" w14:textId="77777777" w:rsidR="00646946" w:rsidRDefault="00646946" w:rsidP="00A351A6">
      <w:pPr>
        <w:pStyle w:val="Testonotaapidipagina"/>
        <w:rPr>
          <w:lang w:val="en-US"/>
        </w:rPr>
      </w:pPr>
      <w:r>
        <w:rPr>
          <w:lang w:val="en-US"/>
        </w:rPr>
        <w:t xml:space="preserve">PWC, (2022). </w:t>
      </w:r>
      <w:r w:rsidRPr="00773E61">
        <w:rPr>
          <w:lang w:val="en-US"/>
        </w:rPr>
        <w:t>Asset and wealth management revolution 2022: Exponential expectations for ESG</w:t>
      </w:r>
      <w:r>
        <w:rPr>
          <w:lang w:val="en-US"/>
        </w:rPr>
        <w:t xml:space="preserve">, </w:t>
      </w:r>
    </w:p>
    <w:p w14:paraId="744DE50F" w14:textId="77777777" w:rsidR="00646946" w:rsidRPr="002C3B7C" w:rsidRDefault="00646946" w:rsidP="00A351A6">
      <w:pPr>
        <w:pStyle w:val="Testonotaapidipagina"/>
        <w:rPr>
          <w:lang w:val="en-US"/>
        </w:rPr>
      </w:pPr>
      <w:r w:rsidRPr="00A10758">
        <w:rPr>
          <w:lang w:val="en-US"/>
        </w:rPr>
        <w:t>Royal British Institution</w:t>
      </w:r>
      <w:r>
        <w:rPr>
          <w:lang w:val="en-US"/>
        </w:rPr>
        <w:t xml:space="preserve">. 2024. </w:t>
      </w:r>
      <w:r w:rsidRPr="002C3B7C">
        <w:rPr>
          <w:lang w:val="en-US"/>
        </w:rPr>
        <w:t>Your ESG progress: A guide to evaluation and action</w:t>
      </w:r>
      <w:r>
        <w:rPr>
          <w:lang w:val="en-US"/>
        </w:rPr>
        <w:t xml:space="preserve"> pag 7</w:t>
      </w:r>
    </w:p>
    <w:p w14:paraId="6B595B4B" w14:textId="77777777" w:rsidR="00646946" w:rsidRDefault="00646946" w:rsidP="00A351A6">
      <w:pPr>
        <w:pStyle w:val="Testonotaapidipagina"/>
        <w:rPr>
          <w:lang w:val="en-US"/>
        </w:rPr>
      </w:pPr>
      <w:r w:rsidRPr="00A10758">
        <w:rPr>
          <w:lang w:val="en-US"/>
        </w:rPr>
        <w:t>Royal British Institution</w:t>
      </w:r>
      <w:r>
        <w:rPr>
          <w:lang w:val="en-US"/>
        </w:rPr>
        <w:t xml:space="preserve">. </w:t>
      </w:r>
      <w:r w:rsidRPr="00A10758">
        <w:rPr>
          <w:lang w:val="en-US"/>
        </w:rPr>
        <w:t>ESG Maturity Matrix</w:t>
      </w:r>
    </w:p>
    <w:p w14:paraId="5E104D59" w14:textId="77777777" w:rsidR="00646946" w:rsidRPr="00540E84" w:rsidRDefault="00646946" w:rsidP="00A351A6">
      <w:pPr>
        <w:pStyle w:val="Testonotaapidipagina"/>
        <w:rPr>
          <w:lang w:val="en-US"/>
        </w:rPr>
      </w:pPr>
      <w:r>
        <w:rPr>
          <w:lang w:val="en-US"/>
        </w:rPr>
        <w:t xml:space="preserve">S&amp;P Global (2025) </w:t>
      </w:r>
      <w:r w:rsidRPr="00784B82">
        <w:rPr>
          <w:lang w:val="en-US"/>
        </w:rPr>
        <w:t>The state of double materiality in corporate reporting</w:t>
      </w:r>
    </w:p>
    <w:p w14:paraId="327427F9" w14:textId="77777777" w:rsidR="00646946" w:rsidRDefault="00646946" w:rsidP="00A351A6">
      <w:pPr>
        <w:pStyle w:val="Testonotaapidipagina"/>
        <w:rPr>
          <w:lang w:val="en-US"/>
        </w:rPr>
      </w:pPr>
      <w:r>
        <w:rPr>
          <w:lang w:val="en-US"/>
        </w:rPr>
        <w:t>Social</w:t>
      </w:r>
      <w:r w:rsidRPr="00706D92">
        <w:rPr>
          <w:lang w:val="en-US"/>
        </w:rPr>
        <w:t xml:space="preserve"> Bond Principles 20</w:t>
      </w:r>
      <w:r>
        <w:rPr>
          <w:lang w:val="en-US"/>
        </w:rPr>
        <w:t>20</w:t>
      </w:r>
    </w:p>
    <w:p w14:paraId="2D2E50BA" w14:textId="77777777" w:rsidR="00646946" w:rsidRPr="0079226E" w:rsidRDefault="00646946" w:rsidP="00A351A6">
      <w:pPr>
        <w:pStyle w:val="Testonotaapidipagina"/>
        <w:rPr>
          <w:lang w:val="en-US"/>
        </w:rPr>
      </w:pPr>
      <w:r w:rsidRPr="0079226E">
        <w:rPr>
          <w:lang w:val="en-US"/>
        </w:rPr>
        <w:t>Source: LSEG LPC</w:t>
      </w:r>
    </w:p>
    <w:p w14:paraId="64DBBE2B" w14:textId="77777777" w:rsidR="00646946" w:rsidRDefault="00646946" w:rsidP="00A351A6">
      <w:pPr>
        <w:pStyle w:val="Testonotaapidipagina"/>
        <w:rPr>
          <w:lang w:val="en-US"/>
        </w:rPr>
      </w:pPr>
      <w:r>
        <w:rPr>
          <w:lang w:val="en-US"/>
        </w:rPr>
        <w:t xml:space="preserve">Stamford University (2025) </w:t>
      </w:r>
      <w:r w:rsidRPr="00F45E28">
        <w:rPr>
          <w:lang w:val="en-US"/>
        </w:rPr>
        <w:t>How does ESG contribute to improving a company’s financial performance?</w:t>
      </w:r>
      <w:r>
        <w:rPr>
          <w:lang w:val="en-US"/>
        </w:rPr>
        <w:t xml:space="preserve"> </w:t>
      </w:r>
    </w:p>
    <w:p w14:paraId="5D1B6637" w14:textId="77777777" w:rsidR="00646946" w:rsidRDefault="00646946" w:rsidP="00A351A6">
      <w:pPr>
        <w:pStyle w:val="Testonotaapidipagina"/>
        <w:rPr>
          <w:lang w:val="en-US"/>
        </w:rPr>
      </w:pPr>
      <w:r w:rsidRPr="00C73FB9">
        <w:rPr>
          <w:lang w:val="en-US"/>
        </w:rPr>
        <w:t>The Economic Times</w:t>
      </w:r>
      <w:r>
        <w:rPr>
          <w:lang w:val="en-US"/>
        </w:rPr>
        <w:t xml:space="preserve"> (</w:t>
      </w:r>
      <w:r w:rsidRPr="00C73FB9">
        <w:rPr>
          <w:lang w:val="en-US"/>
        </w:rPr>
        <w:t>2023</w:t>
      </w:r>
      <w:r>
        <w:rPr>
          <w:lang w:val="en-US"/>
        </w:rPr>
        <w:t>)</w:t>
      </w:r>
      <w:r w:rsidRPr="00C73FB9">
        <w:rPr>
          <w:lang w:val="en-US"/>
        </w:rPr>
        <w:t xml:space="preserve"> industry/banking/finance/banking/sbi-enters-social-loan-market raises-1-bln-from-overseas-markets/articleshow/98302780.cms</w:t>
      </w:r>
    </w:p>
    <w:p w14:paraId="7F2D29B6" w14:textId="1EBE158B" w:rsidR="00646946" w:rsidRDefault="00646946" w:rsidP="00A351A6">
      <w:pPr>
        <w:pStyle w:val="Testonotaapidipagina"/>
      </w:pPr>
      <w:r w:rsidRPr="00E34B44">
        <w:t>V</w:t>
      </w:r>
      <w:r>
        <w:t>iscovi</w:t>
      </w:r>
      <w:r w:rsidR="00444545">
        <w:t>,</w:t>
      </w:r>
      <w:r>
        <w:t xml:space="preserve"> A.</w:t>
      </w:r>
      <w:r w:rsidR="00444545">
        <w:t>,</w:t>
      </w:r>
      <w:r w:rsidRPr="00E34B44">
        <w:t xml:space="preserve"> T</w:t>
      </w:r>
      <w:r>
        <w:t>intori</w:t>
      </w:r>
      <w:r w:rsidR="00444545">
        <w:t>,</w:t>
      </w:r>
      <w:r>
        <w:t xml:space="preserve"> </w:t>
      </w:r>
      <w:r w:rsidRPr="00E34B44">
        <w:t>C., D</w:t>
      </w:r>
      <w:r>
        <w:t>i Turi</w:t>
      </w:r>
      <w:r w:rsidR="00444545">
        <w:t>,</w:t>
      </w:r>
      <w:r>
        <w:t xml:space="preserve"> A.</w:t>
      </w:r>
      <w:r w:rsidRPr="00E34B44">
        <w:t xml:space="preserve"> </w:t>
      </w:r>
      <w:r>
        <w:t xml:space="preserve"> (2020) </w:t>
      </w:r>
      <w:r w:rsidRPr="00E34B44">
        <w:t>“Guida alla finanza sostenibile per investitori cattolici” p.11</w:t>
      </w:r>
    </w:p>
    <w:p w14:paraId="02A6343D" w14:textId="4029AAD8" w:rsidR="00646946" w:rsidRDefault="00646946" w:rsidP="00A351A6">
      <w:pPr>
        <w:pStyle w:val="Testonotaapidipagina"/>
        <w:rPr>
          <w:lang w:val="en-US"/>
        </w:rPr>
      </w:pPr>
      <w:r w:rsidRPr="007919EF">
        <w:rPr>
          <w:lang w:val="en-US"/>
        </w:rPr>
        <w:t>Zhang et al. (2024),</w:t>
      </w:r>
      <w:r>
        <w:rPr>
          <w:lang w:val="en-US"/>
        </w:rPr>
        <w:t xml:space="preserve"> </w:t>
      </w:r>
      <w:r w:rsidRPr="007919EF">
        <w:rPr>
          <w:lang w:val="en-US"/>
        </w:rPr>
        <w:t xml:space="preserve">“Artificial intelligence and corporate ESG performance" </w:t>
      </w:r>
    </w:p>
    <w:p w14:paraId="38BF397E" w14:textId="0E3C08BB" w:rsidR="0081097F" w:rsidRPr="00071590" w:rsidRDefault="0081097F" w:rsidP="0081097F">
      <w:pPr>
        <w:pStyle w:val="Testonotaapidipagina"/>
        <w:rPr>
          <w:lang w:val="en-US"/>
        </w:rPr>
        <w:sectPr w:rsidR="0081097F" w:rsidRPr="00071590" w:rsidSect="00070452">
          <w:type w:val="oddPage"/>
          <w:pgSz w:w="11906" w:h="16838" w:code="9"/>
          <w:pgMar w:top="1701" w:right="1418" w:bottom="1418" w:left="1418" w:header="851" w:footer="851" w:gutter="0"/>
          <w:cols w:space="708"/>
          <w:titlePg/>
          <w:docGrid w:linePitch="360"/>
        </w:sectPr>
      </w:pPr>
    </w:p>
    <w:p w14:paraId="04247E69" w14:textId="24C236AE" w:rsidR="002E10BB" w:rsidRPr="00544E92" w:rsidRDefault="002E10BB" w:rsidP="002E10BB">
      <w:pPr>
        <w:pStyle w:val="Titolo1"/>
        <w:numPr>
          <w:ilvl w:val="0"/>
          <w:numId w:val="0"/>
        </w:numPr>
        <w:rPr>
          <w:lang w:val="en-GB"/>
        </w:rPr>
      </w:pPr>
      <w:bookmarkStart w:id="77" w:name="_Toc207471618"/>
      <w:r w:rsidRPr="00544E92">
        <w:rPr>
          <w:lang w:val="en-GB"/>
        </w:rPr>
        <w:lastRenderedPageBreak/>
        <w:t>Acknowledgments</w:t>
      </w:r>
      <w:bookmarkEnd w:id="77"/>
    </w:p>
    <w:p w14:paraId="07124163" w14:textId="77777777" w:rsidR="002E10BB" w:rsidRPr="00D6606C"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To my dad and mom. Who knows where I would be without you, without your urging and resignation, certainly not here writing this. You have taught me to seek and recognize what is truly worthwhile, to pursue great things, “Il meglio, non il meno peggio”, and that they are achieved through great sacrifice. These I have made are nothing compared to all the sacrifices you have made over the years and in life, but I hope you are still proud of me and of you for this achievement.</w:t>
      </w:r>
    </w:p>
    <w:p w14:paraId="62633221" w14:textId="49AC5EF8" w:rsidR="002E10BB" w:rsidRPr="00D6606C"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To my dad and my friend</w:t>
      </w:r>
      <w:r w:rsidR="00B560D5">
        <w:rPr>
          <w:rFonts w:ascii="Times New Roman" w:hAnsi="Times New Roman" w:cs="Times New Roman"/>
          <w:lang w:val="en-US"/>
        </w:rPr>
        <w:t xml:space="preserve"> Mauro</w:t>
      </w:r>
      <w:r w:rsidRPr="00D6606C">
        <w:rPr>
          <w:rFonts w:ascii="Times New Roman" w:hAnsi="Times New Roman" w:cs="Times New Roman"/>
          <w:lang w:val="en-US"/>
        </w:rPr>
        <w:t>, you taught me to live life lightly and enjoy the good things in it, but also to give me a few rules to follow and achieve my goals. You never spared hard work, sacrifice and good to give, I hope you are happy with this achievement which is the result of all that. Thank you for showing me that if you want you can do anything, even if people and doctors say you can't. Thank you, I’m the person I am thanks for the exit from the lower flat to go to the stadium or to go watching Giovanni playing, thanks to the drives on go kart the day before an English exam, and thanks to your lectures in car before getting back at home. You teach me something about life and how enjoying it that you can’t learn at school or university.</w:t>
      </w:r>
    </w:p>
    <w:p w14:paraId="1286FA8D" w14:textId="7AFBCDED" w:rsidR="002E10BB"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To my mom</w:t>
      </w:r>
      <w:r w:rsidR="00B560D5">
        <w:rPr>
          <w:rFonts w:ascii="Times New Roman" w:hAnsi="Times New Roman" w:cs="Times New Roman"/>
          <w:lang w:val="en-US"/>
        </w:rPr>
        <w:t xml:space="preserve"> Adrian</w:t>
      </w:r>
      <w:r w:rsidR="006E3F92">
        <w:rPr>
          <w:rFonts w:ascii="Times New Roman" w:hAnsi="Times New Roman" w:cs="Times New Roman"/>
          <w:lang w:val="en-US"/>
        </w:rPr>
        <w:t>a</w:t>
      </w:r>
      <w:r w:rsidRPr="00D6606C">
        <w:rPr>
          <w:rFonts w:ascii="Times New Roman" w:hAnsi="Times New Roman" w:cs="Times New Roman"/>
          <w:lang w:val="en-US"/>
        </w:rPr>
        <w:t>, in English it is not as good as “Alla mia mamma,” but in the heart it is written like this. For all the whys I asked you as a child, all the delays made at work because of my laziness, the hours of sleep lost, the hours worked, the calls to doctors, from professors and other parents, but also for all the “what's wrong with you” asked by the way I open the front door or how I answer the intercom. Thank you for the songs you made me discover and sing in the shower, for the poems, Italian and English thanks to you (math better not), but also for the punishments and education you gave me. Thank you for the person I am and the life I have lived</w:t>
      </w:r>
      <w:r w:rsidR="00DA1446">
        <w:rPr>
          <w:rFonts w:ascii="Times New Roman" w:hAnsi="Times New Roman" w:cs="Times New Roman"/>
          <w:lang w:val="en-US"/>
        </w:rPr>
        <w:t>, and especially for that one I will live.</w:t>
      </w:r>
    </w:p>
    <w:p w14:paraId="142B9134" w14:textId="77777777" w:rsidR="00367E56" w:rsidRDefault="00367E56" w:rsidP="002E10BB">
      <w:pPr>
        <w:spacing w:line="360" w:lineRule="auto"/>
        <w:rPr>
          <w:rFonts w:ascii="Times New Roman" w:hAnsi="Times New Roman" w:cs="Times New Roman"/>
          <w:lang w:val="en-US"/>
        </w:rPr>
      </w:pPr>
    </w:p>
    <w:p w14:paraId="2BE7224C" w14:textId="77777777" w:rsidR="00367E56" w:rsidRDefault="00367E56" w:rsidP="002E10BB">
      <w:pPr>
        <w:spacing w:line="360" w:lineRule="auto"/>
        <w:rPr>
          <w:rFonts w:ascii="Times New Roman" w:hAnsi="Times New Roman" w:cs="Times New Roman"/>
          <w:lang w:val="en-US"/>
        </w:rPr>
      </w:pPr>
    </w:p>
    <w:p w14:paraId="021E7B89" w14:textId="77777777" w:rsidR="00367E56" w:rsidRDefault="00367E56" w:rsidP="002E10BB">
      <w:pPr>
        <w:spacing w:line="360" w:lineRule="auto"/>
        <w:rPr>
          <w:rFonts w:ascii="Times New Roman" w:hAnsi="Times New Roman" w:cs="Times New Roman"/>
          <w:lang w:val="en-US"/>
        </w:rPr>
      </w:pPr>
    </w:p>
    <w:p w14:paraId="571248C1" w14:textId="77777777" w:rsidR="00367E56" w:rsidRPr="00D6606C" w:rsidRDefault="00367E56" w:rsidP="002E10BB">
      <w:pPr>
        <w:spacing w:line="360" w:lineRule="auto"/>
        <w:rPr>
          <w:rFonts w:ascii="Times New Roman" w:hAnsi="Times New Roman" w:cs="Times New Roman"/>
          <w:lang w:val="en-US"/>
        </w:rPr>
      </w:pPr>
    </w:p>
    <w:p w14:paraId="05E2577B" w14:textId="77777777" w:rsidR="00B978BC"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lastRenderedPageBreak/>
        <w:t>I would also like to thank my brothers, my guiding figures, because if I am here, it’s because</w:t>
      </w:r>
      <w:r>
        <w:rPr>
          <w:rFonts w:ascii="Times New Roman" w:hAnsi="Times New Roman" w:cs="Times New Roman"/>
          <w:lang w:val="en-US"/>
        </w:rPr>
        <w:t xml:space="preserve">                    </w:t>
      </w:r>
      <w:r w:rsidRPr="00D6606C">
        <w:rPr>
          <w:rFonts w:ascii="Times New Roman" w:hAnsi="Times New Roman" w:cs="Times New Roman"/>
          <w:lang w:val="en-US"/>
        </w:rPr>
        <w:t xml:space="preserve"> I have always tried to imitate their merits. </w:t>
      </w:r>
    </w:p>
    <w:p w14:paraId="6BD1BA5D" w14:textId="74900632" w:rsidR="006B0F25"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 xml:space="preserve">To Samuele, my guardian angel and friend: despite your work and all your commitments I always found you whenever I looked for you, both in times of difficulty and joy. We are very different Samuele, but in recent years I discovered that “c’è del bello nella disciplina”, in Italian, because you like put citations in your speech, and me too thanks to you. I always followed your schools because I felt myself more covered and safer, but also because I enjoyed everything you suggested me </w:t>
      </w:r>
      <w:r w:rsidR="00367E56" w:rsidRPr="00D6606C">
        <w:rPr>
          <w:rFonts w:ascii="Times New Roman" w:hAnsi="Times New Roman" w:cs="Times New Roman"/>
          <w:lang w:val="en-US"/>
        </w:rPr>
        <w:t>live</w:t>
      </w:r>
      <w:r w:rsidRPr="00D6606C">
        <w:rPr>
          <w:rFonts w:ascii="Times New Roman" w:hAnsi="Times New Roman" w:cs="Times New Roman"/>
          <w:lang w:val="en-US"/>
        </w:rPr>
        <w:t xml:space="preserve">, from </w:t>
      </w:r>
      <w:r w:rsidR="009612D2">
        <w:rPr>
          <w:rFonts w:ascii="Times New Roman" w:hAnsi="Times New Roman" w:cs="Times New Roman"/>
          <w:lang w:val="en-US"/>
        </w:rPr>
        <w:t>the h</w:t>
      </w:r>
      <w:r w:rsidRPr="00D6606C">
        <w:rPr>
          <w:rFonts w:ascii="Times New Roman" w:hAnsi="Times New Roman" w:cs="Times New Roman"/>
          <w:lang w:val="en-US"/>
        </w:rPr>
        <w:t>igh school</w:t>
      </w:r>
      <w:r w:rsidR="00367E56">
        <w:rPr>
          <w:rFonts w:ascii="Times New Roman" w:hAnsi="Times New Roman" w:cs="Times New Roman"/>
          <w:lang w:val="en-US"/>
        </w:rPr>
        <w:t xml:space="preserve"> and DOGO</w:t>
      </w:r>
      <w:r w:rsidRPr="00D6606C">
        <w:rPr>
          <w:rFonts w:ascii="Times New Roman" w:hAnsi="Times New Roman" w:cs="Times New Roman"/>
          <w:lang w:val="en-US"/>
        </w:rPr>
        <w:t xml:space="preserve">, through Dante, </w:t>
      </w:r>
      <w:r w:rsidR="00C8361E" w:rsidRPr="00D6606C">
        <w:rPr>
          <w:rFonts w:ascii="Times New Roman" w:hAnsi="Times New Roman" w:cs="Times New Roman"/>
          <w:lang w:val="en-US"/>
        </w:rPr>
        <w:t>t</w:t>
      </w:r>
      <w:r w:rsidR="00C8361E">
        <w:rPr>
          <w:rFonts w:ascii="Times New Roman" w:hAnsi="Times New Roman" w:cs="Times New Roman"/>
          <w:lang w:val="en-US"/>
        </w:rPr>
        <w:t>o</w:t>
      </w:r>
      <w:r w:rsidRPr="00D6606C">
        <w:rPr>
          <w:rFonts w:ascii="Times New Roman" w:hAnsi="Times New Roman" w:cs="Times New Roman"/>
          <w:lang w:val="en-US"/>
        </w:rPr>
        <w:t xml:space="preserve"> Inter (</w:t>
      </w:r>
      <w:r w:rsidR="00144CA2" w:rsidRPr="00D6606C">
        <w:rPr>
          <w:rFonts w:ascii="Times New Roman" w:hAnsi="Times New Roman" w:cs="Times New Roman"/>
          <w:lang w:val="en-US"/>
        </w:rPr>
        <w:t>even if</w:t>
      </w:r>
      <w:r w:rsidRPr="00D6606C">
        <w:rPr>
          <w:rFonts w:ascii="Times New Roman" w:hAnsi="Times New Roman" w:cs="Times New Roman"/>
          <w:lang w:val="en-US"/>
        </w:rPr>
        <w:t xml:space="preserve"> that wasn’t properly a suggestion). Thanks for all the support, that includes letting me free to do whatever I wanted to do. You are the greatest source of good I have ever encountered.</w:t>
      </w:r>
    </w:p>
    <w:p w14:paraId="482CD2FC" w14:textId="076D9AC7" w:rsidR="003B0BCE" w:rsidRPr="00D6606C"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 xml:space="preserve">To Giovanni, my idol: I have always tried to imitate you to gain your respect, from dressing to goalkeeping to investing. Although I am less interested in looking like you and gaining your respect now, I always hope you will be proud of me, even though, like excellence and first category I did Management, and you did Civil.  </w:t>
      </w:r>
    </w:p>
    <w:p w14:paraId="35C92371" w14:textId="77777777" w:rsidR="002E10BB"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To my grandfather Angelo, he taught me the beauty of knowledge and education and stimulated my curiosity</w:t>
      </w:r>
      <w:r>
        <w:rPr>
          <w:rFonts w:ascii="Times New Roman" w:hAnsi="Times New Roman" w:cs="Times New Roman"/>
          <w:lang w:val="en-US"/>
        </w:rPr>
        <w:t xml:space="preserve"> </w:t>
      </w:r>
      <w:r w:rsidRPr="00D6606C">
        <w:rPr>
          <w:rFonts w:ascii="Times New Roman" w:hAnsi="Times New Roman" w:cs="Times New Roman"/>
          <w:lang w:val="en-US"/>
        </w:rPr>
        <w:t>like</w:t>
      </w:r>
      <w:r>
        <w:rPr>
          <w:rFonts w:ascii="Times New Roman" w:hAnsi="Times New Roman" w:cs="Times New Roman"/>
          <w:lang w:val="en-US"/>
        </w:rPr>
        <w:t xml:space="preserve"> </w:t>
      </w:r>
      <w:r w:rsidRPr="00D6606C">
        <w:rPr>
          <w:rFonts w:ascii="Times New Roman" w:hAnsi="Times New Roman" w:cs="Times New Roman"/>
          <w:lang w:val="en-US"/>
        </w:rPr>
        <w:t>no</w:t>
      </w:r>
      <w:r>
        <w:rPr>
          <w:rFonts w:ascii="Times New Roman" w:hAnsi="Times New Roman" w:cs="Times New Roman"/>
          <w:lang w:val="en-US"/>
        </w:rPr>
        <w:t xml:space="preserve"> </w:t>
      </w:r>
      <w:r w:rsidRPr="00D6606C">
        <w:rPr>
          <w:rFonts w:ascii="Times New Roman" w:hAnsi="Times New Roman" w:cs="Times New Roman"/>
          <w:lang w:val="en-US"/>
        </w:rPr>
        <w:t>one</w:t>
      </w:r>
      <w:r>
        <w:rPr>
          <w:rFonts w:ascii="Times New Roman" w:hAnsi="Times New Roman" w:cs="Times New Roman"/>
          <w:lang w:val="en-US"/>
        </w:rPr>
        <w:t xml:space="preserve"> </w:t>
      </w:r>
      <w:r w:rsidRPr="00D6606C">
        <w:rPr>
          <w:rFonts w:ascii="Times New Roman" w:hAnsi="Times New Roman" w:cs="Times New Roman"/>
          <w:lang w:val="en-US"/>
        </w:rPr>
        <w:t>else.</w:t>
      </w:r>
    </w:p>
    <w:p w14:paraId="00616585" w14:textId="4F7F7B87" w:rsidR="002E10BB"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To my grandfather Adriano, he passed on to me the value of sacrifices and how rewarding it is to see and donate the result of</w:t>
      </w:r>
      <w:r>
        <w:rPr>
          <w:rFonts w:ascii="Times New Roman" w:hAnsi="Times New Roman" w:cs="Times New Roman"/>
          <w:lang w:val="en-US"/>
        </w:rPr>
        <w:t xml:space="preserve"> the sacrifices.</w:t>
      </w:r>
    </w:p>
    <w:p w14:paraId="33804D06" w14:textId="78E87FC8" w:rsidR="002E10BB" w:rsidRPr="009E7311" w:rsidRDefault="006B0F25" w:rsidP="002E10BB">
      <w:pPr>
        <w:spacing w:line="360" w:lineRule="auto"/>
        <w:rPr>
          <w:rFonts w:ascii="Times New Roman" w:hAnsi="Times New Roman" w:cs="Times New Roman"/>
        </w:rPr>
      </w:pPr>
      <w:r>
        <w:rPr>
          <w:rFonts w:ascii="Times New Roman" w:hAnsi="Times New Roman" w:cs="Times New Roman"/>
        </w:rPr>
        <w:t xml:space="preserve">A mia nonna </w:t>
      </w:r>
      <w:r w:rsidR="002E10BB" w:rsidRPr="00650A88">
        <w:rPr>
          <w:rFonts w:ascii="Times New Roman" w:hAnsi="Times New Roman" w:cs="Times New Roman"/>
        </w:rPr>
        <w:t xml:space="preserve">Cecilia, </w:t>
      </w:r>
      <w:r w:rsidR="00650A88" w:rsidRPr="00650A88">
        <w:rPr>
          <w:rFonts w:ascii="Times New Roman" w:hAnsi="Times New Roman" w:cs="Times New Roman"/>
        </w:rPr>
        <w:t>grazie per avermi dato da mangiare e</w:t>
      </w:r>
      <w:r w:rsidR="00650A88">
        <w:rPr>
          <w:rFonts w:ascii="Times New Roman" w:hAnsi="Times New Roman" w:cs="Times New Roman"/>
        </w:rPr>
        <w:t xml:space="preserve"> da bere, dai pezzetti di grana tra la colazione e il, primo, pasto</w:t>
      </w:r>
      <w:r w:rsidR="00FD0131">
        <w:rPr>
          <w:rFonts w:ascii="Times New Roman" w:hAnsi="Times New Roman" w:cs="Times New Roman"/>
        </w:rPr>
        <w:t xml:space="preserve">, sino ad oggi dove non riesco ancora a rinunciare alla tua pastasciutta e alle tue bistecchine impanate. </w:t>
      </w:r>
      <w:r w:rsidR="00FD0131" w:rsidRPr="00092884">
        <w:rPr>
          <w:rFonts w:ascii="Times New Roman" w:hAnsi="Times New Roman" w:cs="Times New Roman"/>
        </w:rPr>
        <w:t>Grazie nonna anche per avermi insegnato tanto</w:t>
      </w:r>
      <w:r w:rsidR="00092884" w:rsidRPr="00092884">
        <w:rPr>
          <w:rFonts w:ascii="Times New Roman" w:hAnsi="Times New Roman" w:cs="Times New Roman"/>
        </w:rPr>
        <w:t>, non di m</w:t>
      </w:r>
      <w:r w:rsidR="00092884">
        <w:rPr>
          <w:rFonts w:ascii="Times New Roman" w:hAnsi="Times New Roman" w:cs="Times New Roman"/>
        </w:rPr>
        <w:t xml:space="preserve">atematica </w:t>
      </w:r>
      <w:r w:rsidR="00C21F9E">
        <w:rPr>
          <w:rFonts w:ascii="Times New Roman" w:hAnsi="Times New Roman" w:cs="Times New Roman"/>
        </w:rPr>
        <w:t xml:space="preserve">o </w:t>
      </w:r>
      <w:r w:rsidR="00092884">
        <w:rPr>
          <w:rFonts w:ascii="Times New Roman" w:hAnsi="Times New Roman" w:cs="Times New Roman"/>
        </w:rPr>
        <w:t xml:space="preserve">di </w:t>
      </w:r>
      <w:r w:rsidR="00C21F9E">
        <w:rPr>
          <w:rFonts w:ascii="Times New Roman" w:hAnsi="Times New Roman" w:cs="Times New Roman"/>
        </w:rPr>
        <w:t>i</w:t>
      </w:r>
      <w:r w:rsidR="00092884">
        <w:rPr>
          <w:rFonts w:ascii="Times New Roman" w:hAnsi="Times New Roman" w:cs="Times New Roman"/>
        </w:rPr>
        <w:t>taliano, ma di vita.</w:t>
      </w:r>
      <w:r w:rsidR="000B4072">
        <w:rPr>
          <w:rFonts w:ascii="Times New Roman" w:hAnsi="Times New Roman" w:cs="Times New Roman"/>
        </w:rPr>
        <w:t xml:space="preserve"> </w:t>
      </w:r>
      <w:r w:rsidR="000B4072" w:rsidRPr="000B4072">
        <w:rPr>
          <w:rFonts w:ascii="Times New Roman" w:hAnsi="Times New Roman" w:cs="Times New Roman"/>
        </w:rPr>
        <w:t xml:space="preserve">Con il tuo grembiule </w:t>
      </w:r>
      <w:r w:rsidR="00C21F9E">
        <w:rPr>
          <w:rFonts w:ascii="Times New Roman" w:hAnsi="Times New Roman" w:cs="Times New Roman"/>
        </w:rPr>
        <w:t xml:space="preserve">sempre </w:t>
      </w:r>
      <w:r w:rsidR="000B4072" w:rsidRPr="000B4072">
        <w:rPr>
          <w:rFonts w:ascii="Times New Roman" w:hAnsi="Times New Roman" w:cs="Times New Roman"/>
        </w:rPr>
        <w:t>uguale, le tue abitudini e i</w:t>
      </w:r>
      <w:r w:rsidR="000B4072">
        <w:rPr>
          <w:rFonts w:ascii="Times New Roman" w:hAnsi="Times New Roman" w:cs="Times New Roman"/>
        </w:rPr>
        <w:t xml:space="preserve">l tuo essere felice di ciò che si ha mi hai insegnato a godere delle piccole gioie della vita, </w:t>
      </w:r>
      <w:r w:rsidR="001F1C35">
        <w:rPr>
          <w:rFonts w:ascii="Times New Roman" w:hAnsi="Times New Roman" w:cs="Times New Roman"/>
        </w:rPr>
        <w:t xml:space="preserve">di ringraziare di </w:t>
      </w:r>
      <w:r w:rsidR="009E7311">
        <w:rPr>
          <w:rFonts w:ascii="Times New Roman" w:hAnsi="Times New Roman" w:cs="Times New Roman"/>
        </w:rPr>
        <w:t>tutto quello</w:t>
      </w:r>
      <w:r w:rsidR="001F1C35">
        <w:rPr>
          <w:rFonts w:ascii="Times New Roman" w:hAnsi="Times New Roman" w:cs="Times New Roman"/>
        </w:rPr>
        <w:t xml:space="preserve"> che si ha, e che tutto il resto è da ammirare estasiati, pronunciando sempre un “va che lussu”. </w:t>
      </w:r>
      <w:r w:rsidR="00EC2418" w:rsidRPr="009E7311">
        <w:rPr>
          <w:rFonts w:ascii="Times New Roman" w:hAnsi="Times New Roman" w:cs="Times New Roman"/>
        </w:rPr>
        <w:t>Grazie nonna</w:t>
      </w:r>
      <w:r w:rsidR="00EF7920">
        <w:rPr>
          <w:rFonts w:ascii="Times New Roman" w:hAnsi="Times New Roman" w:cs="Times New Roman"/>
        </w:rPr>
        <w:t>, senza i tuoi cerini accesi ogni esame non sarei qui.</w:t>
      </w:r>
    </w:p>
    <w:p w14:paraId="5C17B160" w14:textId="77777777" w:rsidR="002E10BB"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To my grandmother Flavia, who taught me the importance of aesthetics and presentability to other people and self-love.</w:t>
      </w:r>
    </w:p>
    <w:p w14:paraId="2EEEB14F" w14:textId="77777777" w:rsidR="000875DC" w:rsidRDefault="000875DC" w:rsidP="002E10BB">
      <w:pPr>
        <w:spacing w:line="360" w:lineRule="auto"/>
        <w:rPr>
          <w:rFonts w:ascii="Times New Roman" w:hAnsi="Times New Roman" w:cs="Times New Roman"/>
          <w:lang w:val="en-US"/>
        </w:rPr>
      </w:pPr>
    </w:p>
    <w:p w14:paraId="3975A0AD" w14:textId="77777777" w:rsidR="000875DC" w:rsidRPr="00D6606C" w:rsidRDefault="000875DC" w:rsidP="002E10BB">
      <w:pPr>
        <w:spacing w:line="360" w:lineRule="auto"/>
        <w:rPr>
          <w:rFonts w:ascii="Times New Roman" w:hAnsi="Times New Roman" w:cs="Times New Roman"/>
          <w:lang w:val="en-US"/>
        </w:rPr>
      </w:pPr>
    </w:p>
    <w:p w14:paraId="13FCA212" w14:textId="0F4C77F5" w:rsidR="002E10BB" w:rsidRPr="00D6606C"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lastRenderedPageBreak/>
        <w:t xml:space="preserve">To Sofia, </w:t>
      </w:r>
      <w:r w:rsidR="007A4268">
        <w:rPr>
          <w:rFonts w:ascii="Times New Roman" w:hAnsi="Times New Roman" w:cs="Times New Roman"/>
          <w:lang w:val="en-US"/>
        </w:rPr>
        <w:t>my passion</w:t>
      </w:r>
      <w:r w:rsidRPr="00D6606C">
        <w:rPr>
          <w:rFonts w:ascii="Times New Roman" w:hAnsi="Times New Roman" w:cs="Times New Roman"/>
          <w:lang w:val="en-US"/>
        </w:rPr>
        <w:t>. You were by my side in the most difficult moments when I felt I couldn't do everything, and you were by my side when I needed to share the weight of duties and responsibilities with someone, even though you carried a much greater burden than my own.</w:t>
      </w:r>
      <w:r w:rsidR="00AB63B5">
        <w:rPr>
          <w:rFonts w:ascii="Times New Roman" w:hAnsi="Times New Roman" w:cs="Times New Roman"/>
          <w:lang w:val="en-US"/>
        </w:rPr>
        <w:t xml:space="preserve"> If I</w:t>
      </w:r>
      <w:r w:rsidR="008F4E43">
        <w:rPr>
          <w:rFonts w:ascii="Times New Roman" w:hAnsi="Times New Roman" w:cs="Times New Roman"/>
          <w:lang w:val="en-US"/>
        </w:rPr>
        <w:t xml:space="preserve"> was</w:t>
      </w:r>
      <w:r w:rsidR="00AB63B5">
        <w:rPr>
          <w:rFonts w:ascii="Times New Roman" w:hAnsi="Times New Roman" w:cs="Times New Roman"/>
          <w:lang w:val="en-US"/>
        </w:rPr>
        <w:t xml:space="preserve"> able to do this master’s </w:t>
      </w:r>
      <w:r w:rsidR="008F4E43">
        <w:rPr>
          <w:rFonts w:ascii="Times New Roman" w:hAnsi="Times New Roman" w:cs="Times New Roman"/>
          <w:lang w:val="en-US"/>
        </w:rPr>
        <w:t>degree,</w:t>
      </w:r>
      <w:r w:rsidR="00AB63B5">
        <w:rPr>
          <w:rFonts w:ascii="Times New Roman" w:hAnsi="Times New Roman" w:cs="Times New Roman"/>
          <w:lang w:val="en-US"/>
        </w:rPr>
        <w:t xml:space="preserve"> it’s because you decided to share with me the months</w:t>
      </w:r>
      <w:r w:rsidRPr="00D6606C">
        <w:rPr>
          <w:rFonts w:ascii="Times New Roman" w:hAnsi="Times New Roman" w:cs="Times New Roman"/>
          <w:lang w:val="en-US"/>
        </w:rPr>
        <w:t xml:space="preserve"> </w:t>
      </w:r>
      <w:r w:rsidR="00AB63B5">
        <w:rPr>
          <w:rFonts w:ascii="Times New Roman" w:hAnsi="Times New Roman" w:cs="Times New Roman"/>
          <w:lang w:val="en-US"/>
        </w:rPr>
        <w:t>when my grade was lower than the minimum and I was struggling to reach it with problems in my family</w:t>
      </w:r>
      <w:r w:rsidRPr="00D6606C">
        <w:rPr>
          <w:rFonts w:ascii="Times New Roman" w:hAnsi="Times New Roman" w:cs="Times New Roman"/>
          <w:lang w:val="en-US"/>
        </w:rPr>
        <w:t xml:space="preserve">. </w:t>
      </w:r>
      <w:r w:rsidR="00AB63B5" w:rsidRPr="00D6606C">
        <w:rPr>
          <w:rFonts w:ascii="Times New Roman" w:hAnsi="Times New Roman" w:cs="Times New Roman"/>
          <w:lang w:val="en-US"/>
        </w:rPr>
        <w:t>You taught me things that are more important and difficult than what I learned in these five years at university</w:t>
      </w:r>
      <w:r w:rsidR="008F4E43">
        <w:rPr>
          <w:rFonts w:ascii="Times New Roman" w:hAnsi="Times New Roman" w:cs="Times New Roman"/>
          <w:lang w:val="en-US"/>
        </w:rPr>
        <w:t>.</w:t>
      </w:r>
      <w:r w:rsidR="007A4268">
        <w:rPr>
          <w:rFonts w:ascii="Times New Roman" w:hAnsi="Times New Roman" w:cs="Times New Roman"/>
          <w:lang w:val="en-US"/>
        </w:rPr>
        <w:t xml:space="preserve"> </w:t>
      </w:r>
      <w:r w:rsidR="007A4268" w:rsidRPr="00D6606C">
        <w:rPr>
          <w:rFonts w:ascii="Times New Roman" w:hAnsi="Times New Roman" w:cs="Times New Roman"/>
          <w:lang w:val="en-US"/>
        </w:rPr>
        <w:t>I will always be as supportive of your life as you have been of mine</w:t>
      </w:r>
      <w:r w:rsidR="007A4268">
        <w:rPr>
          <w:rFonts w:ascii="Times New Roman" w:hAnsi="Times New Roman" w:cs="Times New Roman"/>
          <w:lang w:val="en-US"/>
        </w:rPr>
        <w:t>.</w:t>
      </w:r>
    </w:p>
    <w:p w14:paraId="07C5C510" w14:textId="504E62F5" w:rsidR="00D04411" w:rsidRPr="00D6606C"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To Alessandro and Yuto, from Piazza Prealpi to Via Lambruschini is a short distance, but all this way and before I have shared with you over the years. You were not physically in the classroom with me, but you are always the first people I think of when I need or want to spend time together. Thank you for always being there, Giovani Danni MOE.</w:t>
      </w:r>
    </w:p>
    <w:p w14:paraId="4AB63706" w14:textId="6CDFD3AA" w:rsidR="002E10BB" w:rsidRPr="00D6606C"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 xml:space="preserve">I will never reward all my friends, </w:t>
      </w:r>
      <w:r w:rsidR="00B25D71">
        <w:rPr>
          <w:rFonts w:ascii="Times New Roman" w:hAnsi="Times New Roman" w:cs="Times New Roman"/>
          <w:lang w:val="en-US"/>
        </w:rPr>
        <w:t>the CIFA, the guys from Pro Novate</w:t>
      </w:r>
      <w:r w:rsidR="007D59E5">
        <w:rPr>
          <w:rFonts w:ascii="Times New Roman" w:hAnsi="Times New Roman" w:cs="Times New Roman"/>
          <w:lang w:val="en-US"/>
        </w:rPr>
        <w:t>,</w:t>
      </w:r>
      <w:r w:rsidR="00F702FE">
        <w:rPr>
          <w:rFonts w:ascii="Times New Roman" w:hAnsi="Times New Roman" w:cs="Times New Roman"/>
          <w:lang w:val="en-US"/>
        </w:rPr>
        <w:t xml:space="preserve"> the guys I met during my Erasmus,</w:t>
      </w:r>
      <w:r w:rsidR="007D59E5">
        <w:rPr>
          <w:rFonts w:ascii="Times New Roman" w:hAnsi="Times New Roman" w:cs="Times New Roman"/>
          <w:lang w:val="en-US"/>
        </w:rPr>
        <w:t xml:space="preserve"> Nicolò,</w:t>
      </w:r>
      <w:r w:rsidR="007A4268">
        <w:rPr>
          <w:rFonts w:ascii="Times New Roman" w:hAnsi="Times New Roman" w:cs="Times New Roman"/>
          <w:lang w:val="en-US"/>
        </w:rPr>
        <w:t xml:space="preserve"> </w:t>
      </w:r>
      <w:r w:rsidR="007D59E5">
        <w:rPr>
          <w:rFonts w:ascii="Times New Roman" w:hAnsi="Times New Roman" w:cs="Times New Roman"/>
          <w:lang w:val="en-US"/>
        </w:rPr>
        <w:t>Claudio, Stefano during all the summers of my life</w:t>
      </w:r>
      <w:r w:rsidR="00F702FE">
        <w:rPr>
          <w:rFonts w:ascii="Times New Roman" w:hAnsi="Times New Roman" w:cs="Times New Roman"/>
          <w:lang w:val="en-US"/>
        </w:rPr>
        <w:t xml:space="preserve">, Pietro and Donato which spend the </w:t>
      </w:r>
      <w:r w:rsidR="00B002CD">
        <w:rPr>
          <w:rFonts w:ascii="Times New Roman" w:hAnsi="Times New Roman" w:cs="Times New Roman"/>
          <w:lang w:val="en-US"/>
        </w:rPr>
        <w:t>first 3</w:t>
      </w:r>
      <w:r w:rsidR="00A55D7B">
        <w:rPr>
          <w:rFonts w:ascii="Times New Roman" w:hAnsi="Times New Roman" w:cs="Times New Roman"/>
          <w:lang w:val="en-US"/>
        </w:rPr>
        <w:t xml:space="preserve"> years </w:t>
      </w:r>
      <w:r w:rsidR="0045045E">
        <w:rPr>
          <w:rFonts w:ascii="Times New Roman" w:hAnsi="Times New Roman" w:cs="Times New Roman"/>
          <w:lang w:val="en-US"/>
        </w:rPr>
        <w:t xml:space="preserve">of this journey, </w:t>
      </w:r>
      <w:r w:rsidR="007D59E5">
        <w:rPr>
          <w:rFonts w:ascii="Times New Roman" w:hAnsi="Times New Roman" w:cs="Times New Roman"/>
          <w:lang w:val="en-US"/>
        </w:rPr>
        <w:t>and all the other</w:t>
      </w:r>
      <w:r w:rsidR="00F702FE">
        <w:rPr>
          <w:rFonts w:ascii="Times New Roman" w:hAnsi="Times New Roman" w:cs="Times New Roman"/>
          <w:lang w:val="en-US"/>
        </w:rPr>
        <w:t xml:space="preserve">s I can’t list here but I have in my heart. </w:t>
      </w:r>
      <w:r w:rsidRPr="00D6606C">
        <w:rPr>
          <w:rFonts w:ascii="Times New Roman" w:hAnsi="Times New Roman" w:cs="Times New Roman"/>
          <w:lang w:val="en-US"/>
        </w:rPr>
        <w:t xml:space="preserve">You were </w:t>
      </w:r>
      <w:r w:rsidR="00C25671" w:rsidRPr="00D6606C">
        <w:rPr>
          <w:rFonts w:ascii="Times New Roman" w:hAnsi="Times New Roman" w:cs="Times New Roman"/>
          <w:lang w:val="en-US"/>
        </w:rPr>
        <w:t>sources of</w:t>
      </w:r>
      <w:r w:rsidRPr="00D6606C">
        <w:rPr>
          <w:rFonts w:ascii="Times New Roman" w:hAnsi="Times New Roman" w:cs="Times New Roman"/>
          <w:lang w:val="en-US"/>
        </w:rPr>
        <w:t xml:space="preserve"> lightheartedness on the night before going to sleep and during the weekend when the world and work were crushing me. </w:t>
      </w:r>
      <w:r w:rsidR="00011911">
        <w:rPr>
          <w:rFonts w:ascii="Times New Roman" w:hAnsi="Times New Roman" w:cs="Times New Roman"/>
          <w:lang w:val="en-US"/>
        </w:rPr>
        <w:t>Lots of you are ungraduated, some</w:t>
      </w:r>
      <w:r w:rsidR="005A2D3D">
        <w:rPr>
          <w:rFonts w:ascii="Times New Roman" w:hAnsi="Times New Roman" w:cs="Times New Roman"/>
          <w:lang w:val="en-US"/>
        </w:rPr>
        <w:t xml:space="preserve">one stops at the end of high school, others struggle to find the right way. I would like to </w:t>
      </w:r>
      <w:r w:rsidR="006D2DFA">
        <w:rPr>
          <w:rFonts w:ascii="Times New Roman" w:hAnsi="Times New Roman" w:cs="Times New Roman"/>
          <w:lang w:val="en-US"/>
        </w:rPr>
        <w:t>know</w:t>
      </w:r>
      <w:r w:rsidR="005A2D3D">
        <w:rPr>
          <w:rFonts w:ascii="Times New Roman" w:hAnsi="Times New Roman" w:cs="Times New Roman"/>
          <w:lang w:val="en-US"/>
        </w:rPr>
        <w:t xml:space="preserve"> </w:t>
      </w:r>
      <w:r w:rsidR="006D2DFA">
        <w:rPr>
          <w:rFonts w:ascii="Times New Roman" w:hAnsi="Times New Roman" w:cs="Times New Roman"/>
          <w:lang w:val="en-US"/>
        </w:rPr>
        <w:t>whether</w:t>
      </w:r>
      <w:r w:rsidR="005A2D3D">
        <w:rPr>
          <w:rFonts w:ascii="Times New Roman" w:hAnsi="Times New Roman" w:cs="Times New Roman"/>
          <w:lang w:val="en-US"/>
        </w:rPr>
        <w:t xml:space="preserve"> you are smarter than </w:t>
      </w:r>
      <w:r w:rsidR="007A4268">
        <w:rPr>
          <w:rFonts w:ascii="Times New Roman" w:hAnsi="Times New Roman" w:cs="Times New Roman"/>
          <w:lang w:val="en-US"/>
        </w:rPr>
        <w:t>most</w:t>
      </w:r>
      <w:r w:rsidR="005A2D3D">
        <w:rPr>
          <w:rFonts w:ascii="Times New Roman" w:hAnsi="Times New Roman" w:cs="Times New Roman"/>
          <w:lang w:val="en-US"/>
        </w:rPr>
        <w:t xml:space="preserve"> of my </w:t>
      </w:r>
      <w:r w:rsidR="006D2DFA">
        <w:rPr>
          <w:rFonts w:ascii="Times New Roman" w:hAnsi="Times New Roman" w:cs="Times New Roman"/>
          <w:lang w:val="en-US"/>
        </w:rPr>
        <w:t>colleagues</w:t>
      </w:r>
      <w:r w:rsidR="005A2D3D">
        <w:rPr>
          <w:rFonts w:ascii="Times New Roman" w:hAnsi="Times New Roman" w:cs="Times New Roman"/>
          <w:lang w:val="en-US"/>
        </w:rPr>
        <w:t xml:space="preserve">. The importance of experience, </w:t>
      </w:r>
      <w:r w:rsidR="00962013">
        <w:rPr>
          <w:rFonts w:ascii="Times New Roman" w:hAnsi="Times New Roman" w:cs="Times New Roman"/>
          <w:lang w:val="en-US"/>
        </w:rPr>
        <w:t xml:space="preserve">the memories you give me, </w:t>
      </w:r>
      <w:r w:rsidR="006D2DFA">
        <w:rPr>
          <w:rFonts w:ascii="Times New Roman" w:hAnsi="Times New Roman" w:cs="Times New Roman"/>
          <w:lang w:val="en-US"/>
        </w:rPr>
        <w:t>and</w:t>
      </w:r>
      <w:r w:rsidR="00962013">
        <w:rPr>
          <w:rFonts w:ascii="Times New Roman" w:hAnsi="Times New Roman" w:cs="Times New Roman"/>
          <w:lang w:val="en-US"/>
        </w:rPr>
        <w:t xml:space="preserve"> some soft skills</w:t>
      </w:r>
      <w:r w:rsidR="00F72E7B">
        <w:rPr>
          <w:rFonts w:ascii="Times New Roman" w:hAnsi="Times New Roman" w:cs="Times New Roman"/>
          <w:lang w:val="en-US"/>
        </w:rPr>
        <w:t>,</w:t>
      </w:r>
      <w:r w:rsidR="00962013">
        <w:rPr>
          <w:rFonts w:ascii="Times New Roman" w:hAnsi="Times New Roman" w:cs="Times New Roman"/>
          <w:lang w:val="en-US"/>
        </w:rPr>
        <w:t xml:space="preserve"> like </w:t>
      </w:r>
      <w:r w:rsidR="006D2DFA">
        <w:rPr>
          <w:rFonts w:ascii="Times New Roman" w:hAnsi="Times New Roman" w:cs="Times New Roman"/>
          <w:lang w:val="en-US"/>
        </w:rPr>
        <w:t>being</w:t>
      </w:r>
      <w:r w:rsidR="00962013">
        <w:rPr>
          <w:rFonts w:ascii="Times New Roman" w:hAnsi="Times New Roman" w:cs="Times New Roman"/>
          <w:lang w:val="en-US"/>
        </w:rPr>
        <w:t xml:space="preserve"> able to speak and act with different </w:t>
      </w:r>
      <w:r w:rsidR="006D2DFA">
        <w:rPr>
          <w:rFonts w:ascii="Times New Roman" w:hAnsi="Times New Roman" w:cs="Times New Roman"/>
          <w:lang w:val="en-US"/>
        </w:rPr>
        <w:t>kinds</w:t>
      </w:r>
      <w:r w:rsidR="00962013">
        <w:rPr>
          <w:rFonts w:ascii="Times New Roman" w:hAnsi="Times New Roman" w:cs="Times New Roman"/>
          <w:lang w:val="en-US"/>
        </w:rPr>
        <w:t xml:space="preserve"> of people, no</w:t>
      </w:r>
      <w:r w:rsidR="008E1C0F">
        <w:rPr>
          <w:rFonts w:ascii="Times New Roman" w:hAnsi="Times New Roman" w:cs="Times New Roman"/>
          <w:lang w:val="en-US"/>
        </w:rPr>
        <w:t xml:space="preserve">ne in </w:t>
      </w:r>
      <w:r w:rsidR="00962013">
        <w:rPr>
          <w:rFonts w:ascii="Times New Roman" w:hAnsi="Times New Roman" w:cs="Times New Roman"/>
          <w:lang w:val="en-US"/>
        </w:rPr>
        <w:t xml:space="preserve">university can </w:t>
      </w:r>
      <w:r w:rsidR="006D2DFA">
        <w:rPr>
          <w:rFonts w:ascii="Times New Roman" w:hAnsi="Times New Roman" w:cs="Times New Roman"/>
          <w:lang w:val="en-US"/>
        </w:rPr>
        <w:t>give and</w:t>
      </w:r>
      <w:r w:rsidR="00962013">
        <w:rPr>
          <w:rFonts w:ascii="Times New Roman" w:hAnsi="Times New Roman" w:cs="Times New Roman"/>
          <w:lang w:val="en-US"/>
        </w:rPr>
        <w:t xml:space="preserve"> teach me. </w:t>
      </w:r>
      <w:r w:rsidRPr="00D6606C">
        <w:rPr>
          <w:rFonts w:ascii="Times New Roman" w:hAnsi="Times New Roman" w:cs="Times New Roman"/>
          <w:lang w:val="en-US"/>
        </w:rPr>
        <w:t>You have been more important than you think</w:t>
      </w:r>
      <w:r w:rsidR="00962013">
        <w:rPr>
          <w:rFonts w:ascii="Times New Roman" w:hAnsi="Times New Roman" w:cs="Times New Roman"/>
          <w:lang w:val="en-US"/>
        </w:rPr>
        <w:t xml:space="preserve">, I hope you </w:t>
      </w:r>
      <w:r w:rsidR="006D2DFA">
        <w:rPr>
          <w:rFonts w:ascii="Times New Roman" w:hAnsi="Times New Roman" w:cs="Times New Roman"/>
          <w:lang w:val="en-US"/>
        </w:rPr>
        <w:t>feel this graduation is like if it’s yours.</w:t>
      </w:r>
    </w:p>
    <w:p w14:paraId="4B69B613" w14:textId="77777777" w:rsidR="002E10BB" w:rsidRPr="00D6606C"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 xml:space="preserve">I would like to thank Professor. Giancarlo Giudici who gave me the opportunity to do the internship and make this important experience that culminated in this thesis. I thank him for the support he gave me in drafting this document. </w:t>
      </w:r>
    </w:p>
    <w:p w14:paraId="317AC906" w14:textId="77777777" w:rsidR="002E10BB" w:rsidRPr="00D6606C"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Secondly, I am glad to thank ESGEO consultancy, and particularly Andrea, Alessandro and Inti which followed me intensively and cared about me during these months and taught me professional and human skills.</w:t>
      </w:r>
    </w:p>
    <w:p w14:paraId="4E7EC804" w14:textId="77777777" w:rsidR="002E10BB" w:rsidRPr="00D6606C"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 xml:space="preserve">I am very glad to thank all the people that let me smile and to help me or teach me something I have not been able to understand on my own: this always represents for me an invaluable gift.  </w:t>
      </w:r>
    </w:p>
    <w:p w14:paraId="70CC1D50" w14:textId="77777777" w:rsidR="002E10BB" w:rsidRPr="00D6606C" w:rsidRDefault="002E10BB" w:rsidP="002E10BB">
      <w:pPr>
        <w:spacing w:line="360" w:lineRule="auto"/>
        <w:rPr>
          <w:rFonts w:ascii="Times New Roman" w:hAnsi="Times New Roman" w:cs="Times New Roman"/>
          <w:lang w:val="en-US"/>
        </w:rPr>
      </w:pPr>
      <w:r w:rsidRPr="00D6606C">
        <w:rPr>
          <w:rFonts w:ascii="Times New Roman" w:hAnsi="Times New Roman" w:cs="Times New Roman"/>
          <w:lang w:val="en-US"/>
        </w:rPr>
        <w:t>Without you, today, I would not have been here.</w:t>
      </w:r>
    </w:p>
    <w:p w14:paraId="618D7A6D" w14:textId="77777777" w:rsidR="002E10BB" w:rsidRPr="00D6606C" w:rsidRDefault="002E10BB" w:rsidP="002E10BB">
      <w:pPr>
        <w:spacing w:line="360" w:lineRule="auto"/>
        <w:rPr>
          <w:rFonts w:ascii="Times New Roman" w:hAnsi="Times New Roman" w:cs="Times New Roman"/>
          <w:lang w:val="en-US"/>
        </w:rPr>
      </w:pPr>
    </w:p>
    <w:p w14:paraId="0B9E84E3" w14:textId="77777777" w:rsidR="002E10BB" w:rsidRPr="0085061D" w:rsidRDefault="002E10BB" w:rsidP="002E10BB">
      <w:pPr>
        <w:rPr>
          <w:lang w:val="en-US"/>
        </w:rPr>
      </w:pPr>
    </w:p>
    <w:p w14:paraId="5B5CB169" w14:textId="77777777" w:rsidR="002E10BB" w:rsidRPr="00544E92" w:rsidRDefault="002E10BB" w:rsidP="002E10BB">
      <w:pPr>
        <w:rPr>
          <w:lang w:val="en-GB"/>
        </w:rPr>
      </w:pPr>
    </w:p>
    <w:p w14:paraId="4D518D12" w14:textId="0E0EE4C9" w:rsidR="001A387D" w:rsidRPr="00D04411" w:rsidRDefault="001A387D" w:rsidP="002E10BB">
      <w:pPr>
        <w:pStyle w:val="Titolo1"/>
        <w:numPr>
          <w:ilvl w:val="0"/>
          <w:numId w:val="0"/>
        </w:numPr>
        <w:tabs>
          <w:tab w:val="left" w:pos="1140"/>
        </w:tabs>
        <w:rPr>
          <w:lang w:val="en-GB"/>
        </w:rPr>
      </w:pPr>
    </w:p>
    <w:p w14:paraId="2B1D5226" w14:textId="0F96F162" w:rsidR="002E10BB" w:rsidRPr="00D04411" w:rsidRDefault="002E10BB" w:rsidP="002E10BB">
      <w:pPr>
        <w:tabs>
          <w:tab w:val="left" w:pos="1140"/>
        </w:tabs>
        <w:rPr>
          <w:lang w:val="en-US"/>
        </w:rPr>
        <w:sectPr w:rsidR="002E10BB" w:rsidRPr="00D04411" w:rsidSect="00070452">
          <w:headerReference w:type="even" r:id="rId60"/>
          <w:headerReference w:type="default" r:id="rId61"/>
          <w:footerReference w:type="even" r:id="rId62"/>
          <w:footerReference w:type="default" r:id="rId63"/>
          <w:headerReference w:type="first" r:id="rId64"/>
          <w:footerReference w:type="first" r:id="rId65"/>
          <w:type w:val="oddPage"/>
          <w:pgSz w:w="11906" w:h="16838" w:code="9"/>
          <w:pgMar w:top="1701" w:right="1418" w:bottom="1418" w:left="1418" w:header="851" w:footer="851" w:gutter="0"/>
          <w:cols w:space="708"/>
          <w:titlePg/>
          <w:docGrid w:linePitch="360"/>
        </w:sectPr>
      </w:pPr>
      <w:r w:rsidRPr="00D04411">
        <w:rPr>
          <w:lang w:val="en-US"/>
        </w:rPr>
        <w:tab/>
      </w:r>
    </w:p>
    <w:p w14:paraId="3E33804E" w14:textId="77777777" w:rsidR="001A387D" w:rsidRDefault="001A387D" w:rsidP="001A387D">
      <w:pPr>
        <w:rPr>
          <w:lang w:val="en-GB"/>
        </w:rPr>
      </w:pPr>
    </w:p>
    <w:p w14:paraId="6F54DAFF" w14:textId="77777777" w:rsidR="00C4719C" w:rsidRDefault="00C4719C" w:rsidP="00C4719C">
      <w:pPr>
        <w:rPr>
          <w:lang w:val="en-GB"/>
        </w:rPr>
      </w:pPr>
    </w:p>
    <w:p w14:paraId="1CE4BCCF" w14:textId="77777777" w:rsidR="00C4719C" w:rsidRPr="00C4719C" w:rsidRDefault="00C4719C" w:rsidP="00C4719C">
      <w:pPr>
        <w:rPr>
          <w:lang w:val="en-US"/>
        </w:rPr>
      </w:pPr>
    </w:p>
    <w:p w14:paraId="40BD7025" w14:textId="77777777" w:rsidR="00C4719C" w:rsidRDefault="00C4719C" w:rsidP="00C4719C">
      <w:pPr>
        <w:rPr>
          <w:lang w:val="en-GB"/>
        </w:rPr>
      </w:pPr>
    </w:p>
    <w:p w14:paraId="65F1956D" w14:textId="77777777" w:rsidR="00C4719C" w:rsidRPr="00C4719C" w:rsidRDefault="00C4719C" w:rsidP="00C4719C">
      <w:pPr>
        <w:rPr>
          <w:lang w:val="en-GB"/>
        </w:rPr>
        <w:sectPr w:rsidR="00C4719C" w:rsidRPr="00C4719C" w:rsidSect="00070452">
          <w:headerReference w:type="even" r:id="rId66"/>
          <w:headerReference w:type="default" r:id="rId67"/>
          <w:footerReference w:type="even" r:id="rId68"/>
          <w:footerReference w:type="default" r:id="rId69"/>
          <w:headerReference w:type="first" r:id="rId70"/>
          <w:footerReference w:type="first" r:id="rId71"/>
          <w:type w:val="oddPage"/>
          <w:pgSz w:w="11906" w:h="16838" w:code="9"/>
          <w:pgMar w:top="1701" w:right="1418" w:bottom="1418" w:left="1418" w:header="851" w:footer="851" w:gutter="0"/>
          <w:cols w:space="708"/>
          <w:titlePg/>
          <w:docGrid w:linePitch="360"/>
        </w:sectPr>
      </w:pPr>
    </w:p>
    <w:p w14:paraId="20866419" w14:textId="77777777" w:rsidR="001A387D" w:rsidRPr="00544E92" w:rsidRDefault="001A387D" w:rsidP="001A387D">
      <w:pPr>
        <w:rPr>
          <w:lang w:val="en-GB"/>
        </w:rPr>
        <w:sectPr w:rsidR="001A387D" w:rsidRPr="00544E92" w:rsidSect="00070452">
          <w:type w:val="oddPage"/>
          <w:pgSz w:w="11906" w:h="16838" w:code="9"/>
          <w:pgMar w:top="1701" w:right="1418" w:bottom="1418" w:left="1418" w:header="851" w:footer="851" w:gutter="0"/>
          <w:cols w:space="708"/>
          <w:titlePg/>
          <w:docGrid w:linePitch="360"/>
        </w:sectPr>
      </w:pPr>
    </w:p>
    <w:p w14:paraId="0A3EAD34" w14:textId="77777777" w:rsidR="001A387D" w:rsidRPr="00544E92" w:rsidRDefault="001A387D" w:rsidP="001A387D">
      <w:pPr>
        <w:rPr>
          <w:lang w:val="en-GB"/>
        </w:rPr>
        <w:sectPr w:rsidR="001A387D" w:rsidRPr="00544E92" w:rsidSect="00070452">
          <w:headerReference w:type="even" r:id="rId72"/>
          <w:headerReference w:type="default" r:id="rId73"/>
          <w:footerReference w:type="even" r:id="rId74"/>
          <w:footerReference w:type="default" r:id="rId75"/>
          <w:headerReference w:type="first" r:id="rId76"/>
          <w:footerReference w:type="first" r:id="rId77"/>
          <w:type w:val="oddPage"/>
          <w:pgSz w:w="11906" w:h="16838" w:code="9"/>
          <w:pgMar w:top="1701" w:right="1418" w:bottom="1418" w:left="1418" w:header="851" w:footer="851" w:gutter="0"/>
          <w:cols w:space="708"/>
          <w:titlePg/>
          <w:docGrid w:linePitch="360"/>
        </w:sectPr>
      </w:pPr>
    </w:p>
    <w:p w14:paraId="747A0F2C" w14:textId="77777777" w:rsidR="001A387D" w:rsidRPr="00544E92" w:rsidRDefault="001A387D" w:rsidP="001A387D">
      <w:pPr>
        <w:rPr>
          <w:lang w:val="en-GB"/>
        </w:rPr>
        <w:sectPr w:rsidR="001A387D" w:rsidRPr="00544E92" w:rsidSect="00070452">
          <w:type w:val="oddPage"/>
          <w:pgSz w:w="11906" w:h="16838" w:code="9"/>
          <w:pgMar w:top="1701" w:right="1418" w:bottom="1418" w:left="1418" w:header="851" w:footer="851" w:gutter="0"/>
          <w:cols w:space="708"/>
          <w:titlePg/>
          <w:docGrid w:linePitch="360"/>
        </w:sectPr>
      </w:pPr>
    </w:p>
    <w:p w14:paraId="383AA08A" w14:textId="77777777" w:rsidR="0073241B" w:rsidRPr="0073241B" w:rsidRDefault="0073241B" w:rsidP="0073241B">
      <w:pPr>
        <w:rPr>
          <w:lang w:val="en-GB"/>
        </w:rPr>
        <w:sectPr w:rsidR="0073241B" w:rsidRPr="0073241B" w:rsidSect="00070452">
          <w:type w:val="oddPage"/>
          <w:pgSz w:w="11906" w:h="16838" w:code="9"/>
          <w:pgMar w:top="1701" w:right="1418" w:bottom="1418" w:left="1418" w:header="851" w:footer="851" w:gutter="0"/>
          <w:cols w:space="708"/>
          <w:titlePg/>
          <w:docGrid w:linePitch="360"/>
        </w:sectPr>
      </w:pPr>
    </w:p>
    <w:p w14:paraId="6A5E78DB" w14:textId="77777777" w:rsidR="000D3B02" w:rsidRPr="00544E92" w:rsidRDefault="000D3B02" w:rsidP="001A387D">
      <w:pPr>
        <w:rPr>
          <w:lang w:val="en-GB"/>
        </w:rPr>
        <w:sectPr w:rsidR="000D3B02" w:rsidRPr="00544E92" w:rsidSect="00070452">
          <w:type w:val="oddPage"/>
          <w:pgSz w:w="11906" w:h="16838" w:code="9"/>
          <w:pgMar w:top="1701" w:right="1418" w:bottom="1418" w:left="1418" w:header="851" w:footer="851" w:gutter="0"/>
          <w:cols w:space="708"/>
          <w:titlePg/>
          <w:docGrid w:linePitch="360"/>
        </w:sectPr>
      </w:pPr>
    </w:p>
    <w:p w14:paraId="2ED92122" w14:textId="77777777" w:rsidR="009921B2" w:rsidRPr="00544E92" w:rsidRDefault="009921B2" w:rsidP="009921B2">
      <w:pPr>
        <w:rPr>
          <w:lang w:val="en-GB"/>
        </w:rPr>
      </w:pPr>
    </w:p>
    <w:sectPr w:rsidR="009921B2" w:rsidRPr="00544E92" w:rsidSect="0039250D">
      <w:headerReference w:type="first" r:id="rId78"/>
      <w:footerReference w:type="first" r:id="rId79"/>
      <w:pgSz w:w="11906" w:h="16838" w:code="9"/>
      <w:pgMar w:top="2268" w:right="1418" w:bottom="1418" w:left="1701" w:header="851" w:footer="85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9C078F" w14:textId="77777777" w:rsidR="008A3242" w:rsidRDefault="008A3242" w:rsidP="00831326">
      <w:pPr>
        <w:spacing w:before="0" w:after="0"/>
      </w:pPr>
      <w:r>
        <w:separator/>
      </w:r>
    </w:p>
  </w:endnote>
  <w:endnote w:type="continuationSeparator" w:id="0">
    <w:p w14:paraId="574EC9A9" w14:textId="77777777" w:rsidR="008A3242" w:rsidRDefault="008A3242" w:rsidP="00831326">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otham-Medium">
    <w:altName w:val="Calibri"/>
    <w:panose1 w:val="00000000000000000000"/>
    <w:charset w:val="00"/>
    <w:family w:val="swiss"/>
    <w:notTrueType/>
    <w:pitch w:val="default"/>
    <w:sig w:usb0="00000003" w:usb1="00000000" w:usb2="00000000" w:usb3="00000000" w:csb0="00000001" w:csb1="00000000"/>
  </w:font>
  <w:font w:name="Univers">
    <w:altName w:val="Univers"/>
    <w:charset w:val="00"/>
    <w:family w:val="swiss"/>
    <w:pitch w:val="variable"/>
    <w:sig w:usb0="80000287" w:usb1="00000000" w:usb2="00000000" w:usb3="00000000" w:csb0="0000000F" w:csb1="00000000"/>
  </w:font>
  <w:font w:name="Roboto">
    <w:charset w:val="00"/>
    <w:family w:val="auto"/>
    <w:pitch w:val="variable"/>
    <w:sig w:usb0="E0000AFF" w:usb1="5000217F" w:usb2="00000021"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OpenSans--SemiBold">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3A87A" w14:textId="599032F0" w:rsidR="008D76B5" w:rsidRDefault="008D76B5">
    <w:pPr>
      <w:pStyle w:val="Pidipagina"/>
    </w:pPr>
    <w:r>
      <w:rPr>
        <w:noProof/>
      </w:rPr>
      <w:drawing>
        <wp:anchor distT="0" distB="0" distL="114300" distR="114300" simplePos="0" relativeHeight="251658240" behindDoc="0" locked="1" layoutInCell="1" allowOverlap="1" wp14:anchorId="0BFF07FE" wp14:editId="084A8489">
          <wp:simplePos x="0" y="0"/>
          <wp:positionH relativeFrom="column">
            <wp:posOffset>-2232025</wp:posOffset>
          </wp:positionH>
          <wp:positionV relativeFrom="page">
            <wp:posOffset>7092950</wp:posOffset>
          </wp:positionV>
          <wp:extent cx="5040000" cy="5007600"/>
          <wp:effectExtent l="0" t="0" r="0" b="3175"/>
          <wp:wrapNone/>
          <wp:docPr id="7" name="Picture 7"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BE5288" w14:textId="77777777" w:rsidR="00E24B2E" w:rsidRDefault="00E24B2E">
    <w:pPr>
      <w:pStyle w:val="Pidipagina"/>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F9558" w14:textId="77777777" w:rsidR="004579E0" w:rsidRDefault="004579E0" w:rsidP="004579E0">
    <w:pPr>
      <w:pStyle w:val="Pidipagina"/>
      <w:jc w:val="cen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D92E4" w14:textId="77777777" w:rsidR="00E24B2E" w:rsidRDefault="00E24B2E">
    <w:pPr>
      <w:pStyle w:val="Pidipagina"/>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0D0DFA" w14:textId="77777777" w:rsidR="00E24B2E" w:rsidRDefault="00E24B2E">
    <w:pPr>
      <w:pStyle w:val="Pidipagina"/>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69684" w14:textId="77777777" w:rsidR="006A78D0" w:rsidRDefault="006A78D0" w:rsidP="004579E0">
    <w:pPr>
      <w:pStyle w:val="Pidipagina"/>
      <w:jc w:val="cente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49AEC" w14:textId="77777777" w:rsidR="00842E0D" w:rsidRDefault="00842E0D">
    <w:pPr>
      <w:pStyle w:val="Pidipagina"/>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B3ABA7" w14:textId="77777777" w:rsidR="00842E0D" w:rsidRDefault="00842E0D">
    <w:pPr>
      <w:pStyle w:val="Pidipagina"/>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7E2BB" w14:textId="77777777" w:rsidR="00842E0D" w:rsidRDefault="00842E0D" w:rsidP="004579E0">
    <w:pPr>
      <w:pStyle w:val="Pidipagina"/>
      <w:jc w:val="cente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1AC73" w14:textId="77777777" w:rsidR="00842E0D" w:rsidRDefault="00842E0D">
    <w:pPr>
      <w:pStyle w:val="Pidipagina"/>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994F5" w14:textId="77777777" w:rsidR="00842E0D" w:rsidRDefault="00842E0D">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3F38F7" w14:textId="72FA70E0" w:rsidR="007B0DBF" w:rsidRDefault="007B0DBF">
    <w:pPr>
      <w:pStyle w:val="Pidipagina"/>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6C47B" w14:textId="77777777" w:rsidR="00842E0D" w:rsidRDefault="00842E0D" w:rsidP="004579E0">
    <w:pPr>
      <w:pStyle w:val="Pidipagina"/>
      <w:jc w:val="center"/>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843D8F" w14:textId="77777777" w:rsidR="00842E0D" w:rsidRDefault="00842E0D">
    <w:pPr>
      <w:pStyle w:val="Pidipagina"/>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7DD33A" w14:textId="77777777" w:rsidR="00842E0D" w:rsidRDefault="00842E0D">
    <w:pPr>
      <w:pStyle w:val="Pidipagina"/>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561D7F" w14:textId="77777777" w:rsidR="00842E0D" w:rsidRDefault="00842E0D" w:rsidP="004579E0">
    <w:pPr>
      <w:pStyle w:val="Pidipagina"/>
      <w:jc w:val="center"/>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230CD" w14:textId="430A219B" w:rsidR="00A21E98" w:rsidRDefault="00A21E98" w:rsidP="004579E0">
    <w:pPr>
      <w:pStyle w:val="Pidipagina"/>
      <w:jc w:val="center"/>
    </w:pPr>
    <w:r>
      <w:rPr>
        <w:noProof/>
      </w:rPr>
      <w:drawing>
        <wp:anchor distT="0" distB="0" distL="114300" distR="114300" simplePos="0" relativeHeight="251660288" behindDoc="0" locked="1" layoutInCell="1" allowOverlap="1" wp14:anchorId="76B80502" wp14:editId="22742429">
          <wp:simplePos x="0" y="0"/>
          <wp:positionH relativeFrom="column">
            <wp:posOffset>2628265</wp:posOffset>
          </wp:positionH>
          <wp:positionV relativeFrom="page">
            <wp:posOffset>7092950</wp:posOffset>
          </wp:positionV>
          <wp:extent cx="5040000" cy="5007600"/>
          <wp:effectExtent l="0" t="0" r="0" b="3175"/>
          <wp:wrapNone/>
          <wp:docPr id="5" name="Picture 5"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BF83D8" w14:textId="77777777" w:rsidR="00AB6F3E" w:rsidRDefault="00AB6F3E">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4687353"/>
      <w:docPartObj>
        <w:docPartGallery w:val="Page Numbers (Bottom of Page)"/>
        <w:docPartUnique/>
      </w:docPartObj>
    </w:sdtPr>
    <w:sdtContent>
      <w:p w14:paraId="5746ED8E" w14:textId="37F13DC8" w:rsidR="00506D6B" w:rsidRDefault="00506D6B">
        <w:pPr>
          <w:pStyle w:val="Pidipagina"/>
          <w:jc w:val="right"/>
        </w:pPr>
        <w:r>
          <w:fldChar w:fldCharType="begin"/>
        </w:r>
        <w:r>
          <w:instrText>PAGE   \* MERGEFORMAT</w:instrText>
        </w:r>
        <w:r>
          <w:fldChar w:fldCharType="separate"/>
        </w:r>
        <w:r>
          <w:t>2</w:t>
        </w:r>
        <w:r>
          <w:fldChar w:fldCharType="end"/>
        </w:r>
      </w:p>
    </w:sdtContent>
  </w:sdt>
  <w:p w14:paraId="4D50DA14" w14:textId="77777777" w:rsidR="00A42E62" w:rsidRDefault="00A42E62">
    <w:pPr>
      <w:pStyle w:val="Pidipa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FA028" w14:textId="797C5B21" w:rsidR="002E61C1" w:rsidRDefault="00A2253A" w:rsidP="004579E0">
    <w:pPr>
      <w:pStyle w:val="Pidipagina"/>
      <w:jc w:val="center"/>
    </w:pPr>
    <w:r>
      <w:rPr>
        <w:noProof/>
      </w:rPr>
      <w:drawing>
        <wp:anchor distT="0" distB="0" distL="114300" distR="114300" simplePos="0" relativeHeight="251661312" behindDoc="0" locked="1" layoutInCell="1" allowOverlap="1" wp14:anchorId="32C105B0" wp14:editId="5CA83E6E">
          <wp:simplePos x="0" y="0"/>
          <wp:positionH relativeFrom="column">
            <wp:posOffset>-2232025</wp:posOffset>
          </wp:positionH>
          <wp:positionV relativeFrom="page">
            <wp:posOffset>7092950</wp:posOffset>
          </wp:positionV>
          <wp:extent cx="5040000" cy="5007600"/>
          <wp:effectExtent l="0" t="0" r="0" b="3175"/>
          <wp:wrapNone/>
          <wp:docPr id="4" name="Picture 4"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2032C" w14:textId="77777777" w:rsidR="00B62C30" w:rsidRDefault="00B62C30">
    <w:pPr>
      <w:pStyle w:val="Pidipa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F1BDF" w14:textId="77777777" w:rsidR="00B62C30" w:rsidRDefault="00B62C30">
    <w:pPr>
      <w:pStyle w:val="Pidipagina"/>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295CD6" w14:textId="77777777" w:rsidR="004579E0" w:rsidRDefault="004579E0" w:rsidP="004579E0">
    <w:pPr>
      <w:pStyle w:val="Pidipagina"/>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F545EC" w14:textId="77777777" w:rsidR="006A78D0" w:rsidRDefault="006A78D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0AA827" w14:textId="77777777" w:rsidR="008A3242" w:rsidRDefault="008A3242" w:rsidP="00831326">
      <w:pPr>
        <w:spacing w:before="0" w:after="0"/>
      </w:pPr>
      <w:r>
        <w:separator/>
      </w:r>
    </w:p>
  </w:footnote>
  <w:footnote w:type="continuationSeparator" w:id="0">
    <w:p w14:paraId="0F537448" w14:textId="77777777" w:rsidR="008A3242" w:rsidRDefault="008A3242" w:rsidP="00831326">
      <w:pPr>
        <w:spacing w:before="0" w:after="0"/>
      </w:pPr>
      <w:r>
        <w:continuationSeparator/>
      </w:r>
    </w:p>
  </w:footnote>
  <w:footnote w:id="1">
    <w:p w14:paraId="5D296837" w14:textId="73C91017" w:rsidR="00B83D64" w:rsidRPr="00C33C6E" w:rsidRDefault="00067955" w:rsidP="00B83D64">
      <w:pPr>
        <w:pStyle w:val="Testonotaapidipagina"/>
        <w:rPr>
          <w:lang w:val="en-US"/>
        </w:rPr>
      </w:pPr>
      <w:r>
        <w:rPr>
          <w:rStyle w:val="Rimandonotaapidipagina"/>
        </w:rPr>
        <w:footnoteRef/>
      </w:r>
      <w:r w:rsidRPr="00067955">
        <w:rPr>
          <w:lang w:val="en-US"/>
        </w:rPr>
        <w:t xml:space="preserve"> </w:t>
      </w:r>
      <w:r w:rsidR="00B83D64" w:rsidRPr="00C33C6E">
        <w:rPr>
          <w:lang w:val="en-US"/>
        </w:rPr>
        <w:t xml:space="preserve">The Essentials of SFDR: a Complete Guide to Accelerate Your Green Transition, </w:t>
      </w:r>
      <w:r w:rsidR="00C33C6E" w:rsidRPr="00C33C6E">
        <w:rPr>
          <w:lang w:val="en-US"/>
        </w:rPr>
        <w:t>Louis de Wergifosse, Greenomy</w:t>
      </w:r>
    </w:p>
    <w:p w14:paraId="04F26D24" w14:textId="188FEF55" w:rsidR="00067955" w:rsidRPr="00067955" w:rsidRDefault="00067955" w:rsidP="00067955">
      <w:pPr>
        <w:pStyle w:val="Testonotaapidipagina"/>
        <w:rPr>
          <w:lang w:val="en-US"/>
        </w:rPr>
      </w:pPr>
    </w:p>
  </w:footnote>
  <w:footnote w:id="2">
    <w:p w14:paraId="77B3389F" w14:textId="044B41FB" w:rsidR="00B65B29" w:rsidRPr="00B65B29" w:rsidRDefault="00431735" w:rsidP="00B65B29">
      <w:pPr>
        <w:pStyle w:val="Testonotaapidipagina"/>
        <w:rPr>
          <w:lang w:val="en-US"/>
        </w:rPr>
      </w:pPr>
      <w:r>
        <w:rPr>
          <w:rStyle w:val="Rimandonotaapidipagina"/>
        </w:rPr>
        <w:footnoteRef/>
      </w:r>
      <w:r w:rsidRPr="00B65B29">
        <w:rPr>
          <w:lang w:val="en-US"/>
        </w:rPr>
        <w:t xml:space="preserve"> </w:t>
      </w:r>
      <w:r w:rsidR="00B65B29" w:rsidRPr="00B65B29">
        <w:rPr>
          <w:lang w:val="en-US"/>
        </w:rPr>
        <w:t>Ultimate guide to the EU CSRD ESG regulation for businesses</w:t>
      </w:r>
      <w:r w:rsidR="00B65B29">
        <w:rPr>
          <w:lang w:val="en-US"/>
        </w:rPr>
        <w:t>, Onetrust</w:t>
      </w:r>
    </w:p>
    <w:p w14:paraId="222F1B58" w14:textId="31902D64" w:rsidR="00431735" w:rsidRPr="00B65B29" w:rsidRDefault="00431735">
      <w:pPr>
        <w:pStyle w:val="Testonotaapidipagina"/>
        <w:rPr>
          <w:lang w:val="en-US"/>
        </w:rPr>
      </w:pPr>
    </w:p>
  </w:footnote>
  <w:footnote w:id="3">
    <w:p w14:paraId="28418087" w14:textId="77777777" w:rsidR="00AE164A" w:rsidRDefault="00AE164A" w:rsidP="00AE164A">
      <w:pPr>
        <w:pStyle w:val="Testonotaapidipagina"/>
      </w:pPr>
      <w:r>
        <w:rPr>
          <w:rStyle w:val="Rimandonotaapidipagina"/>
        </w:rPr>
        <w:footnoteRef/>
      </w:r>
      <w:r>
        <w:t xml:space="preserve"> </w:t>
      </w:r>
      <w:hyperlink r:id="rId1" w:history="1">
        <w:r w:rsidRPr="00966464">
          <w:rPr>
            <w:rStyle w:val="Collegamentoipertestuale"/>
          </w:rPr>
          <w:t>Standard ESRS: guida alla rendicontazione di sostenibilità - Irida ESG</w:t>
        </w:r>
      </w:hyperlink>
    </w:p>
  </w:footnote>
  <w:footnote w:id="4">
    <w:p w14:paraId="1A23688C" w14:textId="77777777" w:rsidR="00941494" w:rsidRDefault="00941494" w:rsidP="00941494">
      <w:pPr>
        <w:pStyle w:val="Testonotaapidipagina"/>
      </w:pPr>
      <w:r>
        <w:rPr>
          <w:rStyle w:val="Rimandonotaapidipagina"/>
        </w:rPr>
        <w:footnoteRef/>
      </w:r>
      <w:r>
        <w:t xml:space="preserve"> </w:t>
      </w:r>
      <w:r w:rsidRPr="00CE5C3B">
        <w:t>https://www.ayming.it/insights/news-ayming-institute/doppia-materialita-csrd-rendicontazione-sostenibilita/#doppia-materialit%C3%A0</w:t>
      </w:r>
    </w:p>
  </w:footnote>
  <w:footnote w:id="5">
    <w:p w14:paraId="24C82E9D" w14:textId="278C8743" w:rsidR="00784B82" w:rsidRPr="00784B82" w:rsidRDefault="006304B6" w:rsidP="00784B82">
      <w:pPr>
        <w:pStyle w:val="Testonotaapidipagina"/>
        <w:rPr>
          <w:lang w:val="en-US"/>
        </w:rPr>
      </w:pPr>
      <w:r>
        <w:rPr>
          <w:rStyle w:val="Rimandonotaapidipagina"/>
        </w:rPr>
        <w:footnoteRef/>
      </w:r>
      <w:r w:rsidRPr="00784B82">
        <w:rPr>
          <w:lang w:val="en-US"/>
        </w:rPr>
        <w:t xml:space="preserve"> </w:t>
      </w:r>
      <w:r w:rsidR="00784B82" w:rsidRPr="00784B82">
        <w:rPr>
          <w:lang w:val="en-US"/>
        </w:rPr>
        <w:t>The state of double materiality in corporate reporting</w:t>
      </w:r>
      <w:r w:rsidR="00784B82">
        <w:rPr>
          <w:lang w:val="en-US"/>
        </w:rPr>
        <w:t>, S&amp;P Global, February 2025</w:t>
      </w:r>
    </w:p>
    <w:p w14:paraId="08BC0989" w14:textId="2EB10A5D" w:rsidR="006304B6" w:rsidRPr="00784B82" w:rsidRDefault="006304B6">
      <w:pPr>
        <w:pStyle w:val="Testonotaapidipagina"/>
        <w:rPr>
          <w:lang w:val="en-US"/>
        </w:rPr>
      </w:pPr>
    </w:p>
  </w:footnote>
  <w:footnote w:id="6">
    <w:p w14:paraId="5729D6FB" w14:textId="77777777" w:rsidR="003C1BC1" w:rsidRPr="00784B82" w:rsidRDefault="003C1BC1" w:rsidP="003C1BC1">
      <w:pPr>
        <w:pStyle w:val="Testonotaapidipagina"/>
        <w:rPr>
          <w:lang w:val="en-US"/>
        </w:rPr>
      </w:pPr>
      <w:r>
        <w:rPr>
          <w:rStyle w:val="Rimandonotaapidipagina"/>
        </w:rPr>
        <w:footnoteRef/>
      </w:r>
      <w:r w:rsidRPr="00784B82">
        <w:rPr>
          <w:lang w:val="en-US"/>
        </w:rPr>
        <w:t xml:space="preserve"> https://esgnews.it/focus/interviste/barteselli-banco-bpm-nonostante-omnibus-i-dati-esg-restano-essenziali-per-lerogazione-del-credito/</w:t>
      </w:r>
    </w:p>
  </w:footnote>
  <w:footnote w:id="7">
    <w:p w14:paraId="7B2935C5" w14:textId="480CDCC0" w:rsidR="003C1BC1" w:rsidRPr="00BC6BB6" w:rsidRDefault="003C1BC1" w:rsidP="003C1BC1">
      <w:pPr>
        <w:pStyle w:val="Testonotaapidipagina"/>
        <w:rPr>
          <w:lang w:val="en-US"/>
        </w:rPr>
      </w:pPr>
      <w:r>
        <w:rPr>
          <w:rStyle w:val="Rimandonotaapidipagina"/>
        </w:rPr>
        <w:footnoteRef/>
      </w:r>
      <w:r w:rsidRPr="00BC6BB6">
        <w:rPr>
          <w:lang w:val="en-US"/>
        </w:rPr>
        <w:t xml:space="preserve"> </w:t>
      </w:r>
      <w:r w:rsidR="00BC6BB6" w:rsidRPr="00BC6BB6">
        <w:rPr>
          <w:lang w:val="en-US"/>
        </w:rPr>
        <w:t>What is Greenwashing? Definition, examples, and how to recognize it</w:t>
      </w:r>
      <w:r w:rsidR="00BC6BB6">
        <w:rPr>
          <w:lang w:val="en-US"/>
        </w:rPr>
        <w:t>, ESG news, 9 july 2025</w:t>
      </w:r>
    </w:p>
  </w:footnote>
  <w:footnote w:id="8">
    <w:p w14:paraId="7700B78E" w14:textId="77777777" w:rsidR="003C1BC1" w:rsidRPr="00BC6BB6" w:rsidRDefault="003C1BC1" w:rsidP="003C1BC1">
      <w:pPr>
        <w:pStyle w:val="Testonotaapidipagina"/>
        <w:rPr>
          <w:lang w:val="en-US"/>
        </w:rPr>
      </w:pPr>
      <w:r>
        <w:rPr>
          <w:rStyle w:val="Rimandonotaapidipagina"/>
        </w:rPr>
        <w:footnoteRef/>
      </w:r>
      <w:r w:rsidRPr="00BC6BB6">
        <w:rPr>
          <w:lang w:val="en-US"/>
        </w:rPr>
        <w:t xml:space="preserve"> https://planet-tracker.org/greenwashing-growing-increasingly-sophisticated-says-planet-tracker/</w:t>
      </w:r>
    </w:p>
  </w:footnote>
  <w:footnote w:id="9">
    <w:p w14:paraId="718EBF7D" w14:textId="77777777" w:rsidR="003C1BC1" w:rsidRPr="0066395E" w:rsidRDefault="003C1BC1" w:rsidP="003C1BC1">
      <w:pPr>
        <w:pStyle w:val="Testonotaapidipagina"/>
        <w:rPr>
          <w:lang w:val="en-US"/>
        </w:rPr>
      </w:pPr>
      <w:r>
        <w:rPr>
          <w:rStyle w:val="Rimandonotaapidipagina"/>
        </w:rPr>
        <w:footnoteRef/>
      </w:r>
      <w:r w:rsidRPr="0066395E">
        <w:rPr>
          <w:lang w:val="en-US"/>
        </w:rPr>
        <w:t xml:space="preserve"> https://www.greenreport.it/news/green-economy/1612-sostenibilita-gli-italiani-vogliono-piu-trasparenza-e-il-59-non-tollera-il-greenwashing</w:t>
      </w:r>
    </w:p>
  </w:footnote>
  <w:footnote w:id="10">
    <w:p w14:paraId="6666D01C" w14:textId="1394D55C" w:rsidR="00194BC6" w:rsidRPr="00194BC6" w:rsidRDefault="00194BC6">
      <w:pPr>
        <w:pStyle w:val="Testonotaapidipagina"/>
        <w:rPr>
          <w:lang w:val="en-US"/>
        </w:rPr>
      </w:pPr>
      <w:r>
        <w:rPr>
          <w:rStyle w:val="Rimandonotaapidipagina"/>
        </w:rPr>
        <w:footnoteRef/>
      </w:r>
      <w:r w:rsidRPr="00194BC6">
        <w:rPr>
          <w:lang w:val="en-US"/>
        </w:rPr>
        <w:t xml:space="preserve"> </w:t>
      </w:r>
      <w:r w:rsidRPr="006E740E">
        <w:rPr>
          <w:rFonts w:ascii="Times New Roman" w:hAnsi="Times New Roman" w:cs="Times New Roman"/>
          <w:lang w:val="en-US"/>
        </w:rPr>
        <w:t>The Conscious Citizen: the value of trust in sustainable consumption choices,</w:t>
      </w:r>
      <w:r>
        <w:rPr>
          <w:rFonts w:ascii="Times New Roman" w:hAnsi="Times New Roman" w:cs="Times New Roman"/>
          <w:lang w:val="en-US"/>
        </w:rPr>
        <w:t xml:space="preserve"> Deloitte</w:t>
      </w:r>
    </w:p>
  </w:footnote>
  <w:footnote w:id="11">
    <w:p w14:paraId="3AE1C4F7" w14:textId="47703E4E" w:rsidR="00412467" w:rsidRPr="00194BC6" w:rsidRDefault="00412467">
      <w:pPr>
        <w:pStyle w:val="Testonotaapidipagina"/>
        <w:rPr>
          <w:lang w:val="en-US"/>
        </w:rPr>
      </w:pPr>
      <w:r>
        <w:rPr>
          <w:rStyle w:val="Rimandonotaapidipagina"/>
        </w:rPr>
        <w:footnoteRef/>
      </w:r>
      <w:r w:rsidRPr="00194BC6">
        <w:rPr>
          <w:lang w:val="en-US"/>
        </w:rPr>
        <w:t xml:space="preserve"> </w:t>
      </w:r>
      <w:r w:rsidR="00612A2A" w:rsidRPr="00194BC6">
        <w:rPr>
          <w:lang w:val="en-US"/>
        </w:rPr>
        <w:t>https://media.mercedes-benz.it/download/926040/20200914-daimler-ag-pressinformation-usadieselsettlement.docx</w:t>
      </w:r>
    </w:p>
  </w:footnote>
  <w:footnote w:id="12">
    <w:p w14:paraId="244DD413" w14:textId="6274EECA" w:rsidR="00E3048C" w:rsidRDefault="00E3048C">
      <w:pPr>
        <w:pStyle w:val="Testonotaapidipagina"/>
      </w:pPr>
      <w:r>
        <w:rPr>
          <w:rStyle w:val="Rimandonotaapidipagina"/>
        </w:rPr>
        <w:footnoteRef/>
      </w:r>
      <w:r>
        <w:t xml:space="preserve"> </w:t>
      </w:r>
      <w:hyperlink r:id="rId2" w:history="1">
        <w:r w:rsidR="00AF0C5F" w:rsidRPr="00AF0C5F">
          <w:rPr>
            <w:rStyle w:val="Collegamentoipertestuale"/>
          </w:rPr>
          <w:t>AGCM - Sanzione di 5 milioni di euro a ENI per pubblicità ingannevole nella campagna ENI diesel+</w:t>
        </w:r>
      </w:hyperlink>
    </w:p>
  </w:footnote>
  <w:footnote w:id="13">
    <w:p w14:paraId="22C7A816" w14:textId="5D8948DB" w:rsidR="00761570" w:rsidRDefault="00761570">
      <w:pPr>
        <w:pStyle w:val="Testonotaapidipagina"/>
      </w:pPr>
      <w:r>
        <w:rPr>
          <w:rStyle w:val="Rimandonotaapidipagina"/>
        </w:rPr>
        <w:footnoteRef/>
      </w:r>
      <w:r>
        <w:t xml:space="preserve"> </w:t>
      </w:r>
      <w:r w:rsidR="007B6C6D" w:rsidRPr="007B6C6D">
        <w:t>https://www.coca-colacompany.com/about-us/sustainability</w:t>
      </w:r>
    </w:p>
  </w:footnote>
  <w:footnote w:id="14">
    <w:p w14:paraId="1F74CD7D" w14:textId="58759D40" w:rsidR="0012416E" w:rsidRDefault="0012416E">
      <w:pPr>
        <w:pStyle w:val="Testonotaapidipagina"/>
      </w:pPr>
      <w:r>
        <w:rPr>
          <w:rStyle w:val="Rimandonotaapidipagina"/>
        </w:rPr>
        <w:footnoteRef/>
      </w:r>
      <w:r>
        <w:t xml:space="preserve"> </w:t>
      </w:r>
      <w:r w:rsidR="0094613B" w:rsidRPr="0094613B">
        <w:t>https://sustainabilitymag.com/news/which-top-brands-are-linked-with-global-plastic-pollution</w:t>
      </w:r>
    </w:p>
  </w:footnote>
  <w:footnote w:id="15">
    <w:p w14:paraId="0AB12C3C" w14:textId="4AACBF5E" w:rsidR="008033B3" w:rsidRDefault="008033B3">
      <w:pPr>
        <w:pStyle w:val="Testonotaapidipagina"/>
      </w:pPr>
      <w:r>
        <w:rPr>
          <w:rStyle w:val="Rimandonotaapidipagina"/>
        </w:rPr>
        <w:footnoteRef/>
      </w:r>
      <w:r>
        <w:t xml:space="preserve"> </w:t>
      </w:r>
      <w:r w:rsidRPr="008033B3">
        <w:t>https://www.euronews.com/business/2025/08/04/italy-hands-fast-fashion-retailer-shein-1mn-greenwashing-fine?</w:t>
      </w:r>
    </w:p>
  </w:footnote>
  <w:footnote w:id="16">
    <w:p w14:paraId="0A1C5A90" w14:textId="3597C1C0" w:rsidR="002A6B7D" w:rsidRPr="002A6B7D" w:rsidRDefault="00B852CA" w:rsidP="002A6B7D">
      <w:pPr>
        <w:pStyle w:val="Testonotaapidipagina"/>
        <w:rPr>
          <w:lang w:val="en-US"/>
        </w:rPr>
      </w:pPr>
      <w:r>
        <w:rPr>
          <w:rStyle w:val="Rimandonotaapidipagina"/>
        </w:rPr>
        <w:footnoteRef/>
      </w:r>
      <w:r w:rsidRPr="002A6B7D">
        <w:rPr>
          <w:lang w:val="en-US"/>
        </w:rPr>
        <w:t xml:space="preserve"> </w:t>
      </w:r>
      <w:r w:rsidR="002A6B7D" w:rsidRPr="002A6B7D">
        <w:rPr>
          <w:lang w:val="en-US"/>
        </w:rPr>
        <w:t>Indicators on sustainable finance, European Central Bank</w:t>
      </w:r>
    </w:p>
    <w:p w14:paraId="288EED34" w14:textId="7CCAFA02" w:rsidR="00B852CA" w:rsidRPr="002A6B7D" w:rsidRDefault="00B852CA">
      <w:pPr>
        <w:pStyle w:val="Testonotaapidipagina"/>
        <w:rPr>
          <w:lang w:val="en-US"/>
        </w:rPr>
      </w:pPr>
    </w:p>
  </w:footnote>
  <w:footnote w:id="17">
    <w:p w14:paraId="0DCBB773" w14:textId="77777777" w:rsidR="00674DA1" w:rsidRPr="009E601F" w:rsidRDefault="00674DA1" w:rsidP="00674DA1">
      <w:pPr>
        <w:pStyle w:val="Testonotaapidipagina"/>
      </w:pPr>
      <w:r>
        <w:rPr>
          <w:rStyle w:val="Rimandonotaapidipagina"/>
        </w:rPr>
        <w:footnoteRef/>
      </w:r>
      <w:r w:rsidRPr="009E601F">
        <w:t xml:space="preserve"> </w:t>
      </w:r>
      <w:hyperlink r:id="rId3" w:history="1">
        <w:r w:rsidRPr="009E601F">
          <w:rPr>
            <w:rStyle w:val="Collegamentoipertestuale"/>
          </w:rPr>
          <w:t>Da UniCredit un green loan project financing da 50,5 milioni di euro a GR Value Assets con garanzia SACE per la costruzione di un nuovo impianto eolico incentivato localizzato in Basilicata - UniCredit</w:t>
        </w:r>
      </w:hyperlink>
    </w:p>
  </w:footnote>
  <w:footnote w:id="18">
    <w:p w14:paraId="2CE8157B" w14:textId="77777777" w:rsidR="00674DA1" w:rsidRDefault="00674DA1" w:rsidP="00674DA1">
      <w:pPr>
        <w:pStyle w:val="Testonotaapidipagina"/>
      </w:pPr>
      <w:r>
        <w:rPr>
          <w:rStyle w:val="Rimandonotaapidipagina"/>
        </w:rPr>
        <w:footnoteRef/>
      </w:r>
      <w:r>
        <w:t xml:space="preserve"> </w:t>
      </w:r>
      <w:hyperlink r:id="rId4" w:history="1">
        <w:r w:rsidRPr="00E256D7">
          <w:rPr>
            <w:rStyle w:val="Collegamentoipertestuale"/>
          </w:rPr>
          <w:t>Intesa Sanpaolo lancia S-Loan Soluzione Lavoro: "Dieci miliardi di euro per favorire l'occupazione" - Economia e Finanza - Repubblica.it</w:t>
        </w:r>
      </w:hyperlink>
    </w:p>
  </w:footnote>
  <w:footnote w:id="19">
    <w:p w14:paraId="5E8CE566" w14:textId="5EC9F9A6" w:rsidR="00674DA1" w:rsidRPr="00706D92" w:rsidRDefault="00674DA1" w:rsidP="00674DA1">
      <w:pPr>
        <w:pStyle w:val="Testonotaapidipagina"/>
        <w:rPr>
          <w:lang w:val="en-US"/>
        </w:rPr>
      </w:pPr>
      <w:r>
        <w:rPr>
          <w:rStyle w:val="Rimandonotaapidipagina"/>
        </w:rPr>
        <w:footnoteRef/>
      </w:r>
      <w:r w:rsidRPr="00706D92">
        <w:rPr>
          <w:lang w:val="en-US"/>
        </w:rPr>
        <w:t xml:space="preserve"> Green Bond Principles 2018</w:t>
      </w:r>
      <w:r w:rsidR="00076D89">
        <w:rPr>
          <w:lang w:val="en-US"/>
        </w:rPr>
        <w:t xml:space="preserve">, </w:t>
      </w:r>
      <w:r w:rsidR="00076D89" w:rsidRPr="00076D89">
        <w:rPr>
          <w:lang w:val="en-US"/>
        </w:rPr>
        <w:t>https://www.icmagroup.org/sustainable-finance/the-principles-guidelines-and-handbooks/green-bond-principles-gbp/</w:t>
      </w:r>
      <w:r w:rsidR="001A2CD3">
        <w:rPr>
          <w:lang w:val="en-US"/>
        </w:rPr>
        <w:t>.</w:t>
      </w:r>
    </w:p>
  </w:footnote>
  <w:footnote w:id="20">
    <w:p w14:paraId="5E497277" w14:textId="028EBB76" w:rsidR="00674DA1" w:rsidRPr="00706D92" w:rsidRDefault="00674DA1" w:rsidP="00674DA1">
      <w:pPr>
        <w:pStyle w:val="Testonotaapidipagina"/>
        <w:rPr>
          <w:lang w:val="en-US"/>
        </w:rPr>
      </w:pPr>
      <w:r>
        <w:rPr>
          <w:rStyle w:val="Rimandonotaapidipagina"/>
        </w:rPr>
        <w:footnoteRef/>
      </w:r>
      <w:r w:rsidRPr="00706D92">
        <w:rPr>
          <w:lang w:val="en-US"/>
        </w:rPr>
        <w:t xml:space="preserve"> Social Bond Principles 2020</w:t>
      </w:r>
      <w:r w:rsidR="001A2CD3">
        <w:rPr>
          <w:lang w:val="en-US"/>
        </w:rPr>
        <w:t xml:space="preserve">, </w:t>
      </w:r>
      <w:r w:rsidR="001A2CD3" w:rsidRPr="001A2CD3">
        <w:rPr>
          <w:lang w:val="en-US"/>
        </w:rPr>
        <w:t>https://www.icmagroup.org/sustainable-finance/the-principles-guidelines-and-handbooks/social-bond-principles-sbp/</w:t>
      </w:r>
    </w:p>
  </w:footnote>
  <w:footnote w:id="21">
    <w:p w14:paraId="0A7363A7" w14:textId="77777777" w:rsidR="00F86038" w:rsidRPr="00BF7E30" w:rsidRDefault="00F86038" w:rsidP="00F86038">
      <w:pPr>
        <w:pStyle w:val="Testonotaapidipagina"/>
        <w:rPr>
          <w:lang w:val="en-US"/>
        </w:rPr>
      </w:pPr>
      <w:r>
        <w:rPr>
          <w:rStyle w:val="Rimandonotaapidipagina"/>
        </w:rPr>
        <w:footnoteRef/>
      </w:r>
      <w:r w:rsidRPr="00BF7E30">
        <w:rPr>
          <w:lang w:val="en-US"/>
        </w:rPr>
        <w:t xml:space="preserve"> </w:t>
      </w:r>
      <w:hyperlink r:id="rId5" w:anchor="!#&amp;gid=1&amp;pid=1" w:history="1">
        <w:r w:rsidRPr="00BF7E30">
          <w:rPr>
            <w:rStyle w:val="Collegamentoipertestuale"/>
            <w:lang w:val="en-US"/>
          </w:rPr>
          <w:t>ESG in finance: Combining sustainability with profitability | Roland Berger</w:t>
        </w:r>
      </w:hyperlink>
    </w:p>
  </w:footnote>
  <w:footnote w:id="22">
    <w:p w14:paraId="07C2B0B3" w14:textId="732F6713" w:rsidR="00F86038" w:rsidRPr="00F65961" w:rsidRDefault="00F86038" w:rsidP="00F86038">
      <w:pPr>
        <w:pStyle w:val="Testonotaapidipagina"/>
        <w:rPr>
          <w:lang w:val="en-US"/>
        </w:rPr>
      </w:pPr>
      <w:r>
        <w:rPr>
          <w:rStyle w:val="Rimandonotaapidipagina"/>
        </w:rPr>
        <w:footnoteRef/>
      </w:r>
      <w:r w:rsidRPr="00F65961">
        <w:rPr>
          <w:lang w:val="en-US"/>
        </w:rPr>
        <w:t xml:space="preserve"> </w:t>
      </w:r>
      <w:r w:rsidR="00DA33A1">
        <w:rPr>
          <w:lang w:val="en-US"/>
        </w:rPr>
        <w:t xml:space="preserve">Unicredit SPA. 2024. </w:t>
      </w:r>
      <w:r w:rsidR="00DA33A1" w:rsidRPr="00DA33A1">
        <w:rPr>
          <w:lang w:val="en-US"/>
        </w:rPr>
        <w:t>W</w:t>
      </w:r>
      <w:r w:rsidR="00DA33A1">
        <w:rPr>
          <w:lang w:val="en-US"/>
        </w:rPr>
        <w:t xml:space="preserve">hat is ESG in </w:t>
      </w:r>
      <w:r w:rsidR="001F7574">
        <w:rPr>
          <w:lang w:val="en-US"/>
        </w:rPr>
        <w:t xml:space="preserve">Banking? </w:t>
      </w:r>
      <w:r w:rsidR="001F7574" w:rsidRPr="001F7574">
        <w:rPr>
          <w:lang w:val="en-US"/>
        </w:rPr>
        <w:t>https://www.unicreditgroup.eu/en/one-unicredit/articles/2024/october/what-is-esg-in-banking.html</w:t>
      </w:r>
    </w:p>
  </w:footnote>
  <w:footnote w:id="23">
    <w:p w14:paraId="53016AE3" w14:textId="29F8E90F" w:rsidR="00F86038" w:rsidRPr="00886868" w:rsidRDefault="00F86038" w:rsidP="00F86038">
      <w:pPr>
        <w:pStyle w:val="Testonotaapidipagina"/>
        <w:rPr>
          <w:lang w:val="en-US"/>
        </w:rPr>
      </w:pPr>
      <w:r>
        <w:rPr>
          <w:rStyle w:val="Rimandonotaapidipagina"/>
        </w:rPr>
        <w:footnoteRef/>
      </w:r>
      <w:r w:rsidRPr="00886868">
        <w:rPr>
          <w:lang w:val="en-US"/>
        </w:rPr>
        <w:t xml:space="preserve"> </w:t>
      </w:r>
      <w:r w:rsidR="003D75B0" w:rsidRPr="003D75B0">
        <w:rPr>
          <w:lang w:val="en-US"/>
        </w:rPr>
        <w:t>MS</w:t>
      </w:r>
      <w:r w:rsidR="003D75B0">
        <w:rPr>
          <w:lang w:val="en-US"/>
        </w:rPr>
        <w:t xml:space="preserve">CI. 2024. ESG Ratings Methodology. </w:t>
      </w:r>
      <w:r w:rsidR="003D75B0" w:rsidRPr="003D75B0">
        <w:rPr>
          <w:lang w:val="en-US"/>
        </w:rPr>
        <w:t>https://www.msci.com/documents/1296102/34424357/MSCI+ESG+Ratings+Methodology.pdf</w:t>
      </w:r>
    </w:p>
  </w:footnote>
  <w:footnote w:id="24">
    <w:p w14:paraId="786E7894" w14:textId="60192E27" w:rsidR="00F86038" w:rsidRPr="007E6142" w:rsidRDefault="00F86038" w:rsidP="00F86038">
      <w:pPr>
        <w:pStyle w:val="Testonotaapidipagina"/>
        <w:rPr>
          <w:lang w:val="en-US"/>
        </w:rPr>
      </w:pPr>
      <w:r>
        <w:rPr>
          <w:rStyle w:val="Rimandonotaapidipagina"/>
        </w:rPr>
        <w:footnoteRef/>
      </w:r>
      <w:r w:rsidRPr="00886868">
        <w:rPr>
          <w:lang w:val="en-US"/>
        </w:rPr>
        <w:t xml:space="preserve"> </w:t>
      </w:r>
      <w:r w:rsidR="007E6142">
        <w:rPr>
          <w:lang w:val="en-US"/>
        </w:rPr>
        <w:t xml:space="preserve">MSCI. 2024. </w:t>
      </w:r>
      <w:hyperlink r:id="rId6" w:history="1">
        <w:r w:rsidRPr="00886868">
          <w:rPr>
            <w:rStyle w:val="Collegamentoipertestuale"/>
            <w:lang w:val="en-US"/>
          </w:rPr>
          <w:t>ESG Ratings Methodology</w:t>
        </w:r>
      </w:hyperlink>
      <w:r w:rsidR="007E6142" w:rsidRPr="007E6142">
        <w:rPr>
          <w:lang w:val="en-US"/>
        </w:rPr>
        <w:t>, https://www.msci.com/documents/1296102/34424357/MSCI+ESG+Ratings+Methodology.pdf</w:t>
      </w:r>
    </w:p>
  </w:footnote>
  <w:footnote w:id="25">
    <w:p w14:paraId="4114B81B" w14:textId="77777777" w:rsidR="00F86038" w:rsidRPr="00886868" w:rsidRDefault="00F86038" w:rsidP="00F86038">
      <w:pPr>
        <w:pStyle w:val="Testonotaapidipagina"/>
        <w:rPr>
          <w:lang w:val="en-US"/>
        </w:rPr>
      </w:pPr>
      <w:r>
        <w:rPr>
          <w:rStyle w:val="Rimandonotaapidipagina"/>
        </w:rPr>
        <w:footnoteRef/>
      </w:r>
      <w:r w:rsidRPr="00886868">
        <w:rPr>
          <w:lang w:val="en-US"/>
        </w:rPr>
        <w:t xml:space="preserve"> </w:t>
      </w:r>
      <w:hyperlink r:id="rId7" w:history="1">
        <w:r w:rsidRPr="00886868">
          <w:rPr>
            <w:rStyle w:val="Collegamentoipertestuale"/>
            <w:lang w:val="en-US"/>
          </w:rPr>
          <w:t>ESG Ratings Methodology</w:t>
        </w:r>
      </w:hyperlink>
      <w:r w:rsidRPr="00886868">
        <w:rPr>
          <w:lang w:val="en-US"/>
        </w:rPr>
        <w:t xml:space="preserve"> pag 4</w:t>
      </w:r>
    </w:p>
  </w:footnote>
  <w:footnote w:id="26">
    <w:p w14:paraId="1C0DB7B7" w14:textId="2D2C6244" w:rsidR="00F86038" w:rsidRPr="00DA16AE" w:rsidRDefault="00F86038" w:rsidP="00F86038">
      <w:pPr>
        <w:pStyle w:val="Testonotaapidipagina"/>
        <w:rPr>
          <w:lang w:val="en-US"/>
        </w:rPr>
      </w:pPr>
      <w:r>
        <w:rPr>
          <w:rStyle w:val="Rimandonotaapidipagina"/>
        </w:rPr>
        <w:footnoteRef/>
      </w:r>
      <w:r w:rsidRPr="00886868">
        <w:rPr>
          <w:lang w:val="en-US"/>
        </w:rPr>
        <w:t xml:space="preserve"> </w:t>
      </w:r>
      <w:r w:rsidR="00DA16AE" w:rsidRPr="00DA16AE">
        <w:rPr>
          <w:lang w:val="en-US"/>
        </w:rPr>
        <w:t>K</w:t>
      </w:r>
      <w:r w:rsidR="00DA16AE">
        <w:rPr>
          <w:lang w:val="en-US"/>
        </w:rPr>
        <w:t>PMG.</w:t>
      </w:r>
      <w:r w:rsidR="00E0007D">
        <w:rPr>
          <w:lang w:val="en-US"/>
        </w:rPr>
        <w:t xml:space="preserve"> 2021. </w:t>
      </w:r>
      <w:r w:rsidR="00E0007D" w:rsidRPr="00E0007D">
        <w:rPr>
          <w:lang w:val="en-US"/>
        </w:rPr>
        <w:t>ESG risks in banks</w:t>
      </w:r>
      <w:r w:rsidR="00E0007D">
        <w:rPr>
          <w:lang w:val="en-US"/>
        </w:rPr>
        <w:t xml:space="preserve">. </w:t>
      </w:r>
      <w:r w:rsidR="00E0007D" w:rsidRPr="00E0007D">
        <w:rPr>
          <w:lang w:val="en-US"/>
        </w:rPr>
        <w:t>https://assets.kpmg.com/content/dam/kpmg/xx/pdf/2021/05/esg-risks-in-banks.pdf</w:t>
      </w:r>
    </w:p>
  </w:footnote>
  <w:footnote w:id="27">
    <w:p w14:paraId="762150DA" w14:textId="4DB7AE26" w:rsidR="005130B6" w:rsidRPr="00CC2FAC" w:rsidRDefault="005130B6">
      <w:pPr>
        <w:pStyle w:val="Testonotaapidipagina"/>
        <w:rPr>
          <w:lang w:val="en-US"/>
        </w:rPr>
      </w:pPr>
      <w:r>
        <w:rPr>
          <w:rStyle w:val="Rimandonotaapidipagina"/>
        </w:rPr>
        <w:footnoteRef/>
      </w:r>
      <w:r w:rsidRPr="00CC2FAC">
        <w:rPr>
          <w:lang w:val="en-US"/>
        </w:rPr>
        <w:t xml:space="preserve"> </w:t>
      </w:r>
      <w:r w:rsidR="00CC2FAC" w:rsidRPr="00CC2FAC">
        <w:rPr>
          <w:lang w:val="en-US"/>
        </w:rPr>
        <w:t>https://www.tdk.com/en/sustainability/environmental_responsibility/tcfd_tnfd</w:t>
      </w:r>
    </w:p>
  </w:footnote>
  <w:footnote w:id="28">
    <w:p w14:paraId="75A44243" w14:textId="77777777" w:rsidR="00365517" w:rsidRPr="00382581" w:rsidRDefault="00365517" w:rsidP="00365517">
      <w:pPr>
        <w:pStyle w:val="Testonotaapidipagina"/>
        <w:rPr>
          <w:lang w:val="en-US"/>
        </w:rPr>
      </w:pPr>
      <w:r>
        <w:rPr>
          <w:rStyle w:val="Rimandonotaapidipagina"/>
        </w:rPr>
        <w:footnoteRef/>
      </w:r>
      <w:r w:rsidRPr="00382581">
        <w:rPr>
          <w:lang w:val="en-US"/>
        </w:rPr>
        <w:t xml:space="preserve"> </w:t>
      </w:r>
      <w:hyperlink r:id="rId8" w:anchor="elementor-toc__heading-anchor-0" w:history="1">
        <w:r w:rsidRPr="00382581">
          <w:rPr>
            <w:rStyle w:val="Collegamentoipertestuale"/>
            <w:lang w:val="en-US"/>
          </w:rPr>
          <w:t>14 Advantages and Disadvantages of Environmental, Social, and Corporate Governance</w:t>
        </w:r>
      </w:hyperlink>
    </w:p>
  </w:footnote>
  <w:footnote w:id="29">
    <w:p w14:paraId="398F024C" w14:textId="77777777" w:rsidR="00365517" w:rsidRPr="00001203" w:rsidRDefault="00365517" w:rsidP="00365517">
      <w:pPr>
        <w:pStyle w:val="Testonotaapidipagina"/>
        <w:rPr>
          <w:lang w:val="en-US"/>
        </w:rPr>
      </w:pPr>
      <w:r>
        <w:rPr>
          <w:rStyle w:val="Rimandonotaapidipagina"/>
        </w:rPr>
        <w:footnoteRef/>
      </w:r>
      <w:r w:rsidRPr="00001203">
        <w:rPr>
          <w:lang w:val="en-US"/>
        </w:rPr>
        <w:t xml:space="preserve"> </w:t>
      </w:r>
      <w:hyperlink r:id="rId9" w:history="1">
        <w:r w:rsidRPr="004E312E">
          <w:rPr>
            <w:rStyle w:val="Collegamentoipertestuale"/>
            <w:lang w:val="en-US"/>
          </w:rPr>
          <w:t xml:space="preserve">How ESG contribute to improve a company’s financial performance? </w:t>
        </w:r>
        <w:r w:rsidRPr="00AA6CDB">
          <w:rPr>
            <w:rStyle w:val="Collegamentoipertestuale"/>
            <w:lang w:val="en-US"/>
          </w:rPr>
          <w:t>| STIU (Thailand)</w:t>
        </w:r>
      </w:hyperlink>
    </w:p>
  </w:footnote>
  <w:footnote w:id="30">
    <w:p w14:paraId="0791C71E" w14:textId="33EBC2C2" w:rsidR="006530D3" w:rsidRPr="006530D3" w:rsidRDefault="006530D3">
      <w:pPr>
        <w:pStyle w:val="Testonotaapidipagina"/>
        <w:rPr>
          <w:lang w:val="en-US"/>
        </w:rPr>
      </w:pPr>
      <w:r>
        <w:rPr>
          <w:rStyle w:val="Rimandonotaapidipagina"/>
        </w:rPr>
        <w:footnoteRef/>
      </w:r>
      <w:r w:rsidRPr="006530D3">
        <w:rPr>
          <w:lang w:val="en-US"/>
        </w:rPr>
        <w:t xml:space="preserve"> </w:t>
      </w:r>
      <w:r>
        <w:rPr>
          <w:lang w:val="en-US"/>
        </w:rPr>
        <w:t>PWC. 2022.</w:t>
      </w:r>
      <w:r w:rsidRPr="00773E61">
        <w:rPr>
          <w:lang w:val="en-US"/>
        </w:rPr>
        <w:t xml:space="preserve"> Asset and wealth management revolution 2022: Exponential expectations for ESG</w:t>
      </w:r>
    </w:p>
  </w:footnote>
  <w:footnote w:id="31">
    <w:p w14:paraId="3E9267E9" w14:textId="4884DC7A" w:rsidR="00773E61" w:rsidRPr="00773E61" w:rsidRDefault="00773E61" w:rsidP="00773E61">
      <w:pPr>
        <w:pStyle w:val="Testonotaapidipagina"/>
        <w:rPr>
          <w:lang w:val="en-US"/>
        </w:rPr>
      </w:pPr>
    </w:p>
    <w:p w14:paraId="20AD5342" w14:textId="379D32D4" w:rsidR="00AF772F" w:rsidRPr="00773E61" w:rsidRDefault="00AF772F" w:rsidP="00773E61">
      <w:pPr>
        <w:pStyle w:val="Testonotaapidipagina"/>
        <w:rPr>
          <w:lang w:val="en-US"/>
        </w:rPr>
      </w:pPr>
    </w:p>
  </w:footnote>
  <w:footnote w:id="32">
    <w:p w14:paraId="3E7C5F4D" w14:textId="77777777" w:rsidR="00DF6F78" w:rsidRPr="00CE3F01" w:rsidRDefault="00DF6F78" w:rsidP="00DF6F78">
      <w:pPr>
        <w:pStyle w:val="Testonotaapidipagina"/>
        <w:rPr>
          <w:lang w:val="en-US"/>
        </w:rPr>
      </w:pPr>
      <w:r>
        <w:rPr>
          <w:rStyle w:val="Rimandonotaapidipagina"/>
        </w:rPr>
        <w:footnoteRef/>
      </w:r>
      <w:r w:rsidRPr="00CE3F01">
        <w:rPr>
          <w:lang w:val="en-US"/>
        </w:rPr>
        <w:t xml:space="preserve"> </w:t>
      </w:r>
      <w:hyperlink r:id="rId10" w:history="1">
        <w:r w:rsidRPr="00CE3F01">
          <w:rPr>
            <w:rStyle w:val="Collegamentoipertestuale"/>
            <w:lang w:val="en-US"/>
          </w:rPr>
          <w:t>Full article: Navigating the trade-offs between economic growth and environmental sustainability: A global analysis of long-term trends and strategic policies</w:t>
        </w:r>
      </w:hyperlink>
    </w:p>
  </w:footnote>
  <w:footnote w:id="33">
    <w:p w14:paraId="0841A426" w14:textId="77777777" w:rsidR="003921FF" w:rsidRDefault="003921FF" w:rsidP="003921FF">
      <w:pPr>
        <w:pStyle w:val="Testonotaapidipagina"/>
      </w:pPr>
      <w:r>
        <w:rPr>
          <w:rStyle w:val="Rimandonotaapidipagina"/>
        </w:rPr>
        <w:footnoteRef/>
      </w:r>
      <w:r>
        <w:t xml:space="preserve"> </w:t>
      </w:r>
      <w:hyperlink r:id="rId11" w:history="1">
        <w:r w:rsidRPr="00FC075C">
          <w:rPr>
            <w:rStyle w:val="Collegamentoipertestuale"/>
          </w:rPr>
          <w:t>La governance ESG conquista il FTSE MIB - Borsa Italiana</w:t>
        </w:r>
      </w:hyperlink>
    </w:p>
  </w:footnote>
  <w:footnote w:id="34">
    <w:p w14:paraId="5942E80C" w14:textId="77777777" w:rsidR="003921FF" w:rsidRPr="0074536F" w:rsidRDefault="003921FF" w:rsidP="003921FF">
      <w:pPr>
        <w:pStyle w:val="Testonotaapidipagina"/>
        <w:rPr>
          <w:lang w:val="en-US"/>
        </w:rPr>
      </w:pPr>
      <w:r>
        <w:rPr>
          <w:rStyle w:val="Rimandonotaapidipagina"/>
        </w:rPr>
        <w:footnoteRef/>
      </w:r>
      <w:r w:rsidRPr="0074536F">
        <w:rPr>
          <w:lang w:val="en-US"/>
        </w:rPr>
        <w:t xml:space="preserve"> </w:t>
      </w:r>
      <w:hyperlink r:id="rId12" w:history="1">
        <w:r w:rsidRPr="0074536F">
          <w:rPr>
            <w:rStyle w:val="Collegamentoipertestuale"/>
            <w:lang w:val="en-US"/>
          </w:rPr>
          <w:t>EUR-Lex - Official Journal of the European Union</w:t>
        </w:r>
      </w:hyperlink>
    </w:p>
  </w:footnote>
  <w:footnote w:id="35">
    <w:p w14:paraId="76CCEE92" w14:textId="77777777" w:rsidR="003921FF" w:rsidRDefault="003921FF" w:rsidP="003921FF">
      <w:pPr>
        <w:pStyle w:val="Testonotaapidipagina"/>
      </w:pPr>
      <w:r>
        <w:rPr>
          <w:rStyle w:val="Rimandonotaapidipagina"/>
        </w:rPr>
        <w:footnoteRef/>
      </w:r>
      <w:r>
        <w:t xml:space="preserve"> </w:t>
      </w:r>
      <w:hyperlink r:id="rId13" w:history="1">
        <w:r w:rsidRPr="004B35D3">
          <w:rPr>
            <w:rStyle w:val="Collegamentoipertestuale"/>
          </w:rPr>
          <w:t>"Caporalato fra i fornitori": la maison di lusso Loro</w:t>
        </w:r>
        <w:r w:rsidRPr="004B35D3">
          <w:rPr>
            <w:rStyle w:val="Collegamentoipertestuale"/>
            <w:rFonts w:ascii="Arial" w:hAnsi="Arial" w:cs="Arial"/>
          </w:rPr>
          <w:t> </w:t>
        </w:r>
        <w:r w:rsidRPr="004B35D3">
          <w:rPr>
            <w:rStyle w:val="Collegamentoipertestuale"/>
          </w:rPr>
          <w:t>Piana finisce sotto amministrazione giudiziaria per presunto sfruttamento - greenMe</w:t>
        </w:r>
      </w:hyperlink>
    </w:p>
  </w:footnote>
  <w:footnote w:id="36">
    <w:p w14:paraId="47044B72" w14:textId="77777777" w:rsidR="003921FF" w:rsidRPr="00AF655E" w:rsidRDefault="003921FF" w:rsidP="003921FF">
      <w:pPr>
        <w:pStyle w:val="Testonotaapidipagina"/>
        <w:rPr>
          <w:lang w:val="en-US"/>
        </w:rPr>
      </w:pPr>
      <w:r>
        <w:rPr>
          <w:rStyle w:val="Rimandonotaapidipagina"/>
        </w:rPr>
        <w:footnoteRef/>
      </w:r>
      <w:r w:rsidRPr="00AF655E">
        <w:rPr>
          <w:lang w:val="en-US"/>
        </w:rPr>
        <w:t xml:space="preserve"> </w:t>
      </w:r>
      <w:hyperlink r:id="rId14" w:history="1">
        <w:r w:rsidRPr="00AF655E">
          <w:rPr>
            <w:rStyle w:val="Collegamentoipertestuale"/>
            <w:lang w:val="en-US"/>
          </w:rPr>
          <w:t>High Fashion: The Sustainability Initiatives of Gucci, Louis Vuitton, and Prada - Sustainable Fashion by Raya</w:t>
        </w:r>
      </w:hyperlink>
    </w:p>
  </w:footnote>
  <w:footnote w:id="37">
    <w:p w14:paraId="0ACF2B7C" w14:textId="77777777" w:rsidR="003921FF" w:rsidRPr="00345879" w:rsidRDefault="003921FF" w:rsidP="003921FF">
      <w:pPr>
        <w:pStyle w:val="Testonotaapidipagina"/>
        <w:rPr>
          <w:lang w:val="en-US"/>
        </w:rPr>
      </w:pPr>
      <w:r>
        <w:rPr>
          <w:rStyle w:val="Rimandonotaapidipagina"/>
        </w:rPr>
        <w:footnoteRef/>
      </w:r>
      <w:r w:rsidRPr="00345879">
        <w:rPr>
          <w:lang w:val="en-US"/>
        </w:rPr>
        <w:t xml:space="preserve"> </w:t>
      </w:r>
      <w:hyperlink r:id="rId15" w:history="1">
        <w:r w:rsidRPr="00345879">
          <w:rPr>
            <w:rStyle w:val="Collegamentoipertestuale"/>
            <w:lang w:val="en-US"/>
          </w:rPr>
          <w:t>Luxury Brands and Sustainability – The challenges and solutions | Retail law | Browne Jacobson</w:t>
        </w:r>
      </w:hyperlink>
    </w:p>
  </w:footnote>
  <w:footnote w:id="38">
    <w:p w14:paraId="48C3EA12" w14:textId="77777777" w:rsidR="003921FF" w:rsidRDefault="003921FF" w:rsidP="003921FF">
      <w:pPr>
        <w:pStyle w:val="Testonotaapidipagina"/>
      </w:pPr>
      <w:r>
        <w:rPr>
          <w:rStyle w:val="Rimandonotaapidipagina"/>
        </w:rPr>
        <w:footnoteRef/>
      </w:r>
      <w:r>
        <w:t xml:space="preserve"> </w:t>
      </w:r>
      <w:hyperlink r:id="rId16" w:history="1">
        <w:r w:rsidRPr="007B37C3">
          <w:rPr>
            <w:rStyle w:val="Collegamentoipertestuale"/>
          </w:rPr>
          <w:t>La moda sostenibile del 2023 che ricorderemo | Vogue Italia</w:t>
        </w:r>
      </w:hyperlink>
    </w:p>
  </w:footnote>
  <w:footnote w:id="39">
    <w:p w14:paraId="1EF78CF5" w14:textId="77777777" w:rsidR="003921FF" w:rsidRPr="002D58A9" w:rsidRDefault="003921FF" w:rsidP="003921FF">
      <w:pPr>
        <w:pStyle w:val="Testonotaapidipagina"/>
        <w:rPr>
          <w:lang w:val="en-US"/>
        </w:rPr>
      </w:pPr>
      <w:r>
        <w:rPr>
          <w:rStyle w:val="Rimandonotaapidipagina"/>
        </w:rPr>
        <w:footnoteRef/>
      </w:r>
      <w:r>
        <w:t xml:space="preserve"> </w:t>
      </w:r>
      <w:hyperlink r:id="rId17" w:history="1">
        <w:r w:rsidRPr="00E843C7">
          <w:rPr>
            <w:rStyle w:val="Collegamentoipertestuale"/>
          </w:rPr>
          <w:t xml:space="preserve">Moda italiana, il green è una priorità per il 76% delle aziende. </w:t>
        </w:r>
        <w:r w:rsidRPr="002D58A9">
          <w:rPr>
            <w:rStyle w:val="Collegamentoipertestuale"/>
            <w:lang w:val="en-US"/>
          </w:rPr>
          <w:t>Ma restano le sfide | MilanoFinanza News</w:t>
        </w:r>
      </w:hyperlink>
    </w:p>
  </w:footnote>
  <w:footnote w:id="40">
    <w:p w14:paraId="19E7535F" w14:textId="6B5E8086" w:rsidR="003921FF" w:rsidRPr="00126B26" w:rsidRDefault="003921FF" w:rsidP="003921FF">
      <w:pPr>
        <w:pStyle w:val="Testonotaapidipagina"/>
        <w:rPr>
          <w:lang w:val="en-US"/>
        </w:rPr>
      </w:pPr>
      <w:r>
        <w:rPr>
          <w:rStyle w:val="Rimandonotaapidipagina"/>
        </w:rPr>
        <w:footnoteRef/>
      </w:r>
      <w:r w:rsidRPr="00126B26">
        <w:rPr>
          <w:lang w:val="en-US"/>
        </w:rPr>
        <w:t xml:space="preserve"> </w:t>
      </w:r>
      <w:hyperlink r:id="rId18" w:anchor=":~:text=Each%20area%20is%20benchmarked%20across%20three%20levels%20of,actions%20and%20ISO-aligned%20recommendations%20to%20help%20you%20advance." w:history="1">
        <w:r w:rsidRPr="00126B26">
          <w:rPr>
            <w:rStyle w:val="Collegamentoipertestuale"/>
            <w:lang w:val="en-US"/>
          </w:rPr>
          <w:t>ESG Maturity Matrix</w:t>
        </w:r>
      </w:hyperlink>
      <w:r w:rsidR="00126B26" w:rsidRPr="00126B26">
        <w:rPr>
          <w:lang w:val="en-US"/>
        </w:rPr>
        <w:t>, Royal B</w:t>
      </w:r>
      <w:r w:rsidR="00126B26">
        <w:rPr>
          <w:lang w:val="en-US"/>
        </w:rPr>
        <w:t>ritish Institution</w:t>
      </w:r>
    </w:p>
  </w:footnote>
  <w:footnote w:id="41">
    <w:p w14:paraId="5A76181C" w14:textId="77777777" w:rsidR="003921FF" w:rsidRPr="002D58A9" w:rsidRDefault="003921FF" w:rsidP="003921FF">
      <w:pPr>
        <w:pStyle w:val="Testonotaapidipagina"/>
        <w:rPr>
          <w:lang w:val="en-US"/>
        </w:rPr>
      </w:pPr>
      <w:r>
        <w:rPr>
          <w:rStyle w:val="Rimandonotaapidipagina"/>
        </w:rPr>
        <w:footnoteRef/>
      </w:r>
      <w:r w:rsidRPr="002D58A9">
        <w:rPr>
          <w:lang w:val="en-US"/>
        </w:rPr>
        <w:t xml:space="preserve"> </w:t>
      </w:r>
      <w:hyperlink r:id="rId19" w:history="1">
        <w:r w:rsidRPr="002D58A9">
          <w:rPr>
            <w:rStyle w:val="Collegamentoipertestuale"/>
            <w:lang w:val="en-US"/>
          </w:rPr>
          <w:t>pages.bsigroup.com/l/35972/2025-06-24/3t8z3qh/35972/17507537434LFDyOaZ/BSI_Guide_to_ESG_Maturity_Matrix_FINAL_30.05.2025.pdf</w:t>
        </w:r>
      </w:hyperlink>
    </w:p>
  </w:footnote>
  <w:footnote w:id="42">
    <w:p w14:paraId="46D40871" w14:textId="4E25474A" w:rsidR="007A776A" w:rsidRPr="000F711A" w:rsidRDefault="007A776A" w:rsidP="007A776A">
      <w:pPr>
        <w:pStyle w:val="Testonotaapidipagina"/>
        <w:rPr>
          <w:lang w:val="en-US"/>
        </w:rPr>
      </w:pPr>
    </w:p>
  </w:footnote>
  <w:footnote w:id="43">
    <w:p w14:paraId="26EFE333" w14:textId="02D5A68D" w:rsidR="00116925" w:rsidRDefault="00116925">
      <w:pPr>
        <w:pStyle w:val="Testonotaapidipagina"/>
      </w:pPr>
      <w:r>
        <w:rPr>
          <w:rStyle w:val="Rimandonotaapidipagina"/>
        </w:rPr>
        <w:footnoteRef/>
      </w:r>
      <w:r>
        <w:t xml:space="preserve"> </w:t>
      </w:r>
      <w:hyperlink r:id="rId20" w:history="1">
        <w:r w:rsidRPr="0084223E">
          <w:rPr>
            <w:rStyle w:val="Collegamentoipertestuale"/>
          </w:rPr>
          <w:t>Survey of Sustainability Reporting 2024</w:t>
        </w:r>
      </w:hyperlink>
    </w:p>
  </w:footnote>
  <w:footnote w:id="44">
    <w:p w14:paraId="4F54BAB4" w14:textId="77777777" w:rsidR="007A776A" w:rsidRDefault="007A776A" w:rsidP="007A776A">
      <w:pPr>
        <w:pStyle w:val="Testonotaapidipagina"/>
      </w:pPr>
      <w:r>
        <w:rPr>
          <w:rStyle w:val="Rimandonotaapidipagina"/>
        </w:rPr>
        <w:footnoteRef/>
      </w:r>
      <w:r>
        <w:t xml:space="preserve"> </w:t>
      </w:r>
      <w:hyperlink r:id="rId21" w:history="1">
        <w:r w:rsidRPr="00850AF3">
          <w:rPr>
            <w:rStyle w:val="Collegamentoipertestuale"/>
          </w:rPr>
          <w:t>Le aziende si preparano alle richieste normative sulla rendicontazione ESG: ecco a che punto siamo - ESG News</w:t>
        </w:r>
      </w:hyperlink>
    </w:p>
  </w:footnote>
  <w:footnote w:id="45">
    <w:p w14:paraId="008B7B90" w14:textId="77777777" w:rsidR="007A776A" w:rsidRPr="000C0F5F" w:rsidRDefault="007A776A" w:rsidP="007A776A">
      <w:pPr>
        <w:pStyle w:val="Testonotaapidipagina"/>
        <w:rPr>
          <w:lang w:val="en-US"/>
        </w:rPr>
      </w:pPr>
      <w:r>
        <w:rPr>
          <w:rStyle w:val="Rimandonotaapidipagina"/>
        </w:rPr>
        <w:footnoteRef/>
      </w:r>
      <w:r w:rsidRPr="009B458A">
        <w:rPr>
          <w:lang w:val="en-US"/>
        </w:rPr>
        <w:t xml:space="preserve"> </w:t>
      </w:r>
      <w:hyperlink r:id="rId22" w:history="1">
        <w:r w:rsidRPr="009B458A">
          <w:rPr>
            <w:rStyle w:val="Collegamentoipertestuale"/>
            <w:lang w:val="en-US"/>
          </w:rPr>
          <w:t>Green and Sustainability-Linked Loan Newsletter - BBVA CIB</w:t>
        </w:r>
      </w:hyperlink>
    </w:p>
    <w:p w14:paraId="020FF392" w14:textId="77777777" w:rsidR="007A776A" w:rsidRPr="009B458A" w:rsidRDefault="007A776A" w:rsidP="007A776A">
      <w:pPr>
        <w:pStyle w:val="Testonotaapidipagina"/>
        <w:rPr>
          <w:lang w:val="en-US"/>
        </w:rPr>
      </w:pPr>
    </w:p>
  </w:footnote>
  <w:footnote w:id="46">
    <w:p w14:paraId="38FFDA9E" w14:textId="77777777" w:rsidR="007A776A" w:rsidRPr="0079226E" w:rsidRDefault="007A776A" w:rsidP="007A776A">
      <w:pPr>
        <w:pStyle w:val="Testonotaapidipagina"/>
        <w:rPr>
          <w:lang w:val="en-US"/>
        </w:rPr>
      </w:pPr>
      <w:r>
        <w:rPr>
          <w:rStyle w:val="Rimandonotaapidipagina"/>
        </w:rPr>
        <w:footnoteRef/>
      </w:r>
      <w:r w:rsidRPr="0079226E">
        <w:rPr>
          <w:lang w:val="en-US"/>
        </w:rPr>
        <w:t xml:space="preserve"> Source: LSEG LPC</w:t>
      </w:r>
    </w:p>
  </w:footnote>
  <w:footnote w:id="47">
    <w:p w14:paraId="4A72B5AD" w14:textId="77777777" w:rsidR="007A776A" w:rsidRPr="0079226E" w:rsidRDefault="007A776A" w:rsidP="007A776A">
      <w:pPr>
        <w:pStyle w:val="Testonotaapidipagina"/>
        <w:rPr>
          <w:lang w:val="en-US"/>
        </w:rPr>
      </w:pPr>
      <w:r>
        <w:rPr>
          <w:rStyle w:val="Rimandonotaapidipagina"/>
        </w:rPr>
        <w:footnoteRef/>
      </w:r>
      <w:r w:rsidRPr="0079226E">
        <w:rPr>
          <w:lang w:val="en-US"/>
        </w:rPr>
        <w:t xml:space="preserve"> </w:t>
      </w:r>
      <w:hyperlink r:id="rId23" w:history="1">
        <w:r w:rsidRPr="0079226E">
          <w:rPr>
            <w:rStyle w:val="Collegamentoipertestuale"/>
            <w:lang w:val="en-US"/>
          </w:rPr>
          <w:t>Market Outlook - Q4 - Horizons ESG</w:t>
        </w:r>
      </w:hyperlink>
    </w:p>
  </w:footnote>
  <w:footnote w:id="48">
    <w:p w14:paraId="2DB08A03" w14:textId="77777777" w:rsidR="007A776A" w:rsidRPr="00882AAD" w:rsidRDefault="007A776A" w:rsidP="007A776A">
      <w:pPr>
        <w:pStyle w:val="Testonotaapidipagina"/>
        <w:rPr>
          <w:lang w:val="en-US"/>
        </w:rPr>
      </w:pPr>
      <w:r>
        <w:rPr>
          <w:rStyle w:val="Rimandonotaapidipagina"/>
        </w:rPr>
        <w:footnoteRef/>
      </w:r>
      <w:r w:rsidRPr="00882AAD">
        <w:rPr>
          <w:lang w:val="en-US"/>
        </w:rPr>
        <w:t xml:space="preserve"> </w:t>
      </w:r>
      <w:hyperlink r:id="rId24" w:history="1">
        <w:r w:rsidRPr="00882AAD">
          <w:rPr>
            <w:rStyle w:val="Collegamentoipertestuale"/>
            <w:lang w:val="en-US"/>
          </w:rPr>
          <w:t>CommerzVentures Archives - Fintech Schweiz Digital Finance News - FintechNewsCH</w:t>
        </w:r>
      </w:hyperlink>
    </w:p>
  </w:footnote>
  <w:footnote w:id="49">
    <w:p w14:paraId="68AB5899" w14:textId="77777777" w:rsidR="007A776A" w:rsidRPr="007F60D4" w:rsidRDefault="007A776A" w:rsidP="007A776A">
      <w:pPr>
        <w:pStyle w:val="Testonotaapidipagina"/>
        <w:rPr>
          <w:lang w:val="en-US"/>
        </w:rPr>
      </w:pPr>
      <w:r>
        <w:rPr>
          <w:rStyle w:val="Rimandonotaapidipagina"/>
        </w:rPr>
        <w:footnoteRef/>
      </w:r>
      <w:r w:rsidRPr="007F60D4">
        <w:rPr>
          <w:lang w:val="en-US"/>
        </w:rPr>
        <w:t xml:space="preserve"> Li, D., Z. Zhang, and X. Gao. 2024. “Does Artificial Intelligence DeterGreenwashing?” Finance Research Letters 67: 105954</w:t>
      </w:r>
    </w:p>
  </w:footnote>
  <w:footnote w:id="50">
    <w:p w14:paraId="32308F76" w14:textId="77777777" w:rsidR="007A776A" w:rsidRPr="007E095D" w:rsidRDefault="007A776A" w:rsidP="007A776A">
      <w:pPr>
        <w:pStyle w:val="Testonotaapidipagina"/>
        <w:rPr>
          <w:lang w:val="en-US"/>
        </w:rPr>
      </w:pPr>
      <w:r>
        <w:rPr>
          <w:rStyle w:val="Rimandonotaapidipagina"/>
        </w:rPr>
        <w:footnoteRef/>
      </w:r>
      <w:r w:rsidRPr="007E095D">
        <w:rPr>
          <w:lang w:val="en-US"/>
        </w:rPr>
        <w:t xml:space="preserve"> https://finance.ec.europa.eu/news/sustainable-finance-2025-05-21</w:t>
      </w:r>
    </w:p>
  </w:footnote>
  <w:footnote w:id="51">
    <w:p w14:paraId="0BFC6DD9" w14:textId="77777777" w:rsidR="007A776A" w:rsidRPr="0040224A" w:rsidRDefault="007A776A" w:rsidP="007A776A">
      <w:pPr>
        <w:pStyle w:val="Testonotaapidipagina"/>
        <w:rPr>
          <w:lang w:val="en-US"/>
        </w:rPr>
      </w:pPr>
      <w:r>
        <w:rPr>
          <w:rStyle w:val="Rimandonotaapidipagina"/>
        </w:rPr>
        <w:footnoteRef/>
      </w:r>
      <w:r w:rsidRPr="0040224A">
        <w:rPr>
          <w:lang w:val="en-US"/>
        </w:rPr>
        <w:t xml:space="preserve"> </w:t>
      </w:r>
      <w:hyperlink r:id="rId25" w:history="1">
        <w:r w:rsidRPr="0040224A">
          <w:rPr>
            <w:rStyle w:val="Collegamentoipertestuale"/>
            <w:lang w:val="en-US"/>
          </w:rPr>
          <w:t>Sustainable-Finance Regulation — a Look Ahead for 2025 | MSCI</w:t>
        </w:r>
      </w:hyperlink>
    </w:p>
  </w:footnote>
  <w:footnote w:id="52">
    <w:p w14:paraId="6E0ED859" w14:textId="77777777" w:rsidR="007A776A" w:rsidRPr="00034D8F" w:rsidRDefault="007A776A" w:rsidP="007A776A">
      <w:pPr>
        <w:pStyle w:val="Testonotaapidipagina"/>
        <w:rPr>
          <w:lang w:val="en-US"/>
        </w:rPr>
      </w:pPr>
      <w:r>
        <w:rPr>
          <w:rStyle w:val="Rimandonotaapidipagina"/>
        </w:rPr>
        <w:footnoteRef/>
      </w:r>
      <w:r w:rsidRPr="00034D8F">
        <w:rPr>
          <w:lang w:val="en-US"/>
        </w:rPr>
        <w:t xml:space="preserve"> </w:t>
      </w:r>
      <w:hyperlink r:id="rId26" w:history="1">
        <w:r w:rsidRPr="00034D8F">
          <w:rPr>
            <w:rStyle w:val="Collegamentoipertestuale"/>
            <w:lang w:val="en-US"/>
          </w:rPr>
          <w:t>Sustainable capital rising: How ESG bonds are shaping India’s debt market - The Economic Times</w:t>
        </w:r>
      </w:hyperlink>
    </w:p>
  </w:footnote>
  <w:footnote w:id="53">
    <w:p w14:paraId="4A8EC937" w14:textId="77777777" w:rsidR="007A776A" w:rsidRPr="004C4628" w:rsidRDefault="007A776A" w:rsidP="007A776A">
      <w:pPr>
        <w:pStyle w:val="Testonotaapidipagina"/>
        <w:rPr>
          <w:lang w:val="en-US"/>
        </w:rPr>
      </w:pPr>
      <w:r>
        <w:rPr>
          <w:rStyle w:val="Rimandonotaapidipagina"/>
        </w:rPr>
        <w:footnoteRef/>
      </w:r>
      <w:r w:rsidRPr="004C4628">
        <w:rPr>
          <w:lang w:val="en-US"/>
        </w:rPr>
        <w:t xml:space="preserve"> India Sustainable Debt State of the Market 202</w:t>
      </w:r>
      <w:r>
        <w:rPr>
          <w:lang w:val="en-US"/>
        </w:rPr>
        <w:t>4</w:t>
      </w:r>
    </w:p>
  </w:footnote>
  <w:footnote w:id="54">
    <w:p w14:paraId="62CA189F" w14:textId="77777777" w:rsidR="007A776A" w:rsidRPr="00EA30FD" w:rsidRDefault="007A776A" w:rsidP="007A776A">
      <w:pPr>
        <w:pStyle w:val="Testonotaapidipagina"/>
        <w:rPr>
          <w:lang w:val="en-US"/>
        </w:rPr>
      </w:pPr>
      <w:r>
        <w:rPr>
          <w:rStyle w:val="Rimandonotaapidipagina"/>
        </w:rPr>
        <w:footnoteRef/>
      </w:r>
      <w:r w:rsidRPr="00EA30FD">
        <w:rPr>
          <w:lang w:val="en-US"/>
        </w:rPr>
        <w:t xml:space="preserve"> </w:t>
      </w:r>
      <w:r>
        <w:rPr>
          <w:lang w:val="en-US"/>
        </w:rPr>
        <w:t>T</w:t>
      </w:r>
      <w:r w:rsidRPr="00EA30FD">
        <w:rPr>
          <w:lang w:val="en-US"/>
        </w:rPr>
        <w:t>he Economic Times, 2023 https://economictimes.indiatimes.com/ industry/banking/finance/banking/sbi-enters-social-loan-market raises-1-bln-from-overseas-markets/articleshow/98302780.cms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8"/>
      <w:gridCol w:w="4389"/>
    </w:tblGrid>
    <w:tr w:rsidR="00AB617A" w14:paraId="4DA4FF3B" w14:textId="77777777" w:rsidTr="003E685A">
      <w:tc>
        <w:tcPr>
          <w:tcW w:w="4388" w:type="dxa"/>
          <w:vAlign w:val="bottom"/>
        </w:tcPr>
        <w:sdt>
          <w:sdtPr>
            <w:id w:val="413675004"/>
            <w:docPartObj>
              <w:docPartGallery w:val="Page Numbers (Top of Page)"/>
              <w:docPartUnique/>
            </w:docPartObj>
          </w:sdtPr>
          <w:sdtContent>
            <w:p w14:paraId="3F12EEC4" w14:textId="23A0232A" w:rsidR="00AB617A" w:rsidRDefault="00842E0D" w:rsidP="00AB617A">
              <w:pPr>
                <w:pStyle w:val="Intestazione"/>
                <w:spacing w:before="0"/>
                <w:jc w:val="left"/>
              </w:pPr>
              <w:r w:rsidRPr="00056F88">
                <w:rPr>
                  <w:b/>
                  <w:bCs/>
                  <w:color w:val="728FA5"/>
                </w:rPr>
                <w:t>|</w:t>
              </w:r>
              <w:r w:rsidRPr="00842E0D">
                <w:rPr>
                  <w:color w:val="728FA5"/>
                </w:rPr>
                <w:t xml:space="preserve"> </w:t>
              </w:r>
              <w:fldSimple w:instr=" STYLEREF  &quot;Heading 1&quot;  \* MERGEFORMAT ">
                <w:r w:rsidR="00C5506D">
                  <w:rPr>
                    <w:noProof/>
                  </w:rPr>
                  <w:t>Abstract in italiano</w:t>
                </w:r>
              </w:fldSimple>
            </w:p>
          </w:sdtContent>
        </w:sdt>
      </w:tc>
      <w:tc>
        <w:tcPr>
          <w:tcW w:w="4389" w:type="dxa"/>
          <w:vAlign w:val="center"/>
        </w:tcPr>
        <w:p w14:paraId="545EA321" w14:textId="77777777" w:rsidR="00AB617A" w:rsidRDefault="00AB617A" w:rsidP="00AB617A">
          <w:pPr>
            <w:pStyle w:val="Intestazione"/>
            <w:spacing w:before="0"/>
            <w:jc w:val="right"/>
          </w:pPr>
          <w:r>
            <w:fldChar w:fldCharType="begin"/>
          </w:r>
          <w:r>
            <w:instrText>PAGE   \* MERGEFORMAT</w:instrText>
          </w:r>
          <w:r>
            <w:fldChar w:fldCharType="separate"/>
          </w:r>
          <w:r>
            <w:t>3</w:t>
          </w:r>
          <w:r>
            <w:fldChar w:fldCharType="end"/>
          </w:r>
        </w:p>
      </w:tc>
    </w:tr>
  </w:tbl>
  <w:p w14:paraId="461089DF" w14:textId="77777777" w:rsidR="00AB617A" w:rsidRPr="00AB617A" w:rsidRDefault="00AB617A" w:rsidP="00AB617A">
    <w:pPr>
      <w:pStyle w:val="Intestazion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246C76" w14:textId="77777777" w:rsidR="00E24B2E" w:rsidRPr="00A834F5" w:rsidRDefault="00E24B2E" w:rsidP="00A834F5">
    <w:pPr>
      <w:pStyle w:val="Intestazion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DD0BDB" w14:paraId="308E9A9E" w14:textId="77777777" w:rsidTr="00D62FE7">
      <w:tc>
        <w:tcPr>
          <w:tcW w:w="4535" w:type="dxa"/>
          <w:vAlign w:val="bottom"/>
        </w:tcPr>
        <w:p w14:paraId="03761367" w14:textId="77777777" w:rsidR="00DD0BDB" w:rsidRDefault="00DD0BDB" w:rsidP="00AB617A">
          <w:pPr>
            <w:pStyle w:val="Intestazione"/>
            <w:spacing w:before="0"/>
            <w:jc w:val="right"/>
          </w:pPr>
        </w:p>
      </w:tc>
      <w:tc>
        <w:tcPr>
          <w:tcW w:w="4535" w:type="dxa"/>
          <w:vAlign w:val="center"/>
        </w:tcPr>
        <w:p w14:paraId="63D2FF07" w14:textId="0777F294" w:rsidR="00DD0BDB" w:rsidRDefault="00DD0BDB" w:rsidP="00AB617A">
          <w:pPr>
            <w:pStyle w:val="Intestazione"/>
            <w:spacing w:before="0"/>
            <w:jc w:val="right"/>
          </w:pPr>
        </w:p>
      </w:tc>
    </w:tr>
  </w:tbl>
  <w:p w14:paraId="69CE6887" w14:textId="77777777" w:rsidR="00DD0BDB" w:rsidRDefault="00DD0BDB" w:rsidP="00DD0BDB">
    <w:pPr>
      <w:pStyle w:val="Intestazione"/>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E24B2E" w14:paraId="02621654" w14:textId="77777777" w:rsidTr="00D62FE7">
      <w:tc>
        <w:tcPr>
          <w:tcW w:w="4535" w:type="dxa"/>
          <w:vAlign w:val="bottom"/>
        </w:tcPr>
        <w:sdt>
          <w:sdtPr>
            <w:id w:val="-1374921885"/>
            <w:docPartObj>
              <w:docPartGallery w:val="Page Numbers (Top of Page)"/>
              <w:docPartUnique/>
            </w:docPartObj>
          </w:sdtPr>
          <w:sdtContent>
            <w:p w14:paraId="293B0CBE" w14:textId="77777777" w:rsidR="00E24B2E" w:rsidRDefault="00E24B2E" w:rsidP="00AB617A">
              <w:pPr>
                <w:pStyle w:val="Intestazione"/>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596492D7" w14:textId="0F90216E" w:rsidR="00E24B2E" w:rsidRDefault="00E24B2E" w:rsidP="00AB617A">
          <w:pPr>
            <w:pStyle w:val="Intestazione"/>
            <w:spacing w:before="0"/>
            <w:jc w:val="right"/>
          </w:pPr>
        </w:p>
      </w:tc>
    </w:tr>
  </w:tbl>
  <w:p w14:paraId="7E263465" w14:textId="77777777" w:rsidR="00E24B2E" w:rsidRDefault="00E24B2E">
    <w:pPr>
      <w:pStyle w:val="Intestazion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E24B2E" w14:paraId="78F20972" w14:textId="77777777" w:rsidTr="00D62FE7">
      <w:tc>
        <w:tcPr>
          <w:tcW w:w="4535" w:type="dxa"/>
          <w:vAlign w:val="bottom"/>
        </w:tcPr>
        <w:p w14:paraId="051825A6" w14:textId="0BFBBF31" w:rsidR="00E24B2E" w:rsidRDefault="00E24B2E" w:rsidP="00AB617A">
          <w:pPr>
            <w:pStyle w:val="Intestazione"/>
            <w:spacing w:before="0"/>
            <w:jc w:val="left"/>
          </w:pPr>
        </w:p>
      </w:tc>
      <w:tc>
        <w:tcPr>
          <w:tcW w:w="4535" w:type="dxa"/>
          <w:vAlign w:val="center"/>
        </w:tcPr>
        <w:p w14:paraId="0A68FE57" w14:textId="77777777" w:rsidR="00E24B2E" w:rsidRDefault="00E24B2E" w:rsidP="00AB617A">
          <w:pPr>
            <w:pStyle w:val="Intestazione"/>
            <w:spacing w:before="0"/>
            <w:jc w:val="right"/>
          </w:pPr>
          <w:r>
            <w:fldChar w:fldCharType="begin"/>
          </w:r>
          <w:r>
            <w:instrText>PAGE   \* MERGEFORMAT</w:instrText>
          </w:r>
          <w:r>
            <w:fldChar w:fldCharType="separate"/>
          </w:r>
          <w:r>
            <w:t>3</w:t>
          </w:r>
          <w:r>
            <w:fldChar w:fldCharType="end"/>
          </w:r>
        </w:p>
      </w:tc>
    </w:tr>
  </w:tbl>
  <w:p w14:paraId="7AF9F103" w14:textId="77777777" w:rsidR="00E24B2E" w:rsidRDefault="00E24B2E">
    <w:pPr>
      <w:pStyle w:val="Intestazion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6A78D0" w14:paraId="6AFE1CA4" w14:textId="77777777" w:rsidTr="00D62FE7">
      <w:tc>
        <w:tcPr>
          <w:tcW w:w="4535" w:type="dxa"/>
          <w:vAlign w:val="bottom"/>
        </w:tcPr>
        <w:p w14:paraId="00BF4125" w14:textId="77777777" w:rsidR="006A78D0" w:rsidRDefault="006A78D0" w:rsidP="00AB617A">
          <w:pPr>
            <w:pStyle w:val="Intestazione"/>
            <w:spacing w:before="0"/>
            <w:jc w:val="right"/>
          </w:pPr>
        </w:p>
      </w:tc>
      <w:tc>
        <w:tcPr>
          <w:tcW w:w="4535" w:type="dxa"/>
          <w:vAlign w:val="center"/>
        </w:tcPr>
        <w:sdt>
          <w:sdtPr>
            <w:id w:val="1082025002"/>
            <w:docPartObj>
              <w:docPartGallery w:val="Page Numbers (Top of Page)"/>
              <w:docPartUnique/>
            </w:docPartObj>
          </w:sdtPr>
          <w:sdtContent>
            <w:p w14:paraId="4432C6B6" w14:textId="77777777" w:rsidR="006A78D0" w:rsidRDefault="006A78D0" w:rsidP="00AB617A">
              <w:pPr>
                <w:pStyle w:val="Intestazione"/>
                <w:spacing w:before="0"/>
                <w:jc w:val="right"/>
              </w:pPr>
              <w:r>
                <w:fldChar w:fldCharType="begin"/>
              </w:r>
              <w:r>
                <w:instrText>PAGE   \* MERGEFORMAT</w:instrText>
              </w:r>
              <w:r>
                <w:fldChar w:fldCharType="separate"/>
              </w:r>
              <w:r>
                <w:t>3</w:t>
              </w:r>
              <w:r>
                <w:fldChar w:fldCharType="end"/>
              </w:r>
            </w:p>
          </w:sdtContent>
        </w:sdt>
      </w:tc>
    </w:tr>
  </w:tbl>
  <w:p w14:paraId="319DB3CB" w14:textId="77777777" w:rsidR="006A78D0" w:rsidRDefault="006A78D0" w:rsidP="00DD0BDB">
    <w:pPr>
      <w:pStyle w:val="Intestazione"/>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6A3A5FD5" w14:textId="77777777" w:rsidTr="00D62FE7">
      <w:tc>
        <w:tcPr>
          <w:tcW w:w="4535" w:type="dxa"/>
          <w:vAlign w:val="bottom"/>
        </w:tcPr>
        <w:sdt>
          <w:sdtPr>
            <w:id w:val="1460914688"/>
            <w:docPartObj>
              <w:docPartGallery w:val="Page Numbers (Top of Page)"/>
              <w:docPartUnique/>
            </w:docPartObj>
          </w:sdtPr>
          <w:sdtContent>
            <w:p w14:paraId="6C355A2F" w14:textId="77777777" w:rsidR="00842E0D" w:rsidRDefault="00842E0D" w:rsidP="00AB617A">
              <w:pPr>
                <w:pStyle w:val="Intestazione"/>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55D1BC87" w14:textId="2408FD8E" w:rsidR="00842E0D" w:rsidRDefault="00842E0D" w:rsidP="00AB617A">
          <w:pPr>
            <w:pStyle w:val="Intestazione"/>
            <w:spacing w:before="0"/>
            <w:jc w:val="right"/>
          </w:pPr>
        </w:p>
      </w:tc>
    </w:tr>
  </w:tbl>
  <w:p w14:paraId="5C7B5195" w14:textId="77777777" w:rsidR="00842E0D" w:rsidRDefault="00842E0D">
    <w:pPr>
      <w:pStyle w:val="Intestazione"/>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3016D852" w14:textId="77777777" w:rsidTr="00D62FE7">
      <w:tc>
        <w:tcPr>
          <w:tcW w:w="4535" w:type="dxa"/>
          <w:vAlign w:val="bottom"/>
        </w:tcPr>
        <w:sdt>
          <w:sdtPr>
            <w:id w:val="242536225"/>
            <w:docPartObj>
              <w:docPartGallery w:val="Page Numbers (Top of Page)"/>
              <w:docPartUnique/>
            </w:docPartObj>
          </w:sdtPr>
          <w:sdtContent>
            <w:p w14:paraId="4B84EFE3" w14:textId="697C11E2" w:rsidR="00842E0D" w:rsidRDefault="00842E0D" w:rsidP="00AB617A">
              <w:pPr>
                <w:pStyle w:val="Intestazione"/>
                <w:spacing w:before="0"/>
                <w:jc w:val="left"/>
              </w:pPr>
              <w:r w:rsidRPr="00056F88">
                <w:rPr>
                  <w:b/>
                  <w:bCs/>
                  <w:color w:val="728FA5"/>
                </w:rPr>
                <w:t>|</w:t>
              </w:r>
              <w:r w:rsidRPr="00842E0D">
                <w:rPr>
                  <w:color w:val="728FA5"/>
                </w:rPr>
                <w:t xml:space="preserve"> </w:t>
              </w:r>
            </w:p>
          </w:sdtContent>
        </w:sdt>
      </w:tc>
      <w:tc>
        <w:tcPr>
          <w:tcW w:w="4535" w:type="dxa"/>
          <w:vAlign w:val="center"/>
        </w:tcPr>
        <w:p w14:paraId="45F3ABE9" w14:textId="77777777" w:rsidR="00842E0D" w:rsidRDefault="00842E0D" w:rsidP="00AB617A">
          <w:pPr>
            <w:pStyle w:val="Intestazione"/>
            <w:spacing w:before="0"/>
            <w:jc w:val="right"/>
          </w:pPr>
          <w:r>
            <w:fldChar w:fldCharType="begin"/>
          </w:r>
          <w:r>
            <w:instrText>PAGE   \* MERGEFORMAT</w:instrText>
          </w:r>
          <w:r>
            <w:fldChar w:fldCharType="separate"/>
          </w:r>
          <w:r>
            <w:t>3</w:t>
          </w:r>
          <w:r>
            <w:fldChar w:fldCharType="end"/>
          </w:r>
        </w:p>
      </w:tc>
    </w:tr>
  </w:tbl>
  <w:p w14:paraId="777590FC" w14:textId="77777777" w:rsidR="00842E0D" w:rsidRDefault="00842E0D">
    <w:pPr>
      <w:pStyle w:val="Intestazione"/>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74E26D17" w14:textId="77777777" w:rsidTr="00D62FE7">
      <w:tc>
        <w:tcPr>
          <w:tcW w:w="4535" w:type="dxa"/>
          <w:vAlign w:val="bottom"/>
        </w:tcPr>
        <w:p w14:paraId="109CB326" w14:textId="77777777" w:rsidR="00842E0D" w:rsidRDefault="00842E0D" w:rsidP="00AB617A">
          <w:pPr>
            <w:pStyle w:val="Intestazione"/>
            <w:spacing w:before="0"/>
            <w:jc w:val="right"/>
          </w:pPr>
        </w:p>
      </w:tc>
      <w:tc>
        <w:tcPr>
          <w:tcW w:w="4535" w:type="dxa"/>
          <w:vAlign w:val="center"/>
        </w:tcPr>
        <w:sdt>
          <w:sdtPr>
            <w:id w:val="-52318069"/>
            <w:docPartObj>
              <w:docPartGallery w:val="Page Numbers (Top of Page)"/>
              <w:docPartUnique/>
            </w:docPartObj>
          </w:sdtPr>
          <w:sdtContent>
            <w:p w14:paraId="6691727F" w14:textId="77777777" w:rsidR="00842E0D" w:rsidRDefault="00842E0D" w:rsidP="00AB617A">
              <w:pPr>
                <w:pStyle w:val="Intestazione"/>
                <w:spacing w:before="0"/>
                <w:jc w:val="right"/>
              </w:pPr>
              <w:r>
                <w:fldChar w:fldCharType="begin"/>
              </w:r>
              <w:r>
                <w:instrText>PAGE   \* MERGEFORMAT</w:instrText>
              </w:r>
              <w:r>
                <w:fldChar w:fldCharType="separate"/>
              </w:r>
              <w:r>
                <w:t>3</w:t>
              </w:r>
              <w:r>
                <w:fldChar w:fldCharType="end"/>
              </w:r>
            </w:p>
          </w:sdtContent>
        </w:sdt>
      </w:tc>
    </w:tr>
  </w:tbl>
  <w:p w14:paraId="2D800E55" w14:textId="77777777" w:rsidR="00842E0D" w:rsidRDefault="00842E0D" w:rsidP="00DD0BDB">
    <w:pPr>
      <w:pStyle w:val="Intestazione"/>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099A6710" w14:textId="77777777" w:rsidTr="00D62FE7">
      <w:tc>
        <w:tcPr>
          <w:tcW w:w="4535" w:type="dxa"/>
          <w:vAlign w:val="bottom"/>
        </w:tcPr>
        <w:sdt>
          <w:sdtPr>
            <w:id w:val="1097369834"/>
            <w:docPartObj>
              <w:docPartGallery w:val="Page Numbers (Top of Page)"/>
              <w:docPartUnique/>
            </w:docPartObj>
          </w:sdtPr>
          <w:sdtContent>
            <w:p w14:paraId="66893BAB" w14:textId="77777777" w:rsidR="00842E0D" w:rsidRDefault="00842E0D" w:rsidP="00AB617A">
              <w:pPr>
                <w:pStyle w:val="Intestazione"/>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39C304C2" w14:textId="369F9769" w:rsidR="00842E0D" w:rsidRDefault="006E03AD" w:rsidP="00AB617A">
          <w:pPr>
            <w:pStyle w:val="Intestazione"/>
            <w:spacing w:before="0"/>
            <w:jc w:val="right"/>
          </w:pPr>
          <w:r w:rsidRPr="00056F88">
            <w:rPr>
              <w:b/>
              <w:bCs/>
              <w:color w:val="728FA5"/>
            </w:rPr>
            <w:fldChar w:fldCharType="begin"/>
          </w:r>
          <w:r w:rsidRPr="00056F88">
            <w:rPr>
              <w:b/>
              <w:bCs/>
              <w:color w:val="728FA5"/>
            </w:rPr>
            <w:instrText xml:space="preserve"> STYLEREF  "Heading 1" \n  \* MERGEFORMAT </w:instrText>
          </w:r>
          <w:r w:rsidRPr="00056F88">
            <w:rPr>
              <w:b/>
              <w:bCs/>
              <w:color w:val="728FA5"/>
            </w:rPr>
            <w:fldChar w:fldCharType="separate"/>
          </w:r>
          <w:r w:rsidR="00C4719C">
            <w:rPr>
              <w:noProof/>
              <w:color w:val="728FA5"/>
            </w:rPr>
            <w:t>Errore. Per applicare Heading 1 al testo da visualizzare in questo punto, utilizzare la scheda Home.</w:t>
          </w:r>
          <w:r w:rsidRPr="00056F88">
            <w:rPr>
              <w:b/>
              <w:bCs/>
              <w:color w:val="728FA5"/>
            </w:rPr>
            <w:fldChar w:fldCharType="end"/>
          </w:r>
          <w:r w:rsidR="00842E0D" w:rsidRPr="00056F88">
            <w:rPr>
              <w:b/>
              <w:bCs/>
              <w:color w:val="728FA5"/>
            </w:rPr>
            <w:t>|</w:t>
          </w:r>
          <w:r w:rsidR="00842E0D" w:rsidRPr="00842E0D">
            <w:rPr>
              <w:color w:val="728FA5"/>
            </w:rPr>
            <w:t xml:space="preserve"> </w:t>
          </w:r>
          <w:r w:rsidR="00176A77">
            <w:fldChar w:fldCharType="begin"/>
          </w:r>
          <w:r w:rsidR="00176A77">
            <w:instrText xml:space="preserve"> STYLEREF  "Heading 1"  \* MERGEFORMAT </w:instrText>
          </w:r>
          <w:r w:rsidR="00176A77">
            <w:fldChar w:fldCharType="separate"/>
          </w:r>
          <w:r w:rsidR="00C4719C">
            <w:rPr>
              <w:b/>
              <w:bCs/>
              <w:noProof/>
            </w:rPr>
            <w:t>Errore. Per applicare Heading 1 al testo da visualizzare in questo punto, utilizzare la scheda Home.</w:t>
          </w:r>
          <w:r w:rsidR="00176A77">
            <w:rPr>
              <w:noProof/>
            </w:rPr>
            <w:fldChar w:fldCharType="end"/>
          </w:r>
        </w:p>
      </w:tc>
    </w:tr>
  </w:tbl>
  <w:p w14:paraId="03708976" w14:textId="77777777" w:rsidR="00842E0D" w:rsidRDefault="00842E0D">
    <w:pPr>
      <w:pStyle w:val="Intestazione"/>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43FD8565" w14:textId="77777777" w:rsidTr="00D62FE7">
      <w:tc>
        <w:tcPr>
          <w:tcW w:w="4535" w:type="dxa"/>
          <w:vAlign w:val="bottom"/>
        </w:tcPr>
        <w:sdt>
          <w:sdtPr>
            <w:id w:val="-1425332205"/>
            <w:docPartObj>
              <w:docPartGallery w:val="Page Numbers (Top of Page)"/>
              <w:docPartUnique/>
            </w:docPartObj>
          </w:sdtPr>
          <w:sdtContent>
            <w:p w14:paraId="532476D1" w14:textId="26CADD48" w:rsidR="00842E0D" w:rsidRDefault="006E03AD" w:rsidP="00AB617A">
              <w:pPr>
                <w:pStyle w:val="Intestazione"/>
                <w:spacing w:before="0"/>
                <w:jc w:val="left"/>
              </w:pPr>
              <w:r w:rsidRPr="00056F88">
                <w:rPr>
                  <w:b/>
                  <w:bCs/>
                  <w:color w:val="728FA5"/>
                </w:rPr>
                <w:fldChar w:fldCharType="begin"/>
              </w:r>
              <w:r w:rsidRPr="00056F88">
                <w:rPr>
                  <w:b/>
                  <w:bCs/>
                  <w:color w:val="728FA5"/>
                </w:rPr>
                <w:instrText xml:space="preserve"> STYLEREF  "Heading 1" \n  \* MERGEFORMAT </w:instrText>
              </w:r>
              <w:r w:rsidRPr="00056F88">
                <w:rPr>
                  <w:b/>
                  <w:bCs/>
                  <w:color w:val="728FA5"/>
                </w:rPr>
                <w:fldChar w:fldCharType="separate"/>
              </w:r>
              <w:r w:rsidR="00C4719C">
                <w:rPr>
                  <w:noProof/>
                  <w:color w:val="728FA5"/>
                </w:rPr>
                <w:t>Errore. Per applicare Heading 1 al testo da visualizzare in questo punto, utilizzare la scheda Home.</w:t>
              </w:r>
              <w:r w:rsidRPr="00056F88">
                <w:rPr>
                  <w:b/>
                  <w:bCs/>
                  <w:color w:val="728FA5"/>
                </w:rPr>
                <w:fldChar w:fldCharType="end"/>
              </w:r>
              <w:r w:rsidR="00842E0D" w:rsidRPr="00056F88">
                <w:rPr>
                  <w:b/>
                  <w:bCs/>
                  <w:color w:val="728FA5"/>
                </w:rPr>
                <w:t>|</w:t>
              </w:r>
              <w:r w:rsidR="00842E0D" w:rsidRPr="00842E0D">
                <w:rPr>
                  <w:color w:val="728FA5"/>
                </w:rPr>
                <w:t xml:space="preserve"> </w:t>
              </w:r>
              <w:r w:rsidR="00176A77">
                <w:fldChar w:fldCharType="begin"/>
              </w:r>
              <w:r w:rsidR="00176A77">
                <w:instrText xml:space="preserve"> STYLEREF  "Heading 1"  \* MERGEFORMAT </w:instrText>
              </w:r>
              <w:r w:rsidR="00176A77">
                <w:fldChar w:fldCharType="separate"/>
              </w:r>
              <w:r w:rsidR="00C4719C">
                <w:rPr>
                  <w:b/>
                  <w:bCs/>
                  <w:noProof/>
                </w:rPr>
                <w:t>Errore. Per applicare Heading 1 al testo da visualizzare in questo punto, utilizzare la scheda Home.</w:t>
              </w:r>
              <w:r w:rsidR="00176A77">
                <w:rPr>
                  <w:noProof/>
                </w:rPr>
                <w:fldChar w:fldCharType="end"/>
              </w:r>
            </w:p>
          </w:sdtContent>
        </w:sdt>
      </w:tc>
      <w:tc>
        <w:tcPr>
          <w:tcW w:w="4535" w:type="dxa"/>
          <w:vAlign w:val="center"/>
        </w:tcPr>
        <w:p w14:paraId="38EF00C6" w14:textId="77777777" w:rsidR="00842E0D" w:rsidRDefault="00842E0D" w:rsidP="00AB617A">
          <w:pPr>
            <w:pStyle w:val="Intestazione"/>
            <w:spacing w:before="0"/>
            <w:jc w:val="right"/>
          </w:pPr>
          <w:r>
            <w:fldChar w:fldCharType="begin"/>
          </w:r>
          <w:r>
            <w:instrText>PAGE   \* MERGEFORMAT</w:instrText>
          </w:r>
          <w:r>
            <w:fldChar w:fldCharType="separate"/>
          </w:r>
          <w:r>
            <w:t>3</w:t>
          </w:r>
          <w:r>
            <w:fldChar w:fldCharType="end"/>
          </w:r>
        </w:p>
      </w:tc>
    </w:tr>
  </w:tbl>
  <w:p w14:paraId="6FF348E2" w14:textId="77777777" w:rsidR="00842E0D" w:rsidRDefault="00842E0D">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8FBDC" w14:textId="33CC3707" w:rsidR="008D76B5" w:rsidRDefault="0020696B">
    <w:pPr>
      <w:pStyle w:val="Intestazione"/>
    </w:pPr>
    <w:r>
      <w:rPr>
        <w:noProof/>
      </w:rPr>
      <w:drawing>
        <wp:anchor distT="0" distB="0" distL="114300" distR="114300" simplePos="0" relativeHeight="251662336" behindDoc="0" locked="1" layoutInCell="1" allowOverlap="1" wp14:anchorId="3C67D339" wp14:editId="1A6C4F39">
          <wp:simplePos x="0" y="0"/>
          <wp:positionH relativeFrom="column">
            <wp:posOffset>-26670</wp:posOffset>
          </wp:positionH>
          <wp:positionV relativeFrom="page">
            <wp:posOffset>1573530</wp:posOffset>
          </wp:positionV>
          <wp:extent cx="3240000" cy="1206000"/>
          <wp:effectExtent l="0" t="0" r="0" b="0"/>
          <wp:wrapNone/>
          <wp:docPr id="3" name="Picture 3"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text&#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7340" t="14782" r="10208" b="18699"/>
                  <a:stretch/>
                </pic:blipFill>
                <pic:spPr bwMode="auto">
                  <a:xfrm>
                    <a:off x="0" y="0"/>
                    <a:ext cx="3240000" cy="1206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D76B5">
      <w:rPr>
        <w:noProof/>
      </w:rPr>
      <w:drawing>
        <wp:anchor distT="0" distB="0" distL="114300" distR="114300" simplePos="0" relativeHeight="251659264" behindDoc="0" locked="1" layoutInCell="1" allowOverlap="1" wp14:anchorId="1DF7D6C3" wp14:editId="04B205EE">
          <wp:simplePos x="0" y="0"/>
          <wp:positionH relativeFrom="column">
            <wp:posOffset>2592070</wp:posOffset>
          </wp:positionH>
          <wp:positionV relativeFrom="page">
            <wp:posOffset>-1368425</wp:posOffset>
          </wp:positionV>
          <wp:extent cx="5040000" cy="5007600"/>
          <wp:effectExtent l="0" t="0" r="0" b="3175"/>
          <wp:wrapNone/>
          <wp:docPr id="8" name="Picture 8"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2">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77EDF0BD" w14:textId="77777777" w:rsidTr="00D62FE7">
      <w:tc>
        <w:tcPr>
          <w:tcW w:w="4535" w:type="dxa"/>
          <w:vAlign w:val="bottom"/>
        </w:tcPr>
        <w:p w14:paraId="3D71E16D" w14:textId="77777777" w:rsidR="00842E0D" w:rsidRDefault="00842E0D" w:rsidP="00AB617A">
          <w:pPr>
            <w:pStyle w:val="Intestazione"/>
            <w:spacing w:before="0"/>
            <w:jc w:val="right"/>
          </w:pPr>
        </w:p>
      </w:tc>
      <w:tc>
        <w:tcPr>
          <w:tcW w:w="4535" w:type="dxa"/>
          <w:vAlign w:val="center"/>
        </w:tcPr>
        <w:sdt>
          <w:sdtPr>
            <w:id w:val="321242371"/>
            <w:docPartObj>
              <w:docPartGallery w:val="Page Numbers (Top of Page)"/>
              <w:docPartUnique/>
            </w:docPartObj>
          </w:sdtPr>
          <w:sdtContent>
            <w:p w14:paraId="54E1DD26" w14:textId="77777777" w:rsidR="00842E0D" w:rsidRDefault="00842E0D" w:rsidP="00AB617A">
              <w:pPr>
                <w:pStyle w:val="Intestazione"/>
                <w:spacing w:before="0"/>
                <w:jc w:val="right"/>
              </w:pPr>
              <w:r>
                <w:fldChar w:fldCharType="begin"/>
              </w:r>
              <w:r>
                <w:instrText>PAGE   \* MERGEFORMAT</w:instrText>
              </w:r>
              <w:r>
                <w:fldChar w:fldCharType="separate"/>
              </w:r>
              <w:r>
                <w:t>3</w:t>
              </w:r>
              <w:r>
                <w:fldChar w:fldCharType="end"/>
              </w:r>
            </w:p>
          </w:sdtContent>
        </w:sdt>
      </w:tc>
    </w:tr>
  </w:tbl>
  <w:p w14:paraId="7E397F1D" w14:textId="77777777" w:rsidR="00842E0D" w:rsidRDefault="00842E0D" w:rsidP="00DD0BDB">
    <w:pPr>
      <w:pStyle w:val="Intestazione"/>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711FDD34" w14:textId="77777777" w:rsidTr="00D62FE7">
      <w:tc>
        <w:tcPr>
          <w:tcW w:w="4535" w:type="dxa"/>
          <w:vAlign w:val="bottom"/>
        </w:tcPr>
        <w:sdt>
          <w:sdtPr>
            <w:id w:val="-127479006"/>
            <w:docPartObj>
              <w:docPartGallery w:val="Page Numbers (Top of Page)"/>
              <w:docPartUnique/>
            </w:docPartObj>
          </w:sdtPr>
          <w:sdtContent>
            <w:p w14:paraId="1B662D5D" w14:textId="77777777" w:rsidR="00842E0D" w:rsidRDefault="00842E0D" w:rsidP="00AB617A">
              <w:pPr>
                <w:pStyle w:val="Intestazione"/>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39E71510" w14:textId="00881D88" w:rsidR="00842E0D" w:rsidRDefault="00842E0D" w:rsidP="00A6503C">
          <w:pPr>
            <w:pStyle w:val="Intestazione"/>
            <w:spacing w:before="0"/>
            <w:jc w:val="center"/>
          </w:pPr>
        </w:p>
      </w:tc>
    </w:tr>
  </w:tbl>
  <w:p w14:paraId="6E75FE49" w14:textId="77777777" w:rsidR="00842E0D" w:rsidRDefault="00842E0D">
    <w:pPr>
      <w:pStyle w:val="Intestazione"/>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38C52978" w14:textId="77777777" w:rsidTr="00D62FE7">
      <w:tc>
        <w:tcPr>
          <w:tcW w:w="4535" w:type="dxa"/>
          <w:vAlign w:val="bottom"/>
        </w:tcPr>
        <w:p w14:paraId="3A6A4104" w14:textId="23079683" w:rsidR="00842E0D" w:rsidRDefault="00842E0D" w:rsidP="00AB617A">
          <w:pPr>
            <w:pStyle w:val="Intestazione"/>
            <w:spacing w:before="0"/>
            <w:jc w:val="left"/>
          </w:pPr>
        </w:p>
      </w:tc>
      <w:tc>
        <w:tcPr>
          <w:tcW w:w="4535" w:type="dxa"/>
          <w:vAlign w:val="center"/>
        </w:tcPr>
        <w:p w14:paraId="194CF7A5" w14:textId="77777777" w:rsidR="00842E0D" w:rsidRDefault="00842E0D" w:rsidP="00AB617A">
          <w:pPr>
            <w:pStyle w:val="Intestazione"/>
            <w:spacing w:before="0"/>
            <w:jc w:val="right"/>
          </w:pPr>
          <w:r>
            <w:fldChar w:fldCharType="begin"/>
          </w:r>
          <w:r>
            <w:instrText>PAGE   \* MERGEFORMAT</w:instrText>
          </w:r>
          <w:r>
            <w:fldChar w:fldCharType="separate"/>
          </w:r>
          <w:r>
            <w:t>3</w:t>
          </w:r>
          <w:r>
            <w:fldChar w:fldCharType="end"/>
          </w:r>
        </w:p>
      </w:tc>
    </w:tr>
  </w:tbl>
  <w:p w14:paraId="7ED4A0BB" w14:textId="77777777" w:rsidR="00842E0D" w:rsidRDefault="00842E0D">
    <w:pPr>
      <w:pStyle w:val="Intestazione"/>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0BA236C3" w14:textId="77777777" w:rsidTr="00D62FE7">
      <w:tc>
        <w:tcPr>
          <w:tcW w:w="4535" w:type="dxa"/>
          <w:vAlign w:val="bottom"/>
        </w:tcPr>
        <w:p w14:paraId="0062ACEA" w14:textId="77777777" w:rsidR="00842E0D" w:rsidRDefault="00842E0D" w:rsidP="00AB617A">
          <w:pPr>
            <w:pStyle w:val="Intestazione"/>
            <w:spacing w:before="0"/>
            <w:jc w:val="right"/>
          </w:pPr>
        </w:p>
      </w:tc>
      <w:tc>
        <w:tcPr>
          <w:tcW w:w="4535" w:type="dxa"/>
          <w:vAlign w:val="center"/>
        </w:tcPr>
        <w:sdt>
          <w:sdtPr>
            <w:id w:val="-1386563732"/>
            <w:docPartObj>
              <w:docPartGallery w:val="Page Numbers (Top of Page)"/>
              <w:docPartUnique/>
            </w:docPartObj>
          </w:sdtPr>
          <w:sdtContent>
            <w:p w14:paraId="64903731" w14:textId="77777777" w:rsidR="00842E0D" w:rsidRDefault="00842E0D" w:rsidP="00AB617A">
              <w:pPr>
                <w:pStyle w:val="Intestazione"/>
                <w:spacing w:before="0"/>
                <w:jc w:val="right"/>
              </w:pPr>
              <w:r>
                <w:fldChar w:fldCharType="begin"/>
              </w:r>
              <w:r>
                <w:instrText>PAGE   \* MERGEFORMAT</w:instrText>
              </w:r>
              <w:r>
                <w:fldChar w:fldCharType="separate"/>
              </w:r>
              <w:r>
                <w:t>3</w:t>
              </w:r>
              <w:r>
                <w:fldChar w:fldCharType="end"/>
              </w:r>
            </w:p>
          </w:sdtContent>
        </w:sdt>
      </w:tc>
    </w:tr>
  </w:tbl>
  <w:p w14:paraId="691B7E2D" w14:textId="77777777" w:rsidR="00842E0D" w:rsidRDefault="00842E0D" w:rsidP="00DD0BDB">
    <w:pPr>
      <w:pStyle w:val="Intestazione"/>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C5B85" w14:textId="77777777" w:rsidR="00A21E98" w:rsidRDefault="00A21E98" w:rsidP="00DD0BDB">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1574D8" w14:paraId="584B1964" w14:textId="77777777" w:rsidTr="00F2086E">
      <w:tc>
        <w:tcPr>
          <w:tcW w:w="4535" w:type="dxa"/>
          <w:vAlign w:val="bottom"/>
        </w:tcPr>
        <w:sdt>
          <w:sdtPr>
            <w:id w:val="1576171228"/>
            <w:docPartObj>
              <w:docPartGallery w:val="Page Numbers (Top of Page)"/>
              <w:docPartUnique/>
            </w:docPartObj>
          </w:sdtPr>
          <w:sdtContent>
            <w:p w14:paraId="1BEA6C2A" w14:textId="77777777" w:rsidR="001574D8" w:rsidRDefault="001574D8" w:rsidP="00AB617A">
              <w:pPr>
                <w:pStyle w:val="Intestazione"/>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0B445A5B" w14:textId="6E28B6A3" w:rsidR="001574D8" w:rsidRDefault="001574D8" w:rsidP="00AB617A">
          <w:pPr>
            <w:pStyle w:val="Intestazione"/>
            <w:spacing w:before="0"/>
            <w:jc w:val="right"/>
          </w:pPr>
          <w:r w:rsidRPr="00056F88">
            <w:rPr>
              <w:b/>
              <w:bCs/>
              <w:color w:val="728FA5"/>
            </w:rPr>
            <w:t>|</w:t>
          </w:r>
          <w:r w:rsidR="00842E0D" w:rsidRPr="00842E0D">
            <w:rPr>
              <w:color w:val="728FA5"/>
            </w:rPr>
            <w:t xml:space="preserve"> </w:t>
          </w:r>
          <w:r w:rsidR="005B16C6">
            <w:fldChar w:fldCharType="begin"/>
          </w:r>
          <w:r w:rsidR="005B16C6">
            <w:instrText xml:space="preserve"> STYLEREF  "Heading 1"  \* MERGEFORMAT </w:instrText>
          </w:r>
          <w:r w:rsidR="005B16C6">
            <w:fldChar w:fldCharType="separate"/>
          </w:r>
          <w:r w:rsidR="00A834F5">
            <w:rPr>
              <w:b/>
              <w:bCs/>
              <w:noProof/>
            </w:rPr>
            <w:t>Errore. Per applicare Heading 1 al testo da visualizzare in questo punto, utilizzare la scheda Home.</w:t>
          </w:r>
          <w:r w:rsidR="005B16C6">
            <w:rPr>
              <w:noProof/>
            </w:rPr>
            <w:fldChar w:fldCharType="end"/>
          </w:r>
        </w:p>
      </w:tc>
    </w:tr>
  </w:tbl>
  <w:p w14:paraId="541A0458" w14:textId="77777777" w:rsidR="001574D8" w:rsidRDefault="001574D8" w:rsidP="00AB617A">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9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A42E62" w14:paraId="2346F8A4" w14:textId="77777777" w:rsidTr="00F2086E">
      <w:trPr>
        <w:trHeight w:val="253"/>
      </w:trPr>
      <w:tc>
        <w:tcPr>
          <w:tcW w:w="4535" w:type="dxa"/>
          <w:vAlign w:val="bottom"/>
        </w:tcPr>
        <w:p w14:paraId="06D66619" w14:textId="77777777" w:rsidR="00A42E62" w:rsidRDefault="00A42E62" w:rsidP="00894CF0">
          <w:pPr>
            <w:pStyle w:val="Intestazione"/>
            <w:spacing w:before="0"/>
            <w:jc w:val="right"/>
          </w:pPr>
        </w:p>
      </w:tc>
      <w:tc>
        <w:tcPr>
          <w:tcW w:w="4535" w:type="dxa"/>
          <w:vAlign w:val="center"/>
        </w:tcPr>
        <w:p w14:paraId="6A17849A" w14:textId="78D6BC24" w:rsidR="00A42E62" w:rsidRDefault="00A42E62" w:rsidP="00894CF0">
          <w:pPr>
            <w:pStyle w:val="Intestazione"/>
            <w:spacing w:before="0"/>
            <w:jc w:val="right"/>
          </w:pPr>
        </w:p>
      </w:tc>
    </w:tr>
  </w:tbl>
  <w:p w14:paraId="74BD663E" w14:textId="77777777" w:rsidR="00A42E62" w:rsidRDefault="00A42E62" w:rsidP="0096765C">
    <w:pPr>
      <w:pStyle w:val="Intestazion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07E22" w14:textId="77777777" w:rsidR="002E61C1" w:rsidRDefault="002E61C1">
    <w:pPr>
      <w:pStyle w:val="Intestazion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5CB20" w14:textId="77777777" w:rsidR="00B62C30" w:rsidRDefault="00B62C30" w:rsidP="00D62FE7">
    <w:pPr>
      <w:pStyle w:val="Intestazione"/>
    </w:pPr>
  </w:p>
  <w:p w14:paraId="539C7133" w14:textId="77777777" w:rsidR="00A834F5" w:rsidRDefault="00A834F5" w:rsidP="00D62FE7">
    <w:pPr>
      <w:pStyle w:val="Intestazion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9"/>
      <w:gridCol w:w="4060"/>
    </w:tblGrid>
    <w:tr w:rsidR="00B62C30" w14:paraId="2CE9DF5C" w14:textId="77777777" w:rsidTr="003E685A">
      <w:tc>
        <w:tcPr>
          <w:tcW w:w="4388" w:type="dxa"/>
          <w:vAlign w:val="bottom"/>
        </w:tcPr>
        <w:sdt>
          <w:sdtPr>
            <w:id w:val="2126578590"/>
            <w:docPartObj>
              <w:docPartGallery w:val="Page Numbers (Top of Page)"/>
              <w:docPartUnique/>
            </w:docPartObj>
          </w:sdtPr>
          <w:sdtContent>
            <w:p w14:paraId="02BD6FF7" w14:textId="10A6DE56" w:rsidR="00B62C30" w:rsidRDefault="00B62C30" w:rsidP="00AB617A">
              <w:pPr>
                <w:pStyle w:val="Intestazione"/>
                <w:spacing w:before="0"/>
                <w:jc w:val="left"/>
              </w:pPr>
              <w:r w:rsidRPr="00056F88">
                <w:rPr>
                  <w:b/>
                  <w:bCs/>
                  <w:color w:val="728FA5"/>
                </w:rPr>
                <w:t>|</w:t>
              </w:r>
              <w:r w:rsidRPr="00842E0D">
                <w:rPr>
                  <w:color w:val="728FA5"/>
                </w:rPr>
                <w:t xml:space="preserve"> </w:t>
              </w:r>
              <w:r w:rsidR="005B16C6">
                <w:fldChar w:fldCharType="begin"/>
              </w:r>
              <w:r w:rsidR="005B16C6">
                <w:instrText xml:space="preserve"> STYLEREF  "Heading 1"  \* MERGEFORMAT </w:instrText>
              </w:r>
              <w:r w:rsidR="005B16C6">
                <w:fldChar w:fldCharType="separate"/>
              </w:r>
              <w:r w:rsidR="00E468DE">
                <w:rPr>
                  <w:b/>
                  <w:bCs/>
                  <w:noProof/>
                </w:rPr>
                <w:t>Errore. Per applicare Heading 1 al testo da visualizzare in questo punto, utilizzare la scheda Home.</w:t>
              </w:r>
              <w:r w:rsidR="005B16C6">
                <w:rPr>
                  <w:noProof/>
                </w:rPr>
                <w:fldChar w:fldCharType="end"/>
              </w:r>
            </w:p>
          </w:sdtContent>
        </w:sdt>
      </w:tc>
      <w:tc>
        <w:tcPr>
          <w:tcW w:w="4389" w:type="dxa"/>
          <w:vAlign w:val="center"/>
        </w:tcPr>
        <w:p w14:paraId="387CF5AE" w14:textId="77777777" w:rsidR="00B62C30" w:rsidRDefault="00B62C30" w:rsidP="00AB617A">
          <w:pPr>
            <w:pStyle w:val="Intestazione"/>
            <w:spacing w:before="0"/>
            <w:jc w:val="right"/>
          </w:pPr>
          <w:r>
            <w:fldChar w:fldCharType="begin"/>
          </w:r>
          <w:r>
            <w:instrText>PAGE   \* MERGEFORMAT</w:instrText>
          </w:r>
          <w:r>
            <w:fldChar w:fldCharType="separate"/>
          </w:r>
          <w:r>
            <w:t>3</w:t>
          </w:r>
          <w:r>
            <w:fldChar w:fldCharType="end"/>
          </w:r>
        </w:p>
      </w:tc>
    </w:tr>
  </w:tbl>
  <w:p w14:paraId="232AA5BD" w14:textId="77777777" w:rsidR="00B62C30" w:rsidRPr="00AB617A" w:rsidRDefault="00B62C30" w:rsidP="00AB617A">
    <w:pPr>
      <w:pStyle w:val="Intestazion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907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DD0BDB" w14:paraId="0740D7FE" w14:textId="77777777" w:rsidTr="00F2086E">
      <w:tc>
        <w:tcPr>
          <w:tcW w:w="4535" w:type="dxa"/>
          <w:vAlign w:val="bottom"/>
        </w:tcPr>
        <w:p w14:paraId="7EA78D0F" w14:textId="77777777" w:rsidR="00DD0BDB" w:rsidRDefault="00DD0BDB" w:rsidP="00894CF0">
          <w:pPr>
            <w:pStyle w:val="Intestazione"/>
            <w:spacing w:before="0"/>
            <w:jc w:val="right"/>
          </w:pPr>
        </w:p>
      </w:tc>
      <w:tc>
        <w:tcPr>
          <w:tcW w:w="4535" w:type="dxa"/>
          <w:vAlign w:val="center"/>
        </w:tcPr>
        <w:sdt>
          <w:sdtPr>
            <w:id w:val="-2078432976"/>
            <w:docPartObj>
              <w:docPartGallery w:val="Page Numbers (Top of Page)"/>
              <w:docPartUnique/>
            </w:docPartObj>
          </w:sdtPr>
          <w:sdtContent>
            <w:p w14:paraId="7CDB61B8" w14:textId="77777777" w:rsidR="00DD0BDB" w:rsidRDefault="00DD0BDB" w:rsidP="00894CF0">
              <w:pPr>
                <w:pStyle w:val="Intestazione"/>
                <w:spacing w:before="0"/>
                <w:jc w:val="right"/>
              </w:pPr>
              <w:r>
                <w:fldChar w:fldCharType="begin"/>
              </w:r>
              <w:r>
                <w:instrText>PAGE   \* MERGEFORMAT</w:instrText>
              </w:r>
              <w:r>
                <w:fldChar w:fldCharType="separate"/>
              </w:r>
              <w:r>
                <w:t>3</w:t>
              </w:r>
              <w:r>
                <w:fldChar w:fldCharType="end"/>
              </w:r>
            </w:p>
          </w:sdtContent>
        </w:sdt>
      </w:tc>
    </w:tr>
  </w:tbl>
  <w:p w14:paraId="54A4221D" w14:textId="77777777" w:rsidR="00356473" w:rsidRDefault="00356473" w:rsidP="00DD0BDB">
    <w:pPr>
      <w:pStyle w:val="Intestazion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307E81" w14:paraId="7998E9C0" w14:textId="77777777" w:rsidTr="00D62FE7">
      <w:tc>
        <w:tcPr>
          <w:tcW w:w="4535" w:type="dxa"/>
          <w:vAlign w:val="bottom"/>
        </w:tcPr>
        <w:sdt>
          <w:sdtPr>
            <w:id w:val="396164686"/>
            <w:docPartObj>
              <w:docPartGallery w:val="Page Numbers (Top of Page)"/>
              <w:docPartUnique/>
            </w:docPartObj>
          </w:sdtPr>
          <w:sdtContent>
            <w:p w14:paraId="321E3C78" w14:textId="77777777" w:rsidR="00307E81" w:rsidRDefault="00307E81" w:rsidP="00AB617A">
              <w:pPr>
                <w:pStyle w:val="Intestazione"/>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4D02A5A1" w14:textId="4AD39837" w:rsidR="00307E81" w:rsidRDefault="00307E81" w:rsidP="00AB617A">
          <w:pPr>
            <w:pStyle w:val="Intestazione"/>
            <w:spacing w:before="0"/>
            <w:jc w:val="right"/>
          </w:pPr>
        </w:p>
      </w:tc>
    </w:tr>
  </w:tbl>
  <w:p w14:paraId="7C6258A7" w14:textId="77777777" w:rsidR="006A78D0" w:rsidRPr="00307E81" w:rsidRDefault="006A78D0" w:rsidP="00307E8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D2A"/>
    <w:multiLevelType w:val="multilevel"/>
    <w:tmpl w:val="F216E05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04624C0C"/>
    <w:multiLevelType w:val="hybridMultilevel"/>
    <w:tmpl w:val="3FECC4B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DF11B24"/>
    <w:multiLevelType w:val="multilevel"/>
    <w:tmpl w:val="C69AA3DA"/>
    <w:lvl w:ilvl="0">
      <w:start w:val="1"/>
      <w:numFmt w:val="decimal"/>
      <w:pStyle w:val="Titolo1"/>
      <w:lvlText w:val="%1"/>
      <w:lvlJc w:val="left"/>
      <w:pPr>
        <w:ind w:left="851" w:hanging="851"/>
      </w:pPr>
      <w:rPr>
        <w:rFonts w:ascii="Palatino Linotype" w:hAnsi="Palatino Linotype" w:hint="default"/>
        <w:color w:val="728FA5"/>
        <w:sz w:val="72"/>
      </w:rPr>
    </w:lvl>
    <w:lvl w:ilvl="1">
      <w:start w:val="1"/>
      <w:numFmt w:val="decimal"/>
      <w:pStyle w:val="Titolo2"/>
      <w:lvlText w:val="%1.%2."/>
      <w:lvlJc w:val="left"/>
      <w:pPr>
        <w:ind w:left="851" w:hanging="851"/>
      </w:pPr>
      <w:rPr>
        <w:rFonts w:hint="default"/>
        <w:b w:val="0"/>
        <w:bCs/>
      </w:rPr>
    </w:lvl>
    <w:lvl w:ilvl="2">
      <w:start w:val="1"/>
      <w:numFmt w:val="decimal"/>
      <w:pStyle w:val="Titolo3"/>
      <w:lvlText w:val="%1.%2.%3."/>
      <w:lvlJc w:val="left"/>
      <w:pPr>
        <w:ind w:left="851" w:hanging="851"/>
      </w:pPr>
      <w:rPr>
        <w:rFonts w:hint="default"/>
      </w:rPr>
    </w:lvl>
    <w:lvl w:ilvl="3">
      <w:start w:val="1"/>
      <w:numFmt w:val="decimal"/>
      <w:pStyle w:val="Titolo4"/>
      <w:lvlText w:val="%1.%2.%3.%4."/>
      <w:lvlJc w:val="left"/>
      <w:pPr>
        <w:ind w:left="851" w:hanging="851"/>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3" w15:restartNumberingAfterBreak="0">
    <w:nsid w:val="1194170B"/>
    <w:multiLevelType w:val="multilevel"/>
    <w:tmpl w:val="2124D9CA"/>
    <w:lvl w:ilvl="0">
      <w:start w:val="1"/>
      <w:numFmt w:val="decimal"/>
      <w:lvlText w:val="%1"/>
      <w:lvlJc w:val="left"/>
      <w:pPr>
        <w:ind w:left="1134" w:hanging="1134"/>
      </w:pPr>
      <w:rPr>
        <w:rFonts w:ascii="Palatino Linotype" w:hAnsi="Palatino Linotype" w:hint="default"/>
        <w:color w:val="728FA5"/>
        <w:sz w:val="72"/>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pStyle w:val="Titolo5"/>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4" w15:restartNumberingAfterBreak="0">
    <w:nsid w:val="12EF06CD"/>
    <w:multiLevelType w:val="hybridMultilevel"/>
    <w:tmpl w:val="10BA11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22800FA"/>
    <w:multiLevelType w:val="multilevel"/>
    <w:tmpl w:val="3296F20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 w15:restartNumberingAfterBreak="0">
    <w:nsid w:val="32F77370"/>
    <w:multiLevelType w:val="multilevel"/>
    <w:tmpl w:val="ABA2ECF2"/>
    <w:lvl w:ilvl="0">
      <w:start w:val="1"/>
      <w:numFmt w:val="bullet"/>
      <w:lvlText w:val=""/>
      <w:lvlJc w:val="left"/>
      <w:pPr>
        <w:tabs>
          <w:tab w:val="num" w:pos="501"/>
        </w:tabs>
        <w:ind w:left="501"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3A75125"/>
    <w:multiLevelType w:val="multilevel"/>
    <w:tmpl w:val="6716245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34EF6A57"/>
    <w:multiLevelType w:val="multilevel"/>
    <w:tmpl w:val="976699A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9" w15:restartNumberingAfterBreak="0">
    <w:nsid w:val="39D85AA6"/>
    <w:multiLevelType w:val="multilevel"/>
    <w:tmpl w:val="5BD2F496"/>
    <w:styleLink w:val="Style1"/>
    <w:lvl w:ilvl="0">
      <w:start w:val="1"/>
      <w:numFmt w:val="upperLetter"/>
      <w:lvlText w:val="%1"/>
      <w:lvlJc w:val="left"/>
      <w:pPr>
        <w:ind w:left="851" w:hanging="851"/>
      </w:pPr>
      <w:rPr>
        <w:rFonts w:ascii="Palatino Linotype" w:hAnsi="Palatino Linotype" w:hint="default"/>
        <w:color w:val="728FA5"/>
        <w:sz w:val="72"/>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10" w15:restartNumberingAfterBreak="0">
    <w:nsid w:val="4EC77C44"/>
    <w:multiLevelType w:val="multilevel"/>
    <w:tmpl w:val="13C274EA"/>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4967C1A"/>
    <w:multiLevelType w:val="multilevel"/>
    <w:tmpl w:val="9FC27228"/>
    <w:styleLink w:val="Style2"/>
    <w:lvl w:ilvl="0">
      <w:start w:val="2"/>
      <w:numFmt w:val="upperLetter"/>
      <w:lvlText w:val="%1"/>
      <w:lvlJc w:val="left"/>
      <w:pPr>
        <w:ind w:left="851" w:hanging="851"/>
      </w:pPr>
      <w:rPr>
        <w:rFonts w:ascii="Palatino Linotype" w:hAnsi="Palatino Linotype" w:hint="default"/>
        <w:color w:val="728FA5"/>
        <w:sz w:val="72"/>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12" w15:restartNumberingAfterBreak="0">
    <w:nsid w:val="790F060D"/>
    <w:multiLevelType w:val="multilevel"/>
    <w:tmpl w:val="AEE4EAD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98543174">
    <w:abstractNumId w:val="2"/>
  </w:num>
  <w:num w:numId="2" w16cid:durableId="326399980">
    <w:abstractNumId w:val="9"/>
  </w:num>
  <w:num w:numId="3" w16cid:durableId="950013053">
    <w:abstractNumId w:val="3"/>
  </w:num>
  <w:num w:numId="4" w16cid:durableId="1867013967">
    <w:abstractNumId w:val="11"/>
  </w:num>
  <w:num w:numId="5" w16cid:durableId="1817410245">
    <w:abstractNumId w:val="12"/>
  </w:num>
  <w:num w:numId="6" w16cid:durableId="1006714996">
    <w:abstractNumId w:val="5"/>
  </w:num>
  <w:num w:numId="7" w16cid:durableId="2111117306">
    <w:abstractNumId w:val="1"/>
  </w:num>
  <w:num w:numId="8" w16cid:durableId="1638409793">
    <w:abstractNumId w:val="0"/>
  </w:num>
  <w:num w:numId="9" w16cid:durableId="1347320549">
    <w:abstractNumId w:val="6"/>
  </w:num>
  <w:num w:numId="10" w16cid:durableId="164901527">
    <w:abstractNumId w:val="4"/>
  </w:num>
  <w:num w:numId="11" w16cid:durableId="2039695454">
    <w:abstractNumId w:val="7"/>
  </w:num>
  <w:num w:numId="12" w16cid:durableId="1835564853">
    <w:abstractNumId w:val="10"/>
  </w:num>
  <w:num w:numId="13" w16cid:durableId="1668749810">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0924"/>
    <w:rsid w:val="00000268"/>
    <w:rsid w:val="00001B92"/>
    <w:rsid w:val="00003651"/>
    <w:rsid w:val="00011911"/>
    <w:rsid w:val="00023CDC"/>
    <w:rsid w:val="0002595B"/>
    <w:rsid w:val="00040978"/>
    <w:rsid w:val="00047A37"/>
    <w:rsid w:val="00047DAB"/>
    <w:rsid w:val="00052980"/>
    <w:rsid w:val="00055241"/>
    <w:rsid w:val="00056F88"/>
    <w:rsid w:val="00067955"/>
    <w:rsid w:val="00070452"/>
    <w:rsid w:val="00071590"/>
    <w:rsid w:val="000728A8"/>
    <w:rsid w:val="000759FD"/>
    <w:rsid w:val="00076D89"/>
    <w:rsid w:val="000823DE"/>
    <w:rsid w:val="00082EA8"/>
    <w:rsid w:val="000871D8"/>
    <w:rsid w:val="000875DC"/>
    <w:rsid w:val="00092884"/>
    <w:rsid w:val="000932F7"/>
    <w:rsid w:val="00096027"/>
    <w:rsid w:val="000A2D48"/>
    <w:rsid w:val="000A47FD"/>
    <w:rsid w:val="000B0E37"/>
    <w:rsid w:val="000B4072"/>
    <w:rsid w:val="000D3653"/>
    <w:rsid w:val="000D3B02"/>
    <w:rsid w:val="000D6B1C"/>
    <w:rsid w:val="000D6CA1"/>
    <w:rsid w:val="000E4C15"/>
    <w:rsid w:val="000F48CB"/>
    <w:rsid w:val="000F711A"/>
    <w:rsid w:val="00100305"/>
    <w:rsid w:val="0011254C"/>
    <w:rsid w:val="00114E90"/>
    <w:rsid w:val="001153FB"/>
    <w:rsid w:val="00116925"/>
    <w:rsid w:val="0012416E"/>
    <w:rsid w:val="00124E46"/>
    <w:rsid w:val="00125C9F"/>
    <w:rsid w:val="00126B26"/>
    <w:rsid w:val="00133A05"/>
    <w:rsid w:val="00133D7B"/>
    <w:rsid w:val="00136C6A"/>
    <w:rsid w:val="001417B0"/>
    <w:rsid w:val="00142C55"/>
    <w:rsid w:val="00144CA2"/>
    <w:rsid w:val="00146784"/>
    <w:rsid w:val="0015700E"/>
    <w:rsid w:val="001574D8"/>
    <w:rsid w:val="00163444"/>
    <w:rsid w:val="00163F71"/>
    <w:rsid w:val="00170089"/>
    <w:rsid w:val="00173787"/>
    <w:rsid w:val="00174006"/>
    <w:rsid w:val="00176A77"/>
    <w:rsid w:val="00183639"/>
    <w:rsid w:val="00183B7F"/>
    <w:rsid w:val="00185FB1"/>
    <w:rsid w:val="00192EA4"/>
    <w:rsid w:val="00194BC6"/>
    <w:rsid w:val="001A2CD3"/>
    <w:rsid w:val="001A387D"/>
    <w:rsid w:val="001A3BB0"/>
    <w:rsid w:val="001B164A"/>
    <w:rsid w:val="001B2AF3"/>
    <w:rsid w:val="001B4CDA"/>
    <w:rsid w:val="001B5CFA"/>
    <w:rsid w:val="001C0E3C"/>
    <w:rsid w:val="001C7892"/>
    <w:rsid w:val="001D4999"/>
    <w:rsid w:val="001D53CD"/>
    <w:rsid w:val="001D5862"/>
    <w:rsid w:val="001D6F22"/>
    <w:rsid w:val="001D7EBF"/>
    <w:rsid w:val="001E0877"/>
    <w:rsid w:val="001E14EF"/>
    <w:rsid w:val="001E1880"/>
    <w:rsid w:val="001E246C"/>
    <w:rsid w:val="001E7F8B"/>
    <w:rsid w:val="001F1C35"/>
    <w:rsid w:val="001F2672"/>
    <w:rsid w:val="001F7574"/>
    <w:rsid w:val="0020014D"/>
    <w:rsid w:val="0020696B"/>
    <w:rsid w:val="00206FBE"/>
    <w:rsid w:val="00210E43"/>
    <w:rsid w:val="002140A7"/>
    <w:rsid w:val="00215CE8"/>
    <w:rsid w:val="00216219"/>
    <w:rsid w:val="0021716B"/>
    <w:rsid w:val="00217F00"/>
    <w:rsid w:val="00220A7B"/>
    <w:rsid w:val="00224345"/>
    <w:rsid w:val="00227529"/>
    <w:rsid w:val="0023368E"/>
    <w:rsid w:val="00240BA8"/>
    <w:rsid w:val="00241948"/>
    <w:rsid w:val="00242CDA"/>
    <w:rsid w:val="00250300"/>
    <w:rsid w:val="00256931"/>
    <w:rsid w:val="00262AF5"/>
    <w:rsid w:val="00272A05"/>
    <w:rsid w:val="002749C9"/>
    <w:rsid w:val="00274FB4"/>
    <w:rsid w:val="0027500C"/>
    <w:rsid w:val="00280BB8"/>
    <w:rsid w:val="00283A25"/>
    <w:rsid w:val="00283DCC"/>
    <w:rsid w:val="00284AE5"/>
    <w:rsid w:val="00285798"/>
    <w:rsid w:val="00286BC1"/>
    <w:rsid w:val="002950CB"/>
    <w:rsid w:val="002952C4"/>
    <w:rsid w:val="002964B5"/>
    <w:rsid w:val="00296690"/>
    <w:rsid w:val="00296B38"/>
    <w:rsid w:val="002A0706"/>
    <w:rsid w:val="002A6B7D"/>
    <w:rsid w:val="002B4C72"/>
    <w:rsid w:val="002B574F"/>
    <w:rsid w:val="002B715B"/>
    <w:rsid w:val="002C3961"/>
    <w:rsid w:val="002C3B7C"/>
    <w:rsid w:val="002C4F43"/>
    <w:rsid w:val="002C6014"/>
    <w:rsid w:val="002C6ED9"/>
    <w:rsid w:val="002D2B13"/>
    <w:rsid w:val="002D58A9"/>
    <w:rsid w:val="002E05C9"/>
    <w:rsid w:val="002E10BB"/>
    <w:rsid w:val="002E61C1"/>
    <w:rsid w:val="002F0E95"/>
    <w:rsid w:val="002F57DE"/>
    <w:rsid w:val="002F70F0"/>
    <w:rsid w:val="00300D75"/>
    <w:rsid w:val="0030157A"/>
    <w:rsid w:val="00307E81"/>
    <w:rsid w:val="003107BA"/>
    <w:rsid w:val="0031124B"/>
    <w:rsid w:val="00311824"/>
    <w:rsid w:val="0031235B"/>
    <w:rsid w:val="003133FD"/>
    <w:rsid w:val="00315D28"/>
    <w:rsid w:val="00322495"/>
    <w:rsid w:val="00323F09"/>
    <w:rsid w:val="0032534D"/>
    <w:rsid w:val="00327713"/>
    <w:rsid w:val="003338AA"/>
    <w:rsid w:val="00335175"/>
    <w:rsid w:val="003479A6"/>
    <w:rsid w:val="00351D07"/>
    <w:rsid w:val="00354754"/>
    <w:rsid w:val="00355125"/>
    <w:rsid w:val="00356473"/>
    <w:rsid w:val="0036108F"/>
    <w:rsid w:val="0036259F"/>
    <w:rsid w:val="00364C7D"/>
    <w:rsid w:val="00365517"/>
    <w:rsid w:val="00367E56"/>
    <w:rsid w:val="00371352"/>
    <w:rsid w:val="00372087"/>
    <w:rsid w:val="00373348"/>
    <w:rsid w:val="00375FBE"/>
    <w:rsid w:val="003767E0"/>
    <w:rsid w:val="00376CDB"/>
    <w:rsid w:val="003844CA"/>
    <w:rsid w:val="003857A1"/>
    <w:rsid w:val="00391EB6"/>
    <w:rsid w:val="003921FF"/>
    <w:rsid w:val="0039250D"/>
    <w:rsid w:val="00393114"/>
    <w:rsid w:val="00394537"/>
    <w:rsid w:val="00395112"/>
    <w:rsid w:val="00395B62"/>
    <w:rsid w:val="003A0A45"/>
    <w:rsid w:val="003A0EF4"/>
    <w:rsid w:val="003A662F"/>
    <w:rsid w:val="003A7EB7"/>
    <w:rsid w:val="003B09FB"/>
    <w:rsid w:val="003B0BCE"/>
    <w:rsid w:val="003C1BC1"/>
    <w:rsid w:val="003C1D91"/>
    <w:rsid w:val="003C2267"/>
    <w:rsid w:val="003C47CB"/>
    <w:rsid w:val="003C5469"/>
    <w:rsid w:val="003C5931"/>
    <w:rsid w:val="003D073C"/>
    <w:rsid w:val="003D421E"/>
    <w:rsid w:val="003D6619"/>
    <w:rsid w:val="003D75B0"/>
    <w:rsid w:val="003E1C4A"/>
    <w:rsid w:val="003E7668"/>
    <w:rsid w:val="003F2435"/>
    <w:rsid w:val="003F7E06"/>
    <w:rsid w:val="00400549"/>
    <w:rsid w:val="00400DCE"/>
    <w:rsid w:val="00406D05"/>
    <w:rsid w:val="004117A8"/>
    <w:rsid w:val="00412350"/>
    <w:rsid w:val="00412467"/>
    <w:rsid w:val="00414652"/>
    <w:rsid w:val="00416C6B"/>
    <w:rsid w:val="00417174"/>
    <w:rsid w:val="00423AE6"/>
    <w:rsid w:val="00431735"/>
    <w:rsid w:val="00435F89"/>
    <w:rsid w:val="00444545"/>
    <w:rsid w:val="0045045E"/>
    <w:rsid w:val="004506F9"/>
    <w:rsid w:val="00454C0A"/>
    <w:rsid w:val="004579E0"/>
    <w:rsid w:val="00471004"/>
    <w:rsid w:val="004775D1"/>
    <w:rsid w:val="004813AE"/>
    <w:rsid w:val="00481AE8"/>
    <w:rsid w:val="00481B9D"/>
    <w:rsid w:val="004871CA"/>
    <w:rsid w:val="00487A7B"/>
    <w:rsid w:val="0049766A"/>
    <w:rsid w:val="004A0EDF"/>
    <w:rsid w:val="004A4A3D"/>
    <w:rsid w:val="004A6E95"/>
    <w:rsid w:val="004B24D5"/>
    <w:rsid w:val="004B383B"/>
    <w:rsid w:val="004B5000"/>
    <w:rsid w:val="004C1C58"/>
    <w:rsid w:val="004C3A14"/>
    <w:rsid w:val="004D6F82"/>
    <w:rsid w:val="004E5962"/>
    <w:rsid w:val="004E6FCC"/>
    <w:rsid w:val="004F01F5"/>
    <w:rsid w:val="004F46E7"/>
    <w:rsid w:val="004F5F24"/>
    <w:rsid w:val="00502820"/>
    <w:rsid w:val="00506D6B"/>
    <w:rsid w:val="005107BF"/>
    <w:rsid w:val="0051292A"/>
    <w:rsid w:val="005130B6"/>
    <w:rsid w:val="005140B6"/>
    <w:rsid w:val="00514594"/>
    <w:rsid w:val="00514EA7"/>
    <w:rsid w:val="0051628A"/>
    <w:rsid w:val="005259A3"/>
    <w:rsid w:val="00526664"/>
    <w:rsid w:val="005325B8"/>
    <w:rsid w:val="00540E84"/>
    <w:rsid w:val="00543B54"/>
    <w:rsid w:val="00544367"/>
    <w:rsid w:val="00544380"/>
    <w:rsid w:val="00544E92"/>
    <w:rsid w:val="00547D4C"/>
    <w:rsid w:val="0055229A"/>
    <w:rsid w:val="00552967"/>
    <w:rsid w:val="0055373D"/>
    <w:rsid w:val="00553C0E"/>
    <w:rsid w:val="005553F1"/>
    <w:rsid w:val="005555A6"/>
    <w:rsid w:val="00560654"/>
    <w:rsid w:val="00563137"/>
    <w:rsid w:val="005666FC"/>
    <w:rsid w:val="00574B43"/>
    <w:rsid w:val="00576E05"/>
    <w:rsid w:val="0058138B"/>
    <w:rsid w:val="00582764"/>
    <w:rsid w:val="00585DF4"/>
    <w:rsid w:val="00590624"/>
    <w:rsid w:val="005935E7"/>
    <w:rsid w:val="00594E54"/>
    <w:rsid w:val="005961F1"/>
    <w:rsid w:val="005A1D27"/>
    <w:rsid w:val="005A2852"/>
    <w:rsid w:val="005A2D3D"/>
    <w:rsid w:val="005B0938"/>
    <w:rsid w:val="005B16C6"/>
    <w:rsid w:val="005B1C59"/>
    <w:rsid w:val="005B4D03"/>
    <w:rsid w:val="005B6B53"/>
    <w:rsid w:val="005C0EFF"/>
    <w:rsid w:val="005C5AC3"/>
    <w:rsid w:val="005D0D7A"/>
    <w:rsid w:val="005D2480"/>
    <w:rsid w:val="005D3055"/>
    <w:rsid w:val="005D753B"/>
    <w:rsid w:val="005E2183"/>
    <w:rsid w:val="005E4DD0"/>
    <w:rsid w:val="005E514C"/>
    <w:rsid w:val="005F0F10"/>
    <w:rsid w:val="0060157B"/>
    <w:rsid w:val="0060594B"/>
    <w:rsid w:val="00610495"/>
    <w:rsid w:val="00611AC7"/>
    <w:rsid w:val="00611DE8"/>
    <w:rsid w:val="00612A2A"/>
    <w:rsid w:val="00612FCF"/>
    <w:rsid w:val="0061366D"/>
    <w:rsid w:val="00614100"/>
    <w:rsid w:val="00614DB8"/>
    <w:rsid w:val="00620D5F"/>
    <w:rsid w:val="00624325"/>
    <w:rsid w:val="0062497E"/>
    <w:rsid w:val="00624FB9"/>
    <w:rsid w:val="006304B6"/>
    <w:rsid w:val="00630DB7"/>
    <w:rsid w:val="00631984"/>
    <w:rsid w:val="006416A3"/>
    <w:rsid w:val="0064315B"/>
    <w:rsid w:val="006446CC"/>
    <w:rsid w:val="00646946"/>
    <w:rsid w:val="00647145"/>
    <w:rsid w:val="00647941"/>
    <w:rsid w:val="00647E59"/>
    <w:rsid w:val="00650A88"/>
    <w:rsid w:val="006530D3"/>
    <w:rsid w:val="006541C1"/>
    <w:rsid w:val="006556C1"/>
    <w:rsid w:val="00656E5E"/>
    <w:rsid w:val="00656F59"/>
    <w:rsid w:val="00660966"/>
    <w:rsid w:val="0066395E"/>
    <w:rsid w:val="006645AB"/>
    <w:rsid w:val="00667A07"/>
    <w:rsid w:val="00673DB1"/>
    <w:rsid w:val="006741E3"/>
    <w:rsid w:val="00674DA1"/>
    <w:rsid w:val="00675D09"/>
    <w:rsid w:val="00676C7F"/>
    <w:rsid w:val="00683EAD"/>
    <w:rsid w:val="00690924"/>
    <w:rsid w:val="00690CD1"/>
    <w:rsid w:val="00695557"/>
    <w:rsid w:val="006955A8"/>
    <w:rsid w:val="006970EC"/>
    <w:rsid w:val="006A3332"/>
    <w:rsid w:val="006A45C5"/>
    <w:rsid w:val="006A78D0"/>
    <w:rsid w:val="006B0F25"/>
    <w:rsid w:val="006B61CF"/>
    <w:rsid w:val="006B6F9A"/>
    <w:rsid w:val="006D2DFA"/>
    <w:rsid w:val="006D4C1A"/>
    <w:rsid w:val="006D7BA6"/>
    <w:rsid w:val="006E03AD"/>
    <w:rsid w:val="006E3DAD"/>
    <w:rsid w:val="006E3F92"/>
    <w:rsid w:val="006F013B"/>
    <w:rsid w:val="006F597C"/>
    <w:rsid w:val="006F6A59"/>
    <w:rsid w:val="006F7E41"/>
    <w:rsid w:val="0070399E"/>
    <w:rsid w:val="007040EC"/>
    <w:rsid w:val="00707460"/>
    <w:rsid w:val="00707827"/>
    <w:rsid w:val="00707EE0"/>
    <w:rsid w:val="00713B0D"/>
    <w:rsid w:val="00714568"/>
    <w:rsid w:val="007145F7"/>
    <w:rsid w:val="007304AB"/>
    <w:rsid w:val="0073241B"/>
    <w:rsid w:val="007344BC"/>
    <w:rsid w:val="00740C5B"/>
    <w:rsid w:val="007429BE"/>
    <w:rsid w:val="00750D7D"/>
    <w:rsid w:val="00751015"/>
    <w:rsid w:val="00753F95"/>
    <w:rsid w:val="00754647"/>
    <w:rsid w:val="00757550"/>
    <w:rsid w:val="00761570"/>
    <w:rsid w:val="00770928"/>
    <w:rsid w:val="00773311"/>
    <w:rsid w:val="0077364F"/>
    <w:rsid w:val="00773E61"/>
    <w:rsid w:val="00776307"/>
    <w:rsid w:val="00780711"/>
    <w:rsid w:val="00784B82"/>
    <w:rsid w:val="00785163"/>
    <w:rsid w:val="007857B5"/>
    <w:rsid w:val="00787297"/>
    <w:rsid w:val="007919EF"/>
    <w:rsid w:val="007927C2"/>
    <w:rsid w:val="007933FB"/>
    <w:rsid w:val="00794772"/>
    <w:rsid w:val="007A1221"/>
    <w:rsid w:val="007A2228"/>
    <w:rsid w:val="007A4268"/>
    <w:rsid w:val="007A6B10"/>
    <w:rsid w:val="007A776A"/>
    <w:rsid w:val="007B03DB"/>
    <w:rsid w:val="007B0DBF"/>
    <w:rsid w:val="007B276C"/>
    <w:rsid w:val="007B29DF"/>
    <w:rsid w:val="007B34A7"/>
    <w:rsid w:val="007B63C9"/>
    <w:rsid w:val="007B64EB"/>
    <w:rsid w:val="007B67A8"/>
    <w:rsid w:val="007B6C6D"/>
    <w:rsid w:val="007C1301"/>
    <w:rsid w:val="007C3668"/>
    <w:rsid w:val="007C3BC9"/>
    <w:rsid w:val="007C4490"/>
    <w:rsid w:val="007C7069"/>
    <w:rsid w:val="007D0ADA"/>
    <w:rsid w:val="007D17FE"/>
    <w:rsid w:val="007D59E5"/>
    <w:rsid w:val="007E2643"/>
    <w:rsid w:val="007E3184"/>
    <w:rsid w:val="007E3DC4"/>
    <w:rsid w:val="007E5FE8"/>
    <w:rsid w:val="007E6142"/>
    <w:rsid w:val="007F2AFF"/>
    <w:rsid w:val="007F4B9B"/>
    <w:rsid w:val="008002BC"/>
    <w:rsid w:val="00802A0D"/>
    <w:rsid w:val="008033B3"/>
    <w:rsid w:val="0080517E"/>
    <w:rsid w:val="0081097F"/>
    <w:rsid w:val="00817D15"/>
    <w:rsid w:val="00817E81"/>
    <w:rsid w:val="008220DE"/>
    <w:rsid w:val="008239CB"/>
    <w:rsid w:val="00830CD9"/>
    <w:rsid w:val="00831326"/>
    <w:rsid w:val="00833385"/>
    <w:rsid w:val="00833EF4"/>
    <w:rsid w:val="00834A78"/>
    <w:rsid w:val="0083585F"/>
    <w:rsid w:val="00837891"/>
    <w:rsid w:val="008415C7"/>
    <w:rsid w:val="00841853"/>
    <w:rsid w:val="00842E0D"/>
    <w:rsid w:val="00844F1F"/>
    <w:rsid w:val="00845842"/>
    <w:rsid w:val="0085061D"/>
    <w:rsid w:val="0085227E"/>
    <w:rsid w:val="00856261"/>
    <w:rsid w:val="00856EE6"/>
    <w:rsid w:val="0086018C"/>
    <w:rsid w:val="008635E2"/>
    <w:rsid w:val="008723C8"/>
    <w:rsid w:val="0087365E"/>
    <w:rsid w:val="00873D9D"/>
    <w:rsid w:val="008763CB"/>
    <w:rsid w:val="0088088C"/>
    <w:rsid w:val="00883632"/>
    <w:rsid w:val="00883D5D"/>
    <w:rsid w:val="0088474A"/>
    <w:rsid w:val="00885D23"/>
    <w:rsid w:val="008922F9"/>
    <w:rsid w:val="008927E9"/>
    <w:rsid w:val="00892A22"/>
    <w:rsid w:val="00894706"/>
    <w:rsid w:val="00894CF0"/>
    <w:rsid w:val="008969B0"/>
    <w:rsid w:val="00897CBC"/>
    <w:rsid w:val="008A0B6D"/>
    <w:rsid w:val="008A3242"/>
    <w:rsid w:val="008A71F2"/>
    <w:rsid w:val="008B198F"/>
    <w:rsid w:val="008B50EA"/>
    <w:rsid w:val="008B584A"/>
    <w:rsid w:val="008B66CF"/>
    <w:rsid w:val="008C0AC9"/>
    <w:rsid w:val="008C2D25"/>
    <w:rsid w:val="008C5C9F"/>
    <w:rsid w:val="008C73CF"/>
    <w:rsid w:val="008D1F21"/>
    <w:rsid w:val="008D2A51"/>
    <w:rsid w:val="008D76B5"/>
    <w:rsid w:val="008E094E"/>
    <w:rsid w:val="008E1C0F"/>
    <w:rsid w:val="008E60AC"/>
    <w:rsid w:val="008E6319"/>
    <w:rsid w:val="008F3B5C"/>
    <w:rsid w:val="008F4E43"/>
    <w:rsid w:val="008F724A"/>
    <w:rsid w:val="008F7627"/>
    <w:rsid w:val="00901625"/>
    <w:rsid w:val="00902807"/>
    <w:rsid w:val="00905F34"/>
    <w:rsid w:val="009100B6"/>
    <w:rsid w:val="009141DD"/>
    <w:rsid w:val="009165F1"/>
    <w:rsid w:val="009209BA"/>
    <w:rsid w:val="00923674"/>
    <w:rsid w:val="0092665F"/>
    <w:rsid w:val="0092789B"/>
    <w:rsid w:val="009320DC"/>
    <w:rsid w:val="009333E4"/>
    <w:rsid w:val="009350BA"/>
    <w:rsid w:val="009357D9"/>
    <w:rsid w:val="0093624F"/>
    <w:rsid w:val="009364FB"/>
    <w:rsid w:val="0093789C"/>
    <w:rsid w:val="00941494"/>
    <w:rsid w:val="00941582"/>
    <w:rsid w:val="009432A2"/>
    <w:rsid w:val="0094613B"/>
    <w:rsid w:val="00946E31"/>
    <w:rsid w:val="009612D2"/>
    <w:rsid w:val="00962013"/>
    <w:rsid w:val="00962926"/>
    <w:rsid w:val="00966AE0"/>
    <w:rsid w:val="0096765C"/>
    <w:rsid w:val="00971925"/>
    <w:rsid w:val="0097611B"/>
    <w:rsid w:val="00977849"/>
    <w:rsid w:val="00980C20"/>
    <w:rsid w:val="00981299"/>
    <w:rsid w:val="009916C1"/>
    <w:rsid w:val="009921B2"/>
    <w:rsid w:val="00996E1A"/>
    <w:rsid w:val="009A0236"/>
    <w:rsid w:val="009B148D"/>
    <w:rsid w:val="009C0FD1"/>
    <w:rsid w:val="009D200E"/>
    <w:rsid w:val="009D3012"/>
    <w:rsid w:val="009D5000"/>
    <w:rsid w:val="009E391D"/>
    <w:rsid w:val="009E508E"/>
    <w:rsid w:val="009E538E"/>
    <w:rsid w:val="009E5BD5"/>
    <w:rsid w:val="009E5EDA"/>
    <w:rsid w:val="009E7311"/>
    <w:rsid w:val="009F01CA"/>
    <w:rsid w:val="009F14CD"/>
    <w:rsid w:val="009F35CB"/>
    <w:rsid w:val="009F3873"/>
    <w:rsid w:val="00A021AA"/>
    <w:rsid w:val="00A10758"/>
    <w:rsid w:val="00A11927"/>
    <w:rsid w:val="00A1205B"/>
    <w:rsid w:val="00A13C6B"/>
    <w:rsid w:val="00A207CB"/>
    <w:rsid w:val="00A214A1"/>
    <w:rsid w:val="00A21E98"/>
    <w:rsid w:val="00A2253A"/>
    <w:rsid w:val="00A22B12"/>
    <w:rsid w:val="00A24AF1"/>
    <w:rsid w:val="00A27D8E"/>
    <w:rsid w:val="00A351A6"/>
    <w:rsid w:val="00A378E9"/>
    <w:rsid w:val="00A40E7E"/>
    <w:rsid w:val="00A427C5"/>
    <w:rsid w:val="00A42E62"/>
    <w:rsid w:val="00A50897"/>
    <w:rsid w:val="00A5259F"/>
    <w:rsid w:val="00A547FC"/>
    <w:rsid w:val="00A55D7B"/>
    <w:rsid w:val="00A61AC5"/>
    <w:rsid w:val="00A6503C"/>
    <w:rsid w:val="00A65B9E"/>
    <w:rsid w:val="00A710EE"/>
    <w:rsid w:val="00A71F73"/>
    <w:rsid w:val="00A75D3C"/>
    <w:rsid w:val="00A769C4"/>
    <w:rsid w:val="00A81B0A"/>
    <w:rsid w:val="00A834F5"/>
    <w:rsid w:val="00A8428C"/>
    <w:rsid w:val="00A85596"/>
    <w:rsid w:val="00A85BDB"/>
    <w:rsid w:val="00A86A3C"/>
    <w:rsid w:val="00A91405"/>
    <w:rsid w:val="00A934D3"/>
    <w:rsid w:val="00A94A69"/>
    <w:rsid w:val="00A96E71"/>
    <w:rsid w:val="00A978AF"/>
    <w:rsid w:val="00AA3443"/>
    <w:rsid w:val="00AA4AD4"/>
    <w:rsid w:val="00AB0432"/>
    <w:rsid w:val="00AB0FB6"/>
    <w:rsid w:val="00AB1EB6"/>
    <w:rsid w:val="00AB20D0"/>
    <w:rsid w:val="00AB617A"/>
    <w:rsid w:val="00AB63B5"/>
    <w:rsid w:val="00AB6F3E"/>
    <w:rsid w:val="00AD09ED"/>
    <w:rsid w:val="00AE0255"/>
    <w:rsid w:val="00AE061E"/>
    <w:rsid w:val="00AE164A"/>
    <w:rsid w:val="00AE1F6C"/>
    <w:rsid w:val="00AE3079"/>
    <w:rsid w:val="00AE3601"/>
    <w:rsid w:val="00AE37B2"/>
    <w:rsid w:val="00AE61B7"/>
    <w:rsid w:val="00AE6362"/>
    <w:rsid w:val="00AE68FD"/>
    <w:rsid w:val="00AF04B3"/>
    <w:rsid w:val="00AF0C5F"/>
    <w:rsid w:val="00AF772F"/>
    <w:rsid w:val="00B002CD"/>
    <w:rsid w:val="00B01713"/>
    <w:rsid w:val="00B031D8"/>
    <w:rsid w:val="00B239E6"/>
    <w:rsid w:val="00B25D71"/>
    <w:rsid w:val="00B261ED"/>
    <w:rsid w:val="00B2746C"/>
    <w:rsid w:val="00B274F2"/>
    <w:rsid w:val="00B305F0"/>
    <w:rsid w:val="00B33999"/>
    <w:rsid w:val="00B40E0D"/>
    <w:rsid w:val="00B45B93"/>
    <w:rsid w:val="00B501CA"/>
    <w:rsid w:val="00B50660"/>
    <w:rsid w:val="00B50F45"/>
    <w:rsid w:val="00B52F18"/>
    <w:rsid w:val="00B560D5"/>
    <w:rsid w:val="00B62C30"/>
    <w:rsid w:val="00B65B29"/>
    <w:rsid w:val="00B660C7"/>
    <w:rsid w:val="00B67FCB"/>
    <w:rsid w:val="00B7492B"/>
    <w:rsid w:val="00B7621E"/>
    <w:rsid w:val="00B83D64"/>
    <w:rsid w:val="00B8412E"/>
    <w:rsid w:val="00B852CA"/>
    <w:rsid w:val="00B93DEF"/>
    <w:rsid w:val="00B96FAE"/>
    <w:rsid w:val="00B978BC"/>
    <w:rsid w:val="00BA0657"/>
    <w:rsid w:val="00BA2F98"/>
    <w:rsid w:val="00BA4E39"/>
    <w:rsid w:val="00BB2347"/>
    <w:rsid w:val="00BB43F2"/>
    <w:rsid w:val="00BB73D0"/>
    <w:rsid w:val="00BC3385"/>
    <w:rsid w:val="00BC47FB"/>
    <w:rsid w:val="00BC6BB6"/>
    <w:rsid w:val="00BC7AE1"/>
    <w:rsid w:val="00BD07E1"/>
    <w:rsid w:val="00BE3709"/>
    <w:rsid w:val="00BE38BA"/>
    <w:rsid w:val="00BE5C99"/>
    <w:rsid w:val="00BF0E5E"/>
    <w:rsid w:val="00BF1AA9"/>
    <w:rsid w:val="00BF2714"/>
    <w:rsid w:val="00C06C7D"/>
    <w:rsid w:val="00C12060"/>
    <w:rsid w:val="00C21F9E"/>
    <w:rsid w:val="00C24CF9"/>
    <w:rsid w:val="00C25671"/>
    <w:rsid w:val="00C329E0"/>
    <w:rsid w:val="00C33C6E"/>
    <w:rsid w:val="00C4079A"/>
    <w:rsid w:val="00C4719C"/>
    <w:rsid w:val="00C5506D"/>
    <w:rsid w:val="00C5682F"/>
    <w:rsid w:val="00C62ED0"/>
    <w:rsid w:val="00C6440D"/>
    <w:rsid w:val="00C72DAA"/>
    <w:rsid w:val="00C73FB9"/>
    <w:rsid w:val="00C753AA"/>
    <w:rsid w:val="00C80254"/>
    <w:rsid w:val="00C8361E"/>
    <w:rsid w:val="00C92469"/>
    <w:rsid w:val="00C940C3"/>
    <w:rsid w:val="00CA07CB"/>
    <w:rsid w:val="00CA34DA"/>
    <w:rsid w:val="00CA508F"/>
    <w:rsid w:val="00CA5B24"/>
    <w:rsid w:val="00CB3FEA"/>
    <w:rsid w:val="00CC2FAC"/>
    <w:rsid w:val="00CC31CB"/>
    <w:rsid w:val="00CC4042"/>
    <w:rsid w:val="00CD17CD"/>
    <w:rsid w:val="00CD45EC"/>
    <w:rsid w:val="00CD7875"/>
    <w:rsid w:val="00CE159E"/>
    <w:rsid w:val="00CE2E44"/>
    <w:rsid w:val="00CE304A"/>
    <w:rsid w:val="00CE391C"/>
    <w:rsid w:val="00CF0A42"/>
    <w:rsid w:val="00CF6387"/>
    <w:rsid w:val="00D02483"/>
    <w:rsid w:val="00D04411"/>
    <w:rsid w:val="00D0467A"/>
    <w:rsid w:val="00D07DFC"/>
    <w:rsid w:val="00D128F3"/>
    <w:rsid w:val="00D13DEE"/>
    <w:rsid w:val="00D14BE3"/>
    <w:rsid w:val="00D20277"/>
    <w:rsid w:val="00D224E3"/>
    <w:rsid w:val="00D22C84"/>
    <w:rsid w:val="00D23154"/>
    <w:rsid w:val="00D232DA"/>
    <w:rsid w:val="00D25E96"/>
    <w:rsid w:val="00D31626"/>
    <w:rsid w:val="00D31815"/>
    <w:rsid w:val="00D342E2"/>
    <w:rsid w:val="00D3791C"/>
    <w:rsid w:val="00D44615"/>
    <w:rsid w:val="00D44E07"/>
    <w:rsid w:val="00D50E24"/>
    <w:rsid w:val="00D53150"/>
    <w:rsid w:val="00D62FE7"/>
    <w:rsid w:val="00D66D71"/>
    <w:rsid w:val="00D678B6"/>
    <w:rsid w:val="00D72048"/>
    <w:rsid w:val="00D77F7B"/>
    <w:rsid w:val="00D80C22"/>
    <w:rsid w:val="00D82E9E"/>
    <w:rsid w:val="00D87851"/>
    <w:rsid w:val="00D93427"/>
    <w:rsid w:val="00DA1446"/>
    <w:rsid w:val="00DA16AE"/>
    <w:rsid w:val="00DA33A1"/>
    <w:rsid w:val="00DA4BA7"/>
    <w:rsid w:val="00DB3A2B"/>
    <w:rsid w:val="00DB4A22"/>
    <w:rsid w:val="00DD0BDB"/>
    <w:rsid w:val="00DE2D85"/>
    <w:rsid w:val="00DF6F78"/>
    <w:rsid w:val="00E0007D"/>
    <w:rsid w:val="00E01273"/>
    <w:rsid w:val="00E01587"/>
    <w:rsid w:val="00E0456D"/>
    <w:rsid w:val="00E06D2C"/>
    <w:rsid w:val="00E07045"/>
    <w:rsid w:val="00E13BCB"/>
    <w:rsid w:val="00E17121"/>
    <w:rsid w:val="00E17ADF"/>
    <w:rsid w:val="00E17B96"/>
    <w:rsid w:val="00E234DC"/>
    <w:rsid w:val="00E24B2E"/>
    <w:rsid w:val="00E260B9"/>
    <w:rsid w:val="00E26B1A"/>
    <w:rsid w:val="00E3048C"/>
    <w:rsid w:val="00E317B3"/>
    <w:rsid w:val="00E32401"/>
    <w:rsid w:val="00E431E2"/>
    <w:rsid w:val="00E468DE"/>
    <w:rsid w:val="00E5133C"/>
    <w:rsid w:val="00E517E4"/>
    <w:rsid w:val="00E55129"/>
    <w:rsid w:val="00E576B8"/>
    <w:rsid w:val="00E61237"/>
    <w:rsid w:val="00E65DD8"/>
    <w:rsid w:val="00E675A3"/>
    <w:rsid w:val="00E71E38"/>
    <w:rsid w:val="00E7332A"/>
    <w:rsid w:val="00E74BB6"/>
    <w:rsid w:val="00E764AF"/>
    <w:rsid w:val="00E77EE8"/>
    <w:rsid w:val="00E80370"/>
    <w:rsid w:val="00E80646"/>
    <w:rsid w:val="00E83A67"/>
    <w:rsid w:val="00E847EF"/>
    <w:rsid w:val="00E850FE"/>
    <w:rsid w:val="00E86BEB"/>
    <w:rsid w:val="00E91D42"/>
    <w:rsid w:val="00E953E2"/>
    <w:rsid w:val="00E979AF"/>
    <w:rsid w:val="00EA18AC"/>
    <w:rsid w:val="00EA561F"/>
    <w:rsid w:val="00EB1D5C"/>
    <w:rsid w:val="00EB5CC1"/>
    <w:rsid w:val="00EB5D02"/>
    <w:rsid w:val="00EC2418"/>
    <w:rsid w:val="00ED345A"/>
    <w:rsid w:val="00ED45AF"/>
    <w:rsid w:val="00ED45F3"/>
    <w:rsid w:val="00ED7296"/>
    <w:rsid w:val="00EE4604"/>
    <w:rsid w:val="00EE73D4"/>
    <w:rsid w:val="00EF7920"/>
    <w:rsid w:val="00F05419"/>
    <w:rsid w:val="00F07596"/>
    <w:rsid w:val="00F14355"/>
    <w:rsid w:val="00F2086E"/>
    <w:rsid w:val="00F20BD7"/>
    <w:rsid w:val="00F2734C"/>
    <w:rsid w:val="00F31C05"/>
    <w:rsid w:val="00F33DBD"/>
    <w:rsid w:val="00F40242"/>
    <w:rsid w:val="00F42884"/>
    <w:rsid w:val="00F447F8"/>
    <w:rsid w:val="00F45E28"/>
    <w:rsid w:val="00F46E4F"/>
    <w:rsid w:val="00F53570"/>
    <w:rsid w:val="00F53FBB"/>
    <w:rsid w:val="00F55A53"/>
    <w:rsid w:val="00F702FE"/>
    <w:rsid w:val="00F72E7B"/>
    <w:rsid w:val="00F76E3F"/>
    <w:rsid w:val="00F86038"/>
    <w:rsid w:val="00F864A9"/>
    <w:rsid w:val="00F9121B"/>
    <w:rsid w:val="00F916F3"/>
    <w:rsid w:val="00F95349"/>
    <w:rsid w:val="00FA2137"/>
    <w:rsid w:val="00FA37ED"/>
    <w:rsid w:val="00FA671C"/>
    <w:rsid w:val="00FB046D"/>
    <w:rsid w:val="00FB0750"/>
    <w:rsid w:val="00FB16BE"/>
    <w:rsid w:val="00FB3F09"/>
    <w:rsid w:val="00FB44D8"/>
    <w:rsid w:val="00FC1072"/>
    <w:rsid w:val="00FC1487"/>
    <w:rsid w:val="00FC1C8B"/>
    <w:rsid w:val="00FC582A"/>
    <w:rsid w:val="00FC7436"/>
    <w:rsid w:val="00FD0131"/>
    <w:rsid w:val="00FF2B90"/>
    <w:rsid w:val="00FF764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E342A7"/>
  <w15:chartTrackingRefBased/>
  <w15:docId w15:val="{26A153C8-32E6-4CB6-8EE3-831C0BE1C5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93427"/>
    <w:pPr>
      <w:spacing w:before="120" w:after="120" w:line="240" w:lineRule="auto"/>
      <w:jc w:val="both"/>
    </w:pPr>
    <w:rPr>
      <w:rFonts w:ascii="Palatino Linotype" w:hAnsi="Palatino Linotype"/>
      <w:sz w:val="24"/>
    </w:rPr>
  </w:style>
  <w:style w:type="paragraph" w:styleId="Titolo1">
    <w:name w:val="heading 1"/>
    <w:basedOn w:val="Normale"/>
    <w:next w:val="Normale"/>
    <w:link w:val="Titolo1Carattere"/>
    <w:uiPriority w:val="9"/>
    <w:qFormat/>
    <w:rsid w:val="001D7EBF"/>
    <w:pPr>
      <w:keepNext/>
      <w:keepLines/>
      <w:numPr>
        <w:numId w:val="1"/>
      </w:numPr>
      <w:spacing w:before="1200" w:after="480"/>
      <w:jc w:val="left"/>
      <w:outlineLvl w:val="0"/>
    </w:pPr>
    <w:rPr>
      <w:rFonts w:eastAsiaTheme="majorEastAsia" w:cstheme="majorBidi"/>
      <w:color w:val="728FA5"/>
      <w:sz w:val="48"/>
      <w:szCs w:val="32"/>
    </w:rPr>
  </w:style>
  <w:style w:type="paragraph" w:styleId="Titolo2">
    <w:name w:val="heading 2"/>
    <w:basedOn w:val="Normale"/>
    <w:next w:val="Normale"/>
    <w:link w:val="Titolo2Carattere"/>
    <w:uiPriority w:val="9"/>
    <w:unhideWhenUsed/>
    <w:qFormat/>
    <w:rsid w:val="001C0E3C"/>
    <w:pPr>
      <w:keepNext/>
      <w:keepLines/>
      <w:numPr>
        <w:ilvl w:val="1"/>
        <w:numId w:val="1"/>
      </w:numPr>
      <w:spacing w:before="360"/>
      <w:outlineLvl w:val="1"/>
    </w:pPr>
    <w:rPr>
      <w:rFonts w:eastAsiaTheme="majorEastAsia" w:cstheme="majorBidi"/>
      <w:color w:val="728FA5"/>
      <w:sz w:val="36"/>
      <w:szCs w:val="26"/>
    </w:rPr>
  </w:style>
  <w:style w:type="paragraph" w:styleId="Titolo3">
    <w:name w:val="heading 3"/>
    <w:basedOn w:val="Normale"/>
    <w:next w:val="Normale"/>
    <w:link w:val="Titolo3Carattere"/>
    <w:uiPriority w:val="9"/>
    <w:unhideWhenUsed/>
    <w:qFormat/>
    <w:rsid w:val="00BF1AA9"/>
    <w:pPr>
      <w:keepNext/>
      <w:keepLines/>
      <w:numPr>
        <w:ilvl w:val="2"/>
        <w:numId w:val="1"/>
      </w:numPr>
      <w:spacing w:before="240"/>
      <w:outlineLvl w:val="2"/>
    </w:pPr>
    <w:rPr>
      <w:rFonts w:eastAsiaTheme="majorEastAsia" w:cstheme="majorBidi"/>
      <w:color w:val="728FA5"/>
      <w:sz w:val="28"/>
      <w:szCs w:val="24"/>
    </w:rPr>
  </w:style>
  <w:style w:type="paragraph" w:styleId="Titolo4">
    <w:name w:val="heading 4"/>
    <w:basedOn w:val="Normale"/>
    <w:next w:val="Normale"/>
    <w:link w:val="Titolo4Carattere"/>
    <w:uiPriority w:val="9"/>
    <w:unhideWhenUsed/>
    <w:qFormat/>
    <w:rsid w:val="000D6B1C"/>
    <w:pPr>
      <w:keepNext/>
      <w:keepLines/>
      <w:numPr>
        <w:ilvl w:val="3"/>
        <w:numId w:val="1"/>
      </w:numPr>
      <w:spacing w:before="240"/>
      <w:outlineLvl w:val="3"/>
    </w:pPr>
    <w:rPr>
      <w:rFonts w:eastAsiaTheme="majorEastAsia" w:cstheme="majorBidi"/>
      <w:iCs/>
      <w:color w:val="728FA5"/>
    </w:rPr>
  </w:style>
  <w:style w:type="paragraph" w:styleId="Titolo5">
    <w:name w:val="heading 5"/>
    <w:basedOn w:val="Normale"/>
    <w:next w:val="Normale"/>
    <w:link w:val="Titolo5Carattere"/>
    <w:uiPriority w:val="9"/>
    <w:unhideWhenUsed/>
    <w:qFormat/>
    <w:rsid w:val="00B8412E"/>
    <w:pPr>
      <w:keepNext/>
      <w:keepLines/>
      <w:numPr>
        <w:ilvl w:val="4"/>
        <w:numId w:val="3"/>
      </w:numPr>
      <w:spacing w:before="40" w:after="0"/>
      <w:outlineLvl w:val="4"/>
    </w:pPr>
    <w:rPr>
      <w:rFonts w:eastAsiaTheme="majorEastAsia" w:cstheme="majorBidi"/>
      <w:color w:val="728FA5"/>
    </w:rPr>
  </w:style>
  <w:style w:type="paragraph" w:styleId="Titolo6">
    <w:name w:val="heading 6"/>
    <w:basedOn w:val="Normale"/>
    <w:next w:val="Normale"/>
    <w:link w:val="Titolo6Carattere"/>
    <w:uiPriority w:val="9"/>
    <w:unhideWhenUsed/>
    <w:qFormat/>
    <w:rsid w:val="00BF1AA9"/>
    <w:pPr>
      <w:keepNext/>
      <w:keepLines/>
      <w:spacing w:before="240"/>
      <w:outlineLvl w:val="5"/>
    </w:pPr>
    <w:rPr>
      <w:rFonts w:eastAsiaTheme="majorEastAsia" w:cstheme="majorBidi"/>
      <w:color w:val="728FA5"/>
    </w:rPr>
  </w:style>
  <w:style w:type="paragraph" w:styleId="Titolo7">
    <w:name w:val="heading 7"/>
    <w:basedOn w:val="Normale"/>
    <w:next w:val="Normale"/>
    <w:link w:val="Titolo7Carattere"/>
    <w:uiPriority w:val="9"/>
    <w:semiHidden/>
    <w:unhideWhenUsed/>
    <w:qFormat/>
    <w:rsid w:val="00673DB1"/>
    <w:pPr>
      <w:keepNext/>
      <w:keepLines/>
      <w:spacing w:before="40" w:after="0"/>
      <w:outlineLvl w:val="6"/>
    </w:pPr>
    <w:rPr>
      <w:rFonts w:eastAsiaTheme="majorEastAsia" w:cstheme="majorBidi"/>
      <w:i/>
      <w:iCs/>
      <w:color w:val="728FA5"/>
      <w:sz w:val="20"/>
    </w:rPr>
  </w:style>
  <w:style w:type="paragraph" w:styleId="Titolo8">
    <w:name w:val="heading 8"/>
    <w:basedOn w:val="Normale"/>
    <w:next w:val="Normale"/>
    <w:link w:val="Titolo8Carattere"/>
    <w:uiPriority w:val="9"/>
    <w:semiHidden/>
    <w:unhideWhenUsed/>
    <w:qFormat/>
    <w:rsid w:val="007E2643"/>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7E264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31326"/>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831326"/>
  </w:style>
  <w:style w:type="paragraph" w:styleId="Pidipagina">
    <w:name w:val="footer"/>
    <w:basedOn w:val="Normale"/>
    <w:link w:val="PidipaginaCarattere"/>
    <w:uiPriority w:val="99"/>
    <w:unhideWhenUsed/>
    <w:rsid w:val="00831326"/>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831326"/>
  </w:style>
  <w:style w:type="character" w:customStyle="1" w:styleId="Titolo1Carattere">
    <w:name w:val="Titolo 1 Carattere"/>
    <w:basedOn w:val="Carpredefinitoparagrafo"/>
    <w:link w:val="Titolo1"/>
    <w:uiPriority w:val="9"/>
    <w:rsid w:val="001D7EBF"/>
    <w:rPr>
      <w:rFonts w:ascii="Palatino Linotype" w:eastAsiaTheme="majorEastAsia" w:hAnsi="Palatino Linotype" w:cstheme="majorBidi"/>
      <w:color w:val="728FA5"/>
      <w:sz w:val="48"/>
      <w:szCs w:val="32"/>
    </w:rPr>
  </w:style>
  <w:style w:type="character" w:customStyle="1" w:styleId="Titolo2Carattere">
    <w:name w:val="Titolo 2 Carattere"/>
    <w:basedOn w:val="Carpredefinitoparagrafo"/>
    <w:link w:val="Titolo2"/>
    <w:uiPriority w:val="9"/>
    <w:rsid w:val="001C0E3C"/>
    <w:rPr>
      <w:rFonts w:ascii="Palatino Linotype" w:eastAsiaTheme="majorEastAsia" w:hAnsi="Palatino Linotype" w:cstheme="majorBidi"/>
      <w:color w:val="728FA5"/>
      <w:sz w:val="36"/>
      <w:szCs w:val="26"/>
    </w:rPr>
  </w:style>
  <w:style w:type="character" w:customStyle="1" w:styleId="Titolo3Carattere">
    <w:name w:val="Titolo 3 Carattere"/>
    <w:basedOn w:val="Carpredefinitoparagrafo"/>
    <w:link w:val="Titolo3"/>
    <w:uiPriority w:val="9"/>
    <w:rsid w:val="00BF1AA9"/>
    <w:rPr>
      <w:rFonts w:ascii="Palatino Linotype" w:eastAsiaTheme="majorEastAsia" w:hAnsi="Palatino Linotype" w:cstheme="majorBidi"/>
      <w:color w:val="728FA5"/>
      <w:sz w:val="28"/>
      <w:szCs w:val="24"/>
    </w:rPr>
  </w:style>
  <w:style w:type="table" w:styleId="Grigliatabella">
    <w:name w:val="Table Grid"/>
    <w:basedOn w:val="Tabellanormale"/>
    <w:uiPriority w:val="39"/>
    <w:rsid w:val="009676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sommario">
    <w:name w:val="TOC Heading"/>
    <w:basedOn w:val="Titolo1"/>
    <w:next w:val="Normale"/>
    <w:uiPriority w:val="39"/>
    <w:unhideWhenUsed/>
    <w:rsid w:val="00356473"/>
    <w:pPr>
      <w:spacing w:before="240" w:after="0" w:line="259" w:lineRule="auto"/>
      <w:outlineLvl w:val="9"/>
    </w:pPr>
    <w:rPr>
      <w:rFonts w:asciiTheme="majorHAnsi" w:hAnsiTheme="majorHAnsi"/>
      <w:color w:val="2F5496" w:themeColor="accent1" w:themeShade="BF"/>
      <w:sz w:val="32"/>
      <w:lang w:val="en-US"/>
    </w:rPr>
  </w:style>
  <w:style w:type="paragraph" w:styleId="Sommario1">
    <w:name w:val="toc 1"/>
    <w:basedOn w:val="Normale"/>
    <w:next w:val="Normale"/>
    <w:autoRedefine/>
    <w:uiPriority w:val="39"/>
    <w:unhideWhenUsed/>
    <w:rsid w:val="00133A05"/>
    <w:pPr>
      <w:spacing w:before="100" w:after="0"/>
      <w:ind w:hanging="567"/>
    </w:pPr>
    <w:rPr>
      <w:b/>
    </w:rPr>
  </w:style>
  <w:style w:type="character" w:styleId="Collegamentoipertestuale">
    <w:name w:val="Hyperlink"/>
    <w:basedOn w:val="Carpredefinitoparagrafo"/>
    <w:uiPriority w:val="99"/>
    <w:unhideWhenUsed/>
    <w:rsid w:val="00356473"/>
    <w:rPr>
      <w:color w:val="0563C1" w:themeColor="hyperlink"/>
      <w:u w:val="single"/>
    </w:rPr>
  </w:style>
  <w:style w:type="paragraph" w:styleId="Sommario2">
    <w:name w:val="toc 2"/>
    <w:basedOn w:val="Normale"/>
    <w:next w:val="Normale"/>
    <w:autoRedefine/>
    <w:uiPriority w:val="39"/>
    <w:unhideWhenUsed/>
    <w:rsid w:val="006D4C1A"/>
    <w:pPr>
      <w:tabs>
        <w:tab w:val="right" w:leader="dot" w:pos="8219"/>
      </w:tabs>
      <w:spacing w:before="60" w:after="0"/>
      <w:ind w:left="-284"/>
    </w:pPr>
  </w:style>
  <w:style w:type="character" w:customStyle="1" w:styleId="Titolo4Carattere">
    <w:name w:val="Titolo 4 Carattere"/>
    <w:basedOn w:val="Carpredefinitoparagrafo"/>
    <w:link w:val="Titolo4"/>
    <w:uiPriority w:val="9"/>
    <w:rsid w:val="000D6B1C"/>
    <w:rPr>
      <w:rFonts w:ascii="Palatino Linotype" w:eastAsiaTheme="majorEastAsia" w:hAnsi="Palatino Linotype" w:cstheme="majorBidi"/>
      <w:iCs/>
      <w:color w:val="728FA5"/>
      <w:sz w:val="24"/>
    </w:rPr>
  </w:style>
  <w:style w:type="paragraph" w:styleId="Sommario3">
    <w:name w:val="toc 3"/>
    <w:basedOn w:val="Normale"/>
    <w:next w:val="Normale"/>
    <w:autoRedefine/>
    <w:uiPriority w:val="39"/>
    <w:unhideWhenUsed/>
    <w:rsid w:val="00133A05"/>
    <w:pPr>
      <w:spacing w:before="30" w:after="0"/>
    </w:pPr>
  </w:style>
  <w:style w:type="character" w:customStyle="1" w:styleId="Titolo5Carattere">
    <w:name w:val="Titolo 5 Carattere"/>
    <w:basedOn w:val="Carpredefinitoparagrafo"/>
    <w:link w:val="Titolo5"/>
    <w:uiPriority w:val="9"/>
    <w:rsid w:val="00B8412E"/>
    <w:rPr>
      <w:rFonts w:ascii="Palatino Linotype" w:eastAsiaTheme="majorEastAsia" w:hAnsi="Palatino Linotype" w:cstheme="majorBidi"/>
      <w:color w:val="728FA5"/>
      <w:sz w:val="24"/>
    </w:rPr>
  </w:style>
  <w:style w:type="character" w:customStyle="1" w:styleId="Titolo6Carattere">
    <w:name w:val="Titolo 6 Carattere"/>
    <w:basedOn w:val="Carpredefinitoparagrafo"/>
    <w:link w:val="Titolo6"/>
    <w:uiPriority w:val="9"/>
    <w:rsid w:val="00BF1AA9"/>
    <w:rPr>
      <w:rFonts w:ascii="Palatino Linotype" w:eastAsiaTheme="majorEastAsia" w:hAnsi="Palatino Linotype" w:cstheme="majorBidi"/>
      <w:color w:val="728FA5"/>
      <w:sz w:val="24"/>
    </w:rPr>
  </w:style>
  <w:style w:type="character" w:customStyle="1" w:styleId="Titolo7Carattere">
    <w:name w:val="Titolo 7 Carattere"/>
    <w:basedOn w:val="Carpredefinitoparagrafo"/>
    <w:link w:val="Titolo7"/>
    <w:uiPriority w:val="9"/>
    <w:semiHidden/>
    <w:rsid w:val="00673DB1"/>
    <w:rPr>
      <w:rFonts w:ascii="Palatino Linotype" w:eastAsiaTheme="majorEastAsia" w:hAnsi="Palatino Linotype" w:cstheme="majorBidi"/>
      <w:i/>
      <w:iCs/>
      <w:color w:val="728FA5"/>
      <w:sz w:val="20"/>
    </w:rPr>
  </w:style>
  <w:style w:type="character" w:customStyle="1" w:styleId="Titolo8Carattere">
    <w:name w:val="Titolo 8 Carattere"/>
    <w:basedOn w:val="Carpredefinitoparagrafo"/>
    <w:link w:val="Titolo8"/>
    <w:uiPriority w:val="9"/>
    <w:semiHidden/>
    <w:rsid w:val="007E2643"/>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link w:val="Titolo9"/>
    <w:uiPriority w:val="9"/>
    <w:semiHidden/>
    <w:rsid w:val="007E2643"/>
    <w:rPr>
      <w:rFonts w:asciiTheme="majorHAnsi" w:eastAsiaTheme="majorEastAsia" w:hAnsiTheme="majorHAnsi" w:cstheme="majorBidi"/>
      <w:i/>
      <w:iCs/>
      <w:color w:val="272727" w:themeColor="text1" w:themeTint="D8"/>
      <w:sz w:val="21"/>
      <w:szCs w:val="21"/>
    </w:rPr>
  </w:style>
  <w:style w:type="numbering" w:customStyle="1" w:styleId="Style1">
    <w:name w:val="Style1"/>
    <w:uiPriority w:val="99"/>
    <w:rsid w:val="002C6014"/>
    <w:pPr>
      <w:numPr>
        <w:numId w:val="2"/>
      </w:numPr>
    </w:pPr>
  </w:style>
  <w:style w:type="numbering" w:customStyle="1" w:styleId="Style2">
    <w:name w:val="Style2"/>
    <w:uiPriority w:val="99"/>
    <w:rsid w:val="002C6014"/>
    <w:pPr>
      <w:numPr>
        <w:numId w:val="4"/>
      </w:numPr>
    </w:pPr>
  </w:style>
  <w:style w:type="paragraph" w:customStyle="1" w:styleId="Body">
    <w:name w:val="Body"/>
    <w:basedOn w:val="Normale"/>
    <w:link w:val="BodyCarattere"/>
    <w:rsid w:val="00971925"/>
    <w:pPr>
      <w:spacing w:before="0" w:line="360" w:lineRule="auto"/>
      <w:jc w:val="left"/>
    </w:pPr>
    <w:rPr>
      <w:rFonts w:asciiTheme="majorHAnsi" w:hAnsiTheme="majorHAnsi" w:cs="Gotham-Medium"/>
      <w:szCs w:val="38"/>
      <w:lang w:val="en-US"/>
    </w:rPr>
  </w:style>
  <w:style w:type="character" w:customStyle="1" w:styleId="BodyCarattere">
    <w:name w:val="Body Carattere"/>
    <w:basedOn w:val="Carpredefinitoparagrafo"/>
    <w:link w:val="Body"/>
    <w:rsid w:val="00971925"/>
    <w:rPr>
      <w:rFonts w:asciiTheme="majorHAnsi" w:hAnsiTheme="majorHAnsi" w:cs="Gotham-Medium"/>
      <w:sz w:val="24"/>
      <w:szCs w:val="38"/>
      <w:lang w:val="en-US"/>
    </w:rPr>
  </w:style>
  <w:style w:type="paragraph" w:styleId="Didascalia">
    <w:name w:val="caption"/>
    <w:basedOn w:val="Normale"/>
    <w:next w:val="Normale"/>
    <w:uiPriority w:val="35"/>
    <w:unhideWhenUsed/>
    <w:qFormat/>
    <w:rsid w:val="004E6FCC"/>
    <w:pPr>
      <w:jc w:val="center"/>
    </w:pPr>
    <w:rPr>
      <w:iCs/>
      <w:sz w:val="22"/>
      <w:szCs w:val="18"/>
      <w:lang w:val="en-US"/>
    </w:rPr>
  </w:style>
  <w:style w:type="paragraph" w:styleId="Paragrafoelenco">
    <w:name w:val="List Paragraph"/>
    <w:basedOn w:val="Normale"/>
    <w:uiPriority w:val="34"/>
    <w:qFormat/>
    <w:rsid w:val="00971925"/>
    <w:pPr>
      <w:ind w:left="720"/>
      <w:contextualSpacing/>
    </w:pPr>
  </w:style>
  <w:style w:type="paragraph" w:styleId="Indicedellefigure">
    <w:name w:val="table of figures"/>
    <w:basedOn w:val="Normale"/>
    <w:next w:val="Normale"/>
    <w:uiPriority w:val="99"/>
    <w:unhideWhenUsed/>
    <w:rsid w:val="00971925"/>
    <w:pPr>
      <w:spacing w:after="0"/>
    </w:pPr>
  </w:style>
  <w:style w:type="character" w:styleId="Menzionenonrisolta">
    <w:name w:val="Unresolved Mention"/>
    <w:basedOn w:val="Carpredefinitoparagrafo"/>
    <w:uiPriority w:val="99"/>
    <w:semiHidden/>
    <w:unhideWhenUsed/>
    <w:rsid w:val="00133D7B"/>
    <w:rPr>
      <w:color w:val="605E5C"/>
      <w:shd w:val="clear" w:color="auto" w:fill="E1DFDD"/>
    </w:rPr>
  </w:style>
  <w:style w:type="paragraph" w:styleId="Titolo">
    <w:name w:val="Title"/>
    <w:basedOn w:val="Normale"/>
    <w:next w:val="Normale"/>
    <w:link w:val="TitoloCarattere"/>
    <w:uiPriority w:val="10"/>
    <w:qFormat/>
    <w:rsid w:val="00C4079A"/>
    <w:pPr>
      <w:spacing w:beforeLines="200" w:before="200" w:afterLines="250" w:after="250" w:line="288" w:lineRule="auto"/>
      <w:ind w:right="964"/>
      <w:contextualSpacing/>
    </w:pPr>
    <w:rPr>
      <w:rFonts w:ascii="Univers" w:eastAsiaTheme="majorEastAsia" w:hAnsi="Univers" w:cstheme="majorBidi"/>
      <w:color w:val="728FA5"/>
      <w:spacing w:val="-10"/>
      <w:kern w:val="28"/>
      <w:sz w:val="56"/>
      <w:szCs w:val="56"/>
    </w:rPr>
  </w:style>
  <w:style w:type="character" w:customStyle="1" w:styleId="TitoloCarattere">
    <w:name w:val="Titolo Carattere"/>
    <w:basedOn w:val="Carpredefinitoparagrafo"/>
    <w:link w:val="Titolo"/>
    <w:uiPriority w:val="10"/>
    <w:rsid w:val="00C4079A"/>
    <w:rPr>
      <w:rFonts w:ascii="Univers" w:eastAsiaTheme="majorEastAsia" w:hAnsi="Univers" w:cstheme="majorBidi"/>
      <w:color w:val="728FA5"/>
      <w:spacing w:val="-10"/>
      <w:kern w:val="28"/>
      <w:sz w:val="56"/>
      <w:szCs w:val="56"/>
    </w:rPr>
  </w:style>
  <w:style w:type="paragraph" w:styleId="Sottotitolo">
    <w:name w:val="Subtitle"/>
    <w:basedOn w:val="Normale"/>
    <w:next w:val="Normale"/>
    <w:link w:val="SottotitoloCarattere"/>
    <w:uiPriority w:val="11"/>
    <w:qFormat/>
    <w:rsid w:val="0021716B"/>
    <w:pPr>
      <w:numPr>
        <w:ilvl w:val="1"/>
      </w:numPr>
    </w:pPr>
    <w:rPr>
      <w:rFonts w:ascii="Univers" w:eastAsiaTheme="minorEastAsia" w:hAnsi="Univers"/>
      <w:color w:val="728FA5"/>
      <w:spacing w:val="15"/>
      <w:sz w:val="28"/>
    </w:rPr>
  </w:style>
  <w:style w:type="character" w:customStyle="1" w:styleId="SottotitoloCarattere">
    <w:name w:val="Sottotitolo Carattere"/>
    <w:basedOn w:val="Carpredefinitoparagrafo"/>
    <w:link w:val="Sottotitolo"/>
    <w:uiPriority w:val="11"/>
    <w:rsid w:val="0021716B"/>
    <w:rPr>
      <w:rFonts w:ascii="Univers" w:eastAsiaTheme="minorEastAsia" w:hAnsi="Univers"/>
      <w:color w:val="728FA5"/>
      <w:spacing w:val="15"/>
      <w:sz w:val="28"/>
    </w:rPr>
  </w:style>
  <w:style w:type="paragraph" w:customStyle="1" w:styleId="Text">
    <w:name w:val="Text"/>
    <w:basedOn w:val="Normale"/>
    <w:link w:val="TextChar"/>
    <w:qFormat/>
    <w:rsid w:val="00A427C5"/>
    <w:rPr>
      <w:lang w:val="en-US"/>
    </w:rPr>
  </w:style>
  <w:style w:type="character" w:customStyle="1" w:styleId="TextChar">
    <w:name w:val="Text Char"/>
    <w:basedOn w:val="Carpredefinitoparagrafo"/>
    <w:link w:val="Text"/>
    <w:rsid w:val="00A427C5"/>
    <w:rPr>
      <w:rFonts w:ascii="Palatino Linotype" w:hAnsi="Palatino Linotype"/>
      <w:sz w:val="24"/>
      <w:lang w:val="en-US"/>
    </w:rPr>
  </w:style>
  <w:style w:type="paragraph" w:styleId="Bibliografia">
    <w:name w:val="Bibliography"/>
    <w:basedOn w:val="Normale"/>
    <w:next w:val="Normale"/>
    <w:uiPriority w:val="37"/>
    <w:unhideWhenUsed/>
    <w:rsid w:val="002C4F43"/>
  </w:style>
  <w:style w:type="paragraph" w:styleId="Testonotaapidipagina">
    <w:name w:val="footnote text"/>
    <w:basedOn w:val="Normale"/>
    <w:link w:val="TestonotaapidipaginaCarattere"/>
    <w:uiPriority w:val="99"/>
    <w:unhideWhenUsed/>
    <w:rsid w:val="009A0236"/>
    <w:pPr>
      <w:spacing w:before="0" w:after="0"/>
      <w:jc w:val="left"/>
    </w:pPr>
    <w:rPr>
      <w:rFonts w:asciiTheme="minorHAnsi" w:hAnsiTheme="minorHAnsi"/>
      <w:sz w:val="20"/>
      <w:szCs w:val="20"/>
    </w:rPr>
  </w:style>
  <w:style w:type="character" w:customStyle="1" w:styleId="TestonotaapidipaginaCarattere">
    <w:name w:val="Testo nota a piè di pagina Carattere"/>
    <w:basedOn w:val="Carpredefinitoparagrafo"/>
    <w:link w:val="Testonotaapidipagina"/>
    <w:uiPriority w:val="99"/>
    <w:rsid w:val="009A0236"/>
    <w:rPr>
      <w:sz w:val="20"/>
      <w:szCs w:val="20"/>
    </w:rPr>
  </w:style>
  <w:style w:type="character" w:styleId="Rimandonotaapidipagina">
    <w:name w:val="footnote reference"/>
    <w:basedOn w:val="Carpredefinitoparagrafo"/>
    <w:uiPriority w:val="99"/>
    <w:semiHidden/>
    <w:unhideWhenUsed/>
    <w:rsid w:val="009A0236"/>
    <w:rPr>
      <w:vertAlign w:val="superscript"/>
    </w:rPr>
  </w:style>
  <w:style w:type="character" w:styleId="Collegamentovisitato">
    <w:name w:val="FollowedHyperlink"/>
    <w:basedOn w:val="Carpredefinitoparagrafo"/>
    <w:uiPriority w:val="99"/>
    <w:semiHidden/>
    <w:unhideWhenUsed/>
    <w:rsid w:val="00F9534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76350">
      <w:bodyDiv w:val="1"/>
      <w:marLeft w:val="0"/>
      <w:marRight w:val="0"/>
      <w:marTop w:val="0"/>
      <w:marBottom w:val="0"/>
      <w:divBdr>
        <w:top w:val="none" w:sz="0" w:space="0" w:color="auto"/>
        <w:left w:val="none" w:sz="0" w:space="0" w:color="auto"/>
        <w:bottom w:val="none" w:sz="0" w:space="0" w:color="auto"/>
        <w:right w:val="none" w:sz="0" w:space="0" w:color="auto"/>
      </w:divBdr>
    </w:div>
    <w:div w:id="19626966">
      <w:bodyDiv w:val="1"/>
      <w:marLeft w:val="0"/>
      <w:marRight w:val="0"/>
      <w:marTop w:val="0"/>
      <w:marBottom w:val="0"/>
      <w:divBdr>
        <w:top w:val="none" w:sz="0" w:space="0" w:color="auto"/>
        <w:left w:val="none" w:sz="0" w:space="0" w:color="auto"/>
        <w:bottom w:val="none" w:sz="0" w:space="0" w:color="auto"/>
        <w:right w:val="none" w:sz="0" w:space="0" w:color="auto"/>
      </w:divBdr>
    </w:div>
    <w:div w:id="36778243">
      <w:bodyDiv w:val="1"/>
      <w:marLeft w:val="0"/>
      <w:marRight w:val="0"/>
      <w:marTop w:val="0"/>
      <w:marBottom w:val="0"/>
      <w:divBdr>
        <w:top w:val="none" w:sz="0" w:space="0" w:color="auto"/>
        <w:left w:val="none" w:sz="0" w:space="0" w:color="auto"/>
        <w:bottom w:val="none" w:sz="0" w:space="0" w:color="auto"/>
        <w:right w:val="none" w:sz="0" w:space="0" w:color="auto"/>
      </w:divBdr>
    </w:div>
    <w:div w:id="51930772">
      <w:bodyDiv w:val="1"/>
      <w:marLeft w:val="0"/>
      <w:marRight w:val="0"/>
      <w:marTop w:val="0"/>
      <w:marBottom w:val="0"/>
      <w:divBdr>
        <w:top w:val="none" w:sz="0" w:space="0" w:color="auto"/>
        <w:left w:val="none" w:sz="0" w:space="0" w:color="auto"/>
        <w:bottom w:val="none" w:sz="0" w:space="0" w:color="auto"/>
        <w:right w:val="none" w:sz="0" w:space="0" w:color="auto"/>
      </w:divBdr>
    </w:div>
    <w:div w:id="54550726">
      <w:bodyDiv w:val="1"/>
      <w:marLeft w:val="0"/>
      <w:marRight w:val="0"/>
      <w:marTop w:val="0"/>
      <w:marBottom w:val="0"/>
      <w:divBdr>
        <w:top w:val="none" w:sz="0" w:space="0" w:color="auto"/>
        <w:left w:val="none" w:sz="0" w:space="0" w:color="auto"/>
        <w:bottom w:val="none" w:sz="0" w:space="0" w:color="auto"/>
        <w:right w:val="none" w:sz="0" w:space="0" w:color="auto"/>
      </w:divBdr>
    </w:div>
    <w:div w:id="79253053">
      <w:bodyDiv w:val="1"/>
      <w:marLeft w:val="0"/>
      <w:marRight w:val="0"/>
      <w:marTop w:val="0"/>
      <w:marBottom w:val="0"/>
      <w:divBdr>
        <w:top w:val="none" w:sz="0" w:space="0" w:color="auto"/>
        <w:left w:val="none" w:sz="0" w:space="0" w:color="auto"/>
        <w:bottom w:val="none" w:sz="0" w:space="0" w:color="auto"/>
        <w:right w:val="none" w:sz="0" w:space="0" w:color="auto"/>
      </w:divBdr>
    </w:div>
    <w:div w:id="156118820">
      <w:bodyDiv w:val="1"/>
      <w:marLeft w:val="0"/>
      <w:marRight w:val="0"/>
      <w:marTop w:val="0"/>
      <w:marBottom w:val="0"/>
      <w:divBdr>
        <w:top w:val="none" w:sz="0" w:space="0" w:color="auto"/>
        <w:left w:val="none" w:sz="0" w:space="0" w:color="auto"/>
        <w:bottom w:val="none" w:sz="0" w:space="0" w:color="auto"/>
        <w:right w:val="none" w:sz="0" w:space="0" w:color="auto"/>
      </w:divBdr>
    </w:div>
    <w:div w:id="252323212">
      <w:bodyDiv w:val="1"/>
      <w:marLeft w:val="0"/>
      <w:marRight w:val="0"/>
      <w:marTop w:val="0"/>
      <w:marBottom w:val="0"/>
      <w:divBdr>
        <w:top w:val="none" w:sz="0" w:space="0" w:color="auto"/>
        <w:left w:val="none" w:sz="0" w:space="0" w:color="auto"/>
        <w:bottom w:val="none" w:sz="0" w:space="0" w:color="auto"/>
        <w:right w:val="none" w:sz="0" w:space="0" w:color="auto"/>
      </w:divBdr>
    </w:div>
    <w:div w:id="291525627">
      <w:bodyDiv w:val="1"/>
      <w:marLeft w:val="0"/>
      <w:marRight w:val="0"/>
      <w:marTop w:val="0"/>
      <w:marBottom w:val="0"/>
      <w:divBdr>
        <w:top w:val="none" w:sz="0" w:space="0" w:color="auto"/>
        <w:left w:val="none" w:sz="0" w:space="0" w:color="auto"/>
        <w:bottom w:val="none" w:sz="0" w:space="0" w:color="auto"/>
        <w:right w:val="none" w:sz="0" w:space="0" w:color="auto"/>
      </w:divBdr>
    </w:div>
    <w:div w:id="622736972">
      <w:bodyDiv w:val="1"/>
      <w:marLeft w:val="0"/>
      <w:marRight w:val="0"/>
      <w:marTop w:val="0"/>
      <w:marBottom w:val="0"/>
      <w:divBdr>
        <w:top w:val="none" w:sz="0" w:space="0" w:color="auto"/>
        <w:left w:val="none" w:sz="0" w:space="0" w:color="auto"/>
        <w:bottom w:val="none" w:sz="0" w:space="0" w:color="auto"/>
        <w:right w:val="none" w:sz="0" w:space="0" w:color="auto"/>
      </w:divBdr>
    </w:div>
    <w:div w:id="642541453">
      <w:bodyDiv w:val="1"/>
      <w:marLeft w:val="0"/>
      <w:marRight w:val="0"/>
      <w:marTop w:val="0"/>
      <w:marBottom w:val="0"/>
      <w:divBdr>
        <w:top w:val="none" w:sz="0" w:space="0" w:color="auto"/>
        <w:left w:val="none" w:sz="0" w:space="0" w:color="auto"/>
        <w:bottom w:val="none" w:sz="0" w:space="0" w:color="auto"/>
        <w:right w:val="none" w:sz="0" w:space="0" w:color="auto"/>
      </w:divBdr>
    </w:div>
    <w:div w:id="671298132">
      <w:bodyDiv w:val="1"/>
      <w:marLeft w:val="0"/>
      <w:marRight w:val="0"/>
      <w:marTop w:val="0"/>
      <w:marBottom w:val="0"/>
      <w:divBdr>
        <w:top w:val="none" w:sz="0" w:space="0" w:color="auto"/>
        <w:left w:val="none" w:sz="0" w:space="0" w:color="auto"/>
        <w:bottom w:val="none" w:sz="0" w:space="0" w:color="auto"/>
        <w:right w:val="none" w:sz="0" w:space="0" w:color="auto"/>
      </w:divBdr>
    </w:div>
    <w:div w:id="720982922">
      <w:bodyDiv w:val="1"/>
      <w:marLeft w:val="0"/>
      <w:marRight w:val="0"/>
      <w:marTop w:val="0"/>
      <w:marBottom w:val="0"/>
      <w:divBdr>
        <w:top w:val="none" w:sz="0" w:space="0" w:color="auto"/>
        <w:left w:val="none" w:sz="0" w:space="0" w:color="auto"/>
        <w:bottom w:val="none" w:sz="0" w:space="0" w:color="auto"/>
        <w:right w:val="none" w:sz="0" w:space="0" w:color="auto"/>
      </w:divBdr>
    </w:div>
    <w:div w:id="755442178">
      <w:bodyDiv w:val="1"/>
      <w:marLeft w:val="0"/>
      <w:marRight w:val="0"/>
      <w:marTop w:val="0"/>
      <w:marBottom w:val="0"/>
      <w:divBdr>
        <w:top w:val="none" w:sz="0" w:space="0" w:color="auto"/>
        <w:left w:val="none" w:sz="0" w:space="0" w:color="auto"/>
        <w:bottom w:val="none" w:sz="0" w:space="0" w:color="auto"/>
        <w:right w:val="none" w:sz="0" w:space="0" w:color="auto"/>
      </w:divBdr>
    </w:div>
    <w:div w:id="796412711">
      <w:bodyDiv w:val="1"/>
      <w:marLeft w:val="0"/>
      <w:marRight w:val="0"/>
      <w:marTop w:val="0"/>
      <w:marBottom w:val="0"/>
      <w:divBdr>
        <w:top w:val="none" w:sz="0" w:space="0" w:color="auto"/>
        <w:left w:val="none" w:sz="0" w:space="0" w:color="auto"/>
        <w:bottom w:val="none" w:sz="0" w:space="0" w:color="auto"/>
        <w:right w:val="none" w:sz="0" w:space="0" w:color="auto"/>
      </w:divBdr>
    </w:div>
    <w:div w:id="799419042">
      <w:bodyDiv w:val="1"/>
      <w:marLeft w:val="0"/>
      <w:marRight w:val="0"/>
      <w:marTop w:val="0"/>
      <w:marBottom w:val="0"/>
      <w:divBdr>
        <w:top w:val="none" w:sz="0" w:space="0" w:color="auto"/>
        <w:left w:val="none" w:sz="0" w:space="0" w:color="auto"/>
        <w:bottom w:val="none" w:sz="0" w:space="0" w:color="auto"/>
        <w:right w:val="none" w:sz="0" w:space="0" w:color="auto"/>
      </w:divBdr>
    </w:div>
    <w:div w:id="865027506">
      <w:bodyDiv w:val="1"/>
      <w:marLeft w:val="0"/>
      <w:marRight w:val="0"/>
      <w:marTop w:val="0"/>
      <w:marBottom w:val="0"/>
      <w:divBdr>
        <w:top w:val="none" w:sz="0" w:space="0" w:color="auto"/>
        <w:left w:val="none" w:sz="0" w:space="0" w:color="auto"/>
        <w:bottom w:val="none" w:sz="0" w:space="0" w:color="auto"/>
        <w:right w:val="none" w:sz="0" w:space="0" w:color="auto"/>
      </w:divBdr>
    </w:div>
    <w:div w:id="880283351">
      <w:bodyDiv w:val="1"/>
      <w:marLeft w:val="0"/>
      <w:marRight w:val="0"/>
      <w:marTop w:val="0"/>
      <w:marBottom w:val="0"/>
      <w:divBdr>
        <w:top w:val="none" w:sz="0" w:space="0" w:color="auto"/>
        <w:left w:val="none" w:sz="0" w:space="0" w:color="auto"/>
        <w:bottom w:val="none" w:sz="0" w:space="0" w:color="auto"/>
        <w:right w:val="none" w:sz="0" w:space="0" w:color="auto"/>
      </w:divBdr>
    </w:div>
    <w:div w:id="897210720">
      <w:bodyDiv w:val="1"/>
      <w:marLeft w:val="0"/>
      <w:marRight w:val="0"/>
      <w:marTop w:val="0"/>
      <w:marBottom w:val="0"/>
      <w:divBdr>
        <w:top w:val="none" w:sz="0" w:space="0" w:color="auto"/>
        <w:left w:val="none" w:sz="0" w:space="0" w:color="auto"/>
        <w:bottom w:val="none" w:sz="0" w:space="0" w:color="auto"/>
        <w:right w:val="none" w:sz="0" w:space="0" w:color="auto"/>
      </w:divBdr>
    </w:div>
    <w:div w:id="932275036">
      <w:bodyDiv w:val="1"/>
      <w:marLeft w:val="0"/>
      <w:marRight w:val="0"/>
      <w:marTop w:val="0"/>
      <w:marBottom w:val="0"/>
      <w:divBdr>
        <w:top w:val="none" w:sz="0" w:space="0" w:color="auto"/>
        <w:left w:val="none" w:sz="0" w:space="0" w:color="auto"/>
        <w:bottom w:val="none" w:sz="0" w:space="0" w:color="auto"/>
        <w:right w:val="none" w:sz="0" w:space="0" w:color="auto"/>
      </w:divBdr>
    </w:div>
    <w:div w:id="933129072">
      <w:bodyDiv w:val="1"/>
      <w:marLeft w:val="0"/>
      <w:marRight w:val="0"/>
      <w:marTop w:val="0"/>
      <w:marBottom w:val="0"/>
      <w:divBdr>
        <w:top w:val="none" w:sz="0" w:space="0" w:color="auto"/>
        <w:left w:val="none" w:sz="0" w:space="0" w:color="auto"/>
        <w:bottom w:val="none" w:sz="0" w:space="0" w:color="auto"/>
        <w:right w:val="none" w:sz="0" w:space="0" w:color="auto"/>
      </w:divBdr>
    </w:div>
    <w:div w:id="941958769">
      <w:bodyDiv w:val="1"/>
      <w:marLeft w:val="0"/>
      <w:marRight w:val="0"/>
      <w:marTop w:val="0"/>
      <w:marBottom w:val="0"/>
      <w:divBdr>
        <w:top w:val="none" w:sz="0" w:space="0" w:color="auto"/>
        <w:left w:val="none" w:sz="0" w:space="0" w:color="auto"/>
        <w:bottom w:val="none" w:sz="0" w:space="0" w:color="auto"/>
        <w:right w:val="none" w:sz="0" w:space="0" w:color="auto"/>
      </w:divBdr>
    </w:div>
    <w:div w:id="1041129157">
      <w:bodyDiv w:val="1"/>
      <w:marLeft w:val="0"/>
      <w:marRight w:val="0"/>
      <w:marTop w:val="0"/>
      <w:marBottom w:val="0"/>
      <w:divBdr>
        <w:top w:val="none" w:sz="0" w:space="0" w:color="auto"/>
        <w:left w:val="none" w:sz="0" w:space="0" w:color="auto"/>
        <w:bottom w:val="none" w:sz="0" w:space="0" w:color="auto"/>
        <w:right w:val="none" w:sz="0" w:space="0" w:color="auto"/>
      </w:divBdr>
    </w:div>
    <w:div w:id="1041319988">
      <w:bodyDiv w:val="1"/>
      <w:marLeft w:val="0"/>
      <w:marRight w:val="0"/>
      <w:marTop w:val="0"/>
      <w:marBottom w:val="0"/>
      <w:divBdr>
        <w:top w:val="none" w:sz="0" w:space="0" w:color="auto"/>
        <w:left w:val="none" w:sz="0" w:space="0" w:color="auto"/>
        <w:bottom w:val="none" w:sz="0" w:space="0" w:color="auto"/>
        <w:right w:val="none" w:sz="0" w:space="0" w:color="auto"/>
      </w:divBdr>
    </w:div>
    <w:div w:id="1140685369">
      <w:bodyDiv w:val="1"/>
      <w:marLeft w:val="0"/>
      <w:marRight w:val="0"/>
      <w:marTop w:val="0"/>
      <w:marBottom w:val="0"/>
      <w:divBdr>
        <w:top w:val="none" w:sz="0" w:space="0" w:color="auto"/>
        <w:left w:val="none" w:sz="0" w:space="0" w:color="auto"/>
        <w:bottom w:val="none" w:sz="0" w:space="0" w:color="auto"/>
        <w:right w:val="none" w:sz="0" w:space="0" w:color="auto"/>
      </w:divBdr>
    </w:div>
    <w:div w:id="1194151847">
      <w:bodyDiv w:val="1"/>
      <w:marLeft w:val="0"/>
      <w:marRight w:val="0"/>
      <w:marTop w:val="0"/>
      <w:marBottom w:val="0"/>
      <w:divBdr>
        <w:top w:val="none" w:sz="0" w:space="0" w:color="auto"/>
        <w:left w:val="none" w:sz="0" w:space="0" w:color="auto"/>
        <w:bottom w:val="none" w:sz="0" w:space="0" w:color="auto"/>
        <w:right w:val="none" w:sz="0" w:space="0" w:color="auto"/>
      </w:divBdr>
    </w:div>
    <w:div w:id="1213419004">
      <w:bodyDiv w:val="1"/>
      <w:marLeft w:val="0"/>
      <w:marRight w:val="0"/>
      <w:marTop w:val="0"/>
      <w:marBottom w:val="0"/>
      <w:divBdr>
        <w:top w:val="none" w:sz="0" w:space="0" w:color="auto"/>
        <w:left w:val="none" w:sz="0" w:space="0" w:color="auto"/>
        <w:bottom w:val="none" w:sz="0" w:space="0" w:color="auto"/>
        <w:right w:val="none" w:sz="0" w:space="0" w:color="auto"/>
      </w:divBdr>
    </w:div>
    <w:div w:id="1290405119">
      <w:bodyDiv w:val="1"/>
      <w:marLeft w:val="0"/>
      <w:marRight w:val="0"/>
      <w:marTop w:val="0"/>
      <w:marBottom w:val="0"/>
      <w:divBdr>
        <w:top w:val="none" w:sz="0" w:space="0" w:color="auto"/>
        <w:left w:val="none" w:sz="0" w:space="0" w:color="auto"/>
        <w:bottom w:val="none" w:sz="0" w:space="0" w:color="auto"/>
        <w:right w:val="none" w:sz="0" w:space="0" w:color="auto"/>
      </w:divBdr>
    </w:div>
    <w:div w:id="1291090477">
      <w:bodyDiv w:val="1"/>
      <w:marLeft w:val="0"/>
      <w:marRight w:val="0"/>
      <w:marTop w:val="0"/>
      <w:marBottom w:val="0"/>
      <w:divBdr>
        <w:top w:val="none" w:sz="0" w:space="0" w:color="auto"/>
        <w:left w:val="none" w:sz="0" w:space="0" w:color="auto"/>
        <w:bottom w:val="none" w:sz="0" w:space="0" w:color="auto"/>
        <w:right w:val="none" w:sz="0" w:space="0" w:color="auto"/>
      </w:divBdr>
    </w:div>
    <w:div w:id="1318460741">
      <w:bodyDiv w:val="1"/>
      <w:marLeft w:val="0"/>
      <w:marRight w:val="0"/>
      <w:marTop w:val="0"/>
      <w:marBottom w:val="0"/>
      <w:divBdr>
        <w:top w:val="none" w:sz="0" w:space="0" w:color="auto"/>
        <w:left w:val="none" w:sz="0" w:space="0" w:color="auto"/>
        <w:bottom w:val="none" w:sz="0" w:space="0" w:color="auto"/>
        <w:right w:val="none" w:sz="0" w:space="0" w:color="auto"/>
      </w:divBdr>
    </w:div>
    <w:div w:id="1349520932">
      <w:bodyDiv w:val="1"/>
      <w:marLeft w:val="0"/>
      <w:marRight w:val="0"/>
      <w:marTop w:val="0"/>
      <w:marBottom w:val="0"/>
      <w:divBdr>
        <w:top w:val="none" w:sz="0" w:space="0" w:color="auto"/>
        <w:left w:val="none" w:sz="0" w:space="0" w:color="auto"/>
        <w:bottom w:val="none" w:sz="0" w:space="0" w:color="auto"/>
        <w:right w:val="none" w:sz="0" w:space="0" w:color="auto"/>
      </w:divBdr>
    </w:div>
    <w:div w:id="1371998889">
      <w:bodyDiv w:val="1"/>
      <w:marLeft w:val="0"/>
      <w:marRight w:val="0"/>
      <w:marTop w:val="0"/>
      <w:marBottom w:val="0"/>
      <w:divBdr>
        <w:top w:val="none" w:sz="0" w:space="0" w:color="auto"/>
        <w:left w:val="none" w:sz="0" w:space="0" w:color="auto"/>
        <w:bottom w:val="none" w:sz="0" w:space="0" w:color="auto"/>
        <w:right w:val="none" w:sz="0" w:space="0" w:color="auto"/>
      </w:divBdr>
    </w:div>
    <w:div w:id="1373191296">
      <w:bodyDiv w:val="1"/>
      <w:marLeft w:val="0"/>
      <w:marRight w:val="0"/>
      <w:marTop w:val="0"/>
      <w:marBottom w:val="0"/>
      <w:divBdr>
        <w:top w:val="none" w:sz="0" w:space="0" w:color="auto"/>
        <w:left w:val="none" w:sz="0" w:space="0" w:color="auto"/>
        <w:bottom w:val="none" w:sz="0" w:space="0" w:color="auto"/>
        <w:right w:val="none" w:sz="0" w:space="0" w:color="auto"/>
      </w:divBdr>
    </w:div>
    <w:div w:id="1415584588">
      <w:bodyDiv w:val="1"/>
      <w:marLeft w:val="0"/>
      <w:marRight w:val="0"/>
      <w:marTop w:val="0"/>
      <w:marBottom w:val="0"/>
      <w:divBdr>
        <w:top w:val="none" w:sz="0" w:space="0" w:color="auto"/>
        <w:left w:val="none" w:sz="0" w:space="0" w:color="auto"/>
        <w:bottom w:val="none" w:sz="0" w:space="0" w:color="auto"/>
        <w:right w:val="none" w:sz="0" w:space="0" w:color="auto"/>
      </w:divBdr>
    </w:div>
    <w:div w:id="1559054756">
      <w:bodyDiv w:val="1"/>
      <w:marLeft w:val="0"/>
      <w:marRight w:val="0"/>
      <w:marTop w:val="0"/>
      <w:marBottom w:val="0"/>
      <w:divBdr>
        <w:top w:val="none" w:sz="0" w:space="0" w:color="auto"/>
        <w:left w:val="none" w:sz="0" w:space="0" w:color="auto"/>
        <w:bottom w:val="none" w:sz="0" w:space="0" w:color="auto"/>
        <w:right w:val="none" w:sz="0" w:space="0" w:color="auto"/>
      </w:divBdr>
    </w:div>
    <w:div w:id="1635715367">
      <w:bodyDiv w:val="1"/>
      <w:marLeft w:val="0"/>
      <w:marRight w:val="0"/>
      <w:marTop w:val="0"/>
      <w:marBottom w:val="0"/>
      <w:divBdr>
        <w:top w:val="none" w:sz="0" w:space="0" w:color="auto"/>
        <w:left w:val="none" w:sz="0" w:space="0" w:color="auto"/>
        <w:bottom w:val="none" w:sz="0" w:space="0" w:color="auto"/>
        <w:right w:val="none" w:sz="0" w:space="0" w:color="auto"/>
      </w:divBdr>
    </w:div>
    <w:div w:id="1707094490">
      <w:bodyDiv w:val="1"/>
      <w:marLeft w:val="0"/>
      <w:marRight w:val="0"/>
      <w:marTop w:val="0"/>
      <w:marBottom w:val="0"/>
      <w:divBdr>
        <w:top w:val="none" w:sz="0" w:space="0" w:color="auto"/>
        <w:left w:val="none" w:sz="0" w:space="0" w:color="auto"/>
        <w:bottom w:val="none" w:sz="0" w:space="0" w:color="auto"/>
        <w:right w:val="none" w:sz="0" w:space="0" w:color="auto"/>
      </w:divBdr>
    </w:div>
    <w:div w:id="1736513587">
      <w:bodyDiv w:val="1"/>
      <w:marLeft w:val="0"/>
      <w:marRight w:val="0"/>
      <w:marTop w:val="0"/>
      <w:marBottom w:val="0"/>
      <w:divBdr>
        <w:top w:val="none" w:sz="0" w:space="0" w:color="auto"/>
        <w:left w:val="none" w:sz="0" w:space="0" w:color="auto"/>
        <w:bottom w:val="none" w:sz="0" w:space="0" w:color="auto"/>
        <w:right w:val="none" w:sz="0" w:space="0" w:color="auto"/>
      </w:divBdr>
    </w:div>
    <w:div w:id="1797915755">
      <w:bodyDiv w:val="1"/>
      <w:marLeft w:val="0"/>
      <w:marRight w:val="0"/>
      <w:marTop w:val="0"/>
      <w:marBottom w:val="0"/>
      <w:divBdr>
        <w:top w:val="none" w:sz="0" w:space="0" w:color="auto"/>
        <w:left w:val="none" w:sz="0" w:space="0" w:color="auto"/>
        <w:bottom w:val="none" w:sz="0" w:space="0" w:color="auto"/>
        <w:right w:val="none" w:sz="0" w:space="0" w:color="auto"/>
      </w:divBdr>
    </w:div>
    <w:div w:id="1804888230">
      <w:bodyDiv w:val="1"/>
      <w:marLeft w:val="0"/>
      <w:marRight w:val="0"/>
      <w:marTop w:val="0"/>
      <w:marBottom w:val="0"/>
      <w:divBdr>
        <w:top w:val="none" w:sz="0" w:space="0" w:color="auto"/>
        <w:left w:val="none" w:sz="0" w:space="0" w:color="auto"/>
        <w:bottom w:val="none" w:sz="0" w:space="0" w:color="auto"/>
        <w:right w:val="none" w:sz="0" w:space="0" w:color="auto"/>
      </w:divBdr>
    </w:div>
    <w:div w:id="1807426624">
      <w:bodyDiv w:val="1"/>
      <w:marLeft w:val="0"/>
      <w:marRight w:val="0"/>
      <w:marTop w:val="0"/>
      <w:marBottom w:val="0"/>
      <w:divBdr>
        <w:top w:val="none" w:sz="0" w:space="0" w:color="auto"/>
        <w:left w:val="none" w:sz="0" w:space="0" w:color="auto"/>
        <w:bottom w:val="none" w:sz="0" w:space="0" w:color="auto"/>
        <w:right w:val="none" w:sz="0" w:space="0" w:color="auto"/>
      </w:divBdr>
    </w:div>
    <w:div w:id="1812018710">
      <w:bodyDiv w:val="1"/>
      <w:marLeft w:val="0"/>
      <w:marRight w:val="0"/>
      <w:marTop w:val="0"/>
      <w:marBottom w:val="0"/>
      <w:divBdr>
        <w:top w:val="none" w:sz="0" w:space="0" w:color="auto"/>
        <w:left w:val="none" w:sz="0" w:space="0" w:color="auto"/>
        <w:bottom w:val="none" w:sz="0" w:space="0" w:color="auto"/>
        <w:right w:val="none" w:sz="0" w:space="0" w:color="auto"/>
      </w:divBdr>
    </w:div>
    <w:div w:id="1909416029">
      <w:bodyDiv w:val="1"/>
      <w:marLeft w:val="0"/>
      <w:marRight w:val="0"/>
      <w:marTop w:val="0"/>
      <w:marBottom w:val="0"/>
      <w:divBdr>
        <w:top w:val="none" w:sz="0" w:space="0" w:color="auto"/>
        <w:left w:val="none" w:sz="0" w:space="0" w:color="auto"/>
        <w:bottom w:val="none" w:sz="0" w:space="0" w:color="auto"/>
        <w:right w:val="none" w:sz="0" w:space="0" w:color="auto"/>
      </w:divBdr>
    </w:div>
    <w:div w:id="2069956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9.xml"/><Relationship Id="rId21" Type="http://schemas.openxmlformats.org/officeDocument/2006/relationships/footer" Target="footer7.xml"/><Relationship Id="rId42" Type="http://schemas.openxmlformats.org/officeDocument/2006/relationships/hyperlink" Target="https://www.tandfonline.com/doi/full/10.1080/27658511.2024.2419161" TargetMode="External"/><Relationship Id="rId47" Type="http://schemas.openxmlformats.org/officeDocument/2006/relationships/image" Target="media/image12.png"/><Relationship Id="rId63" Type="http://schemas.openxmlformats.org/officeDocument/2006/relationships/footer" Target="footer16.xml"/><Relationship Id="rId68" Type="http://schemas.openxmlformats.org/officeDocument/2006/relationships/footer" Target="footer18.xml"/><Relationship Id="rId16" Type="http://schemas.openxmlformats.org/officeDocument/2006/relationships/header" Target="header5.xml"/><Relationship Id="rId11" Type="http://schemas.openxmlformats.org/officeDocument/2006/relationships/header" Target="header3.xml"/><Relationship Id="rId32" Type="http://schemas.openxmlformats.org/officeDocument/2006/relationships/header" Target="header12.xml"/><Relationship Id="rId37" Type="http://schemas.openxmlformats.org/officeDocument/2006/relationships/footer" Target="footer14.xml"/><Relationship Id="rId53" Type="http://schemas.openxmlformats.org/officeDocument/2006/relationships/hyperlink" Target="https://planet-tracker.org/greenwashing-growing-increasingly-sophisticated-says-planet-tracker/" TargetMode="External"/><Relationship Id="rId58" Type="http://schemas.openxmlformats.org/officeDocument/2006/relationships/hyperlink" Target="https://www.unicreditgroup.eu/en/one-unicredit/articles/2024/october/what-is-esg-in-banking.html" TargetMode="External"/><Relationship Id="rId74" Type="http://schemas.openxmlformats.org/officeDocument/2006/relationships/footer" Target="footer21.xml"/><Relationship Id="rId79" Type="http://schemas.openxmlformats.org/officeDocument/2006/relationships/footer" Target="footer24.xml"/><Relationship Id="rId5" Type="http://schemas.openxmlformats.org/officeDocument/2006/relationships/webSettings" Target="webSettings.xml"/><Relationship Id="rId61" Type="http://schemas.openxmlformats.org/officeDocument/2006/relationships/header" Target="header16.xml"/><Relationship Id="rId19" Type="http://schemas.openxmlformats.org/officeDocument/2006/relationships/header" Target="header7.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footer" Target="footer10.xml"/><Relationship Id="rId30" Type="http://schemas.openxmlformats.org/officeDocument/2006/relationships/image" Target="media/image3.png"/><Relationship Id="rId35" Type="http://schemas.openxmlformats.org/officeDocument/2006/relationships/footer" Target="footer13.xml"/><Relationship Id="rId43" Type="http://schemas.openxmlformats.org/officeDocument/2006/relationships/image" Target="media/image8.png"/><Relationship Id="rId48" Type="http://schemas.openxmlformats.org/officeDocument/2006/relationships/image" Target="media/image13.png"/><Relationship Id="rId56" Type="http://schemas.openxmlformats.org/officeDocument/2006/relationships/hyperlink" Target="https://www.borsaitaliana.it/finanza-sostenibile/news/forum/governance-sostenibilita.htm" TargetMode="External"/><Relationship Id="rId64" Type="http://schemas.openxmlformats.org/officeDocument/2006/relationships/header" Target="header17.xml"/><Relationship Id="rId69" Type="http://schemas.openxmlformats.org/officeDocument/2006/relationships/footer" Target="footer19.xml"/><Relationship Id="rId77" Type="http://schemas.openxmlformats.org/officeDocument/2006/relationships/footer" Target="footer23.xml"/><Relationship Id="rId8" Type="http://schemas.openxmlformats.org/officeDocument/2006/relationships/header" Target="header1.xml"/><Relationship Id="rId51" Type="http://schemas.openxmlformats.org/officeDocument/2006/relationships/hyperlink" Target="https://eur-lex.europa.eu/TodayOJ/" TargetMode="External"/><Relationship Id="rId72" Type="http://schemas.openxmlformats.org/officeDocument/2006/relationships/header" Target="header21.xm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5.xml"/><Relationship Id="rId25" Type="http://schemas.openxmlformats.org/officeDocument/2006/relationships/header" Target="header10.xml"/><Relationship Id="rId33" Type="http://schemas.openxmlformats.org/officeDocument/2006/relationships/header" Target="header13.xml"/><Relationship Id="rId38" Type="http://schemas.openxmlformats.org/officeDocument/2006/relationships/image" Target="media/image5.png"/><Relationship Id="rId46" Type="http://schemas.openxmlformats.org/officeDocument/2006/relationships/image" Target="media/image11.png"/><Relationship Id="rId59" Type="http://schemas.openxmlformats.org/officeDocument/2006/relationships/hyperlink" Target="https://www.unicreditgroup.eu/it/press-media/press-releases/2025/da-unicredit-un-green-loan-project-financing-da-50-5-milioni-di-.html" TargetMode="External"/><Relationship Id="rId67" Type="http://schemas.openxmlformats.org/officeDocument/2006/relationships/header" Target="header19.xml"/><Relationship Id="rId20" Type="http://schemas.openxmlformats.org/officeDocument/2006/relationships/footer" Target="footer6.xml"/><Relationship Id="rId41" Type="http://schemas.openxmlformats.org/officeDocument/2006/relationships/image" Target="media/image7.png"/><Relationship Id="rId54" Type="http://schemas.openxmlformats.org/officeDocument/2006/relationships/hyperlink" Target="https://www.agcm.it/media/comunicati-stampa/2020/1/PS11400" TargetMode="External"/><Relationship Id="rId62" Type="http://schemas.openxmlformats.org/officeDocument/2006/relationships/footer" Target="footer15.xml"/><Relationship Id="rId70" Type="http://schemas.openxmlformats.org/officeDocument/2006/relationships/header" Target="header20.xml"/><Relationship Id="rId75" Type="http://schemas.openxmlformats.org/officeDocument/2006/relationships/footer" Target="footer2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header" Target="header11.xml"/><Relationship Id="rId36" Type="http://schemas.openxmlformats.org/officeDocument/2006/relationships/header" Target="header14.xml"/><Relationship Id="rId49" Type="http://schemas.openxmlformats.org/officeDocument/2006/relationships/hyperlink" Target="https://www.richardhardyment.com/measuring-good-business" TargetMode="External"/><Relationship Id="rId57" Type="http://schemas.openxmlformats.org/officeDocument/2006/relationships/hyperlink" Target="https://www.coca-colacompany.com/about-us/sustainability" TargetMode="External"/><Relationship Id="rId10" Type="http://schemas.openxmlformats.org/officeDocument/2006/relationships/header" Target="header2.xml"/><Relationship Id="rId31" Type="http://schemas.openxmlformats.org/officeDocument/2006/relationships/image" Target="media/image4.png"/><Relationship Id="rId44" Type="http://schemas.openxmlformats.org/officeDocument/2006/relationships/image" Target="media/image9.png"/><Relationship Id="rId52" Type="http://schemas.openxmlformats.org/officeDocument/2006/relationships/hyperlink" Target="https://finanza.repubblica.it/News/2025/07/07/intesa_sanpaolo_lancia%c2%a0s_loan_soluzione_lavoro_dieci_miliardi_di_euro_per_favorire_loccupazione_-73/" TargetMode="External"/><Relationship Id="rId60" Type="http://schemas.openxmlformats.org/officeDocument/2006/relationships/header" Target="header15.xml"/><Relationship Id="rId65" Type="http://schemas.openxmlformats.org/officeDocument/2006/relationships/footer" Target="footer17.xml"/><Relationship Id="rId73" Type="http://schemas.openxmlformats.org/officeDocument/2006/relationships/header" Target="header22.xml"/><Relationship Id="rId78" Type="http://schemas.openxmlformats.org/officeDocument/2006/relationships/header" Target="header24.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3.xml"/><Relationship Id="rId18" Type="http://schemas.openxmlformats.org/officeDocument/2006/relationships/header" Target="header6.xml"/><Relationship Id="rId39" Type="http://schemas.openxmlformats.org/officeDocument/2006/relationships/image" Target="media/image6.png"/><Relationship Id="rId34" Type="http://schemas.openxmlformats.org/officeDocument/2006/relationships/footer" Target="footer12.xml"/><Relationship Id="rId50" Type="http://schemas.openxmlformats.org/officeDocument/2006/relationships/hyperlink" Target="https://esgnews.it/focus/interviste/barteselli-banco-bpm-nonostante-omnibus-i-dati-esg-restano-essenziali-per-lerogazione-del-credito/" TargetMode="External"/><Relationship Id="rId55" Type="http://schemas.openxmlformats.org/officeDocument/2006/relationships/hyperlink" Target="https://www.ayming.it/insights/news-ayming-institute/doppia-materialita-csrd-rendicontazione-sostenibilita/" TargetMode="External"/><Relationship Id="rId76" Type="http://schemas.openxmlformats.org/officeDocument/2006/relationships/header" Target="header23.xml"/><Relationship Id="rId7" Type="http://schemas.openxmlformats.org/officeDocument/2006/relationships/endnotes" Target="endnotes.xml"/><Relationship Id="rId71" Type="http://schemas.openxmlformats.org/officeDocument/2006/relationships/footer" Target="footer20.xml"/><Relationship Id="rId2" Type="http://schemas.openxmlformats.org/officeDocument/2006/relationships/numbering" Target="numbering.xml"/><Relationship Id="rId29" Type="http://schemas.openxmlformats.org/officeDocument/2006/relationships/footer" Target="footer11.xml"/><Relationship Id="rId24" Type="http://schemas.openxmlformats.org/officeDocument/2006/relationships/header" Target="header9.xml"/><Relationship Id="rId40" Type="http://schemas.openxmlformats.org/officeDocument/2006/relationships/hyperlink" Target="https://www.sciencedirect.com/science/article/abs/pii/S0378426604000469" TargetMode="External"/><Relationship Id="rId45" Type="http://schemas.openxmlformats.org/officeDocument/2006/relationships/image" Target="media/image10.png"/><Relationship Id="rId66" Type="http://schemas.openxmlformats.org/officeDocument/2006/relationships/header" Target="header18.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notes.xml.rels><?xml version="1.0" encoding="UTF-8" standalone="yes"?>
<Relationships xmlns="http://schemas.openxmlformats.org/package/2006/relationships"><Relationship Id="rId8" Type="http://schemas.openxmlformats.org/officeDocument/2006/relationships/hyperlink" Target="https://barrazacarlos.com/advantages-and-disadvantages-of-environmental-social-and-corporate-governance/" TargetMode="External"/><Relationship Id="rId13" Type="http://schemas.openxmlformats.org/officeDocument/2006/relationships/hyperlink" Target="https://www.greenme.it/lifestyle/sai-cosa-compri/indagine-sul-lusso-la-maison-loro-piana-finisce-sotto-amministrazione-giudiziaria-per-presunto-sfruttamento/" TargetMode="External"/><Relationship Id="rId18" Type="http://schemas.openxmlformats.org/officeDocument/2006/relationships/hyperlink" Target="https://pages.bsigroup.com/l/35972/2025-06-09/3t8xwmd?utm_source=social&amp;utm_medium=LinkedIn&amp;pi_content=0e1155ed3282ef577130567156919ff3bd3aa176b63b8156bb29f57670710a4e" TargetMode="External"/><Relationship Id="rId26" Type="http://schemas.openxmlformats.org/officeDocument/2006/relationships/hyperlink" Target="https://economictimes.indiatimes.com/markets/bonds/sustainable-capital-rising-how-esg-bonds-are-shaping-indias-debt-market/articleshow/123112321.cms?utm_source=chatgpt.com" TargetMode="External"/><Relationship Id="rId3" Type="http://schemas.openxmlformats.org/officeDocument/2006/relationships/hyperlink" Target="https://www.unicreditgroup.eu/it/press-media/press-releases/2025/da-unicredit-un-green-loan-project-financing-da-50-5-milioni-di-.html?utm_source=chatgpt.com" TargetMode="External"/><Relationship Id="rId21" Type="http://schemas.openxmlformats.org/officeDocument/2006/relationships/hyperlink" Target="https://esgnews.it/governance/le-aziende-si-preparano-alle-richieste-normative-sulla-rendicontazione-esg-ecco-a-che-punto-siamo/" TargetMode="External"/><Relationship Id="rId7" Type="http://schemas.openxmlformats.org/officeDocument/2006/relationships/hyperlink" Target="https://www.msci.com/documents/1296102/34424357/MSCI+ESG+Ratings+Methodology.pdf" TargetMode="External"/><Relationship Id="rId12" Type="http://schemas.openxmlformats.org/officeDocument/2006/relationships/hyperlink" Target="https://eur-lex.europa.eu/TodayOJ/" TargetMode="External"/><Relationship Id="rId17" Type="http://schemas.openxmlformats.org/officeDocument/2006/relationships/hyperlink" Target="https://www.milanofinanza.it/fashion/moda-italiana-il-green-e-una-priorita-per-il-76-delle-aziende-ma-restano-le-sfide-202501081645366493" TargetMode="External"/><Relationship Id="rId25" Type="http://schemas.openxmlformats.org/officeDocument/2006/relationships/hyperlink" Target="https://www.msci.com/research-and-insights/blog-post/sustainable-finance-regulation-a-look-ahead-for-2025?utm_source=chatgpt.com" TargetMode="External"/><Relationship Id="rId2" Type="http://schemas.openxmlformats.org/officeDocument/2006/relationships/hyperlink" Target="https://www.agcm.it/media/comunicati-stampa/2020/1/PS11400?" TargetMode="External"/><Relationship Id="rId16" Type="http://schemas.openxmlformats.org/officeDocument/2006/relationships/hyperlink" Target="https://www.vogue.it/moda/gallery/moda-sostenibile-2023" TargetMode="External"/><Relationship Id="rId20" Type="http://schemas.openxmlformats.org/officeDocument/2006/relationships/hyperlink" Target="https://kpmg.com/it/it/insights/2024/12/survey-sustainability-reporting-2024.html" TargetMode="External"/><Relationship Id="rId1" Type="http://schemas.openxmlformats.org/officeDocument/2006/relationships/hyperlink" Target="https://iridaesg.it/guida-rendicontazione-sostenibilita-standard-esrs/" TargetMode="External"/><Relationship Id="rId6" Type="http://schemas.openxmlformats.org/officeDocument/2006/relationships/hyperlink" Target="https://www.msci.com/documents/1296102/34424357/MSCI+ESG+Ratings+Methodology.pdf" TargetMode="External"/><Relationship Id="rId11" Type="http://schemas.openxmlformats.org/officeDocument/2006/relationships/hyperlink" Target="https://www.borsaitaliana.it/finanza-sostenibile/news/forum/governance-sostenibilita.htm" TargetMode="External"/><Relationship Id="rId24" Type="http://schemas.openxmlformats.org/officeDocument/2006/relationships/hyperlink" Target="https://fintechnews.ch/tag/commerzventures/" TargetMode="External"/><Relationship Id="rId5" Type="http://schemas.openxmlformats.org/officeDocument/2006/relationships/hyperlink" Target="https://www.rolandberger.com/en/Insights/Publications/ESG-in-banking-Combining-sustainability-with-profitability.html" TargetMode="External"/><Relationship Id="rId15" Type="http://schemas.openxmlformats.org/officeDocument/2006/relationships/hyperlink" Target="https://www.brownejacobson.com/about/news-media/luxury-brands-and-sustainability" TargetMode="External"/><Relationship Id="rId23" Type="http://schemas.openxmlformats.org/officeDocument/2006/relationships/hyperlink" Target="https://horizons.lma.eu.com/q4-december2024/market-outlook?utm_source=chatgpt.com" TargetMode="External"/><Relationship Id="rId10" Type="http://schemas.openxmlformats.org/officeDocument/2006/relationships/hyperlink" Target="https://www.tandfonline.com/doi/full/10.1080/27658511.2024.2419161" TargetMode="External"/><Relationship Id="rId19" Type="http://schemas.openxmlformats.org/officeDocument/2006/relationships/hyperlink" Target="https://pages.bsigroup.com/l/35972/2025-06-24/3t8z3qh/35972/17507537434LFDyOaZ/BSI_Guide_to_ESG_Maturity_Matrix_FINAL_30.05.2025.pdf" TargetMode="External"/><Relationship Id="rId4" Type="http://schemas.openxmlformats.org/officeDocument/2006/relationships/hyperlink" Target="https://finanza.repubblica.it/News/2025/07/07/intesa_sanpaolo_lancia%c2%a0s_loan_soluzione_lavoro_dieci_miliardi_di_euro_per_favorire_loccupazione_-73/" TargetMode="External"/><Relationship Id="rId9" Type="http://schemas.openxmlformats.org/officeDocument/2006/relationships/hyperlink" Target="https://www.stamford.edu/how-esg-contribute-to-improve-a-companys-financial-performance/?utm_source=chatgpt.com" TargetMode="External"/><Relationship Id="rId14" Type="http://schemas.openxmlformats.org/officeDocument/2006/relationships/hyperlink" Target="https://sustainablefashionbyraya.com/high-fashion-the-sustainability-initiatives-of-gucci-louis-vuitton-and-prada/" TargetMode="External"/><Relationship Id="rId22" Type="http://schemas.openxmlformats.org/officeDocument/2006/relationships/hyperlink" Target="https://www.bbvacib.com/green-and-sustainability-linked-loan-newsletter/?utm_source=chatgpt.com"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htt</b:Tag>
    <b:SourceType>InternetSite</b:SourceType>
    <b:Guid>{B61B6A1F-0AD6-4935-ACB7-CD8477106607}</b:Guid>
    <b:Title>https://support.microsoft.com/en-us/word</b:Title>
    <b:RefOrder>1</b:RefOrder>
  </b:Source>
  <b:Source>
    <b:Tag>JWa53</b:Tag>
    <b:SourceType>JournalArticle</b:SourceType>
    <b:Guid>{E733A316-4839-434A-B635-FA02968ACEE8}</b:Guid>
    <b:Author>
      <b:Author>
        <b:Corporate>J. Watson, F. Cric</b:Corporate>
      </b:Author>
    </b:Author>
    <b:Title>Molecular structure of nucleic acids: a structure for deoxyrobose nucleic acid</b:Title>
    <b:Year>1953</b:Year>
    <b:JournalName>Nature</b:JournalName>
    <b:Pages>737–738</b:Pages>
    <b:Volume>171</b:Volume>
    <b:RefOrder>2</b:RefOrder>
  </b:Source>
  <b:Source>
    <b:Tag>ADa21</b:Tag>
    <b:SourceType>Book</b:SourceType>
    <b:Guid>{9D381148-B8BD-4585-B9C6-63D8B272BE30}</b:Guid>
    <b:Author>
      <b:Author>
        <b:NameList>
          <b:Person>
            <b:Last>Alighieri</b:Last>
            <b:First>D.</b:First>
          </b:Person>
        </b:NameList>
      </b:Author>
    </b:Author>
    <b:Title>Comedia</b:Title>
    <b:Year>1321</b:Year>
    <b:City>Firenze</b:City>
    <b:Publisher>Goose Feather Press</b:Publisher>
    <b:RefOrder>3</b:RefOrder>
  </b:Source>
  <b:Source>
    <b:Tag>ProBC</b:Tag>
    <b:SourceType>Patent</b:SourceType>
    <b:Guid>{45848DFF-029A-4664-9C8A-E41F1623D2A5}</b:Guid>
    <b:Title>Fire</b:Title>
    <b:Year>300.000 BC</b:Year>
    <b:Author>
      <b:Writer>
        <b:NameList>
          <b:Person>
            <b:Last>Prometeus</b:Last>
          </b:Person>
        </b:NameList>
      </b:Writer>
      <b:Inventor>
        <b:NameList>
          <b:Person>
            <b:Last>Prometeus</b:Last>
          </b:Person>
        </b:NameList>
      </b:Inventor>
    </b:Author>
    <b:ProductionCompany>Olympus God</b:ProductionCompany>
    <b:CountryRegion>Olympus</b:CountryRegion>
    <b:PatentNumber>1</b:PatentNumber>
    <b:RefOrder>4</b:RefOrder>
  </b:Source>
</b:Sources>
</file>

<file path=customXml/itemProps1.xml><?xml version="1.0" encoding="utf-8"?>
<ds:datastoreItem xmlns:ds="http://schemas.openxmlformats.org/officeDocument/2006/customXml" ds:itemID="{744A0542-3127-4400-9736-0E541233B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13321</TotalTime>
  <Pages>134</Pages>
  <Words>32082</Words>
  <Characters>182869</Characters>
  <Application>Microsoft Office Word</Application>
  <DocSecurity>0</DocSecurity>
  <Lines>1523</Lines>
  <Paragraphs>429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214522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Gruttadauria</dc:creator>
  <cp:keywords/>
  <dc:description/>
  <cp:lastModifiedBy>Giacomo Ballabio</cp:lastModifiedBy>
  <cp:revision>548</cp:revision>
  <dcterms:created xsi:type="dcterms:W3CDTF">2025-08-23T11:20:00Z</dcterms:created>
  <dcterms:modified xsi:type="dcterms:W3CDTF">2025-09-16T07:41:00Z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dfe7915b-0405-3797-ba64-50c9350e2330</vt:lpwstr>
  </property>
  <property fmtid="{D5CDD505-2E9C-101B-9397-08002B2CF9AE}" pid="4" name="Mendeley Citation Style_1">
    <vt:lpwstr>http://www.zotero.org/styles/vancouver</vt:lpwstr>
  </property>
</Properties>
</file>